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1 )*</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180" w:hanging="172"/>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18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5340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340350"/>
                    </a:xfrm>
                    <a:prstGeom prst="rect">
                      <a:avLst/>
                    </a:prstGeom>
                    <a:noFill/>
                  </pic:spPr>
                </pic:pic>
              </a:graphicData>
            </a:graphic>
          </wp:anchor>
        </w:drawing>
        <w:t xml:space="preserve">CUSIP No. </w:t>
      </w:r>
      <w:r>
        <w:rPr>
          <w:rFonts w:ascii="Arial" w:cs="Arial" w:eastAsia="Arial" w:hAnsi="Arial"/>
          <w:sz w:val="18"/>
          <w:szCs w:val="18"/>
          <w:b w:val="1"/>
          <w:bCs w:val="1"/>
          <w:color w:val="auto"/>
        </w:rPr>
        <w:t>517125100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 w:type="dxa"/>
            <w:vAlign w:val="bottom"/>
            <w:tcBorders>
              <w:top w:val="single" w:sz="8" w:color="auto"/>
            </w:tcBorders>
            <w:vMerge w:val="restart"/>
          </w:tcPr>
          <w:p>
            <w:pPr>
              <w:ind w:left="360"/>
              <w:spacing w:after="0"/>
              <w:rPr>
                <w:sz w:val="20"/>
                <w:szCs w:val="20"/>
                <w:color w:val="auto"/>
              </w:rPr>
            </w:pPr>
            <w:r>
              <w:rPr>
                <w:rFonts w:ascii="Arial" w:cs="Arial" w:eastAsia="Arial" w:hAnsi="Arial"/>
                <w:sz w:val="22"/>
                <w:szCs w:val="22"/>
                <w:b w:val="1"/>
                <w:bCs w:val="1"/>
                <w:color w:val="auto"/>
                <w:w w:val="81"/>
              </w:rPr>
              <w:t>1</w:t>
            </w:r>
          </w:p>
        </w:tc>
        <w:tc>
          <w:tcPr>
            <w:tcW w:w="240" w:type="dxa"/>
            <w:vAlign w:val="bottom"/>
            <w:tcBorders>
              <w:top w:val="single" w:sz="8" w:color="auto"/>
              <w:right w:val="single" w:sz="8" w:color="auto"/>
            </w:tcBorders>
          </w:tcPr>
          <w:p>
            <w:pPr>
              <w:spacing w:after="0"/>
              <w:rPr>
                <w:sz w:val="22"/>
                <w:szCs w:val="22"/>
                <w:color w:val="auto"/>
              </w:rPr>
            </w:pPr>
          </w:p>
        </w:tc>
        <w:tc>
          <w:tcPr>
            <w:tcW w:w="1052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5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Vivo Capital IX, LLC</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2</w:t>
            </w:r>
          </w:p>
        </w:tc>
        <w:tc>
          <w:tcPr>
            <w:tcW w:w="240" w:type="dxa"/>
            <w:vAlign w:val="bottom"/>
            <w:tcBorders>
              <w:right w:val="single" w:sz="8" w:color="auto"/>
            </w:tcBorders>
          </w:tcPr>
          <w:p>
            <w:pPr>
              <w:spacing w:after="0"/>
              <w:rPr>
                <w:sz w:val="15"/>
                <w:szCs w:val="15"/>
                <w:color w:val="auto"/>
              </w:rPr>
            </w:pPr>
          </w:p>
        </w:tc>
        <w:tc>
          <w:tcPr>
            <w:tcW w:w="10520" w:type="dxa"/>
            <w:vAlign w:val="bottom"/>
            <w:gridSpan w:val="3"/>
          </w:tcPr>
          <w:p>
            <w:pPr>
              <w:ind w:left="80"/>
              <w:spacing w:after="0" w:line="18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3"/>
                <w:szCs w:val="23"/>
                <w:color w:val="auto"/>
              </w:rPr>
            </w:pPr>
          </w:p>
        </w:tc>
        <w:tc>
          <w:tcPr>
            <w:tcW w:w="8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3</w:t>
            </w:r>
          </w:p>
        </w:tc>
        <w:tc>
          <w:tcPr>
            <w:tcW w:w="240" w:type="dxa"/>
            <w:vAlign w:val="bottom"/>
            <w:tcBorders>
              <w:right w:val="single" w:sz="8" w:color="auto"/>
            </w:tcBorders>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052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4</w:t>
            </w:r>
          </w:p>
        </w:tc>
        <w:tc>
          <w:tcPr>
            <w:tcW w:w="240" w:type="dxa"/>
            <w:vAlign w:val="bottom"/>
            <w:tcBorders>
              <w:right w:val="single" w:sz="8" w:color="auto"/>
            </w:tcBorders>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8"/>
              </w:rPr>
              <w:t>Delaware</w:t>
            </w:r>
          </w:p>
        </w:tc>
        <w:tc>
          <w:tcPr>
            <w:tcW w:w="66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352"/>
              <w:spacing w:after="0"/>
              <w:rPr>
                <w:sz w:val="20"/>
                <w:szCs w:val="20"/>
                <w:color w:val="auto"/>
              </w:rPr>
            </w:pPr>
            <w:r>
              <w:rPr>
                <w:rFonts w:ascii="Arial" w:cs="Arial" w:eastAsia="Arial" w:hAnsi="Arial"/>
                <w:sz w:val="22"/>
                <w:szCs w:val="22"/>
                <w:b w:val="1"/>
                <w:bCs w:val="1"/>
                <w:color w:val="auto"/>
              </w:rPr>
              <w:t>5</w:t>
            </w: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72,942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53"/>
        </w:trPr>
        <w:tc>
          <w:tcPr>
            <w:tcW w:w="1620" w:type="dxa"/>
            <w:vAlign w:val="bottom"/>
            <w:tcBorders>
              <w:right w:val="single" w:sz="8" w:color="auto"/>
            </w:tcBorders>
            <w:gridSpan w:val="3"/>
            <w:vMerge w:val="restart"/>
          </w:tcPr>
          <w:p>
            <w:pPr>
              <w:ind w:left="34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2"/>
                <w:szCs w:val="22"/>
                <w:color w:val="auto"/>
              </w:rPr>
            </w:pPr>
          </w:p>
        </w:tc>
        <w:tc>
          <w:tcPr>
            <w:tcW w:w="8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620" w:type="dxa"/>
            <w:vAlign w:val="bottom"/>
            <w:tcBorders>
              <w:right w:val="single" w:sz="8" w:color="auto"/>
            </w:tcBorders>
            <w:gridSpan w:val="3"/>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vMerge w:val="restart"/>
          </w:tcPr>
          <w:p>
            <w:pPr>
              <w:jc w:val="right"/>
              <w:ind w:right="352"/>
              <w:spacing w:after="0"/>
              <w:rPr>
                <w:sz w:val="20"/>
                <w:szCs w:val="20"/>
                <w:color w:val="auto"/>
              </w:rPr>
            </w:pPr>
            <w:r>
              <w:rPr>
                <w:rFonts w:ascii="Arial" w:cs="Arial" w:eastAsia="Arial" w:hAnsi="Arial"/>
                <w:sz w:val="22"/>
                <w:szCs w:val="22"/>
                <w:b w:val="1"/>
                <w:bCs w:val="1"/>
                <w:color w:val="auto"/>
              </w:rPr>
              <w:t>6</w:t>
            </w: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80" w:type="dxa"/>
            <w:vAlign w:val="bottom"/>
          </w:tcPr>
          <w:p>
            <w:pPr>
              <w:spacing w:after="0"/>
              <w:rPr>
                <w:sz w:val="5"/>
                <w:szCs w:val="5"/>
                <w:color w:val="auto"/>
              </w:rPr>
            </w:pPr>
          </w:p>
        </w:tc>
        <w:tc>
          <w:tcPr>
            <w:tcW w:w="11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vMerge w:val="continue"/>
          </w:tcPr>
          <w:p>
            <w:pPr>
              <w:spacing w:after="0"/>
              <w:rPr>
                <w:sz w:val="18"/>
                <w:szCs w:val="18"/>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6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right w:val="single" w:sz="8" w:color="auto"/>
            </w:tcBorders>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620" w:type="dxa"/>
            <w:vAlign w:val="bottom"/>
            <w:tcBorders>
              <w:right w:val="single" w:sz="8" w:color="auto"/>
            </w:tcBorders>
            <w:gridSpan w:val="3"/>
            <w:vMerge w:val="continue"/>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620" w:type="dxa"/>
            <w:vAlign w:val="bottom"/>
            <w:tcBorders>
              <w:right w:val="single" w:sz="8" w:color="auto"/>
            </w:tcBorders>
            <w:gridSpan w:val="3"/>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vMerge w:val="restart"/>
          </w:tcPr>
          <w:p>
            <w:pPr>
              <w:jc w:val="right"/>
              <w:ind w:right="352"/>
              <w:spacing w:after="0" w:line="232" w:lineRule="exact"/>
              <w:rPr>
                <w:sz w:val="20"/>
                <w:szCs w:val="20"/>
                <w:color w:val="auto"/>
              </w:rPr>
            </w:pPr>
            <w:r>
              <w:rPr>
                <w:rFonts w:ascii="Arial" w:cs="Arial" w:eastAsia="Arial" w:hAnsi="Arial"/>
                <w:sz w:val="22"/>
                <w:szCs w:val="22"/>
                <w:b w:val="1"/>
                <w:bCs w:val="1"/>
                <w:color w:val="auto"/>
              </w:rPr>
              <w:t>7</w:t>
            </w: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114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8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3"/>
          </w:tcPr>
          <w:p>
            <w:pPr>
              <w:ind w:left="360"/>
              <w:spacing w:after="0" w:line="200" w:lineRule="exact"/>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7"/>
                <w:szCs w:val="1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72,942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290"/>
              <w:spacing w:after="0" w:line="157" w:lineRule="exact"/>
              <w:rPr>
                <w:sz w:val="20"/>
                <w:szCs w:val="20"/>
                <w:color w:val="auto"/>
              </w:rPr>
            </w:pPr>
            <w:r>
              <w:rPr>
                <w:rFonts w:ascii="Arial" w:cs="Arial" w:eastAsia="Arial" w:hAnsi="Arial"/>
                <w:sz w:val="18"/>
                <w:szCs w:val="18"/>
                <w:color w:val="auto"/>
                <w:w w:val="89"/>
              </w:rPr>
              <w:t>PERSON</w:t>
            </w:r>
          </w:p>
        </w:tc>
        <w:tc>
          <w:tcPr>
            <w:tcW w:w="660" w:type="dxa"/>
            <w:vAlign w:val="bottom"/>
            <w:tcBorders>
              <w:bottom w:val="single" w:sz="8" w:color="auto"/>
              <w:right w:val="single" w:sz="8" w:color="auto"/>
            </w:tcBorders>
          </w:tcPr>
          <w:p>
            <w:pPr>
              <w:spacing w:after="0"/>
              <w:rPr>
                <w:sz w:val="13"/>
                <w:szCs w:val="13"/>
                <w:color w:val="auto"/>
              </w:rPr>
            </w:pPr>
          </w:p>
        </w:tc>
        <w:tc>
          <w:tcPr>
            <w:tcW w:w="8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1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vMerge w:val="restart"/>
          </w:tcPr>
          <w:p>
            <w:pPr>
              <w:jc w:val="right"/>
              <w:ind w:right="352"/>
              <w:spacing w:after="0"/>
              <w:rPr>
                <w:sz w:val="20"/>
                <w:szCs w:val="20"/>
                <w:color w:val="auto"/>
              </w:rPr>
            </w:pPr>
            <w:r>
              <w:rPr>
                <w:rFonts w:ascii="Arial" w:cs="Arial" w:eastAsia="Arial" w:hAnsi="Arial"/>
                <w:sz w:val="22"/>
                <w:szCs w:val="22"/>
                <w:b w:val="1"/>
                <w:bCs w:val="1"/>
                <w:color w:val="auto"/>
              </w:rPr>
              <w:t>8</w:t>
            </w:r>
          </w:p>
        </w:tc>
        <w:tc>
          <w:tcPr>
            <w:tcW w:w="8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9</w:t>
            </w:r>
          </w:p>
        </w:tc>
        <w:tc>
          <w:tcPr>
            <w:tcW w:w="240" w:type="dxa"/>
            <w:vAlign w:val="bottom"/>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w w:val="93"/>
              </w:rPr>
              <w:t xml:space="preserve">72,942 </w:t>
            </w:r>
            <w:r>
              <w:rPr>
                <w:rFonts w:ascii="Arial" w:cs="Arial" w:eastAsia="Arial" w:hAnsi="Arial"/>
                <w:sz w:val="29"/>
                <w:szCs w:val="29"/>
                <w:b w:val="1"/>
                <w:bCs w:val="1"/>
                <w:color w:val="auto"/>
                <w:w w:val="93"/>
                <w:vertAlign w:val="superscript"/>
              </w:rPr>
              <w:t>(1)</w:t>
            </w:r>
          </w:p>
        </w:tc>
        <w:tc>
          <w:tcPr>
            <w:tcW w:w="66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8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66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800"/>
        <w:spacing w:after="0" w:line="187" w:lineRule="auto"/>
        <w:rPr>
          <w:sz w:val="20"/>
          <w:szCs w:val="20"/>
          <w:color w:val="auto"/>
        </w:rPr>
      </w:pPr>
      <w:r>
        <w:rPr>
          <w:rFonts w:ascii="Arial" w:cs="Arial" w:eastAsia="Arial" w:hAnsi="Arial"/>
          <w:sz w:val="16"/>
          <w:szCs w:val="16"/>
          <w:color w:val="auto"/>
        </w:rPr>
        <w:t>CHECK BOX IF THE AGGREGATE AMOUNT IN ROW (9) EXCLUDES CERTAIN SHARES (See Instructions)</w:t>
      </w:r>
    </w:p>
    <w:p>
      <w:pPr>
        <w:ind w:left="300"/>
        <w:spacing w:after="0" w:line="361" w:lineRule="exact"/>
        <w:tabs>
          <w:tab w:leader="none" w:pos="7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1240"/>
          </w:cols>
          <w:pgMar w:left="320" w:top="1066" w:right="339" w:bottom="1440" w:gutter="0" w:footer="0" w:header="0"/>
        </w:sectPr>
      </w:pPr>
    </w:p>
    <w:p>
      <w:pPr>
        <w:spacing w:after="0" w:line="250"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0.4% </w:t>
      </w:r>
      <w:r>
        <w:rPr>
          <w:rFonts w:ascii="Arial" w:cs="Arial" w:eastAsia="Arial" w:hAnsi="Arial"/>
          <w:sz w:val="29"/>
          <w:szCs w:val="29"/>
          <w:b w:val="1"/>
          <w:bCs w:val="1"/>
          <w:color w:val="auto"/>
          <w:vertAlign w:val="superscript"/>
        </w:rPr>
        <w:t>(2)</w:t>
      </w:r>
    </w:p>
    <w:p>
      <w:pPr>
        <w:spacing w:after="0" w:line="1" w:lineRule="exact"/>
        <w:rPr>
          <w:sz w:val="20"/>
          <w:szCs w:val="20"/>
          <w:color w:val="auto"/>
        </w:rPr>
      </w:pPr>
    </w:p>
    <w:p>
      <w:pPr>
        <w:sectPr>
          <w:pgSz w:w="11900" w:h="16838" w:orient="portrait"/>
          <w:cols w:equalWidth="0" w:num="2">
            <w:col w:w="500" w:space="300"/>
            <w:col w:w="10440"/>
          </w:cols>
          <w:pgMar w:left="320" w:top="1066" w:right="339" w:bottom="1440" w:gutter="0" w:footer="0" w:header="0"/>
          <w:type w:val="continuous"/>
        </w:sectPr>
      </w:pPr>
    </w:p>
    <w:p>
      <w:pPr>
        <w:spacing w:after="0" w:line="118" w:lineRule="exact"/>
        <w:rPr>
          <w:sz w:val="20"/>
          <w:szCs w:val="20"/>
          <w:color w:val="auto"/>
        </w:rPr>
      </w:pPr>
    </w:p>
    <w:p>
      <w:pPr>
        <w:jc w:val="center"/>
        <w:ind w:left="300"/>
        <w:spacing w:after="0"/>
        <w:rPr>
          <w:sz w:val="20"/>
          <w:szCs w:val="20"/>
          <w:color w:val="auto"/>
        </w:rPr>
      </w:pPr>
      <w:r>
        <w:rPr>
          <w:rFonts w:ascii="Arial" w:cs="Arial" w:eastAsia="Arial" w:hAnsi="Arial"/>
          <w:sz w:val="19"/>
          <w:szCs w:val="19"/>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520" w:space="280"/>
            <w:col w:w="10440"/>
          </w:cols>
          <w:pgMar w:left="320" w:top="1066" w:right="339" w:bottom="1440" w:gutter="0" w:footer="0" w:header="0"/>
          <w:type w:val="continuous"/>
        </w:sectPr>
      </w:pPr>
    </w:p>
    <w:p>
      <w:pPr>
        <w:spacing w:after="0" w:line="56" w:lineRule="exact"/>
        <w:rPr>
          <w:sz w:val="20"/>
          <w:szCs w:val="20"/>
          <w:color w:val="auto"/>
        </w:rPr>
      </w:pPr>
    </w:p>
    <w:p>
      <w:pPr>
        <w:ind w:left="500" w:right="560" w:hanging="492"/>
        <w:spacing w:after="0" w:line="194" w:lineRule="auto"/>
        <w:tabs>
          <w:tab w:leader="none" w:pos="5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$0.001 par value (the “Common Stock”) of Larimar Therapeutics, Inc. (the “Issuer”) are held of record by Vivo Capital Fund IX, L.P. Vivo Capital IX, LLC is the general partner of Vivo Capital Fund IX, L.P.</w:t>
      </w:r>
    </w:p>
    <w:p>
      <w:pPr>
        <w:spacing w:after="0" w:line="188" w:lineRule="exact"/>
        <w:rPr>
          <w:rFonts w:ascii="Arial" w:cs="Arial" w:eastAsia="Arial" w:hAnsi="Arial"/>
          <w:sz w:val="30"/>
          <w:szCs w:val="30"/>
          <w:color w:val="auto"/>
          <w:vertAlign w:val="superscript"/>
        </w:rPr>
      </w:pPr>
    </w:p>
    <w:p>
      <w:pPr>
        <w:ind w:left="500" w:right="60" w:hanging="492"/>
        <w:spacing w:after="0" w:line="202" w:lineRule="auto"/>
        <w:tabs>
          <w:tab w:leader="none" w:pos="50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Based on 17,710,450 shares of the Issuer’s Common Stock issued and outstanding as of November 10, 2021, as disclosed on the Issuer’s Form 10-Q for the quarterly period ended September 30, 2021, filed with the Securities and Exchange Commission on November 12, 2021.</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34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340350"/>
                    </a:xfrm>
                    <a:prstGeom prst="rect">
                      <a:avLst/>
                    </a:prstGeom>
                    <a:noFill/>
                  </pic:spPr>
                </pic:pic>
              </a:graphicData>
            </a:graphic>
          </wp:anchor>
        </w:drawing>
        <w:t xml:space="preserve">CUSIP No. </w:t>
      </w:r>
      <w:r>
        <w:rPr>
          <w:rFonts w:ascii="Arial" w:cs="Arial" w:eastAsia="Arial" w:hAnsi="Arial"/>
          <w:sz w:val="18"/>
          <w:szCs w:val="18"/>
          <w:b w:val="1"/>
          <w:bCs w:val="1"/>
          <w:color w:val="auto"/>
        </w:rPr>
        <w:t>517125100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0" w:type="dxa"/>
            <w:vAlign w:val="bottom"/>
            <w:tcBorders>
              <w:top w:val="single" w:sz="8" w:color="auto"/>
            </w:tcBorders>
            <w:vMerge w:val="restart"/>
          </w:tcPr>
          <w:p>
            <w:pPr>
              <w:ind w:left="360"/>
              <w:spacing w:after="0"/>
              <w:rPr>
                <w:sz w:val="20"/>
                <w:szCs w:val="20"/>
                <w:color w:val="auto"/>
              </w:rPr>
            </w:pPr>
            <w:r>
              <w:rPr>
                <w:rFonts w:ascii="Arial" w:cs="Arial" w:eastAsia="Arial" w:hAnsi="Arial"/>
                <w:sz w:val="22"/>
                <w:szCs w:val="22"/>
                <w:b w:val="1"/>
                <w:bCs w:val="1"/>
                <w:color w:val="auto"/>
                <w:w w:val="81"/>
              </w:rPr>
              <w:t>1</w:t>
            </w:r>
          </w:p>
        </w:tc>
        <w:tc>
          <w:tcPr>
            <w:tcW w:w="240" w:type="dxa"/>
            <w:vAlign w:val="bottom"/>
            <w:tcBorders>
              <w:top w:val="single" w:sz="8" w:color="auto"/>
              <w:right w:val="single" w:sz="8" w:color="auto"/>
            </w:tcBorders>
          </w:tcPr>
          <w:p>
            <w:pPr>
              <w:spacing w:after="0"/>
              <w:rPr>
                <w:sz w:val="22"/>
                <w:szCs w:val="22"/>
                <w:color w:val="auto"/>
              </w:rPr>
            </w:pPr>
          </w:p>
        </w:tc>
        <w:tc>
          <w:tcPr>
            <w:tcW w:w="1052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5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Vivo Opportunity, LLC</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5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2</w:t>
            </w:r>
          </w:p>
        </w:tc>
        <w:tc>
          <w:tcPr>
            <w:tcW w:w="240" w:type="dxa"/>
            <w:vAlign w:val="bottom"/>
            <w:tcBorders>
              <w:right w:val="single" w:sz="8" w:color="auto"/>
            </w:tcBorders>
          </w:tcPr>
          <w:p>
            <w:pPr>
              <w:spacing w:after="0"/>
              <w:rPr>
                <w:sz w:val="15"/>
                <w:szCs w:val="15"/>
                <w:color w:val="auto"/>
              </w:rPr>
            </w:pPr>
          </w:p>
        </w:tc>
        <w:tc>
          <w:tcPr>
            <w:tcW w:w="10520" w:type="dxa"/>
            <w:vAlign w:val="bottom"/>
            <w:gridSpan w:val="3"/>
          </w:tcPr>
          <w:p>
            <w:pPr>
              <w:ind w:left="80"/>
              <w:spacing w:after="0" w:line="18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90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3"/>
                <w:szCs w:val="23"/>
                <w:color w:val="auto"/>
              </w:rPr>
            </w:pPr>
          </w:p>
        </w:tc>
        <w:tc>
          <w:tcPr>
            <w:tcW w:w="8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3</w:t>
            </w:r>
          </w:p>
        </w:tc>
        <w:tc>
          <w:tcPr>
            <w:tcW w:w="240" w:type="dxa"/>
            <w:vAlign w:val="bottom"/>
            <w:tcBorders>
              <w:right w:val="single" w:sz="8" w:color="auto"/>
            </w:tcBorders>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1052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4</w:t>
            </w:r>
          </w:p>
        </w:tc>
        <w:tc>
          <w:tcPr>
            <w:tcW w:w="240" w:type="dxa"/>
            <w:vAlign w:val="bottom"/>
            <w:tcBorders>
              <w:right w:val="single" w:sz="8" w:color="auto"/>
            </w:tcBorders>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8"/>
              </w:rPr>
              <w:t>Delaware</w:t>
            </w:r>
          </w:p>
        </w:tc>
        <w:tc>
          <w:tcPr>
            <w:tcW w:w="66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352"/>
              <w:spacing w:after="0"/>
              <w:rPr>
                <w:sz w:val="20"/>
                <w:szCs w:val="20"/>
                <w:color w:val="auto"/>
              </w:rPr>
            </w:pPr>
            <w:r>
              <w:rPr>
                <w:rFonts w:ascii="Arial" w:cs="Arial" w:eastAsia="Arial" w:hAnsi="Arial"/>
                <w:sz w:val="22"/>
                <w:szCs w:val="22"/>
                <w:b w:val="1"/>
                <w:bCs w:val="1"/>
                <w:color w:val="auto"/>
              </w:rPr>
              <w:t>5</w:t>
            </w: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326,888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53"/>
        </w:trPr>
        <w:tc>
          <w:tcPr>
            <w:tcW w:w="1620" w:type="dxa"/>
            <w:vAlign w:val="bottom"/>
            <w:tcBorders>
              <w:right w:val="single" w:sz="8" w:color="auto"/>
            </w:tcBorders>
            <w:gridSpan w:val="3"/>
            <w:vMerge w:val="restart"/>
          </w:tcPr>
          <w:p>
            <w:pPr>
              <w:ind w:left="340"/>
              <w:spacing w:after="0"/>
              <w:rPr>
                <w:sz w:val="20"/>
                <w:szCs w:val="20"/>
                <w:color w:val="auto"/>
              </w:rPr>
            </w:pPr>
            <w:r>
              <w:rPr>
                <w:rFonts w:ascii="Arial" w:cs="Arial" w:eastAsia="Arial" w:hAnsi="Arial"/>
                <w:sz w:val="18"/>
                <w:szCs w:val="18"/>
                <w:color w:val="auto"/>
              </w:rPr>
              <w:t>NUMBER OF</w:t>
            </w:r>
          </w:p>
        </w:tc>
        <w:tc>
          <w:tcPr>
            <w:tcW w:w="660" w:type="dxa"/>
            <w:vAlign w:val="bottom"/>
            <w:tcBorders>
              <w:bottom w:val="single" w:sz="8" w:color="auto"/>
              <w:right w:val="single" w:sz="8" w:color="auto"/>
            </w:tcBorders>
          </w:tcPr>
          <w:p>
            <w:pPr>
              <w:spacing w:after="0"/>
              <w:rPr>
                <w:sz w:val="22"/>
                <w:szCs w:val="22"/>
                <w:color w:val="auto"/>
              </w:rPr>
            </w:pPr>
          </w:p>
        </w:tc>
        <w:tc>
          <w:tcPr>
            <w:tcW w:w="8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1620" w:type="dxa"/>
            <w:vAlign w:val="bottom"/>
            <w:tcBorders>
              <w:right w:val="single" w:sz="8" w:color="auto"/>
            </w:tcBorders>
            <w:gridSpan w:val="3"/>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vMerge w:val="restart"/>
          </w:tcPr>
          <w:p>
            <w:pPr>
              <w:jc w:val="right"/>
              <w:ind w:right="352"/>
              <w:spacing w:after="0"/>
              <w:rPr>
                <w:sz w:val="20"/>
                <w:szCs w:val="20"/>
                <w:color w:val="auto"/>
              </w:rPr>
            </w:pPr>
            <w:r>
              <w:rPr>
                <w:rFonts w:ascii="Arial" w:cs="Arial" w:eastAsia="Arial" w:hAnsi="Arial"/>
                <w:sz w:val="22"/>
                <w:szCs w:val="22"/>
                <w:b w:val="1"/>
                <w:bCs w:val="1"/>
                <w:color w:val="auto"/>
              </w:rPr>
              <w:t>6</w:t>
            </w: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80" w:type="dxa"/>
            <w:vAlign w:val="bottom"/>
          </w:tcPr>
          <w:p>
            <w:pPr>
              <w:spacing w:after="0"/>
              <w:rPr>
                <w:sz w:val="5"/>
                <w:szCs w:val="5"/>
                <w:color w:val="auto"/>
              </w:rPr>
            </w:pPr>
          </w:p>
        </w:tc>
        <w:tc>
          <w:tcPr>
            <w:tcW w:w="11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vMerge w:val="continue"/>
          </w:tcPr>
          <w:p>
            <w:pPr>
              <w:spacing w:after="0"/>
              <w:rPr>
                <w:sz w:val="18"/>
                <w:szCs w:val="18"/>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6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right w:val="single" w:sz="8" w:color="auto"/>
            </w:tcBorders>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620" w:type="dxa"/>
            <w:vAlign w:val="bottom"/>
            <w:tcBorders>
              <w:right w:val="single" w:sz="8" w:color="auto"/>
            </w:tcBorders>
            <w:gridSpan w:val="3"/>
            <w:vMerge w:val="continue"/>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620" w:type="dxa"/>
            <w:vAlign w:val="bottom"/>
            <w:tcBorders>
              <w:right w:val="single" w:sz="8" w:color="auto"/>
            </w:tcBorders>
            <w:gridSpan w:val="3"/>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14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vMerge w:val="restart"/>
          </w:tcPr>
          <w:p>
            <w:pPr>
              <w:jc w:val="right"/>
              <w:ind w:right="352"/>
              <w:spacing w:after="0" w:line="232" w:lineRule="exact"/>
              <w:rPr>
                <w:sz w:val="20"/>
                <w:szCs w:val="20"/>
                <w:color w:val="auto"/>
              </w:rPr>
            </w:pPr>
            <w:r>
              <w:rPr>
                <w:rFonts w:ascii="Arial" w:cs="Arial" w:eastAsia="Arial" w:hAnsi="Arial"/>
                <w:sz w:val="22"/>
                <w:szCs w:val="22"/>
                <w:b w:val="1"/>
                <w:bCs w:val="1"/>
                <w:color w:val="auto"/>
              </w:rPr>
              <w:t>7</w:t>
            </w: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480" w:type="dxa"/>
            <w:vAlign w:val="bottom"/>
          </w:tcPr>
          <w:p>
            <w:pPr>
              <w:spacing w:after="0"/>
              <w:rPr>
                <w:sz w:val="7"/>
                <w:szCs w:val="7"/>
                <w:color w:val="auto"/>
              </w:rPr>
            </w:pPr>
          </w:p>
        </w:tc>
        <w:tc>
          <w:tcPr>
            <w:tcW w:w="114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8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3"/>
          </w:tcPr>
          <w:p>
            <w:pPr>
              <w:ind w:left="360"/>
              <w:spacing w:after="0" w:line="200" w:lineRule="exact"/>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tcPr>
          <w:p>
            <w:pPr>
              <w:spacing w:after="0"/>
              <w:rPr>
                <w:sz w:val="17"/>
                <w:szCs w:val="1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326,888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290"/>
              <w:spacing w:after="0" w:line="157" w:lineRule="exact"/>
              <w:rPr>
                <w:sz w:val="20"/>
                <w:szCs w:val="20"/>
                <w:color w:val="auto"/>
              </w:rPr>
            </w:pPr>
            <w:r>
              <w:rPr>
                <w:rFonts w:ascii="Arial" w:cs="Arial" w:eastAsia="Arial" w:hAnsi="Arial"/>
                <w:sz w:val="18"/>
                <w:szCs w:val="18"/>
                <w:color w:val="auto"/>
                <w:w w:val="89"/>
              </w:rPr>
              <w:t>PERSON</w:t>
            </w:r>
          </w:p>
        </w:tc>
        <w:tc>
          <w:tcPr>
            <w:tcW w:w="660" w:type="dxa"/>
            <w:vAlign w:val="bottom"/>
            <w:tcBorders>
              <w:bottom w:val="single" w:sz="8" w:color="auto"/>
              <w:right w:val="single" w:sz="8" w:color="auto"/>
            </w:tcBorders>
          </w:tcPr>
          <w:p>
            <w:pPr>
              <w:spacing w:after="0"/>
              <w:rPr>
                <w:sz w:val="13"/>
                <w:szCs w:val="13"/>
                <w:color w:val="auto"/>
              </w:rPr>
            </w:pPr>
          </w:p>
        </w:tc>
        <w:tc>
          <w:tcPr>
            <w:tcW w:w="8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1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vMerge w:val="restart"/>
          </w:tcPr>
          <w:p>
            <w:pPr>
              <w:jc w:val="right"/>
              <w:ind w:right="352"/>
              <w:spacing w:after="0"/>
              <w:rPr>
                <w:sz w:val="20"/>
                <w:szCs w:val="20"/>
                <w:color w:val="auto"/>
              </w:rPr>
            </w:pPr>
            <w:r>
              <w:rPr>
                <w:rFonts w:ascii="Arial" w:cs="Arial" w:eastAsia="Arial" w:hAnsi="Arial"/>
                <w:sz w:val="22"/>
                <w:szCs w:val="22"/>
                <w:b w:val="1"/>
                <w:bCs w:val="1"/>
                <w:color w:val="auto"/>
              </w:rPr>
              <w:t>8</w:t>
            </w:r>
          </w:p>
        </w:tc>
        <w:tc>
          <w:tcPr>
            <w:tcW w:w="8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ind w:left="360"/>
              <w:spacing w:after="0"/>
              <w:rPr>
                <w:sz w:val="20"/>
                <w:szCs w:val="20"/>
                <w:color w:val="auto"/>
              </w:rPr>
            </w:pPr>
            <w:r>
              <w:rPr>
                <w:rFonts w:ascii="Arial" w:cs="Arial" w:eastAsia="Arial" w:hAnsi="Arial"/>
                <w:sz w:val="22"/>
                <w:szCs w:val="22"/>
                <w:b w:val="1"/>
                <w:bCs w:val="1"/>
                <w:color w:val="auto"/>
                <w:w w:val="81"/>
              </w:rPr>
              <w:t>9</w:t>
            </w:r>
          </w:p>
        </w:tc>
        <w:tc>
          <w:tcPr>
            <w:tcW w:w="240" w:type="dxa"/>
            <w:vAlign w:val="bottom"/>
          </w:tcPr>
          <w:p>
            <w:pPr>
              <w:spacing w:after="0"/>
              <w:rPr>
                <w:sz w:val="20"/>
                <w:szCs w:val="20"/>
                <w:color w:val="auto"/>
              </w:rPr>
            </w:pPr>
          </w:p>
        </w:tc>
        <w:tc>
          <w:tcPr>
            <w:tcW w:w="105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63"/>
        </w:trPr>
        <w:tc>
          <w:tcPr>
            <w:tcW w:w="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0"/>
        <w:spacing w:after="0" w:line="213" w:lineRule="auto"/>
        <w:rPr>
          <w:sz w:val="20"/>
          <w:szCs w:val="20"/>
          <w:color w:val="auto"/>
        </w:rPr>
      </w:pPr>
      <w:r>
        <w:rPr>
          <w:rFonts w:ascii="Arial" w:cs="Arial" w:eastAsia="Arial" w:hAnsi="Arial"/>
          <w:sz w:val="18"/>
          <w:szCs w:val="18"/>
          <w:b w:val="1"/>
          <w:bCs w:val="1"/>
          <w:color w:val="auto"/>
        </w:rPr>
        <w:t xml:space="preserve">326,888 </w:t>
      </w:r>
      <w:r>
        <w:rPr>
          <w:rFonts w:ascii="Arial" w:cs="Arial" w:eastAsia="Arial" w:hAnsi="Arial"/>
          <w:sz w:val="29"/>
          <w:szCs w:val="29"/>
          <w:b w:val="1"/>
          <w:bCs w:val="1"/>
          <w:color w:val="auto"/>
          <w:vertAlign w:val="superscript"/>
        </w:rPr>
        <w:t>(1)</w:t>
      </w:r>
    </w:p>
    <w:p>
      <w:pPr>
        <w:ind w:left="800"/>
        <w:spacing w:after="0" w:line="188" w:lineRule="auto"/>
        <w:rPr>
          <w:sz w:val="20"/>
          <w:szCs w:val="20"/>
          <w:color w:val="auto"/>
        </w:rPr>
      </w:pPr>
      <w:r>
        <w:rPr>
          <w:rFonts w:ascii="Arial" w:cs="Arial" w:eastAsia="Arial" w:hAnsi="Arial"/>
          <w:sz w:val="16"/>
          <w:szCs w:val="16"/>
          <w:color w:val="auto"/>
        </w:rPr>
        <w:t>CHECK BOX IF THE AGGREGATE AMOUNT IN ROW (9) EXCLUDES CERTAIN SHARES (See Instructions)</w:t>
      </w:r>
    </w:p>
    <w:p>
      <w:pPr>
        <w:spacing w:after="0" w:line="1" w:lineRule="exact"/>
        <w:rPr>
          <w:sz w:val="20"/>
          <w:szCs w:val="20"/>
          <w:color w:val="auto"/>
        </w:rPr>
      </w:pPr>
    </w:p>
    <w:p>
      <w:pPr>
        <w:ind w:left="300"/>
        <w:spacing w:after="0" w:line="361" w:lineRule="exact"/>
        <w:tabs>
          <w:tab w:leader="none" w:pos="7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1240"/>
          </w:cols>
          <w:pgMar w:left="320" w:top="1147" w:right="339" w:bottom="1440" w:gutter="0" w:footer="0" w:header="0"/>
        </w:sectPr>
      </w:pPr>
    </w:p>
    <w:p>
      <w:pPr>
        <w:spacing w:after="0" w:line="250"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 </w:t>
      </w:r>
      <w:r>
        <w:rPr>
          <w:rFonts w:ascii="Arial" w:cs="Arial" w:eastAsia="Arial" w:hAnsi="Arial"/>
          <w:sz w:val="29"/>
          <w:szCs w:val="29"/>
          <w:b w:val="1"/>
          <w:bCs w:val="1"/>
          <w:color w:val="auto"/>
          <w:vertAlign w:val="superscript"/>
        </w:rPr>
        <w:t>(2)</w:t>
      </w:r>
    </w:p>
    <w:p>
      <w:pPr>
        <w:spacing w:after="0" w:line="1" w:lineRule="exact"/>
        <w:rPr>
          <w:sz w:val="20"/>
          <w:szCs w:val="20"/>
          <w:color w:val="auto"/>
        </w:rPr>
      </w:pPr>
    </w:p>
    <w:p>
      <w:pPr>
        <w:sectPr>
          <w:pgSz w:w="11900" w:h="16838" w:orient="portrait"/>
          <w:cols w:equalWidth="0" w:num="2">
            <w:col w:w="500" w:space="300"/>
            <w:col w:w="10440"/>
          </w:cols>
          <w:pgMar w:left="320" w:top="1147" w:right="339" w:bottom="1440" w:gutter="0" w:footer="0" w:header="0"/>
          <w:type w:val="continuous"/>
        </w:sectPr>
      </w:pPr>
    </w:p>
    <w:p>
      <w:pPr>
        <w:spacing w:after="0" w:line="118" w:lineRule="exact"/>
        <w:rPr>
          <w:sz w:val="20"/>
          <w:szCs w:val="20"/>
          <w:color w:val="auto"/>
        </w:rPr>
      </w:pPr>
    </w:p>
    <w:p>
      <w:pPr>
        <w:jc w:val="center"/>
        <w:ind w:left="300"/>
        <w:spacing w:after="0"/>
        <w:rPr>
          <w:sz w:val="20"/>
          <w:szCs w:val="20"/>
          <w:color w:val="auto"/>
        </w:rPr>
      </w:pPr>
      <w:r>
        <w:rPr>
          <w:rFonts w:ascii="Arial" w:cs="Arial" w:eastAsia="Arial" w:hAnsi="Arial"/>
          <w:sz w:val="19"/>
          <w:szCs w:val="19"/>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520" w:space="280"/>
            <w:col w:w="10440"/>
          </w:cols>
          <w:pgMar w:left="320" w:top="1147" w:right="339" w:bottom="1440" w:gutter="0" w:footer="0" w:header="0"/>
          <w:type w:val="continuous"/>
        </w:sectPr>
      </w:pPr>
    </w:p>
    <w:p>
      <w:pPr>
        <w:spacing w:after="0" w:line="56" w:lineRule="exact"/>
        <w:rPr>
          <w:sz w:val="20"/>
          <w:szCs w:val="20"/>
          <w:color w:val="auto"/>
        </w:rPr>
      </w:pPr>
    </w:p>
    <w:p>
      <w:pPr>
        <w:ind w:left="500" w:right="380" w:hanging="492"/>
        <w:spacing w:after="0" w:line="194" w:lineRule="auto"/>
        <w:tabs>
          <w:tab w:leader="none" w:pos="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are held of record by Vivo Opportunity Fund Holdings, L.P. Vivo Opportunity, LLC is the general partner of Vivo Opportunity Fund Holdings, L.P.</w:t>
      </w:r>
    </w:p>
    <w:p>
      <w:pPr>
        <w:spacing w:after="0" w:line="188" w:lineRule="exact"/>
        <w:rPr>
          <w:rFonts w:ascii="Arial" w:cs="Arial" w:eastAsia="Arial" w:hAnsi="Arial"/>
          <w:sz w:val="30"/>
          <w:szCs w:val="30"/>
          <w:color w:val="auto"/>
          <w:vertAlign w:val="superscript"/>
        </w:rPr>
      </w:pPr>
    </w:p>
    <w:p>
      <w:pPr>
        <w:ind w:left="500" w:right="60" w:hanging="492"/>
        <w:spacing w:after="0" w:line="202" w:lineRule="auto"/>
        <w:tabs>
          <w:tab w:leader="none" w:pos="50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Based on 17,710,450 shares of the Issuer’s Common Stock issued and outstanding as of November 10, 2021, as disclosed on the Issuer’s Form 10-Q for the quarterly period ended September 30, 2021, filed with the Securities and Exchange Commission on November 12,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Larimar Therapeutics, Inc.</w:t>
      </w:r>
    </w:p>
    <w:p>
      <w:pPr>
        <w:spacing w:after="0" w:line="221"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Three Bala Plaza East. Suite 506</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 Cynwyd, Pennsylvania, 19004</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to Schedule 13G is filed jointly by Vivo Capital IX, LLC and Vivo Opportunity, LLC.</w:t>
      </w:r>
    </w:p>
    <w:p>
      <w:pPr>
        <w:spacing w:after="0" w:line="221"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$0.001 par value</w:t>
      </w:r>
    </w:p>
    <w:p>
      <w:pPr>
        <w:spacing w:after="0" w:line="221" w:lineRule="exact"/>
        <w:rPr>
          <w:sz w:val="20"/>
          <w:szCs w:val="20"/>
          <w:color w:val="auto"/>
        </w:rPr>
      </w:pPr>
    </w:p>
    <w:p>
      <w:pPr>
        <w:ind w:left="1140" w:right="8540" w:hanging="484"/>
        <w:spacing w:after="0" w:line="530" w:lineRule="auto"/>
        <w:tabs>
          <w:tab w:leader="none" w:pos="11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517125100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240.13d-1(b)(l)(ii)(G);</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620" w:hanging="964"/>
        <w:spacing w:after="0" w:line="223" w:lineRule="exact"/>
        <w:tabs>
          <w:tab w:leader="none" w:pos="113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 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140" w:hanging="484"/>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72,942 shares of Common Stock are held of record by Vivo Capital Fund IX, L.P. Vivo Capital IX, LLC is the general partner of Vivo Capital Fund IX, L.P. The voting members of Vivo Capital IX, LLC are Frank Kung, Edgar Engleman, Shan Fu, Hongbo Lu, Mahendra Shah, Jack Nielsen and Michael Chang, none of whom has individual voting or investment power with respect to these shares and each of whom disclaims beneficial ownership of such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326,888 shares of Common Stock are held of record by Vivo Opportunity Fund Holdings, L.P. Vivo Opportunity, LLC is the general partner of Vivo Opportunity Fund Holdings, L.P. The voting members of Vivo Opportunity, LLC are Gaurav Aggarwal, Hongbo Lu, Kevin Dai, Frank Kung and Michael Chang, none of whom has individual voting or investment power with respect to these shares and each of whom disclaims beneficial ownership of such shares.</w:t>
      </w:r>
    </w:p>
    <w:p>
      <w:pPr>
        <w:spacing w:after="0" w:line="183"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IX, LLC: 0.4%</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Opportunity, LLC: 1.8%</w:t>
      </w:r>
    </w:p>
    <w:p>
      <w:pPr>
        <w:spacing w:after="0" w:line="221"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500" w:right="6880" w:hanging="358"/>
        <w:spacing w:after="0" w:line="563" w:lineRule="auto"/>
        <w:tabs>
          <w:tab w:leader="none" w:pos="14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Sole power to vote or to direct the vote: Vivo Capital IX, LLC: 72,942 shares Vivo Opportunity, LLC: 326,888 shares</w:t>
      </w:r>
    </w:p>
    <w:p>
      <w:pPr>
        <w:spacing w:after="0" w:line="1" w:lineRule="exact"/>
        <w:rPr>
          <w:rFonts w:ascii="Arial" w:cs="Arial" w:eastAsia="Arial" w:hAnsi="Arial"/>
          <w:sz w:val="16"/>
          <w:szCs w:val="16"/>
          <w:color w:val="auto"/>
        </w:rPr>
      </w:pPr>
    </w:p>
    <w:p>
      <w:pPr>
        <w:ind w:left="1500" w:hanging="358"/>
        <w:spacing w:after="0"/>
        <w:tabs>
          <w:tab w:leader="none" w:pos="15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500" w:right="5980" w:hanging="358"/>
        <w:spacing w:after="0" w:line="530" w:lineRule="auto"/>
        <w:tabs>
          <w:tab w:leader="none" w:pos="1491" w:val="left"/>
        </w:tabs>
        <w:numPr>
          <w:ilvl w:val="1"/>
          <w:numId w:val="16"/>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Vivo Capital IX, LLC: 72,942 shares</w:t>
      </w:r>
    </w:p>
    <w:p>
      <w:pPr>
        <w:ind w:left="1500"/>
        <w:spacing w:after="0"/>
        <w:rPr>
          <w:rFonts w:ascii="Arial" w:cs="Arial" w:eastAsia="Arial" w:hAnsi="Arial"/>
          <w:sz w:val="17"/>
          <w:szCs w:val="17"/>
          <w:color w:val="auto"/>
        </w:rPr>
      </w:pPr>
      <w:r>
        <w:rPr>
          <w:rFonts w:ascii="Arial" w:cs="Arial" w:eastAsia="Arial" w:hAnsi="Arial"/>
          <w:sz w:val="18"/>
          <w:szCs w:val="18"/>
          <w:color w:val="auto"/>
        </w:rPr>
        <w:t>Vivo Opportunity, LLC: 326,888 shares</w:t>
      </w:r>
    </w:p>
    <w:p>
      <w:pPr>
        <w:spacing w:after="0" w:line="225" w:lineRule="exact"/>
        <w:rPr>
          <w:rFonts w:ascii="Arial" w:cs="Arial" w:eastAsia="Arial" w:hAnsi="Arial"/>
          <w:sz w:val="17"/>
          <w:szCs w:val="17"/>
          <w:color w:val="auto"/>
        </w:rPr>
      </w:pPr>
    </w:p>
    <w:p>
      <w:pPr>
        <w:ind w:left="1500" w:hanging="358"/>
        <w:spacing w:after="0"/>
        <w:tabs>
          <w:tab w:leader="none" w:pos="15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20" w:hanging="647"/>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 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Gaurav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2022-02-12T03:38:06Z</dcterms:created>
  <dcterms:modified xsi:type="dcterms:W3CDTF">2022-02-12T03:38:06Z</dcterms:modified>
</cp:coreProperties>
</file>