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6997700" cy="737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7379335"/>
                    </a:xfrm>
                    <a:prstGeom prst="rect">
                      <a:avLst/>
                    </a:prstGeom>
                    <a:noFill/>
                  </pic:spPr>
                </pic:pic>
              </a:graphicData>
            </a:graphic>
          </wp:anchor>
        </w:drawing>
      </w:r>
    </w:p>
    <w:p>
      <w:pPr>
        <w:spacing w:after="0" w:line="1022" w:lineRule="exact"/>
        <w:rPr>
          <w:sz w:val="24"/>
          <w:szCs w:val="24"/>
          <w:color w:val="auto"/>
        </w:rPr>
      </w:pPr>
    </w:p>
    <w:p>
      <w:pPr>
        <w:sectPr>
          <w:pgSz w:w="11900" w:h="16838" w:orient="portrait"/>
          <w:cols w:equalWidth="0" w:num="2">
            <w:col w:w="2320" w:space="340"/>
            <w:col w:w="842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60" w:type="dxa"/>
            <w:vAlign w:val="bottom"/>
            <w:gridSpan w:val="10"/>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vMerge w:val="restart"/>
          </w:tcPr>
          <w:p>
            <w:pPr>
              <w:ind w:left="20"/>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Flynn James E</w:t>
              </w:r>
            </w:hyperlink>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1"/>
          </w:tcPr>
          <w:p>
            <w:pPr>
              <w:ind w:left="60"/>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Larimar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LRMR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340" w:type="dxa"/>
            <w:vAlign w:val="bottom"/>
          </w:tcPr>
          <w:p>
            <w:pPr>
              <w:spacing w:after="0"/>
              <w:rPr>
                <w:sz w:val="15"/>
                <w:szCs w:val="15"/>
                <w:color w:val="auto"/>
              </w:rPr>
            </w:pPr>
          </w:p>
        </w:tc>
        <w:tc>
          <w:tcPr>
            <w:tcW w:w="160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restart"/>
          </w:tcPr>
          <w:p>
            <w:pPr>
              <w:ind w:left="160"/>
              <w:spacing w:after="0" w:line="146" w:lineRule="exact"/>
              <w:rPr>
                <w:sz w:val="20"/>
                <w:szCs w:val="20"/>
                <w:color w:val="auto"/>
              </w:rPr>
            </w:pPr>
            <w:r>
              <w:rPr>
                <w:rFonts w:ascii="Arial" w:cs="Arial" w:eastAsia="Arial" w:hAnsi="Arial"/>
                <w:sz w:val="13"/>
                <w:szCs w:val="13"/>
                <w:color w:val="auto"/>
                <w:w w:val="96"/>
              </w:rPr>
              <w:t>Director</w:t>
            </w: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20" w:type="dxa"/>
            <w:vAlign w:val="bottom"/>
            <w:gridSpan w:val="4"/>
            <w:vMerge w:val="restart"/>
          </w:tcPr>
          <w:p>
            <w:pPr>
              <w:ind w:left="26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2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20" w:type="dxa"/>
            <w:vAlign w:val="bottom"/>
          </w:tcPr>
          <w:p>
            <w:pPr>
              <w:ind w:left="4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10"/>
          </w:tcPr>
          <w:p>
            <w:pPr>
              <w:ind w:left="60"/>
              <w:spacing w:after="0"/>
              <w:rPr>
                <w:sz w:val="20"/>
                <w:szCs w:val="20"/>
                <w:color w:val="auto"/>
              </w:rPr>
            </w:pPr>
            <w:r>
              <w:rPr>
                <w:rFonts w:ascii="Arial" w:cs="Arial" w:eastAsia="Arial" w:hAnsi="Arial"/>
                <w:sz w:val="13"/>
                <w:szCs w:val="13"/>
                <w:color w:val="auto"/>
                <w:w w:val="98"/>
              </w:rPr>
              <w:t>3. Date of Earliest Transaction (Month/Day/Year)</w:t>
            </w: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4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0000FF"/>
              </w:rPr>
              <w:t>345 PARK AVENUE SOUTH, 12TH FLOOR</w:t>
            </w:r>
          </w:p>
        </w:tc>
        <w:tc>
          <w:tcPr>
            <w:tcW w:w="1420" w:type="dxa"/>
            <w:vAlign w:val="bottom"/>
            <w:gridSpan w:val="8"/>
          </w:tcPr>
          <w:p>
            <w:pPr>
              <w:ind w:left="360"/>
              <w:spacing w:after="0"/>
              <w:rPr>
                <w:sz w:val="20"/>
                <w:szCs w:val="20"/>
                <w:color w:val="auto"/>
              </w:rPr>
            </w:pPr>
            <w:r>
              <w:rPr>
                <w:rFonts w:ascii="Times New Roman" w:cs="Times New Roman" w:eastAsia="Times New Roman" w:hAnsi="Times New Roman"/>
                <w:sz w:val="16"/>
                <w:szCs w:val="16"/>
                <w:color w:val="0000FF"/>
              </w:rPr>
              <w:t>05/19/2026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40" w:type="dxa"/>
            <w:vAlign w:val="bottom"/>
            <w:gridSpan w:val="4"/>
          </w:tcPr>
          <w:p>
            <w:pPr>
              <w:ind w:left="340"/>
              <w:spacing w:after="0"/>
              <w:rPr>
                <w:sz w:val="20"/>
                <w:szCs w:val="20"/>
                <w:color w:val="auto"/>
              </w:rPr>
            </w:pPr>
            <w:r>
              <w:rPr>
                <w:rFonts w:ascii="Times New Roman" w:cs="Times New Roman" w:eastAsia="Times New Roman" w:hAnsi="Times New Roman"/>
                <w:sz w:val="16"/>
                <w:szCs w:val="16"/>
                <w:color w:val="0000FF"/>
              </w:rPr>
              <w:t>* Director by Deputization</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40" w:type="dxa"/>
            <w:vAlign w:val="bottom"/>
            <w:gridSpan w:val="6"/>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gridSpan w:val="4"/>
          </w:tcPr>
          <w:p>
            <w:pPr>
              <w:spacing w:after="0"/>
              <w:rPr>
                <w:sz w:val="13"/>
                <w:szCs w:val="13"/>
                <w:color w:val="auto"/>
              </w:rPr>
            </w:pPr>
          </w:p>
        </w:tc>
        <w:tc>
          <w:tcPr>
            <w:tcW w:w="1940" w:type="dxa"/>
            <w:vAlign w:val="bottom"/>
            <w:tcBorders>
              <w:bottom w:val="single" w:sz="8" w:color="2C2C2C"/>
            </w:tcBorders>
            <w:gridSpan w:val="3"/>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gridSpan w:val="2"/>
          </w:tcPr>
          <w:p>
            <w:pPr>
              <w:spacing w:after="0"/>
              <w:rPr>
                <w:sz w:val="13"/>
                <w:szCs w:val="13"/>
                <w:color w:val="auto"/>
              </w:rPr>
            </w:pPr>
          </w:p>
        </w:tc>
        <w:tc>
          <w:tcPr>
            <w:tcW w:w="2860" w:type="dxa"/>
            <w:vAlign w:val="bottom"/>
            <w:tcBorders>
              <w:bottom w:val="single" w:sz="8" w:color="2C2C2C"/>
            </w:tcBorders>
            <w:gridSpan w:val="5"/>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140" w:type="dxa"/>
            <w:vAlign w:val="bottom"/>
            <w:tcBorders>
              <w:bottom w:val="single" w:sz="8" w:color="9A9A9A"/>
            </w:tcBorders>
          </w:tcPr>
          <w:p>
            <w:pPr>
              <w:spacing w:after="0" w:line="20" w:lineRule="exact"/>
              <w:rPr>
                <w:sz w:val="1"/>
                <w:szCs w:val="1"/>
                <w:color w:val="auto"/>
              </w:rPr>
            </w:pPr>
          </w:p>
        </w:tc>
        <w:tc>
          <w:tcPr>
            <w:tcW w:w="1080" w:type="dxa"/>
            <w:vAlign w:val="bottom"/>
            <w:tcBorders>
              <w:bottom w:val="single" w:sz="8" w:color="9A9A9A"/>
            </w:tcBorders>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00" w:type="dxa"/>
            <w:vAlign w:val="bottom"/>
            <w:gridSpan w:val="11"/>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line="20" w:lineRule="exact"/>
              <w:rPr>
                <w:sz w:val="1"/>
                <w:szCs w:val="1"/>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gridSpan w:val="11"/>
            <w:vMerge w:val="continue"/>
          </w:tcPr>
          <w:p>
            <w:pPr>
              <w:spacing w:after="0"/>
              <w:rPr>
                <w:sz w:val="11"/>
                <w:szCs w:val="11"/>
                <w:color w:val="auto"/>
              </w:rPr>
            </w:pPr>
          </w:p>
        </w:tc>
        <w:tc>
          <w:tcPr>
            <w:tcW w:w="340" w:type="dxa"/>
            <w:vAlign w:val="bottom"/>
          </w:tcPr>
          <w:p>
            <w:pPr>
              <w:spacing w:after="0"/>
              <w:rPr>
                <w:sz w:val="11"/>
                <w:szCs w:val="11"/>
                <w:color w:val="auto"/>
              </w:rPr>
            </w:pPr>
          </w:p>
        </w:tc>
        <w:tc>
          <w:tcPr>
            <w:tcW w:w="34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10010</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ind w:left="180"/>
              <w:spacing w:after="0" w:line="12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20"/>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8"/>
          </w:tcPr>
          <w:p>
            <w:pPr>
              <w:ind w:left="84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60" w:type="dxa"/>
            <w:vAlign w:val="bottom"/>
            <w:gridSpan w:val="8"/>
          </w:tcPr>
          <w:p>
            <w:pPr>
              <w:ind w:left="840"/>
              <w:spacing w:after="0" w:line="125" w:lineRule="exact"/>
              <w:rPr>
                <w:sz w:val="20"/>
                <w:szCs w:val="20"/>
                <w:color w:val="auto"/>
              </w:rPr>
            </w:pPr>
            <w:r>
              <w:rPr>
                <w:rFonts w:ascii="Arial" w:cs="Arial" w:eastAsia="Arial" w:hAnsi="Arial"/>
                <w:sz w:val="11"/>
                <w:szCs w:val="11"/>
                <w:b w:val="1"/>
                <w:bCs w:val="1"/>
                <w:color w:val="auto"/>
              </w:rPr>
              <w:t>Date</w:t>
            </w:r>
          </w:p>
        </w:tc>
        <w:tc>
          <w:tcPr>
            <w:tcW w:w="9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40" w:type="dxa"/>
            <w:vAlign w:val="bottom"/>
            <w:gridSpan w:val="6"/>
          </w:tcPr>
          <w:p>
            <w:pPr>
              <w:ind w:left="8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60" w:type="dxa"/>
            <w:vAlign w:val="bottom"/>
            <w:gridSpan w:val="8"/>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gridSpan w:val="3"/>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40"/>
              <w:spacing w:after="0" w:line="125" w:lineRule="exact"/>
              <w:rPr>
                <w:sz w:val="20"/>
                <w:szCs w:val="20"/>
                <w:color w:val="auto"/>
              </w:rPr>
            </w:pPr>
            <w:r>
              <w:rPr>
                <w:rFonts w:ascii="Arial" w:cs="Arial" w:eastAsia="Arial" w:hAnsi="Arial"/>
                <w:sz w:val="11"/>
                <w:szCs w:val="11"/>
                <w:b w:val="1"/>
                <w:bCs w:val="1"/>
                <w:color w:val="auto"/>
                <w:w w:val="95"/>
              </w:rPr>
              <w:t>(A) or</w:t>
            </w:r>
          </w:p>
        </w:tc>
        <w:tc>
          <w:tcPr>
            <w:tcW w:w="70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gridSpan w:val="4"/>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gridSpan w:val="4"/>
          </w:tcPr>
          <w:p>
            <w:pPr>
              <w:spacing w:after="0"/>
              <w:rPr>
                <w:sz w:val="6"/>
                <w:szCs w:val="6"/>
                <w:color w:val="auto"/>
              </w:rPr>
            </w:pPr>
          </w:p>
        </w:tc>
        <w:tc>
          <w:tcPr>
            <w:tcW w:w="2580" w:type="dxa"/>
            <w:vAlign w:val="bottom"/>
            <w:tcBorders>
              <w:bottom w:val="single" w:sz="8" w:color="2C2C2C"/>
            </w:tcBorders>
            <w:gridSpan w:val="5"/>
          </w:tcPr>
          <w:p>
            <w:pPr>
              <w:spacing w:after="0"/>
              <w:rPr>
                <w:sz w:val="6"/>
                <w:szCs w:val="6"/>
                <w:color w:val="auto"/>
              </w:rPr>
            </w:pPr>
          </w:p>
        </w:tc>
        <w:tc>
          <w:tcPr>
            <w:tcW w:w="12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9"/>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gridSpan w:val="17"/>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0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7"/>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4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840" w:type="dxa"/>
            <w:vAlign w:val="bottom"/>
            <w:tcBorders>
              <w:right w:val="single" w:sz="8" w:color="2C2C2C"/>
            </w:tcBorders>
            <w:gridSpan w:val="3"/>
          </w:tcPr>
          <w:p>
            <w:pPr>
              <w:ind w:left="10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7"/>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4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Derivative</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4)</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of (D) (Instr. 3,</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4 and 5)</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gridSpan w:val="7"/>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Borders>
              <w:right w:val="single" w:sz="8" w:color="2C2C2C"/>
            </w:tcBorders>
            <w:gridSpan w:val="3"/>
          </w:tcPr>
          <w:p>
            <w:pPr>
              <w:ind w:left="100"/>
              <w:spacing w:after="0"/>
              <w:rPr>
                <w:sz w:val="20"/>
                <w:szCs w:val="20"/>
                <w:color w:val="auto"/>
              </w:rPr>
            </w:pPr>
            <w:r>
              <w:rPr>
                <w:rFonts w:ascii="Times New Roman" w:cs="Times New Roman" w:eastAsia="Times New Roman" w:hAnsi="Times New Roman"/>
                <w:sz w:val="13"/>
                <w:szCs w:val="13"/>
                <w:color w:val="0000FF"/>
              </w:rPr>
              <w:t>Through</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Borders>
              <w:right w:val="single" w:sz="8" w:color="2C2C2C"/>
            </w:tcBorders>
            <w:gridSpan w:val="3"/>
            <w:vMerge w:val="restart"/>
          </w:tcPr>
          <w:p>
            <w:pPr>
              <w:ind w:left="100"/>
              <w:spacing w:after="0" w:line="138" w:lineRule="exact"/>
              <w:rPr>
                <w:sz w:val="20"/>
                <w:szCs w:val="20"/>
                <w:color w:val="auto"/>
              </w:rPr>
            </w:pPr>
            <w:r>
              <w:rPr>
                <w:rFonts w:ascii="Times New Roman" w:cs="Times New Roman" w:eastAsia="Times New Roman" w:hAnsi="Times New Roman"/>
                <w:sz w:val="13"/>
                <w:szCs w:val="13"/>
                <w:color w:val="0000FF"/>
              </w:rPr>
              <w:t>Deerfield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restart"/>
          </w:tcPr>
          <w:p>
            <w:pPr>
              <w:ind w:left="20"/>
              <w:spacing w:after="0" w:line="213" w:lineRule="exact"/>
              <w:rPr>
                <w:sz w:val="20"/>
                <w:szCs w:val="20"/>
                <w:color w:val="auto"/>
              </w:rPr>
            </w:pPr>
            <w:r>
              <w:rPr>
                <w:rFonts w:ascii="Times New Roman" w:cs="Times New Roman" w:eastAsia="Times New Roman" w:hAnsi="Times New Roman"/>
                <w:sz w:val="13"/>
                <w:szCs w:val="13"/>
                <w:color w:val="0000FF"/>
              </w:rPr>
              <w:t>55,150</w:t>
            </w:r>
            <w:r>
              <w:rPr>
                <w:rFonts w:ascii="Times New Roman" w:cs="Times New Roman" w:eastAsia="Times New Roman" w:hAnsi="Times New Roman"/>
                <w:sz w:val="20"/>
                <w:szCs w:val="20"/>
                <w:color w:val="008000"/>
                <w:vertAlign w:val="superscript"/>
              </w:rPr>
              <w:t>(1)</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gridSpan w:val="2"/>
            <w:vMerge w:val="restart"/>
          </w:tcPr>
          <w:p>
            <w:pPr>
              <w:ind w:left="20"/>
              <w:spacing w:after="0" w:line="213" w:lineRule="exact"/>
              <w:rPr>
                <w:sz w:val="20"/>
                <w:szCs w:val="20"/>
                <w:color w:val="auto"/>
              </w:rPr>
            </w:pPr>
            <w:r>
              <w:rPr>
                <w:rFonts w:ascii="Times New Roman" w:cs="Times New Roman" w:eastAsia="Times New Roman" w:hAnsi="Times New Roman"/>
                <w:sz w:val="16"/>
                <w:szCs w:val="16"/>
                <w:color w:val="0000FF"/>
              </w:rPr>
              <w:t>55,150</w:t>
            </w:r>
            <w:r>
              <w:rPr>
                <w:rFonts w:ascii="Times New Roman" w:cs="Times New Roman" w:eastAsia="Times New Roman" w:hAnsi="Times New Roman"/>
                <w:sz w:val="20"/>
                <w:szCs w:val="20"/>
                <w:color w:val="008000"/>
                <w:vertAlign w:val="superscript"/>
              </w:rPr>
              <w:t>(1)</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2"/>
            <w:vMerge w:val="restart"/>
          </w:tcPr>
          <w:p>
            <w:pPr>
              <w:ind w:left="160"/>
              <w:spacing w:after="0" w:line="213" w:lineRule="exact"/>
              <w:rPr>
                <w:sz w:val="20"/>
                <w:szCs w:val="20"/>
                <w:color w:val="auto"/>
              </w:rPr>
            </w:pPr>
            <w:r>
              <w:rPr>
                <w:rFonts w:ascii="Times New Roman" w:cs="Times New Roman" w:eastAsia="Times New Roman" w:hAnsi="Times New Roman"/>
                <w:sz w:val="13"/>
                <w:szCs w:val="13"/>
                <w:color w:val="0000FF"/>
              </w:rPr>
              <w:t>55,150</w:t>
            </w:r>
            <w:r>
              <w:rPr>
                <w:rFonts w:ascii="Times New Roman" w:cs="Times New Roman" w:eastAsia="Times New Roman" w:hAnsi="Times New Roman"/>
                <w:sz w:val="20"/>
                <w:szCs w:val="20"/>
                <w:color w:val="008000"/>
                <w:vertAlign w:val="superscript"/>
              </w:rPr>
              <w:t>(1)</w:t>
            </w:r>
          </w:p>
        </w:tc>
        <w:tc>
          <w:tcPr>
            <w:tcW w:w="680" w:type="dxa"/>
            <w:vAlign w:val="bottom"/>
          </w:tcPr>
          <w:p>
            <w:pPr>
              <w:spacing w:after="0"/>
              <w:rPr>
                <w:sz w:val="5"/>
                <w:szCs w:val="5"/>
                <w:color w:val="auto"/>
              </w:rPr>
            </w:pPr>
          </w:p>
        </w:tc>
        <w:tc>
          <w:tcPr>
            <w:tcW w:w="8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3.33</w:t>
            </w:r>
          </w:p>
        </w:tc>
        <w:tc>
          <w:tcPr>
            <w:tcW w:w="140" w:type="dxa"/>
            <w:vAlign w:val="bottom"/>
          </w:tcPr>
          <w:p>
            <w:pPr>
              <w:spacing w:after="0"/>
              <w:rPr>
                <w:sz w:val="13"/>
                <w:szCs w:val="13"/>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05/19/2026</w:t>
            </w:r>
          </w:p>
        </w:tc>
        <w:tc>
          <w:tcPr>
            <w:tcW w:w="1020" w:type="dxa"/>
            <w:vAlign w:val="bottom"/>
          </w:tcPr>
          <w:p>
            <w:pPr>
              <w:spacing w:after="0"/>
              <w:rPr>
                <w:sz w:val="13"/>
                <w:szCs w:val="13"/>
                <w:color w:val="auto"/>
              </w:rPr>
            </w:pPr>
          </w:p>
        </w:tc>
        <w:tc>
          <w:tcPr>
            <w:tcW w:w="840" w:type="dxa"/>
            <w:vAlign w:val="bottom"/>
            <w:gridSpan w:val="7"/>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05/19/2036</w:t>
            </w:r>
          </w:p>
        </w:tc>
        <w:tc>
          <w:tcPr>
            <w:tcW w:w="640" w:type="dxa"/>
            <w:vAlign w:val="bottom"/>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Borders>
              <w:right w:val="single" w:sz="8" w:color="2C2C2C"/>
            </w:tcBorders>
            <w:gridSpan w:val="3"/>
          </w:tcPr>
          <w:p>
            <w:pPr>
              <w:ind w:left="100"/>
              <w:spacing w:after="0"/>
              <w:rPr>
                <w:sz w:val="20"/>
                <w:szCs w:val="20"/>
                <w:color w:val="auto"/>
              </w:rPr>
            </w:pPr>
            <w:r>
              <w:rPr>
                <w:rFonts w:ascii="Times New Roman" w:cs="Times New Roman" w:eastAsia="Times New Roman" w:hAnsi="Times New Roman"/>
                <w:sz w:val="13"/>
                <w:szCs w:val="13"/>
                <w:color w:val="0000FF"/>
              </w:rPr>
              <w:t>Management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tcPr>
          <w:p>
            <w:pPr>
              <w:ind w:left="60"/>
              <w:spacing w:after="0" w:line="63" w:lineRule="exact"/>
              <w:rPr>
                <w:sz w:val="20"/>
                <w:szCs w:val="20"/>
                <w:color w:val="auto"/>
              </w:rPr>
            </w:pPr>
            <w:r>
              <w:rPr>
                <w:rFonts w:ascii="Times New Roman" w:cs="Times New Roman" w:eastAsia="Times New Roman" w:hAnsi="Times New Roman"/>
                <w:sz w:val="7"/>
                <w:szCs w:val="7"/>
                <w:color w:val="0000FF"/>
              </w:rPr>
              <w:t>(Right to</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ind w:left="140"/>
              <w:spacing w:after="0" w:line="63" w:lineRule="exact"/>
              <w:rPr>
                <w:sz w:val="20"/>
                <w:szCs w:val="20"/>
                <w:color w:val="auto"/>
              </w:rPr>
            </w:pPr>
            <w:r>
              <w:rPr>
                <w:rFonts w:ascii="Times New Roman" w:cs="Times New Roman" w:eastAsia="Times New Roman" w:hAnsi="Times New Roman"/>
                <w:sz w:val="7"/>
                <w:szCs w:val="7"/>
                <w:color w:val="0000FF"/>
              </w:rPr>
              <w:t>Stock</w:t>
            </w: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Borders>
              <w:right w:val="single" w:sz="8" w:color="2C2C2C"/>
            </w:tcBorders>
            <w:gridSpan w:val="3"/>
            <w:vMerge w:val="restart"/>
          </w:tcPr>
          <w:p>
            <w:pPr>
              <w:ind w:left="100"/>
              <w:spacing w:after="0" w:line="121" w:lineRule="exact"/>
              <w:rPr>
                <w:sz w:val="20"/>
                <w:szCs w:val="20"/>
                <w:color w:val="auto"/>
              </w:rPr>
            </w:pPr>
            <w:r>
              <w:rPr>
                <w:rFonts w:ascii="Times New Roman" w:cs="Times New Roman" w:eastAsia="Times New Roman" w:hAnsi="Times New Roman"/>
                <w:sz w:val="13"/>
                <w:szCs w:val="13"/>
                <w:color w:val="0000FF"/>
              </w:rPr>
              <w:t>Company,</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Borders>
              <w:right w:val="single" w:sz="8" w:color="2C2C2C"/>
            </w:tcBorders>
            <w:gridSpan w:val="3"/>
            <w:vMerge w:val="restart"/>
          </w:tcPr>
          <w:p>
            <w:pPr>
              <w:ind w:left="100"/>
              <w:spacing w:after="0" w:line="230" w:lineRule="exact"/>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10"/>
                <w:szCs w:val="10"/>
                <w:color w:val="008000"/>
              </w:rPr>
              <w:t>(1)(3)</w:t>
            </w:r>
          </w:p>
        </w:tc>
        <w:tc>
          <w:tcPr>
            <w:tcW w:w="0" w:type="dxa"/>
            <w:vAlign w:val="bottom"/>
          </w:tcPr>
          <w:p>
            <w:pPr>
              <w:spacing w:after="0"/>
              <w:rPr>
                <w:sz w:val="1"/>
                <w:szCs w:val="1"/>
                <w:color w:val="auto"/>
              </w:rPr>
            </w:pPr>
          </w:p>
        </w:tc>
      </w:tr>
      <w:tr>
        <w:trPr>
          <w:trHeight w:val="170"/>
        </w:trPr>
        <w:tc>
          <w:tcPr>
            <w:tcW w:w="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right w:val="single" w:sz="8" w:color="2C2C2C"/>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6"/>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line="213" w:lineRule="exact"/>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Flynn James E</w:t>
              </w:r>
            </w:hyperlink>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tcPr>
          <w:p>
            <w:pPr>
              <w:ind w:left="40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345 PARK AVENUE SOUTH, 12TH FLOOR</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4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10010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tcPr>
          <w:p>
            <w:pPr>
              <w:ind w:left="40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400" w:type="dxa"/>
            <w:vAlign w:val="bottom"/>
            <w:tcBorders>
              <w:bottom w:val="single" w:sz="8" w:color="2C2C2C"/>
            </w:tcBorders>
            <w:gridSpan w:val="4"/>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gridSpan w:val="13"/>
          </w:tcPr>
          <w:p>
            <w:pPr>
              <w:ind w:left="20"/>
              <w:spacing w:after="0" w:line="213"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DEERFIELD MANAGEMENT COMPANY, L.P.</w:t>
              </w:r>
            </w:hyperlink>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tcPr>
          <w:p>
            <w:pPr>
              <w:ind w:left="40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4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345 PARK AVENUE SOUTH, 12TH FLOOR</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4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10010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tcPr>
          <w:p>
            <w:pPr>
              <w:ind w:left="40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-4878705</wp:posOffset>
            </wp:positionV>
            <wp:extent cx="28575" cy="18300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183007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40" w:right="54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Jonathan S. Leff, a partner in Deerfield Management Company, L.P., serves as a director of the Issuer. The option granted to Jonathan S. Leff and reported herein is held for the benefit, and at the direction, of Deerfield Management Company, L.P. ("Deerfield Management").</w:t>
      </w:r>
    </w:p>
    <w:p>
      <w:pPr>
        <w:spacing w:after="0" w:line="22" w:lineRule="exact"/>
        <w:rPr>
          <w:rFonts w:ascii="Times New Roman" w:cs="Times New Roman" w:eastAsia="Times New Roman" w:hAnsi="Times New Roman"/>
          <w:sz w:val="13"/>
          <w:szCs w:val="13"/>
          <w:color w:val="008000"/>
        </w:rPr>
      </w:pPr>
    </w:p>
    <w:p>
      <w:pPr>
        <w:ind w:left="40" w:right="18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on May 19, 2026 and is scheduled to vest on the earlier of May 19, 2027 and the date of the Issuer's next annual meeting of stockholders, in each case, subject to Jonathan S. Leff 's continued service on the board of directors of the Issuer.</w:t>
      </w:r>
    </w:p>
    <w:p>
      <w:pPr>
        <w:spacing w:after="0" w:line="22" w:lineRule="exact"/>
        <w:rPr>
          <w:rFonts w:ascii="Times New Roman" w:cs="Times New Roman" w:eastAsia="Times New Roman" w:hAnsi="Times New Roman"/>
          <w:sz w:val="13"/>
          <w:szCs w:val="13"/>
          <w:color w:val="008000"/>
        </w:rPr>
      </w:pPr>
    </w:p>
    <w:p>
      <w:pPr>
        <w:ind w:left="40" w:right="240" w:hanging="2"/>
        <w:spacing w:after="0" w:line="231"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the undersigned as well as the entity listed on the Joint Filer Information Statement attached as an exhibit hereto (the "Reporting Persons"). James E. Flynn is the sole member of the general partner of Deerfield Management Company, L.P. For purposes of Section 16 of the Securities Exchange Act of 1934, as amended, each Reporting Person disclaims beneficial ownership of any such securities, except to the extent of his/its indirect pecuniary interest therein, if any, and this report shall not be deemed an admission that such Reporting Person is the beneficial owner of such securities for purposes of Section 16 or otherwise.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14" w:right="359" w:bottom="0" w:gutter="0" w:footer="0" w:header="0"/>
          <w:type w:val="continuous"/>
        </w:sectPr>
      </w:pPr>
    </w:p>
    <w:p>
      <w:pPr>
        <w:spacing w:after="0" w:line="54" w:lineRule="exact"/>
        <w:rPr>
          <w:sz w:val="20"/>
          <w:szCs w:val="20"/>
          <w:color w:val="auto"/>
        </w:rPr>
      </w:pPr>
    </w:p>
    <w:p>
      <w:pPr>
        <w:ind w:left="40" w:right="360"/>
        <w:spacing w:after="0" w:line="234" w:lineRule="auto"/>
        <w:rPr>
          <w:sz w:val="20"/>
          <w:szCs w:val="20"/>
          <w:color w:val="auto"/>
        </w:rPr>
      </w:pPr>
      <w:r>
        <w:rPr>
          <w:rFonts w:ascii="Times New Roman" w:cs="Times New Roman" w:eastAsia="Times New Roman" w:hAnsi="Times New Roman"/>
          <w:sz w:val="13"/>
          <w:szCs w:val="13"/>
          <w:color w:val="008000"/>
        </w:rPr>
        <w:t>Jonathan S. Leff, a partner in Deerfield Management, serves as a director of the Issuer. Jonathan Isler, Attorney-in-Fact: Power of Attorney, which is hereby incorporated by reference to Exhibit 24 to a Form 3 with regard to BiomX Inc. filed with the Securities and Exchange Commission on March 19, 2024 by Deerfield Private Design Fund V, L.P., Deerfield Healthcare Innovations Fund II, L.P., Deerfield Mgmt V, L.P., Deerfield Mgmt HIF II, L.P., Deerfield Management Company, L.P. and James E. Flynn.</w:t>
      </w:r>
    </w:p>
    <w:p>
      <w:pPr>
        <w:sectPr>
          <w:pgSz w:w="11900" w:h="16838" w:orient="portrait"/>
          <w:cols w:equalWidth="0" w:num="1">
            <w:col w:w="11080"/>
          </w:cols>
          <w:pgMar w:left="460" w:top="214" w:right="359" w:bottom="0" w:gutter="0" w:footer="0" w:header="0"/>
          <w:type w:val="continuous"/>
        </w:sectPr>
      </w:pPr>
    </w:p>
    <w:bookmarkStart w:id="1" w:name="page2"/>
    <w:bookmarkEnd w:id="1"/>
    <w:tbl>
      <w:tblPr>
        <w:tblLayout w:type="fixed"/>
        <w:tblInd w:w="6562"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Jonathan Isler, Attorney-in-</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w w:val="98"/>
              </w:rPr>
              <w:t>05/20/2026</w:t>
            </w:r>
          </w:p>
        </w:tc>
      </w:tr>
      <w:tr>
        <w:trPr>
          <w:trHeight w:val="180"/>
        </w:trPr>
        <w:tc>
          <w:tcPr>
            <w:tcW w:w="280" w:type="dxa"/>
            <w:vAlign w:val="bottom"/>
            <w:tcBorders>
              <w:top w:val="single" w:sz="8" w:color="auto"/>
              <w:bottom w:val="single" w:sz="8" w:color="auto"/>
            </w:tcBorders>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2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r>
    </w:tbl>
    <w:p>
      <w:pPr>
        <w:spacing w:after="0" w:line="22"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2739" w:hanging="2"/>
        <w:spacing w:after="0" w:line="356" w:lineRule="auto"/>
        <w:tabs>
          <w:tab w:leader="none" w:pos="134"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61"/>
          </w:cols>
          <w:pgMar w:left="498" w:top="118" w:right="1440" w:bottom="1440" w:gutter="0" w:footer="0" w:header="0"/>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6"/>
          <w:szCs w:val="16"/>
          <w:color w:val="auto"/>
        </w:rPr>
        <w:t>Joint Filer Information</w:t>
      </w:r>
    </w:p>
    <w:p>
      <w:pPr>
        <w:sectPr>
          <w:pgSz w:w="11900" w:h="16838" w:orient="portrait"/>
          <w:cols w:equalWidth="0" w:num="1">
            <w:col w:w="10580"/>
          </w:cols>
          <w:pgMar w:left="460" w:top="348" w:right="859" w:bottom="1440" w:gutter="0" w:footer="0" w:header="0"/>
        </w:sect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Deerfield Management Company, L.P.</w:t>
      </w:r>
    </w:p>
    <w:p>
      <w:pPr>
        <w:spacing w:after="0" w:line="211" w:lineRule="exact"/>
        <w:rPr>
          <w:sz w:val="20"/>
          <w:szCs w:val="20"/>
          <w:color w:val="auto"/>
        </w:rPr>
      </w:pPr>
    </w:p>
    <w:p>
      <w:pPr>
        <w:sectPr>
          <w:pgSz w:w="11900" w:h="16838" w:orient="portrait"/>
          <w:cols w:equalWidth="0" w:num="2">
            <w:col w:w="2580" w:space="720"/>
            <w:col w:w="7280"/>
          </w:cols>
          <w:pgMar w:left="460" w:top="348" w:right="85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345 Park Avenue South, 12</w:t>
      </w:r>
      <w:r>
        <w:rPr>
          <w:rFonts w:ascii="Times New Roman" w:cs="Times New Roman" w:eastAsia="Times New Roman" w:hAnsi="Times New Roman"/>
          <w:sz w:val="12"/>
          <w:szCs w:val="12"/>
          <w:color w:val="auto"/>
        </w:rPr>
        <w:t>th</w:t>
      </w:r>
      <w:r>
        <w:rPr>
          <w:rFonts w:ascii="Times New Roman" w:cs="Times New Roman" w:eastAsia="Times New Roman" w:hAnsi="Times New Roman"/>
          <w:sz w:val="16"/>
          <w:szCs w:val="16"/>
          <w:color w:val="auto"/>
        </w:rPr>
        <w:t xml:space="preserve"> Floor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 10010</w:t>
      </w:r>
    </w:p>
    <w:p>
      <w:pPr>
        <w:spacing w:after="0" w:line="189" w:lineRule="exact"/>
        <w:rPr>
          <w:sz w:val="20"/>
          <w:szCs w:val="20"/>
          <w:color w:val="auto"/>
        </w:rPr>
      </w:pPr>
    </w:p>
    <w:p>
      <w:pPr>
        <w:sectPr>
          <w:pgSz w:w="11900" w:h="16838" w:orient="portrait"/>
          <w:cols w:equalWidth="0" w:num="2">
            <w:col w:w="2580" w:space="720"/>
            <w:col w:w="7280"/>
          </w:cols>
          <w:pgMar w:left="460" w:top="348" w:right="8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Designated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James E. Flynn</w:t>
      </w:r>
    </w:p>
    <w:p>
      <w:pPr>
        <w:spacing w:after="0" w:line="200" w:lineRule="exact"/>
        <w:rPr>
          <w:sz w:val="20"/>
          <w:szCs w:val="20"/>
          <w:color w:val="auto"/>
        </w:rPr>
      </w:pPr>
    </w:p>
    <w:p>
      <w:pPr>
        <w:sectPr>
          <w:pgSz w:w="11900" w:h="16838" w:orient="portrait"/>
          <w:cols w:equalWidth="0" w:num="2">
            <w:col w:w="2580" w:space="720"/>
            <w:col w:w="7280"/>
          </w:cols>
          <w:pgMar w:left="460" w:top="348" w:right="85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Issuer and Ticker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Larimar Therapeutics, Inc. [LRMR]</w:t>
      </w:r>
    </w:p>
    <w:p>
      <w:pPr>
        <w:spacing w:after="0" w:line="200" w:lineRule="exact"/>
        <w:rPr>
          <w:sz w:val="20"/>
          <w:szCs w:val="20"/>
          <w:color w:val="auto"/>
        </w:rPr>
      </w:pPr>
    </w:p>
    <w:p>
      <w:pPr>
        <w:sectPr>
          <w:pgSz w:w="11900" w:h="16838" w:orient="portrait"/>
          <w:cols w:equalWidth="0" w:num="2">
            <w:col w:w="2580" w:space="720"/>
            <w:col w:w="7280"/>
          </w:cols>
          <w:pgMar w:left="460" w:top="348" w:right="85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of Event Requiring Statement: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May 19, 2026</w:t>
      </w:r>
    </w:p>
    <w:p>
      <w:pPr>
        <w:spacing w:after="0" w:line="200" w:lineRule="exact"/>
        <w:rPr>
          <w:sz w:val="20"/>
          <w:szCs w:val="20"/>
          <w:color w:val="auto"/>
        </w:rPr>
      </w:pPr>
    </w:p>
    <w:p>
      <w:pPr>
        <w:sectPr>
          <w:pgSz w:w="11900" w:h="16838" w:orient="portrait"/>
          <w:cols w:equalWidth="0" w:num="2">
            <w:col w:w="2580" w:space="720"/>
            <w:col w:w="7280"/>
          </w:cols>
          <w:pgMar w:left="460" w:top="348" w:right="85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undersigned, Deerfield Management Company, L.P., is jointly filing the attached Statement of Changes in Beneficial Ownership on Form 4 with James 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Flynn with respect to the beneficial ownership of securities of Larimar Therapeutics, Inc.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DEERFIELD MANAGEMENT COMPANY,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Deerfield UGP, LLC, General Partner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Jonathan Isler</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Jonathan Isler, Attorney-In-Fact</w:t>
      </w:r>
    </w:p>
    <w:sectPr>
      <w:pgSz w:w="11900" w:h="16838" w:orient="portrait"/>
      <w:cols w:equalWidth="0" w:num="1">
        <w:col w:w="10580"/>
      </w:cols>
      <w:pgMar w:left="460" w:top="348" w:right="8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3" Type="http://schemas.openxmlformats.org/officeDocument/2006/relationships/hyperlink" Target="http://www.sec.gov/cgi-bin/browse-edgar?action=getcompany&amp;CIK=0001352546" TargetMode="External"/><Relationship Id="rId14" Type="http://schemas.openxmlformats.org/officeDocument/2006/relationships/hyperlink" Target="http://www.sec.gov/cgi-bin/browse-edgar?action=getcompany&amp;CIK=0001374690" TargetMode="External"/><Relationship Id="rId15" Type="http://schemas.openxmlformats.org/officeDocument/2006/relationships/hyperlink" Target="http://www.sec.gov/cgi-bin/browse-edgar?action=getcompany&amp;CIK=00010092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2026-05-20T19:03:57Z</dcterms:created>
  <dcterms:modified xsi:type="dcterms:W3CDTF">2026-05-20T19:03:57Z</dcterms:modified>
</cp:coreProperties>
</file>