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25,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165735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36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tcPr>
          <w:p>
            <w:pPr>
              <w:ind w:left="700"/>
              <w:spacing w:after="0"/>
              <w:rPr>
                <w:sz w:val="20"/>
                <w:szCs w:val="20"/>
                <w:color w:val="auto"/>
              </w:rPr>
            </w:pPr>
            <w:r>
              <w:rPr>
                <w:rFonts w:ascii="Arial" w:cs="Arial" w:eastAsia="Arial" w:hAnsi="Arial"/>
                <w:sz w:val="18"/>
                <w:szCs w:val="18"/>
                <w:b w:val="1"/>
                <w:bCs w:val="1"/>
                <w:color w:val="auto"/>
              </w:rPr>
              <w:t>001-36510</w:t>
            </w:r>
          </w:p>
        </w:tc>
        <w:tc>
          <w:tcPr>
            <w:tcW w:w="2880" w:type="dxa"/>
            <w:vAlign w:val="bottom"/>
          </w:tcPr>
          <w:p>
            <w:pPr>
              <w:jc w:val="center"/>
              <w:ind w:left="1681"/>
              <w:spacing w:after="0"/>
              <w:rPr>
                <w:sz w:val="20"/>
                <w:szCs w:val="20"/>
                <w:color w:val="auto"/>
              </w:rPr>
            </w:pPr>
            <w:r>
              <w:rPr>
                <w:rFonts w:ascii="Arial" w:cs="Arial" w:eastAsia="Arial" w:hAnsi="Arial"/>
                <w:sz w:val="18"/>
                <w:szCs w:val="18"/>
                <w:b w:val="1"/>
                <w:bCs w:val="1"/>
                <w:color w:val="auto"/>
                <w:w w:val="91"/>
              </w:rPr>
              <w:t>20-3857670</w:t>
            </w:r>
          </w:p>
        </w:tc>
      </w:tr>
      <w:tr>
        <w:trPr>
          <w:trHeight w:val="149"/>
        </w:trPr>
        <w:tc>
          <w:tcPr>
            <w:tcW w:w="364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520" w:type="dxa"/>
            <w:vAlign w:val="bottom"/>
          </w:tcPr>
          <w:p>
            <w:pPr>
              <w:ind w:left="680"/>
              <w:spacing w:after="0" w:line="149" w:lineRule="exact"/>
              <w:rPr>
                <w:sz w:val="20"/>
                <w:szCs w:val="20"/>
                <w:color w:val="auto"/>
              </w:rPr>
            </w:pPr>
            <w:r>
              <w:rPr>
                <w:rFonts w:ascii="Arial" w:cs="Arial" w:eastAsia="Arial" w:hAnsi="Arial"/>
                <w:sz w:val="14"/>
                <w:szCs w:val="14"/>
                <w:b w:val="1"/>
                <w:bCs w:val="1"/>
                <w:color w:val="auto"/>
              </w:rPr>
              <w:t>(Commission</w:t>
            </w:r>
          </w:p>
        </w:tc>
        <w:tc>
          <w:tcPr>
            <w:tcW w:w="2880" w:type="dxa"/>
            <w:vAlign w:val="bottom"/>
          </w:tcPr>
          <w:p>
            <w:pPr>
              <w:jc w:val="center"/>
              <w:ind w:left="16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of incorporation)</w:t>
            </w:r>
          </w:p>
        </w:tc>
        <w:tc>
          <w:tcPr>
            <w:tcW w:w="2520" w:type="dxa"/>
            <w:vAlign w:val="bottom"/>
          </w:tcPr>
          <w:p>
            <w:pPr>
              <w:ind w:left="660"/>
              <w:spacing w:after="0"/>
              <w:rPr>
                <w:sz w:val="20"/>
                <w:szCs w:val="20"/>
                <w:color w:val="auto"/>
              </w:rPr>
            </w:pPr>
            <w:r>
              <w:rPr>
                <w:rFonts w:ascii="Arial" w:cs="Arial" w:eastAsia="Arial" w:hAnsi="Arial"/>
                <w:sz w:val="14"/>
                <w:szCs w:val="14"/>
                <w:b w:val="1"/>
                <w:bCs w:val="1"/>
                <w:color w:val="auto"/>
              </w:rPr>
              <w:t>File Number)</w:t>
            </w:r>
          </w:p>
        </w:tc>
        <w:tc>
          <w:tcPr>
            <w:tcW w:w="2880" w:type="dxa"/>
            <w:vAlign w:val="bottom"/>
          </w:tcPr>
          <w:p>
            <w:pPr>
              <w:jc w:val="center"/>
              <w:ind w:left="16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91"/>
              </w:rPr>
              <w:t>175 Portland Street, 4th Floor</w:t>
            </w:r>
          </w:p>
        </w:tc>
        <w:tc>
          <w:tcPr>
            <w:tcW w:w="25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5"/>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86"/>
              </w:rPr>
              <w:t>Boston, Massachusetts</w:t>
            </w:r>
          </w:p>
        </w:tc>
        <w:tc>
          <w:tcPr>
            <w:tcW w:w="2520" w:type="dxa"/>
            <w:vAlign w:val="bottom"/>
          </w:tcPr>
          <w:p>
            <w:pPr>
              <w:spacing w:after="0"/>
              <w:rPr>
                <w:sz w:val="19"/>
                <w:szCs w:val="19"/>
                <w:color w:val="auto"/>
              </w:rPr>
            </w:pPr>
          </w:p>
        </w:tc>
        <w:tc>
          <w:tcPr>
            <w:tcW w:w="2880" w:type="dxa"/>
            <w:vAlign w:val="bottom"/>
          </w:tcPr>
          <w:p>
            <w:pPr>
              <w:jc w:val="right"/>
              <w:ind w:right="1201"/>
              <w:spacing w:after="0"/>
              <w:rPr>
                <w:sz w:val="20"/>
                <w:szCs w:val="20"/>
                <w:color w:val="auto"/>
              </w:rPr>
            </w:pPr>
            <w:r>
              <w:rPr>
                <w:rFonts w:ascii="Arial" w:cs="Arial" w:eastAsia="Arial" w:hAnsi="Arial"/>
                <w:sz w:val="18"/>
                <w:szCs w:val="18"/>
                <w:b w:val="1"/>
                <w:bCs w:val="1"/>
                <w:color w:val="auto"/>
              </w:rPr>
              <w:t>02114</w:t>
            </w:r>
          </w:p>
        </w:tc>
      </w:tr>
      <w:tr>
        <w:trPr>
          <w:trHeight w:val="186"/>
        </w:trPr>
        <w:tc>
          <w:tcPr>
            <w:tcW w:w="364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6"/>
                <w:szCs w:val="16"/>
                <w:color w:val="auto"/>
              </w:rPr>
            </w:pPr>
          </w:p>
        </w:tc>
        <w:tc>
          <w:tcPr>
            <w:tcW w:w="288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ind w:right="4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Brian P. McVeigh as Chief Business Officer</w:t>
      </w:r>
    </w:p>
    <w:p>
      <w:pPr>
        <w:spacing w:after="0" w:line="117"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On May 25, 2018, the Board of Directors (the “Board”) of Zafgen, Inc. (the “Company”) appointed Brian P. McVeigh as the Chief Business Officer of the Company (the “CBO”) effective as of May 29, 2018.</w:t>
      </w:r>
    </w:p>
    <w:p>
      <w:pPr>
        <w:spacing w:after="0" w:line="17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Mr. McVeigh, 45, served as Vice President of World Wide Business Development (“WWBD”), Transactions and Investment Management of GlaxoSmithKline plc in Pharmaceuticals Research and Development from October 2011 until November 2017. From November 2008 to October 2011, Mr. McVeigh was Vice President in a variety of positions including WWBD Transactions, Commercial Alliances and Mergers and Acquisitions (“M&amp;A”), and Deal Finance and M&amp;A. Prior to those roles, Mr. McVeigh was the Director of M&amp;A Strategy and Transactions, and Business Development Transactions and Ventures from September 2006 to November 2008 and from September 2004 to September 2006, respectively. From May 1992 through September 2004, McVeigh was promoted through a variety of roles of increasing responsibility at GlaxoSmithKline plc. Most recently, Mr. McVeigh was the Chief Executive Officer and on the Board of Directors of KBP Biosciences from December 2017 until April 2018.</w:t>
      </w:r>
    </w:p>
    <w:p>
      <w:pPr>
        <w:spacing w:after="0" w:line="178" w:lineRule="exact"/>
        <w:rPr>
          <w:sz w:val="20"/>
          <w:szCs w:val="20"/>
          <w:color w:val="auto"/>
        </w:rPr>
      </w:pPr>
    </w:p>
    <w:p>
      <w:pPr>
        <w:ind w:right="160" w:firstLine="913"/>
        <w:spacing w:after="0" w:line="308" w:lineRule="auto"/>
        <w:rPr>
          <w:sz w:val="20"/>
          <w:szCs w:val="20"/>
          <w:color w:val="auto"/>
        </w:rPr>
      </w:pPr>
      <w:r>
        <w:rPr>
          <w:rFonts w:ascii="Arial" w:cs="Arial" w:eastAsia="Arial" w:hAnsi="Arial"/>
          <w:sz w:val="17"/>
          <w:szCs w:val="17"/>
          <w:color w:val="auto"/>
        </w:rPr>
        <w:t>There are no arrangements or understandings between Mr. McVeigh and any other person pursuant to which he was appointed as the CBO, and there are no transactions between Mr. McVeigh and the Company that would require disclosure under Item 404(a) of Regulation S-K.</w:t>
      </w:r>
    </w:p>
    <w:p>
      <w:pPr>
        <w:spacing w:after="0" w:line="14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Company also entered into an at-will employment offer letter agreement with Mr. McVeigh, effective as of May 29, 2018, pursuant to which Mr. McVeigh shall serve as the CBO. Mr. McVeigh is entitled to receive an annual base salary of $400,000 and is eligible to receive an annual performance bonus, with a target bonus amount of 40% of his annual base salary. Mr. McVeigh’s base salary is subject to adjustment pursuant to the Company’s employee compensation policies in effect from time to time.</w:t>
      </w:r>
    </w:p>
    <w:p>
      <w:pPr>
        <w:spacing w:after="0" w:line="18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Further, as a material inducement to Mr. McVeigh’s acceptance of employment with the Company, the Board approved the grant to Mr. McVeigh effective on May 29, 2018 of an option to purchase 225,000 shares of the Company’s common stock, with 25% of the option shares vesting on the first anniversary of Mr. McVeigh’s employment start date and the balance vesting in equal monthly installments over the next three years, subject to his continued service with the Company through each vesting date. The grant is being made pursuant to a stand-alone inducement award agreement outside of the 2014 Stock Option and Incentive Plan as a material inducement to Mr. McVeigh’s acceptance of employment with the Company in accordance with NASDAQ Listing Rule 5635(c)(4).</w:t>
      </w:r>
    </w:p>
    <w:p>
      <w:pPr>
        <w:spacing w:after="0" w:line="19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In connection with Mr. McVeigh’s Offer Letter, the Company also entered into a Severance and Change in Control Agreement with</w:t>
      </w:r>
    </w:p>
    <w:p>
      <w:pPr>
        <w:spacing w:after="0" w:line="2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Mr. McVeigh. In the event that Mr. McVeigh terminates his employment with “good reason” or is terminated without “cause,” he is eligible to receive 9 months of base salary continuation and 9 months of COBRA continuation medical benefits subsidized by the Company, provided that he executes and does not revoke a separation agreement and release of the Company and its affiliates. In the event that Mr. McVeigh’s employment is terminated without “cause” or Mr. McVeigh terminates his employment for “good reason” within 12 months of a “change of control,” Mr. McVeigh is eligible to receive 12 months of base salary continuation, 12 months of COBRA continuation medical benefits subsidized by the Company, and all options and other stock-based awards held by him shall immediately accelerate and become fully exercisable or non-forfeitable as of the date of termination, provided that he executes and does not revoke a separation agreement and release of the Company and its affiliates.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the Severance and Change in Control Agreement, “cause” means:</w:t>
      </w:r>
    </w:p>
    <w:p>
      <w:pPr>
        <w:spacing w:after="0" w:line="131"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commission by the executive of any felony, any crime involving the Company, or any crime involving fraud or dishonesty;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unauthorized use or disclosure of the Company’s proprietary information by the executive;</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intentional misconduct or gross negligence on the executive’s part which has a materially adverse effect on the Company’s business or reputation; or</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executive’s repeated and willful failure to perform the duties, functions and responsibilities of the executive’s position after a written warning from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Severance and Change in Control Agreement, “good reason” means:</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material diminution in the executive’s title, responsibilities, authority or duties;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material diminution in the executive’s base salary except for across-the-board salary reductions based on the Company’s financial performance similarly affecting all or substantially all senior management employees of the Company;</w:t>
      </w:r>
    </w:p>
    <w:p>
      <w:pPr>
        <w:spacing w:after="0" w:line="75"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breach by the Company of the material terms of the severance and change in control agreement or any other written agreement between the Company and the executive; or</w:t>
      </w:r>
    </w:p>
    <w:p>
      <w:pPr>
        <w:spacing w:after="0" w:line="75"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50 mile or greater change in the geographic location at which the executive is required to provide services to the Company, not including business travel and short-term assignments.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purposes of the Severance and Change in Control Agreement, a “change in control” shall be deemed to have occurred upon the occurrence of any one of the following events:</w:t>
      </w:r>
    </w:p>
    <w:p>
      <w:pPr>
        <w:spacing w:after="0" w:line="76" w:lineRule="exact"/>
        <w:rPr>
          <w:sz w:val="20"/>
          <w:szCs w:val="20"/>
          <w:color w:val="auto"/>
        </w:rPr>
      </w:pPr>
    </w:p>
    <w:p>
      <w:pPr>
        <w:ind w:left="900" w:right="2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sale or exclusive out-license (even as to the Company) of all or substantially all of the assets of the Company on a consolidated basis to an unrelated person or entity;</w:t>
      </w:r>
    </w:p>
    <w:p>
      <w:pPr>
        <w:spacing w:after="0" w:line="75" w:lineRule="exact"/>
        <w:rPr>
          <w:rFonts w:ascii="Arial" w:cs="Arial" w:eastAsia="Arial" w:hAnsi="Arial"/>
          <w:sz w:val="18"/>
          <w:szCs w:val="18"/>
          <w:color w:val="auto"/>
        </w:rPr>
      </w:pPr>
    </w:p>
    <w:p>
      <w:pPr>
        <w:ind w:left="900" w:right="360" w:hanging="325"/>
        <w:spacing w:after="0" w:line="31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merger, reorganization or consolidation pursuant to which the holders of the Company’s outstanding voting power and outstanding stock immediately prior to such transaction do not own a majority of the outstanding voting power or fair market value of the stock or other equity interests of the resulting or successor entity (or its ultimate parent, if applicable) immediately upon completion of such transaction;</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sale of all of the stock of the Company to an unrelated person, entity or group thereof acting in concert; or</w:t>
      </w:r>
    </w:p>
    <w:p>
      <w:pPr>
        <w:spacing w:after="0" w:line="130"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8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foregoing summary of Mr. McVeigh’s Offer Letter and Severance and Change in Control Agreement does not purport to be complete and is qualified in its entirety by reference to the complete Offer Letter and Severance and Change in Control Agreement, which are attached as Exhibits 10.1 and 10.2 hereto and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On May 30, 2018, the Company issued a press release announcing the matters discussed in Item 5.02 above. A copy of the press release is filed herewith as Exhibit 99.1 to this Report on Form 8-K and is incorporated herein by reference.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980" w:type="dxa"/>
            <w:vAlign w:val="bottom"/>
            <w:gridSpan w:val="5"/>
          </w:tcPr>
          <w:p>
            <w:pPr>
              <w:ind w:left="20"/>
              <w:spacing w:after="0"/>
              <w:rPr>
                <w:sz w:val="20"/>
                <w:szCs w:val="20"/>
                <w:color w:val="auto"/>
              </w:rPr>
            </w:pPr>
            <w:r>
              <w:rPr>
                <w:rFonts w:ascii="Arial" w:cs="Arial" w:eastAsia="Arial" w:hAnsi="Arial"/>
                <w:sz w:val="18"/>
                <w:szCs w:val="18"/>
                <w:color w:val="auto"/>
              </w:rPr>
              <w:t>(d) Exhibits</w:t>
            </w:r>
          </w:p>
        </w:tc>
        <w:tc>
          <w:tcPr>
            <w:tcW w:w="0" w:type="dxa"/>
            <w:vAlign w:val="bottom"/>
          </w:tcPr>
          <w:p>
            <w:pPr>
              <w:spacing w:after="0"/>
              <w:rPr>
                <w:sz w:val="1"/>
                <w:szCs w:val="1"/>
                <w:color w:val="auto"/>
              </w:rPr>
            </w:pPr>
          </w:p>
        </w:tc>
      </w:tr>
      <w:tr>
        <w:trPr>
          <w:trHeight w:val="373"/>
        </w:trPr>
        <w:tc>
          <w:tcPr>
            <w:tcW w:w="440" w:type="dxa"/>
            <w:vAlign w:val="bottom"/>
            <w:gridSpan w:val="2"/>
          </w:tcPr>
          <w:p>
            <w:pPr>
              <w:spacing w:after="0"/>
              <w:rPr>
                <w:sz w:val="20"/>
                <w:szCs w:val="20"/>
                <w:color w:val="auto"/>
              </w:rPr>
            </w:pPr>
            <w:r>
              <w:rPr>
                <w:rFonts w:ascii="Arial" w:cs="Arial" w:eastAsia="Arial" w:hAnsi="Arial"/>
                <w:sz w:val="14"/>
                <w:szCs w:val="14"/>
                <w:color w:val="auto"/>
                <w:w w:val="99"/>
              </w:rPr>
              <w:t>Exhibit</w:t>
            </w:r>
          </w:p>
        </w:tc>
        <w:tc>
          <w:tcPr>
            <w:tcW w:w="5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540" w:type="dxa"/>
            <w:vAlign w:val="bottom"/>
            <w:gridSpan w:val="3"/>
            <w:vMerge w:val="restart"/>
          </w:tcPr>
          <w:p>
            <w:pPr>
              <w:ind w:left="100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67"/>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No.</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80" w:type="dxa"/>
            <w:vAlign w:val="bottom"/>
            <w:tcBorders>
              <w:bottom w:val="single" w:sz="8" w:color="auto"/>
            </w:tcBorders>
          </w:tcPr>
          <w:p>
            <w:pPr>
              <w:spacing w:after="0"/>
              <w:rPr>
                <w:sz w:val="14"/>
                <w:szCs w:val="14"/>
                <w:color w:val="auto"/>
              </w:rPr>
            </w:pPr>
          </w:p>
        </w:tc>
        <w:tc>
          <w:tcPr>
            <w:tcW w:w="654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40" w:type="dxa"/>
            <w:vAlign w:val="bottom"/>
            <w:gridSpan w:val="2"/>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2"/>
                <w:szCs w:val="22"/>
                <w:color w:val="auto"/>
              </w:rPr>
            </w:pPr>
          </w:p>
        </w:tc>
        <w:tc>
          <w:tcPr>
            <w:tcW w:w="8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Employment Offer Letter Agreement by and between Zafgen, Inc. and Brian P. McVeigh, effective as of May 29, 2018.</w:t>
              </w:r>
            </w:hyperlink>
          </w:p>
        </w:tc>
        <w:tc>
          <w:tcPr>
            <w:tcW w:w="18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91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Severance and Change in Control Agreement by and between Zafgen, Inc. and Brian P. McVeigh, effective as of May 29, 2018.</w:t>
              </w:r>
            </w:hyperlink>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3880" w:type="dxa"/>
            <w:vAlign w:val="bottom"/>
            <w:tcBorders>
              <w:bottom w:val="single" w:sz="8" w:color="0000EE"/>
            </w:tcBorders>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Press release issued by Zafgen, Inc. on May 30, 2018.</w:t>
              </w:r>
            </w:hyperlink>
          </w:p>
        </w:tc>
        <w:tc>
          <w:tcPr>
            <w:tcW w:w="65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60" w:type="dxa"/>
            <w:vAlign w:val="bottom"/>
            <w:gridSpan w:val="3"/>
          </w:tcPr>
          <w:p>
            <w:pPr>
              <w:jc w:val="right"/>
              <w:ind w:right="3768"/>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7040" w:val="left"/>
        </w:tabs>
        <w:rPr>
          <w:sz w:val="20"/>
          <w:szCs w:val="20"/>
          <w:color w:val="auto"/>
        </w:rPr>
      </w:pPr>
      <w:r>
        <w:rPr>
          <w:rFonts w:ascii="Arial" w:cs="Arial" w:eastAsia="Arial" w:hAnsi="Arial"/>
          <w:sz w:val="18"/>
          <w:szCs w:val="18"/>
          <w:color w:val="auto"/>
        </w:rPr>
        <w:t>Date: May 30, 2018</w:t>
      </w:r>
      <w:r>
        <w:rPr>
          <w:sz w:val="20"/>
          <w:szCs w:val="20"/>
          <w:color w:val="auto"/>
        </w:rPr>
        <w:tab/>
      </w:r>
      <w:r>
        <w:rPr>
          <w:rFonts w:ascii="Arial" w:cs="Arial" w:eastAsia="Arial" w:hAnsi="Arial"/>
          <w:sz w:val="18"/>
          <w:szCs w:val="18"/>
          <w:b w:val="1"/>
          <w:bCs w:val="1"/>
          <w:color w:val="auto"/>
        </w:rPr>
        <w:t>ZAFGEN, INC.</w:t>
      </w:r>
    </w:p>
    <w:p>
      <w:pPr>
        <w:spacing w:after="0" w:line="22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By:  /s/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Executive Officer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270"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20" w:type="dxa"/>
            <w:vAlign w:val="bottom"/>
          </w:tcPr>
          <w:p>
            <w:pPr>
              <w:jc w:val="center"/>
              <w:ind w:right="893"/>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73"/>
        </w:trPr>
        <w:tc>
          <w:tcPr>
            <w:tcW w:w="10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420" w:type="dxa"/>
            <w:vAlign w:val="bottom"/>
            <w:vMerge w:val="restart"/>
          </w:tcPr>
          <w:p>
            <w:pPr>
              <w:ind w:left="4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7"/>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No.</w:t>
            </w:r>
          </w:p>
        </w:tc>
        <w:tc>
          <w:tcPr>
            <w:tcW w:w="780" w:type="dxa"/>
            <w:vAlign w:val="bottom"/>
          </w:tcPr>
          <w:p>
            <w:pPr>
              <w:spacing w:after="0"/>
              <w:rPr>
                <w:sz w:val="14"/>
                <w:szCs w:val="14"/>
                <w:color w:val="auto"/>
              </w:rPr>
            </w:pPr>
          </w:p>
        </w:tc>
        <w:tc>
          <w:tcPr>
            <w:tcW w:w="104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10.1</w:t>
            </w:r>
          </w:p>
        </w:tc>
        <w:tc>
          <w:tcPr>
            <w:tcW w:w="10420" w:type="dxa"/>
            <w:vAlign w:val="bottom"/>
          </w:tcPr>
          <w:p>
            <w:pPr>
              <w:spacing w:after="0"/>
              <w:rPr>
                <w:sz w:val="20"/>
                <w:szCs w:val="20"/>
                <w:color w:val="auto"/>
              </w:rPr>
            </w:pPr>
            <w:r>
              <w:rPr>
                <w:rFonts w:ascii="Arial" w:cs="Arial" w:eastAsia="Arial" w:hAnsi="Arial"/>
                <w:sz w:val="18"/>
                <w:szCs w:val="18"/>
                <w:color w:val="auto"/>
              </w:rPr>
              <w:t>Employment Offer Letter Agreement by and between Zafgen, Inc. and Brian P. McVeigh, effective as of May 29, 2018.</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10.2</w:t>
            </w:r>
          </w:p>
        </w:tc>
        <w:tc>
          <w:tcPr>
            <w:tcW w:w="10420" w:type="dxa"/>
            <w:vAlign w:val="bottom"/>
          </w:tcPr>
          <w:p>
            <w:pPr>
              <w:spacing w:after="0"/>
              <w:rPr>
                <w:sz w:val="20"/>
                <w:szCs w:val="20"/>
                <w:color w:val="auto"/>
              </w:rPr>
            </w:pPr>
            <w:r>
              <w:rPr>
                <w:rFonts w:ascii="Arial" w:cs="Arial" w:eastAsia="Arial" w:hAnsi="Arial"/>
                <w:sz w:val="18"/>
                <w:szCs w:val="18"/>
                <w:color w:val="auto"/>
              </w:rPr>
              <w:t>Severance and Change in Control Agreement by and between Zafgen, Inc. and Brian P. McVeigh, effective as of May 29, 2018.</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99.1</w:t>
            </w:r>
          </w:p>
        </w:tc>
        <w:tc>
          <w:tcPr>
            <w:tcW w:w="10420" w:type="dxa"/>
            <w:vAlign w:val="bottom"/>
          </w:tcPr>
          <w:p>
            <w:pPr>
              <w:spacing w:after="0"/>
              <w:rPr>
                <w:sz w:val="20"/>
                <w:szCs w:val="20"/>
                <w:color w:val="auto"/>
              </w:rPr>
            </w:pPr>
            <w:r>
              <w:rPr>
                <w:rFonts w:ascii="Arial" w:cs="Arial" w:eastAsia="Arial" w:hAnsi="Arial"/>
                <w:sz w:val="18"/>
                <w:szCs w:val="18"/>
                <w:color w:val="auto"/>
              </w:rPr>
              <w:t>Press release issued by Zafgen, Inc. on May 30, 2018.</w:t>
            </w:r>
          </w:p>
        </w:tc>
        <w:tc>
          <w:tcPr>
            <w:tcW w:w="0" w:type="dxa"/>
            <w:vAlign w:val="bottom"/>
          </w:tcPr>
          <w:p>
            <w:pPr>
              <w:spacing w:after="0"/>
              <w:rPr>
                <w:sz w:val="1"/>
                <w:szCs w:val="1"/>
                <w:color w:val="auto"/>
              </w:rPr>
            </w:pPr>
          </w:p>
        </w:tc>
      </w:tr>
      <w:tr>
        <w:trPr>
          <w:trHeight w:val="365"/>
        </w:trPr>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20" w:type="dxa"/>
            <w:vAlign w:val="bottom"/>
          </w:tcPr>
          <w:p>
            <w:pPr>
              <w:jc w:val="right"/>
              <w:ind w:right="557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172085</wp:posOffset>
            </wp:positionV>
            <wp:extent cx="1758315" cy="6172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5831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175 Portland Street, 4th Floor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MA 02114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22,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Brian McVeigh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4004 Ashbrook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Royersford, PA 19468</w:t>
      </w:r>
    </w:p>
    <w:p>
      <w:pPr>
        <w:spacing w:after="0" w:line="1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Brian:</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On behalf of Zafgen, Inc., a Delaware corporation (the “Company”), I am pleased to offer employment to you. The purpose of this letter is to outline the initial terms for your employment.</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 xml:space="preserve">Position: </w:t>
      </w:r>
      <w:r>
        <w:rPr>
          <w:rFonts w:ascii="Arial" w:cs="Arial" w:eastAsia="Arial" w:hAnsi="Arial"/>
          <w:sz w:val="17"/>
          <w:szCs w:val="17"/>
          <w:color w:val="auto"/>
        </w:rPr>
        <w:t>Your position with the Company will be Chief Business Officer, reporting to Zafgen’s CEO, Jeff Hatfield. This is a full-time role and it is</w:t>
      </w:r>
      <w:r>
        <w:rPr>
          <w:rFonts w:ascii="Arial" w:cs="Arial" w:eastAsia="Arial" w:hAnsi="Arial"/>
          <w:sz w:val="17"/>
          <w:szCs w:val="17"/>
          <w:b w:val="1"/>
          <w:bCs w:val="1"/>
          <w:color w:val="auto"/>
        </w:rPr>
        <w:t xml:space="preserve"> </w:t>
      </w:r>
      <w:r>
        <w:rPr>
          <w:rFonts w:ascii="Arial" w:cs="Arial" w:eastAsia="Arial" w:hAnsi="Arial"/>
          <w:sz w:val="17"/>
          <w:szCs w:val="17"/>
          <w:color w:val="auto"/>
        </w:rPr>
        <w:t>understood and agreed that you will not engage in any other employment, consulting or other business activities (whether full-time or part-time) after the Start Date without prior written consent from the CEO. Notwithstanding the foregoing, you may serve on up to two (2) board of directors, with the prior consent of the CEO, and as an advisor to IP Group, Inc., and you may also engage in religious, charitable or other community activities as long as such services and activities are disclosed to the CEO and do not interfere with the performance of your duties to the Company.</w:t>
      </w:r>
    </w:p>
    <w:p>
      <w:pPr>
        <w:spacing w:after="0" w:line="168"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Work Location; Travel and Reimbursement: </w:t>
      </w:r>
      <w:r>
        <w:rPr>
          <w:rFonts w:ascii="Arial" w:cs="Arial" w:eastAsia="Arial" w:hAnsi="Arial"/>
          <w:sz w:val="18"/>
          <w:szCs w:val="18"/>
          <w:color w:val="auto"/>
        </w:rPr>
        <w:t>You will be primarily based from your current residence in Pennsylvania but you will be expected to</w:t>
      </w:r>
      <w:r>
        <w:rPr>
          <w:rFonts w:ascii="Arial" w:cs="Arial" w:eastAsia="Arial" w:hAnsi="Arial"/>
          <w:sz w:val="18"/>
          <w:szCs w:val="18"/>
          <w:b w:val="1"/>
          <w:bCs w:val="1"/>
          <w:color w:val="auto"/>
        </w:rPr>
        <w:t xml:space="preserve"> </w:t>
      </w:r>
      <w:r>
        <w:rPr>
          <w:rFonts w:ascii="Arial" w:cs="Arial" w:eastAsia="Arial" w:hAnsi="Arial"/>
          <w:sz w:val="18"/>
          <w:szCs w:val="18"/>
          <w:color w:val="auto"/>
        </w:rPr>
        <w:t>travel to the Company’s headquarters, currently at 175 Portland Street, Boston, Massachusetts, on a regular basis as determined by the CEO after consultation with you. You understand and agree that you will be required to travel to accomplish your job duties. The Company will pay directly or reimburse you for your travel to and from Pennsylvania and Boston including train, flights, hotel and reasonable meals and will comply with reporting obligations to the extent required by taxing authorities.</w:t>
      </w:r>
    </w:p>
    <w:p>
      <w:pPr>
        <w:spacing w:after="0" w:line="184"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Start Date: </w:t>
      </w:r>
      <w:r>
        <w:rPr>
          <w:rFonts w:ascii="Arial" w:cs="Arial" w:eastAsia="Arial" w:hAnsi="Arial"/>
          <w:sz w:val="18"/>
          <w:szCs w:val="18"/>
          <w:color w:val="auto"/>
        </w:rPr>
        <w:t>Your first day of employment will be May 29, 2018 unless another date is agreed to by you and the Company. The actual first day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shall be referred to in this document as the “Start Date.”</w:t>
      </w:r>
    </w:p>
    <w:p>
      <w:pPr>
        <w:spacing w:after="0" w:line="162"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Salary: </w:t>
      </w:r>
      <w:r>
        <w:rPr>
          <w:rFonts w:ascii="Arial" w:cs="Arial" w:eastAsia="Arial" w:hAnsi="Arial"/>
          <w:sz w:val="18"/>
          <w:szCs w:val="18"/>
          <w:color w:val="auto"/>
        </w:rPr>
        <w:t>Effective on the Start Date, the Company will pay you a base salary at the annual rate of $400,000 (a semi-monthly rate of $16,666.67) (the</w:t>
      </w:r>
      <w:r>
        <w:rPr>
          <w:rFonts w:ascii="Arial" w:cs="Arial" w:eastAsia="Arial" w:hAnsi="Arial"/>
          <w:sz w:val="18"/>
          <w:szCs w:val="18"/>
          <w:b w:val="1"/>
          <w:bCs w:val="1"/>
          <w:color w:val="auto"/>
        </w:rPr>
        <w:t xml:space="preserve"> </w:t>
      </w:r>
      <w:r>
        <w:rPr>
          <w:rFonts w:ascii="Arial" w:cs="Arial" w:eastAsia="Arial" w:hAnsi="Arial"/>
          <w:sz w:val="18"/>
          <w:szCs w:val="18"/>
          <w:color w:val="auto"/>
        </w:rPr>
        <w:t>“Base Salary”) payable in accordance with the Company’s standard payroll schedule and subject to applicable deductions and withholdings. Your Base Salary shall be subject to periodic review and adjustment at the discretion of the Board or the Board’s Compensation Committee (the “Compensation Committee”). Your base salary in effect at any given time shall be referred to herein as the “Base Salary.”</w:t>
      </w:r>
    </w:p>
    <w:p>
      <w:pPr>
        <w:spacing w:after="0" w:line="180" w:lineRule="exact"/>
        <w:rPr>
          <w:sz w:val="20"/>
          <w:szCs w:val="20"/>
          <w:color w:val="auto"/>
        </w:rPr>
      </w:pPr>
    </w:p>
    <w:p>
      <w:pPr>
        <w:ind w:right="60" w:firstLine="456"/>
        <w:spacing w:after="0" w:line="347" w:lineRule="auto"/>
        <w:rPr>
          <w:sz w:val="20"/>
          <w:szCs w:val="20"/>
          <w:color w:val="auto"/>
        </w:rPr>
      </w:pPr>
      <w:r>
        <w:rPr>
          <w:rFonts w:ascii="Arial" w:cs="Arial" w:eastAsia="Arial" w:hAnsi="Arial"/>
          <w:sz w:val="16"/>
          <w:szCs w:val="16"/>
          <w:b w:val="1"/>
          <w:bCs w:val="1"/>
          <w:color w:val="auto"/>
        </w:rPr>
        <w:t xml:space="preserve">Annual Bonus: </w:t>
      </w:r>
      <w:r>
        <w:rPr>
          <w:rFonts w:ascii="Arial" w:cs="Arial" w:eastAsia="Arial" w:hAnsi="Arial"/>
          <w:sz w:val="16"/>
          <w:szCs w:val="16"/>
          <w:color w:val="auto"/>
        </w:rPr>
        <w:t>You will be eligible to receive an annual performance bonus (the “Bonus”). The Bonus shall be targeted at 40% of your 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(the “Target Bonus”), and will be pro-rated for 2018 based on your Start Date. The actual Bonus is discretionary and will be subject to the assessment of your</w:t>
      </w:r>
    </w:p>
    <w:p>
      <w:pPr>
        <w:sectPr>
          <w:pgSz w:w="11900" w:h="16838" w:orient="portrait"/>
          <w:cols w:equalWidth="0" w:num="1">
            <w:col w:w="11420"/>
          </w:cols>
          <w:pgMar w:left="240" w:top="121" w:right="239" w:bottom="1440" w:gutter="0" w:footer="0" w:header="0"/>
        </w:sectPr>
      </w:pPr>
    </w:p>
    <w:bookmarkStart w:id="7" w:name="page8"/>
    <w:bookmarkEnd w:id="7"/>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as well as business conditions at the Company as determined by the Board or the Compensation Committee. To earn any part of the Bonus, except as otherwise provided below, you must be employed by the Company on the date that the Bonus is paid. In addition, the Bonus will be subject to the terms of any applicable bonus plan as may be adopted and amended from time to time.</w:t>
      </w:r>
    </w:p>
    <w:p>
      <w:pPr>
        <w:spacing w:after="0" w:line="17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As a regular, full time employee you will be eligible to participate in or receive benefits under the Company’s employee benefits plans in</w:t>
      </w:r>
      <w:r>
        <w:rPr>
          <w:rFonts w:ascii="Arial" w:cs="Arial" w:eastAsia="Arial" w:hAnsi="Arial"/>
          <w:sz w:val="18"/>
          <w:szCs w:val="18"/>
          <w:b w:val="1"/>
          <w:bCs w:val="1"/>
          <w:color w:val="auto"/>
        </w:rPr>
        <w:t xml:space="preserve"> </w:t>
      </w:r>
      <w:r>
        <w:rPr>
          <w:rFonts w:ascii="Arial" w:cs="Arial" w:eastAsia="Arial" w:hAnsi="Arial"/>
          <w:sz w:val="18"/>
          <w:szCs w:val="18"/>
          <w:color w:val="auto"/>
        </w:rPr>
        <w:t>effect from time to time, subject to the terms of such plans. These plans may be amended or terminated with or without prior notice. Currently, the employee programs include health, life, disability and dental insurance. Details of these benefits programs, including mandatory employee contributions, will be made available to you when you start. The Company currently has a Flexible Vacation/PTO Policy. Other provisions of the Company’s vacation and PTO policy are set forth in the policy itself.</w:t>
      </w:r>
    </w:p>
    <w:p>
      <w:pPr>
        <w:spacing w:after="0" w:line="184"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b w:val="1"/>
          <w:bCs w:val="1"/>
          <w:color w:val="auto"/>
        </w:rPr>
        <w:t xml:space="preserve">Stock Options: </w:t>
      </w:r>
      <w:r>
        <w:rPr>
          <w:rFonts w:ascii="Arial" w:cs="Arial" w:eastAsia="Arial" w:hAnsi="Arial"/>
          <w:sz w:val="17"/>
          <w:szCs w:val="17"/>
          <w:color w:val="auto"/>
        </w:rPr>
        <w:t>Subject to final Board approval, as an inducement to your employment, upon or promptly following the Start Date, the Company shall</w:t>
      </w:r>
      <w:r>
        <w:rPr>
          <w:rFonts w:ascii="Arial" w:cs="Arial" w:eastAsia="Arial" w:hAnsi="Arial"/>
          <w:sz w:val="17"/>
          <w:szCs w:val="17"/>
          <w:b w:val="1"/>
          <w:bCs w:val="1"/>
          <w:color w:val="auto"/>
        </w:rPr>
        <w:t xml:space="preserve"> </w:t>
      </w:r>
      <w:r>
        <w:rPr>
          <w:rFonts w:ascii="Arial" w:cs="Arial" w:eastAsia="Arial" w:hAnsi="Arial"/>
          <w:sz w:val="17"/>
          <w:szCs w:val="17"/>
          <w:color w:val="auto"/>
        </w:rPr>
        <w:t>grant you a non-qualified stock option (the “Option”) to purchase 225,000 shares of the Company’s common stock. The exercise price for the Option shall be equal to the fair market value of the Company’s common stock, which will be the closing price of the Company’s stock on your Start Date. The Option will be governed by a stock option agreement (the “Equity Document”). The Option will vest over four years at the rate of 25% after twelve months of your Start Date and the remaining shares shall vest in equal monthly installments for a period of 36 months thereafter, until four years after your Start Date, when the Option will be fully vested provided you remain employed by the Company on each such vesting date.</w:t>
      </w:r>
    </w:p>
    <w:p>
      <w:pPr>
        <w:spacing w:after="0" w:line="174" w:lineRule="exact"/>
        <w:rPr>
          <w:sz w:val="20"/>
          <w:szCs w:val="20"/>
          <w:color w:val="auto"/>
        </w:rPr>
      </w:pPr>
    </w:p>
    <w:p>
      <w:pPr>
        <w:ind w:right="40" w:firstLine="456"/>
        <w:spacing w:after="0" w:line="292" w:lineRule="auto"/>
        <w:rPr>
          <w:sz w:val="20"/>
          <w:szCs w:val="20"/>
          <w:color w:val="auto"/>
        </w:rPr>
      </w:pPr>
      <w:r>
        <w:rPr>
          <w:rFonts w:ascii="Arial" w:cs="Arial" w:eastAsia="Arial" w:hAnsi="Arial"/>
          <w:sz w:val="16"/>
          <w:szCs w:val="16"/>
          <w:b w:val="1"/>
          <w:bCs w:val="1"/>
          <w:color w:val="auto"/>
        </w:rPr>
        <w:t xml:space="preserve">At-will Employment; Accrued Obligations. </w:t>
      </w:r>
      <w:r>
        <w:rPr>
          <w:rFonts w:ascii="Arial" w:cs="Arial" w:eastAsia="Arial" w:hAnsi="Arial"/>
          <w:sz w:val="16"/>
          <w:szCs w:val="16"/>
          <w:color w:val="auto"/>
        </w:rPr>
        <w:t>Your employment relationship with the Company is “at will,” meaning either you or the Company may</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it at any time for any or no reason. In the event of the ending of your employment for any reason, the Company shall pay you (i) your Base Salary through your last day of employment (the “Date of Termination”), (ii) any vested benefits you may have under any employee benefit or incentive plans of the Company through the Date of Termination, which vested benefits shall be paid and/or provided in accordance with the terms of such employee benefit plans, and (iii) the amount of any documented expenses properly incurred by you on behalf of the Company prior to any such termination and not yet reimbursed (collectively, the “Accrued Payments”). In addition, if your employment ceases due to your Death or Disability (as defined in the Severance Agreement), the Company will pay to you any otherwise earned but unpaid Bonus with respect to the year ending prior to the date of such cessation.</w:t>
      </w:r>
    </w:p>
    <w:p>
      <w:pPr>
        <w:spacing w:after="0" w:line="162" w:lineRule="exact"/>
        <w:rPr>
          <w:sz w:val="20"/>
          <w:szCs w:val="20"/>
          <w:color w:val="auto"/>
        </w:rPr>
      </w:pPr>
    </w:p>
    <w:p>
      <w:pPr>
        <w:ind w:right="60" w:firstLine="456"/>
        <w:spacing w:after="0" w:line="289" w:lineRule="auto"/>
        <w:rPr>
          <w:sz w:val="20"/>
          <w:szCs w:val="20"/>
          <w:color w:val="auto"/>
        </w:rPr>
      </w:pPr>
      <w:r>
        <w:rPr>
          <w:rFonts w:ascii="Arial" w:cs="Arial" w:eastAsia="Arial" w:hAnsi="Arial"/>
          <w:sz w:val="17"/>
          <w:szCs w:val="17"/>
          <w:b w:val="1"/>
          <w:bCs w:val="1"/>
          <w:color w:val="auto"/>
        </w:rPr>
        <w:t xml:space="preserve">Severance: </w:t>
      </w:r>
      <w:r>
        <w:rPr>
          <w:rFonts w:ascii="Arial" w:cs="Arial" w:eastAsia="Arial" w:hAnsi="Arial"/>
          <w:sz w:val="17"/>
          <w:szCs w:val="17"/>
          <w:color w:val="auto"/>
        </w:rPr>
        <w:t>In the event the Date of Termination is as a result of a Terminating Event as defined in the Severance and Change in Control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“Severance Agreement”) attached as Appendix 2, in addition to the Accrued Payments, you shall be entitled to severance pay and benefits subject to and in accordance with the Severance Agreement. The Severance Agreement is incorporated by reference herein.</w:t>
      </w:r>
    </w:p>
    <w:p>
      <w:pPr>
        <w:spacing w:after="0" w:line="158"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 xml:space="preserve">Confidential Information and Restricted Activities: </w:t>
      </w:r>
      <w:r>
        <w:rPr>
          <w:rFonts w:ascii="Arial" w:cs="Arial" w:eastAsia="Arial" w:hAnsi="Arial"/>
          <w:sz w:val="18"/>
          <w:szCs w:val="18"/>
          <w:color w:val="auto"/>
        </w:rPr>
        <w:t>As a material condition of your employment, you agree to enter into the Company’s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Non-Competition, Non-Solicitation, Confidentiality and Assignment Agreement. A copy of that Agreement is enclosed and the terms are incorporated by reference into this offer letter.</w:t>
      </w:r>
    </w:p>
    <w:p>
      <w:pPr>
        <w:spacing w:after="0" w:line="176" w:lineRule="exact"/>
        <w:rPr>
          <w:sz w:val="20"/>
          <w:szCs w:val="20"/>
          <w:color w:val="auto"/>
        </w:rPr>
      </w:pPr>
    </w:p>
    <w:p>
      <w:pPr>
        <w:ind w:right="120" w:firstLine="456"/>
        <w:spacing w:after="0" w:line="314" w:lineRule="auto"/>
        <w:rPr>
          <w:sz w:val="20"/>
          <w:szCs w:val="20"/>
          <w:color w:val="auto"/>
        </w:rPr>
      </w:pPr>
      <w:r>
        <w:rPr>
          <w:rFonts w:ascii="Arial" w:cs="Arial" w:eastAsia="Arial" w:hAnsi="Arial"/>
          <w:sz w:val="16"/>
          <w:szCs w:val="16"/>
          <w:b w:val="1"/>
          <w:bCs w:val="1"/>
          <w:color w:val="auto"/>
        </w:rPr>
        <w:t xml:space="preserve">Taxes: </w:t>
      </w:r>
      <w:r>
        <w:rPr>
          <w:rFonts w:ascii="Arial" w:cs="Arial" w:eastAsia="Arial" w:hAnsi="Arial"/>
          <w:sz w:val="16"/>
          <w:szCs w:val="16"/>
          <w:color w:val="auto"/>
        </w:rPr>
        <w:t>All forms of compensation referred to in this Agreement are subject to reduction to reflect applicable withholding and payroll taxes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deductions required by law. You hereby acknowledge that the Company does not have a duty to design its compensation policies in a manner that minimizes your tax liabilities, and you will not make any claim against the Company or its Board related to tax liabilities arising from your compensation.</w:t>
      </w:r>
    </w:p>
    <w:p>
      <w:pPr>
        <w:sectPr>
          <w:pgSz w:w="11900" w:h="16838" w:orient="portrait"/>
          <w:cols w:equalWidth="0" w:num="1">
            <w:col w:w="11400"/>
          </w:cols>
          <w:pgMar w:left="240" w:top="274" w:right="259" w:bottom="1440" w:gutter="0" w:footer="0" w:header="0"/>
        </w:sectPr>
      </w:pPr>
    </w:p>
    <w:bookmarkStart w:id="8" w:name="page9"/>
    <w:bookmarkEnd w:id="8"/>
    <w:p>
      <w:pPr>
        <w:ind w:firstLine="456"/>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Interpretation and Enforcemen</w:t>
      </w:r>
      <w:r>
        <w:rPr>
          <w:rFonts w:ascii="Arial" w:cs="Arial" w:eastAsia="Arial" w:hAnsi="Arial"/>
          <w:sz w:val="16"/>
          <w:szCs w:val="16"/>
          <w:color w:val="auto"/>
        </w:rPr>
        <w:t>t: This Agreement, including the Severance Agreement and the Equity Document, constitutes the complete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you and the Company, contains all the terms of your employment with the Company and supersedes any prior agreements, representations or understandings (whether written, oral or implied) between you and the Company. The terms of this Agreement and the resolution of any disputes as to the meaning, effect, performance or validity of this Agreement or arising out of, related to, or in any way connected with this Agreement, your employment with the Company or any other relationship between you and the Company (the “Disputes”) will be governed by the laws of the Commonwealth of Massachusetts, excluding laws relating to conflicts or choice of law. You and the Company submit to the exclusive personal jurisdiction of the federal and state courts located in the Commonwealth of Massachusetts in connection with any Disputes or any claim related to any Disputes.</w:t>
      </w:r>
    </w:p>
    <w:p>
      <w:pPr>
        <w:spacing w:after="0" w:line="1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Neither you nor the Company may make any assignment of this Agreement or any interest in it, by operation of law or otherwise,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the prior written consent of the other, provided however, that the Company may assign its rights and obligations under this Agreement (including the Severance Agreement) without your consent to any affiliate or to any person or entity with whom the Company shall hereafter effect a reorganization, consolidate with, or merge into or to whom it transfers all or substantially all of its properties or assets. This Agreement shall inure to the benefit of and be binding upon you and the Company, and each of your and its respective successors, executors, administrators, heirs and permitted assigns.</w:t>
      </w:r>
    </w:p>
    <w:p>
      <w:pPr>
        <w:spacing w:after="0" w:line="15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Miscellaneous: </w:t>
      </w:r>
      <w:r>
        <w:rPr>
          <w:rFonts w:ascii="Arial" w:cs="Arial" w:eastAsia="Arial" w:hAnsi="Arial"/>
          <w:sz w:val="18"/>
          <w:szCs w:val="18"/>
          <w:color w:val="auto"/>
        </w:rPr>
        <w:t>This Agreement may not be modified or amended, and no breach shall be deemed to be waived, unless agreed to in writing by you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CEO. The headings and captions in this Agreement are for convenience only and in no way define or describe the scope or content of any provision of this Agreement. The words “include,” “includes” and “including” when used herein shall be deemed in each case to be followed by the words “without limitation.” This Agreement may be executed in two or more counterparts, each of which shall be an original and all of which together shall constitute one and the same instruments.</w:t>
      </w:r>
    </w:p>
    <w:p>
      <w:pPr>
        <w:spacing w:after="0" w:line="18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Other Term</w:t>
      </w:r>
      <w:r>
        <w:rPr>
          <w:rFonts w:ascii="Arial" w:cs="Arial" w:eastAsia="Arial" w:hAnsi="Arial"/>
          <w:sz w:val="18"/>
          <w:szCs w:val="18"/>
          <w:color w:val="auto"/>
        </w:rPr>
        <w:t>s: By signing this Agreement, you represent to the Company that you have no contractual commitments or other legal obligations that</w:t>
      </w:r>
      <w:r>
        <w:rPr>
          <w:rFonts w:ascii="Arial" w:cs="Arial" w:eastAsia="Arial" w:hAnsi="Arial"/>
          <w:sz w:val="18"/>
          <w:szCs w:val="18"/>
          <w:b w:val="1"/>
          <w:bCs w:val="1"/>
          <w:color w:val="auto"/>
        </w:rPr>
        <w:t xml:space="preserve"> </w:t>
      </w:r>
      <w:r>
        <w:rPr>
          <w:rFonts w:ascii="Arial" w:cs="Arial" w:eastAsia="Arial" w:hAnsi="Arial"/>
          <w:sz w:val="18"/>
          <w:szCs w:val="18"/>
          <w:color w:val="auto"/>
        </w:rPr>
        <w:t>would or may prohibit you from performing your duties for the Company. Specifically, you represent that you are not bound by any employment contract, restrictive covenant or other restriction preventing you from entering into employment with or carrying out your responsibilities for the Company, or which is in any way inconsistent with the terms of this letter. As with any employee, you must submit satisfactory proof of your identity and your legal authorization to work in the United States.</w:t>
      </w:r>
    </w:p>
    <w:p>
      <w:pPr>
        <w:spacing w:after="0" w:line="184"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Indemnification: </w:t>
      </w:r>
      <w:r>
        <w:rPr>
          <w:rFonts w:ascii="Arial" w:cs="Arial" w:eastAsia="Arial" w:hAnsi="Arial"/>
          <w:sz w:val="18"/>
          <w:szCs w:val="18"/>
          <w:color w:val="auto"/>
        </w:rPr>
        <w:t>Both during and following your employment, the Company will (a) indemnify and defend you for acts performed in your capacity as</w:t>
      </w:r>
      <w:r>
        <w:rPr>
          <w:rFonts w:ascii="Arial" w:cs="Arial" w:eastAsia="Arial" w:hAnsi="Arial"/>
          <w:sz w:val="18"/>
          <w:szCs w:val="18"/>
          <w:b w:val="1"/>
          <w:bCs w:val="1"/>
          <w:color w:val="auto"/>
        </w:rPr>
        <w:t xml:space="preserve"> </w:t>
      </w:r>
      <w:r>
        <w:rPr>
          <w:rFonts w:ascii="Arial" w:cs="Arial" w:eastAsia="Arial" w:hAnsi="Arial"/>
          <w:sz w:val="18"/>
          <w:szCs w:val="18"/>
          <w:color w:val="auto"/>
        </w:rPr>
        <w:t>an employee or officer of the Company as specified in the Company’s by-laws, Certificate of Incorporation, and standard form of indemnification agreement to be entered into by you, and (b) provide you with directors’ and officers’ insurance at least equal to the coverage applicable to the then current officers and directors of the Company.</w:t>
      </w:r>
    </w:p>
    <w:p>
      <w:pPr>
        <w:spacing w:after="0" w:line="184"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We are excited about you becoming Zafgen’s Chief Business Officer. If you have any questions about this offer, please do not hesitate to contact me. Otherwise, please confirm your acceptance of this offer of employment by signing below and returning an unmodified copy to me no later than May 25, 2018.</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acknowledge, by signing below, that you have accepted this Agreement.</w:t>
      </w:r>
    </w:p>
    <w:p>
      <w:pPr>
        <w:sectPr>
          <w:pgSz w:w="11900" w:h="16838" w:orient="portrait"/>
          <w:cols w:equalWidth="0" w:num="1">
            <w:col w:w="11400"/>
          </w:cols>
          <w:pgMar w:left="240" w:top="270" w:right="259" w:bottom="1440" w:gutter="0" w:footer="0" w:header="0"/>
        </w:sectPr>
      </w:pPr>
    </w:p>
    <w:bookmarkStart w:id="9" w:name="page10"/>
    <w:bookmarkEnd w:id="9"/>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Zafgen,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 Hatfield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Jeff Hatfield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McVeigh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McVeigh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May 25, 2018</w:t>
      </w:r>
    </w:p>
    <w:p>
      <w:pPr>
        <w:sectPr>
          <w:pgSz w:w="11900" w:h="16838" w:orient="portrait"/>
          <w:cols w:equalWidth="0" w:num="1">
            <w:col w:w="11420"/>
          </w:cols>
          <w:pgMar w:left="240" w:top="274"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AND CHANGE IN CONTROL AGREEMENT</w:t>
      </w:r>
    </w:p>
    <w:p>
      <w:pPr>
        <w:spacing w:after="0" w:line="229"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This Severance and Change in Control Agreement (this “Agreement”) is made as of May 29, 2018, by and between Zafgen, Inc., a Delaware corporation (the “Company”), and Brian P. McVeigh (the “Employee”).</w:t>
      </w:r>
    </w:p>
    <w:p>
      <w:pPr>
        <w:spacing w:after="0" w:line="58" w:lineRule="exact"/>
        <w:rPr>
          <w:sz w:val="20"/>
          <w:szCs w:val="20"/>
          <w:color w:val="auto"/>
        </w:rPr>
      </w:pPr>
    </w:p>
    <w:p>
      <w:pPr>
        <w:ind w:right="40" w:firstLine="464"/>
        <w:spacing w:after="0" w:line="272" w:lineRule="auto"/>
        <w:tabs>
          <w:tab w:leader="none" w:pos="636" w:val="left"/>
        </w:tabs>
        <w:numPr>
          <w:ilvl w:val="1"/>
          <w:numId w:val="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Purpose</w:t>
      </w:r>
      <w:r>
        <w:rPr>
          <w:rFonts w:ascii="Arial" w:cs="Arial" w:eastAsia="Arial" w:hAnsi="Arial"/>
          <w:sz w:val="17"/>
          <w:szCs w:val="17"/>
          <w:color w:val="auto"/>
        </w:rPr>
        <w:t>. The Company considers it essential to the best interests of its stockholders to promote and preserve the continuous employment of key</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personnel. The Board of Directors of the Company (the “Board”) recognizes that, as is the case with many corporations, the possibility of a Change in Control (as defined in Section 2 hereof) exists and that such possibility, and the uncertainty and questions that it may raise among management, may result in the departure or distraction of key management personnel to the detriment of the Company and its stockholders. Therefore, the Board has determined that appropriate steps should be taken to reinforce and encourage the continued attention and dedication of members of the Company’s key management, including the Employee, to their assigned duties without distraction, including in the face of potentially disturbing circumstances arising from the possibility of a Change in Control. Nothing in this Agreement shall be construed to affect the at-will nature of the employment relationship, the Employee shall not have any right to be retained in the employ of the Company.</w:t>
      </w:r>
    </w:p>
    <w:p>
      <w:pPr>
        <w:spacing w:after="0" w:line="64" w:lineRule="exact"/>
        <w:rPr>
          <w:rFonts w:ascii="Arial" w:cs="Arial" w:eastAsia="Arial" w:hAnsi="Arial"/>
          <w:sz w:val="17"/>
          <w:szCs w:val="17"/>
          <w:b w:val="1"/>
          <w:bCs w:val="1"/>
          <w:color w:val="auto"/>
        </w:rPr>
      </w:pPr>
    </w:p>
    <w:p>
      <w:pPr>
        <w:jc w:val="both"/>
        <w:ind w:right="40" w:firstLine="464"/>
        <w:spacing w:after="0" w:line="293" w:lineRule="auto"/>
        <w:tabs>
          <w:tab w:leader="none" w:pos="636" w:val="left"/>
        </w:tabs>
        <w:numPr>
          <w:ilvl w:val="1"/>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in Control</w:t>
      </w:r>
      <w:r>
        <w:rPr>
          <w:rFonts w:ascii="Arial" w:cs="Arial" w:eastAsia="Arial" w:hAnsi="Arial"/>
          <w:sz w:val="16"/>
          <w:szCs w:val="16"/>
          <w:color w:val="auto"/>
        </w:rPr>
        <w:t>. A “Change in Control” shall be deemed to have occurred upon the occurrence of any one of the following events: (a) the sale or</w:t>
      </w:r>
      <w:r>
        <w:rPr>
          <w:rFonts w:ascii="Arial" w:cs="Arial" w:eastAsia="Arial" w:hAnsi="Arial"/>
          <w:sz w:val="16"/>
          <w:szCs w:val="16"/>
          <w:b w:val="1"/>
          <w:bCs w:val="1"/>
          <w:color w:val="auto"/>
        </w:rPr>
        <w:t xml:space="preserve"> </w:t>
      </w:r>
      <w:r>
        <w:rPr>
          <w:rFonts w:ascii="Arial" w:cs="Arial" w:eastAsia="Arial" w:hAnsi="Arial"/>
          <w:sz w:val="16"/>
          <w:szCs w:val="16"/>
          <w:color w:val="auto"/>
        </w:rPr>
        <w:t>exclusive out-license (even as to the Company) of all or substantially all of the assets of the Company on a consolidated basis to an unrelated person or entity,</w:t>
      </w:r>
    </w:p>
    <w:p>
      <w:pPr>
        <w:spacing w:after="0" w:line="1" w:lineRule="exact"/>
        <w:rPr>
          <w:rFonts w:ascii="Arial" w:cs="Arial" w:eastAsia="Arial" w:hAnsi="Arial"/>
          <w:sz w:val="16"/>
          <w:szCs w:val="16"/>
          <w:b w:val="1"/>
          <w:bCs w:val="1"/>
          <w:color w:val="auto"/>
        </w:rPr>
      </w:pPr>
    </w:p>
    <w:p>
      <w:pPr>
        <w:ind w:firstLine="8"/>
        <w:spacing w:after="0" w:line="268" w:lineRule="auto"/>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color w:val="auto"/>
        </w:rPr>
        <w:t>a merger, reorganization or consolidation pursuant to which the holders of the Company’s outstanding voting power and outstanding stock immediately prior to such transaction do not own a majority of the outstanding voting power or fair market value of the stock or other equity interests of the resulting or successor entity (or its ultimate parent, if applicable) immediately upon completion of such transaction, (c) the sale of all of the stock of the Company to an unrelated person, entity or group thereof acting in concert, or (d)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Notwithstanding any other provision of this Agreement, “Change in Control” shall be interpreted, administered and applied in a manner consistent and in compliance with a “change in control event” as set forth in Treasury Regulation Section 1.409A-3(i)(5) (“Change in Control Event”).</w:t>
      </w:r>
    </w:p>
    <w:p>
      <w:pPr>
        <w:spacing w:after="0" w:line="72" w:lineRule="exact"/>
        <w:rPr>
          <w:rFonts w:ascii="Arial" w:cs="Arial" w:eastAsia="Arial" w:hAnsi="Arial"/>
          <w:sz w:val="17"/>
          <w:szCs w:val="17"/>
          <w:color w:val="auto"/>
        </w:rPr>
      </w:pPr>
    </w:p>
    <w:p>
      <w:pPr>
        <w:ind w:left="640" w:hanging="176"/>
        <w:spacing w:after="0"/>
        <w:tabs>
          <w:tab w:leader="none" w:pos="64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Terminating Event</w:t>
      </w:r>
      <w:r>
        <w:rPr>
          <w:rFonts w:ascii="Arial" w:cs="Arial" w:eastAsia="Arial" w:hAnsi="Arial"/>
          <w:sz w:val="18"/>
          <w:szCs w:val="18"/>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“Terminating Event” shall mean any of the events provided in this Section 3:</w:t>
      </w:r>
    </w:p>
    <w:p>
      <w:pPr>
        <w:spacing w:after="0" w:line="117" w:lineRule="exact"/>
        <w:rPr>
          <w:sz w:val="20"/>
          <w:szCs w:val="20"/>
          <w:color w:val="auto"/>
        </w:rPr>
      </w:pPr>
    </w:p>
    <w:p>
      <w:pPr>
        <w:ind w:right="80" w:firstLine="921"/>
        <w:spacing w:after="0" w:line="308" w:lineRule="auto"/>
        <w:tabs>
          <w:tab w:leader="none" w:pos="1157"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Termination by the Company</w:t>
      </w:r>
      <w:r>
        <w:rPr>
          <w:rFonts w:ascii="Arial" w:cs="Arial" w:eastAsia="Arial" w:hAnsi="Arial"/>
          <w:sz w:val="17"/>
          <w:szCs w:val="17"/>
          <w:color w:val="auto"/>
        </w:rPr>
        <w:t>. Termination by the Company of the employment of the Employee with the Company for any reason other than for Cause, death or Disability. For purposes of this Agreement, “Cause” shall mean, as determined by the Company in good faith:</w:t>
      </w:r>
    </w:p>
    <w:p>
      <w:pPr>
        <w:sectPr>
          <w:pgSz w:w="11900" w:h="16838" w:orient="portrait"/>
          <w:cols w:equalWidth="0" w:num="1">
            <w:col w:w="11420"/>
          </w:cols>
          <w:pgMar w:left="240" w:top="121" w:right="239" w:bottom="1440" w:gutter="0" w:footer="0" w:header="0"/>
        </w:sectPr>
      </w:pPr>
    </w:p>
    <w:bookmarkStart w:id="11" w:name="page12"/>
    <w:bookmarkEnd w:id="11"/>
    <w:p>
      <w:pPr>
        <w:ind w:left="1560" w:hanging="219"/>
        <w:spacing w:after="0"/>
        <w:tabs>
          <w:tab w:leader="none" w:pos="1560" w:val="left"/>
        </w:tabs>
        <w:numPr>
          <w:ilvl w:val="0"/>
          <w:numId w:val="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commission by the Employee of any felony, any crime involving the Company, or any crime involving fraud or dishonesty;</w:t>
      </w:r>
    </w:p>
    <w:p>
      <w:pPr>
        <w:spacing w:after="0" w:line="128" w:lineRule="exact"/>
        <w:rPr>
          <w:rFonts w:ascii="Arial" w:cs="Arial" w:eastAsia="Arial" w:hAnsi="Arial"/>
          <w:sz w:val="17"/>
          <w:szCs w:val="17"/>
          <w:color w:val="auto"/>
        </w:rPr>
      </w:pPr>
    </w:p>
    <w:p>
      <w:pPr>
        <w:ind w:left="1600" w:hanging="259"/>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unauthorized use or disclosure of the Company’s proprietary information by the Employee;</w:t>
      </w:r>
    </w:p>
    <w:p>
      <w:pPr>
        <w:spacing w:after="0" w:line="117" w:lineRule="exact"/>
        <w:rPr>
          <w:rFonts w:ascii="Arial" w:cs="Arial" w:eastAsia="Arial" w:hAnsi="Arial"/>
          <w:sz w:val="18"/>
          <w:szCs w:val="18"/>
          <w:color w:val="auto"/>
        </w:rPr>
      </w:pPr>
    </w:p>
    <w:p>
      <w:pPr>
        <w:ind w:left="460" w:right="480" w:firstLine="881"/>
        <w:spacing w:after="0" w:line="277" w:lineRule="auto"/>
        <w:tabs>
          <w:tab w:leader="none" w:pos="1651"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intentional misconduct or gross negligence on the Employee’s part which has a materially adverse effect on the Company’s business or reputation; or</w:t>
      </w:r>
    </w:p>
    <w:p>
      <w:pPr>
        <w:spacing w:after="0" w:line="62" w:lineRule="exact"/>
        <w:rPr>
          <w:rFonts w:ascii="Arial" w:cs="Arial" w:eastAsia="Arial" w:hAnsi="Arial"/>
          <w:sz w:val="18"/>
          <w:szCs w:val="18"/>
          <w:color w:val="auto"/>
        </w:rPr>
      </w:pPr>
    </w:p>
    <w:p>
      <w:pPr>
        <w:ind w:left="460" w:right="320" w:firstLine="881"/>
        <w:spacing w:after="0" w:line="277" w:lineRule="auto"/>
        <w:tabs>
          <w:tab w:leader="none" w:pos="164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Employee’s repeated and willful failure to perform the duties, functions and responsibilities of the Employee’s position after a written warning from the Company.</w:t>
      </w:r>
    </w:p>
    <w:p>
      <w:pPr>
        <w:spacing w:after="0" w:line="170"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A Terminating Event shall not be deemed to have occurred pursuant to this Section 3(a) solely as a result of the Employee being an employee of any direct or indirect successor to the business or assets of the Company, rather than continuing as an employee of the Company following a Change in Control. For purposes hereof, the Employee will be considered “Disabled” if, as a result of the Employee’s incapacity due to physical or mental illness, the Employee shall have been absent from his duties to the Company on a full-time basis for 180 calendar days in the aggregate in any 12-month period.</w:t>
      </w:r>
    </w:p>
    <w:p>
      <w:pPr>
        <w:spacing w:after="0" w:line="46" w:lineRule="exact"/>
        <w:rPr>
          <w:sz w:val="20"/>
          <w:szCs w:val="20"/>
          <w:color w:val="auto"/>
        </w:rPr>
      </w:pPr>
    </w:p>
    <w:p>
      <w:pPr>
        <w:jc w:val="both"/>
        <w:ind w:right="60" w:firstLine="921"/>
        <w:spacing w:after="0" w:line="264" w:lineRule="auto"/>
        <w:tabs>
          <w:tab w:leader="none" w:pos="116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Termination by the Employee for Good Reason</w:t>
      </w:r>
      <w:r>
        <w:rPr>
          <w:rFonts w:ascii="Arial" w:cs="Arial" w:eastAsia="Arial" w:hAnsi="Arial"/>
          <w:sz w:val="18"/>
          <w:szCs w:val="18"/>
          <w:color w:val="auto"/>
        </w:rPr>
        <w:t>. Termination by the Employee of the Employee’s employment with the Company for Good Reason. For purposes of this Agreement, “Good Reason” shall mean that the Employee has complied with the “Good Reason Process” (hereinafter defined) following, the occurrence of any of the following events:</w:t>
      </w:r>
    </w:p>
    <w:p>
      <w:pPr>
        <w:spacing w:after="0" w:line="73" w:lineRule="exact"/>
        <w:rPr>
          <w:rFonts w:ascii="Arial" w:cs="Arial" w:eastAsia="Arial" w:hAnsi="Arial"/>
          <w:sz w:val="18"/>
          <w:szCs w:val="18"/>
          <w:color w:val="auto"/>
        </w:rPr>
      </w:pPr>
    </w:p>
    <w:p>
      <w:pPr>
        <w:ind w:left="1560" w:hanging="219"/>
        <w:spacing w:after="0"/>
        <w:tabs>
          <w:tab w:leader="none" w:pos="15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material diminution in the Employee’s title, responsibilities, authority or duties;</w:t>
      </w:r>
    </w:p>
    <w:p>
      <w:pPr>
        <w:spacing w:after="0" w:line="117" w:lineRule="exact"/>
        <w:rPr>
          <w:rFonts w:ascii="Arial" w:cs="Arial" w:eastAsia="Arial" w:hAnsi="Arial"/>
          <w:sz w:val="18"/>
          <w:szCs w:val="18"/>
          <w:color w:val="auto"/>
        </w:rPr>
      </w:pPr>
    </w:p>
    <w:p>
      <w:pPr>
        <w:ind w:left="460" w:right="200" w:firstLine="881"/>
        <w:spacing w:after="0" w:line="277" w:lineRule="auto"/>
        <w:tabs>
          <w:tab w:leader="none" w:pos="1601" w:val="left"/>
        </w:tabs>
        <w:numPr>
          <w:ilvl w:val="1"/>
          <w:numId w:val="9"/>
        </w:numPr>
        <w:rPr>
          <w:rFonts w:ascii="Arial" w:cs="Arial" w:eastAsia="Arial" w:hAnsi="Arial"/>
          <w:sz w:val="18"/>
          <w:szCs w:val="18"/>
          <w:color w:val="auto"/>
        </w:rPr>
      </w:pPr>
      <w:r>
        <w:rPr>
          <w:rFonts w:ascii="Arial" w:cs="Arial" w:eastAsia="Arial" w:hAnsi="Arial"/>
          <w:sz w:val="18"/>
          <w:szCs w:val="18"/>
          <w:color w:val="auto"/>
        </w:rPr>
        <w:t>a material diminution in the Employee’s base salary except for across-the-board salary reductions based on the Company’s financial performance similarly affecting all or substantially all senior management employees of the Company;</w:t>
      </w:r>
    </w:p>
    <w:p>
      <w:pPr>
        <w:spacing w:after="0" w:line="62" w:lineRule="exact"/>
        <w:rPr>
          <w:rFonts w:ascii="Arial" w:cs="Arial" w:eastAsia="Arial" w:hAnsi="Arial"/>
          <w:sz w:val="18"/>
          <w:szCs w:val="18"/>
          <w:color w:val="auto"/>
        </w:rPr>
      </w:pPr>
    </w:p>
    <w:p>
      <w:pPr>
        <w:ind w:left="1660" w:hanging="319"/>
        <w:spacing w:after="0"/>
        <w:tabs>
          <w:tab w:leader="none" w:pos="1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 breach by the Company of the material terms of this Agreement or any other written agreement between the Company and the</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Employee; or</w:t>
      </w:r>
    </w:p>
    <w:p>
      <w:pPr>
        <w:spacing w:after="0" w:line="102" w:lineRule="exact"/>
        <w:rPr>
          <w:rFonts w:ascii="Arial" w:cs="Arial" w:eastAsia="Arial" w:hAnsi="Arial"/>
          <w:sz w:val="16"/>
          <w:szCs w:val="16"/>
          <w:color w:val="auto"/>
        </w:rPr>
      </w:pPr>
    </w:p>
    <w:p>
      <w:pPr>
        <w:ind w:left="460" w:right="360" w:firstLine="881"/>
        <w:spacing w:after="0" w:line="277" w:lineRule="auto"/>
        <w:tabs>
          <w:tab w:leader="none" w:pos="1641" w:val="left"/>
        </w:tabs>
        <w:numPr>
          <w:ilvl w:val="1"/>
          <w:numId w:val="9"/>
        </w:numPr>
        <w:rPr>
          <w:rFonts w:ascii="Arial" w:cs="Arial" w:eastAsia="Arial" w:hAnsi="Arial"/>
          <w:sz w:val="18"/>
          <w:szCs w:val="18"/>
          <w:color w:val="auto"/>
        </w:rPr>
      </w:pPr>
      <w:r>
        <w:rPr>
          <w:rFonts w:ascii="Arial" w:cs="Arial" w:eastAsia="Arial" w:hAnsi="Arial"/>
          <w:sz w:val="18"/>
          <w:szCs w:val="18"/>
          <w:color w:val="auto"/>
        </w:rPr>
        <w:t>a 50 mile or greater change in the geographic location at which the Employee is required to provide services to the Company, not including business travel and short-term assignments.</w:t>
      </w:r>
    </w:p>
    <w:p>
      <w:pPr>
        <w:spacing w:after="0" w:line="17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“Good Reason Process” shall mean that (i) the Employee reasonably determines in good faith that a “Good Reason” condition has occurred; (ii) the Employee notifies the Company in writing of the first occurrence of the Good Reason condition within 60 days of the first occurrence of such condition;</w:t>
      </w:r>
    </w:p>
    <w:p>
      <w:pPr>
        <w:ind w:right="320" w:firstLine="8"/>
        <w:spacing w:after="0" w:line="255"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Employee cooperates in good faith with the Company’s efforts, for a period not less than 30 days following such notice (the “Cure Period”), to remedy the condition; (iv) notwithstanding such efforts, the Good Reason condition continues to exist; and (v) the Employee terminates his employment within 60 days after the end of the Cure Period.</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74"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Company cures the Good Reason condition during the Cure Period, Good Reason shall be deemed not to have occurred.</w:t>
      </w:r>
    </w:p>
    <w:p>
      <w:pPr>
        <w:spacing w:after="0" w:line="113" w:lineRule="exact"/>
        <w:rPr>
          <w:sz w:val="20"/>
          <w:szCs w:val="20"/>
          <w:color w:val="auto"/>
        </w:rPr>
      </w:pPr>
    </w:p>
    <w:p>
      <w:pPr>
        <w:ind w:right="80" w:firstLine="464"/>
        <w:spacing w:after="0" w:line="254" w:lineRule="auto"/>
        <w:tabs>
          <w:tab w:leader="none" w:pos="636"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Control Payment</w:t>
      </w:r>
      <w:r>
        <w:rPr>
          <w:rFonts w:ascii="Arial" w:cs="Arial" w:eastAsia="Arial" w:hAnsi="Arial"/>
          <w:sz w:val="18"/>
          <w:szCs w:val="18"/>
          <w:color w:val="auto"/>
        </w:rPr>
        <w:t>. In the event a Terminating Event occurs on or within the 12 months immediately after a Change in Control (such</w:t>
      </w:r>
      <w:r>
        <w:rPr>
          <w:rFonts w:ascii="Arial" w:cs="Arial" w:eastAsia="Arial" w:hAnsi="Arial"/>
          <w:sz w:val="18"/>
          <w:szCs w:val="18"/>
          <w:b w:val="1"/>
          <w:bCs w:val="1"/>
          <w:color w:val="auto"/>
        </w:rPr>
        <w:t xml:space="preserve"> </w:t>
      </w:r>
      <w:r>
        <w:rPr>
          <w:rFonts w:ascii="Arial" w:cs="Arial" w:eastAsia="Arial" w:hAnsi="Arial"/>
          <w:sz w:val="18"/>
          <w:szCs w:val="18"/>
          <w:color w:val="auto"/>
        </w:rPr>
        <w:t>12-month period, the “Change in Control Period”), subject to the Employee signing a separation agreement containing, among other provisions, a general release of claims in favor of the Company and related persons and entities (but other than claims or future claims (i) for the payments to be made, benefits to be provided and equity awards to be accelerated to or with regard to the Employee pursuant to this Agreement, (ii) for indemnification at law, pursuant to the Company’s certificate of incorporation and/or by-laws, any other written agreement between the Company and the Employee, and any governing document concerning a group benefit plan provided by or sponsored by the Company and in which the Employee is a participant, administrator or fiduciary, (iii) as the holder of securities of the Company, or (iv) for insurance coverage or costs of defense available to the Employee under any policy maintained by the Company), confidentiality, return of property and non-disparagement, in a form and manner reasonably satisfactory to the Company (the “Separation Agreement and Release”) and the Separation Agreement and Release becoming irrevocable, all within 60 days after the Date of Termination, the following shall occur:</w:t>
      </w:r>
    </w:p>
    <w:p>
      <w:pPr>
        <w:spacing w:after="0" w:line="82" w:lineRule="exact"/>
        <w:rPr>
          <w:rFonts w:ascii="Arial" w:cs="Arial" w:eastAsia="Arial" w:hAnsi="Arial"/>
          <w:sz w:val="18"/>
          <w:szCs w:val="18"/>
          <w:b w:val="1"/>
          <w:bCs w:val="1"/>
          <w:color w:val="auto"/>
        </w:rPr>
      </w:pPr>
    </w:p>
    <w:p>
      <w:pPr>
        <w:ind w:firstLine="921"/>
        <w:spacing w:after="0" w:line="308" w:lineRule="auto"/>
        <w:tabs>
          <w:tab w:leader="none" w:pos="1158"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Company shall pay to the Employee an amount equal to 12 months of the Employee’s annual base salary in effect immediately prior to the Terminating Event (or the Employee’s annual base salary in effect immediately prior to the Change in Control, if higher);</w:t>
      </w:r>
    </w:p>
    <w:p>
      <w:pPr>
        <w:spacing w:after="0" w:line="38" w:lineRule="exact"/>
        <w:rPr>
          <w:rFonts w:ascii="Arial" w:cs="Arial" w:eastAsia="Arial" w:hAnsi="Arial"/>
          <w:sz w:val="17"/>
          <w:szCs w:val="17"/>
          <w:color w:val="auto"/>
        </w:rPr>
      </w:pPr>
    </w:p>
    <w:p>
      <w:pPr>
        <w:ind w:right="320" w:firstLine="921"/>
        <w:spacing w:after="0" w:line="259" w:lineRule="auto"/>
        <w:tabs>
          <w:tab w:leader="none" w:pos="11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the Employee was participating in the Company’s group health plan immediately prior to the Date of Termination and elects COBRA health continuation, then the Company shall pay to the Employee a monthly cash payment for 12 months, in an amount equal to the monthly employer contribution that the Company would have made to provide health insurance to the Employee (and his eligible dependents) if the Employee had remained employed by the Company;</w:t>
      </w:r>
    </w:p>
    <w:p>
      <w:pPr>
        <w:spacing w:after="0" w:line="78" w:lineRule="exact"/>
        <w:rPr>
          <w:rFonts w:ascii="Arial" w:cs="Arial" w:eastAsia="Arial" w:hAnsi="Arial"/>
          <w:sz w:val="18"/>
          <w:szCs w:val="18"/>
          <w:color w:val="auto"/>
        </w:rPr>
      </w:pPr>
    </w:p>
    <w:p>
      <w:pPr>
        <w:ind w:right="380" w:firstLine="921"/>
        <w:spacing w:after="0" w:line="264" w:lineRule="auto"/>
        <w:tabs>
          <w:tab w:leader="none" w:pos="1158"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notwithstanding anything to the contrary in any applicable option agreement or stock-based award agreement, all stock options and other stock-based awards with time-based vesting held by the Employee shall immediately accelerate and become fully exercisable or nonforfeitable as of the Employee’s Date of Termination; and</w:t>
      </w:r>
    </w:p>
    <w:p>
      <w:pPr>
        <w:spacing w:after="0" w:line="73" w:lineRule="exact"/>
        <w:rPr>
          <w:rFonts w:ascii="Arial" w:cs="Arial" w:eastAsia="Arial" w:hAnsi="Arial"/>
          <w:sz w:val="18"/>
          <w:szCs w:val="18"/>
          <w:color w:val="auto"/>
        </w:rPr>
      </w:pPr>
    </w:p>
    <w:p>
      <w:pPr>
        <w:ind w:right="100" w:firstLine="921"/>
        <w:spacing w:after="0" w:line="264" w:lineRule="auto"/>
        <w:tabs>
          <w:tab w:leader="none" w:pos="11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amounts payable under this Section 4 shall be paid out in a lump sum commencing within 60 days after the Date of Termination; provided, however, that if the 60-day period begins in one calendar year and ends in a second calendar year, the amounts shall be paid in the second calendar year by the last day of such 60-day period.</w:t>
      </w:r>
    </w:p>
    <w:p>
      <w:pPr>
        <w:spacing w:after="0" w:line="69" w:lineRule="exact"/>
        <w:rPr>
          <w:rFonts w:ascii="Arial" w:cs="Arial" w:eastAsia="Arial" w:hAnsi="Arial"/>
          <w:sz w:val="18"/>
          <w:szCs w:val="18"/>
          <w:color w:val="auto"/>
        </w:rPr>
      </w:pPr>
    </w:p>
    <w:p>
      <w:pPr>
        <w:ind w:right="160" w:firstLine="464"/>
        <w:spacing w:after="0" w:line="293" w:lineRule="auto"/>
        <w:tabs>
          <w:tab w:leader="none" w:pos="636"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Severance Outside the Change in Control Period</w:t>
      </w:r>
      <w:r>
        <w:rPr>
          <w:rFonts w:ascii="Arial" w:cs="Arial" w:eastAsia="Arial" w:hAnsi="Arial"/>
          <w:sz w:val="16"/>
          <w:szCs w:val="16"/>
          <w:color w:val="auto"/>
        </w:rPr>
        <w:t>. In the event a Terminating Event occurs at any time other than during the 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Period, subject to the Employee signing the Separation Agreement and Release and the Separation Agreement and Release becoming irrevocable, all within</w:t>
      </w:r>
    </w:p>
    <w:p>
      <w:pPr>
        <w:spacing w:after="0" w:line="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60 days after the Date of Termination, the following shall occur:</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3" w:name="page14"/>
    <w:bookmarkEnd w:id="13"/>
    <w:p>
      <w:pPr>
        <w:ind w:left="-40" w:right="60" w:firstLine="921"/>
        <w:spacing w:after="0" w:line="277" w:lineRule="auto"/>
        <w:tabs>
          <w:tab w:leader="none" w:pos="1118" w:val="left"/>
        </w:tabs>
        <w:numPr>
          <w:ilvl w:val="1"/>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pay to the Employee an amount equal to 9 months of the Employee’s annual base salary in effect immediately prior to the Terminating Event;</w:t>
      </w:r>
    </w:p>
    <w:p>
      <w:pPr>
        <w:spacing w:after="0" w:line="62" w:lineRule="exact"/>
        <w:rPr>
          <w:rFonts w:ascii="Arial" w:cs="Arial" w:eastAsia="Arial" w:hAnsi="Arial"/>
          <w:sz w:val="18"/>
          <w:szCs w:val="18"/>
          <w:color w:val="auto"/>
        </w:rPr>
      </w:pPr>
    </w:p>
    <w:p>
      <w:pPr>
        <w:ind w:left="-40" w:right="300" w:firstLine="921"/>
        <w:spacing w:after="0" w:line="259" w:lineRule="auto"/>
        <w:tabs>
          <w:tab w:leader="none" w:pos="1128"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the Employee was participating in the Company’s group health plan immediately prior to the Date of Termination and elects COBRA health continuation, then the Company shall pay to the Employee a monthly cash payment for 9 months in an amount equal to the monthly employer contribution that the Company would have made to provide health insurance to the Employee (and his eligible dependents) if the Employee had remained employed by the Company; and</w:t>
      </w:r>
    </w:p>
    <w:p>
      <w:pPr>
        <w:spacing w:after="0" w:line="78" w:lineRule="exact"/>
        <w:rPr>
          <w:rFonts w:ascii="Arial" w:cs="Arial" w:eastAsia="Arial" w:hAnsi="Arial"/>
          <w:sz w:val="18"/>
          <w:szCs w:val="18"/>
          <w:color w:val="auto"/>
        </w:rPr>
      </w:pPr>
    </w:p>
    <w:p>
      <w:pPr>
        <w:ind w:left="-40" w:right="80" w:firstLine="921"/>
        <w:spacing w:after="0" w:line="302" w:lineRule="auto"/>
        <w:tabs>
          <w:tab w:leader="none" w:pos="1118"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amounts payable under this Section 5 shall be paid out in substantially equal installments in accordance with the Company’s payroll practice over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w:t>
      </w:r>
    </w:p>
    <w:p>
      <w:pPr>
        <w:spacing w:after="0" w:line="42" w:lineRule="exact"/>
        <w:rPr>
          <w:rFonts w:ascii="Arial" w:cs="Arial" w:eastAsia="Arial" w:hAnsi="Arial"/>
          <w:sz w:val="16"/>
          <w:szCs w:val="16"/>
          <w:color w:val="auto"/>
        </w:rPr>
      </w:pPr>
    </w:p>
    <w:p>
      <w:pPr>
        <w:ind w:left="600" w:hanging="176"/>
        <w:spacing w:after="0"/>
        <w:tabs>
          <w:tab w:leader="none" w:pos="6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Limitation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0" w:firstLine="921"/>
        <w:spacing w:after="0" w:line="268" w:lineRule="auto"/>
        <w:tabs>
          <w:tab w:leader="none" w:pos="1118"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in the event that the amount of any compensation, payment or distribution by the Company to or for the benefit of the Employee, whether paid or payable or distributed or distributable pursuant to the terms of this Agreement or otherwise, calculated in a manner consistent with Section 280G of the Internal Revenue Code of 1986, as amended (the “Code”) and the applicable regulations thereunder (the “Compensatory Payments”), would be subject to the excise tax imposed by Section 4999 of the Code, (or any successor provision), then the Compensatory Payments shall be reduced so that the sum of all of the Compensatory Payments shall be $1.00 less than the amount at which the Employee becomes subject to the excise tax imposed by Section 4999 of the Code (or any successor provision); provided that such reduction shall only occur if it would result in the Employee receiving a higher After Tax Amount (as defined below) than the Employee would receive if the Compensatory Payments were not subject to such reduction. In such event, the Compensatory Payments shall be reduced in the following order, in each case, in reverse chronological order beginning with the Compensatory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provided that in the case of all the foregoing Compensatory Payments all amounts or payments that are not subject to calculation under Treas. Reg. §1.280G-1, Q&amp;A-24(b) or (c) shall be reduced before any amounts that are subject to calculation under Treas. Reg. §1.280G-1, Q&amp;A-24(b) or (c).</w:t>
      </w:r>
    </w:p>
    <w:p>
      <w:pPr>
        <w:spacing w:after="0" w:line="79" w:lineRule="exact"/>
        <w:rPr>
          <w:rFonts w:ascii="Arial" w:cs="Arial" w:eastAsia="Arial" w:hAnsi="Arial"/>
          <w:sz w:val="17"/>
          <w:szCs w:val="17"/>
          <w:color w:val="auto"/>
        </w:rPr>
      </w:pPr>
    </w:p>
    <w:p>
      <w:pPr>
        <w:ind w:left="-40" w:right="300" w:firstLine="921"/>
        <w:spacing w:after="0" w:line="259" w:lineRule="auto"/>
        <w:tabs>
          <w:tab w:leader="none" w:pos="1128"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 purposes of this Section 6, the “After Tax Amount” means the amount of the Compensatory Payments less all federal, state, and local income, excise and employment taxes imposed on the Employee as a result of the Employee’s receipt of the Compensatory Payments. For purposes of determining the After Tax Amount, the Employee shall be deemed to pay federal income taxes at the highest marginal rate of federal income taxation applicable to</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274" w:right="279" w:bottom="1440" w:gutter="0" w:footer="0" w:header="0"/>
        </w:sectPr>
      </w:pPr>
    </w:p>
    <w:bookmarkStart w:id="14" w:name="page15"/>
    <w:bookmarkEnd w:id="14"/>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73" w:lineRule="exact"/>
        <w:rPr>
          <w:sz w:val="20"/>
          <w:szCs w:val="20"/>
          <w:color w:val="auto"/>
        </w:rPr>
      </w:pPr>
    </w:p>
    <w:p>
      <w:pPr>
        <w:ind w:right="500" w:firstLine="921"/>
        <w:spacing w:after="0" w:line="279" w:lineRule="auto"/>
        <w:tabs>
          <w:tab w:leader="none" w:pos="1158"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determination as to whether a reduction in the Compensatory Payments shall be made pursuant to Section 6(a) shall be made by an accounting firm selected by the Company (the “Accounting Firm”), which shall provide detailed supporting calculations both to the Company and the Employee within 15 business days of the Date of Termination, if applicable, or at such earlier time as is reasonably requested by the Company or the Employee. Any determination by the Accounting Firm shall be binding upon the Company and the Employee.</w:t>
      </w:r>
    </w:p>
    <w:p>
      <w:pPr>
        <w:spacing w:after="0" w:line="59" w:lineRule="exact"/>
        <w:rPr>
          <w:rFonts w:ascii="Arial" w:cs="Arial" w:eastAsia="Arial" w:hAnsi="Arial"/>
          <w:sz w:val="17"/>
          <w:szCs w:val="17"/>
          <w:color w:val="auto"/>
        </w:rPr>
      </w:pPr>
    </w:p>
    <w:p>
      <w:pPr>
        <w:ind w:left="640" w:hanging="176"/>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firstLine="921"/>
        <w:spacing w:after="0" w:line="273" w:lineRule="auto"/>
        <w:tabs>
          <w:tab w:leader="none" w:pos="1158" w:val="left"/>
        </w:tabs>
        <w:numPr>
          <w:ilvl w:val="1"/>
          <w:numId w:val="15"/>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if at the time of the Employee’s “separation from service” within the meaning of Section 409A of the Code, the Company determines that the Employee is a “specified employee” within the meaning of Section 409A(a)(2)(B)(i) of the Code, then to the extent any payment or benefit that the Employee becomes entitled to under this Agreement on account of the Employee’s separation from service would be considered deferred compensation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Employee’s separation from service, or (B) the Employee’s death.</w:t>
      </w:r>
    </w:p>
    <w:p>
      <w:pPr>
        <w:spacing w:after="0" w:line="70" w:lineRule="exact"/>
        <w:rPr>
          <w:rFonts w:ascii="Arial" w:cs="Arial" w:eastAsia="Arial" w:hAnsi="Arial"/>
          <w:sz w:val="17"/>
          <w:szCs w:val="17"/>
          <w:color w:val="auto"/>
        </w:rPr>
      </w:pPr>
    </w:p>
    <w:p>
      <w:pPr>
        <w:ind w:right="20" w:firstLine="921"/>
        <w:spacing w:after="0" w:line="255" w:lineRule="auto"/>
        <w:tabs>
          <w:tab w:leader="none" w:pos="11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as not to be part of this Agreement or in compliance with Section 409A of the Code so that all payments hereunder are either exempt or comply with 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 Each payment pursuant to this Agreement is intended to constitute a separate payment for purposes of applying Section 409A, any exemptions thereto and Treasury Regulation Section 1.409A-2(b)(2).</w:t>
      </w:r>
    </w:p>
    <w:p>
      <w:pPr>
        <w:spacing w:after="0" w:line="81" w:lineRule="exact"/>
        <w:rPr>
          <w:rFonts w:ascii="Arial" w:cs="Arial" w:eastAsia="Arial" w:hAnsi="Arial"/>
          <w:sz w:val="18"/>
          <w:szCs w:val="18"/>
          <w:color w:val="auto"/>
        </w:rPr>
      </w:pPr>
    </w:p>
    <w:p>
      <w:pPr>
        <w:ind w:firstLine="921"/>
        <w:spacing w:after="0" w:line="297" w:lineRule="auto"/>
        <w:tabs>
          <w:tab w:leader="none" w:pos="1158"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in-kind benefits provided and expenses eligible for reimbursement under this Agreement shall be provided by the Company or incurred by the Employee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5" w:name="page16"/>
    <w:bookmarkEnd w:id="15"/>
    <w:p>
      <w:pPr>
        <w:ind w:left="-8" w:right="40" w:firstLine="921"/>
        <w:spacing w:after="0" w:line="279" w:lineRule="auto"/>
        <w:tabs>
          <w:tab w:leader="none" w:pos="1160" w:val="left"/>
        </w:tabs>
        <w:numPr>
          <w:ilvl w:val="2"/>
          <w:numId w:val="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extent that any payment or benefit described in this Agreement constitutes “non-qualified deferred compensation” under Section 409A of the Code, and to the extent that such payment or benefit is payable upon the Employee’s termination of employment, then such payments or benefits shall be payable only upon the Employee’s “separation from service.” The determination of whether and when a separation from service has occurred shall be made in accordance with the presumptions set forth in Treasury Regulation Section 1.409A-1(h).</w:t>
      </w:r>
    </w:p>
    <w:p>
      <w:pPr>
        <w:spacing w:after="0" w:line="63" w:lineRule="exact"/>
        <w:rPr>
          <w:rFonts w:ascii="Arial" w:cs="Arial" w:eastAsia="Arial" w:hAnsi="Arial"/>
          <w:sz w:val="17"/>
          <w:szCs w:val="17"/>
          <w:color w:val="auto"/>
        </w:rPr>
      </w:pPr>
    </w:p>
    <w:p>
      <w:pPr>
        <w:jc w:val="both"/>
        <w:ind w:left="-8" w:right="200" w:firstLine="921"/>
        <w:spacing w:after="0" w:line="264" w:lineRule="auto"/>
        <w:tabs>
          <w:tab w:leader="none" w:pos="115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Employee or any other person if any provisions of this Agreement are determined to constitute deferred compensation subject to Section 409A of the Code but do not satisfy an exemption from, or the conditions of, such Section.</w:t>
      </w:r>
    </w:p>
    <w:p>
      <w:pPr>
        <w:spacing w:after="0" w:line="69" w:lineRule="exact"/>
        <w:rPr>
          <w:rFonts w:ascii="Arial" w:cs="Arial" w:eastAsia="Arial" w:hAnsi="Arial"/>
          <w:sz w:val="18"/>
          <w:szCs w:val="18"/>
          <w:color w:val="auto"/>
        </w:rPr>
      </w:pPr>
    </w:p>
    <w:p>
      <w:pPr>
        <w:jc w:val="both"/>
        <w:ind w:left="-8" w:right="100" w:firstLine="464"/>
        <w:spacing w:after="0" w:line="266" w:lineRule="auto"/>
        <w:tabs>
          <w:tab w:leader="none" w:pos="628"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This Agreement shall take effect on the date first set forth above and shall terminate upon the earlier of (a) the termination of the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for any reason other than the occurrence of a Terminating Event, or (b) the date all amounts have been paid to the Employee upon a Terminating Event pursuant to Section 4 or Section 5 hereof, as applicable.</w:t>
      </w:r>
    </w:p>
    <w:p>
      <w:pPr>
        <w:spacing w:after="0" w:line="68" w:lineRule="exact"/>
        <w:rPr>
          <w:rFonts w:ascii="Arial" w:cs="Arial" w:eastAsia="Arial" w:hAnsi="Arial"/>
          <w:sz w:val="18"/>
          <w:szCs w:val="18"/>
          <w:b w:val="1"/>
          <w:bCs w:val="1"/>
          <w:color w:val="auto"/>
        </w:rPr>
      </w:pPr>
    </w:p>
    <w:p>
      <w:pPr>
        <w:ind w:left="-8" w:right="300" w:firstLine="464"/>
        <w:spacing w:after="0" w:line="282" w:lineRule="auto"/>
        <w:tabs>
          <w:tab w:leader="none" w:pos="628"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All payments made by the Company to the Employee under this Agreement shall be net of any tax or other amounts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by the Company under applicable law.</w:t>
      </w:r>
    </w:p>
    <w:p>
      <w:pPr>
        <w:spacing w:after="0" w:line="53" w:lineRule="exact"/>
        <w:rPr>
          <w:rFonts w:ascii="Arial" w:cs="Arial" w:eastAsia="Arial" w:hAnsi="Arial"/>
          <w:sz w:val="18"/>
          <w:szCs w:val="18"/>
          <w:b w:val="1"/>
          <w:bCs w:val="1"/>
          <w:color w:val="auto"/>
        </w:rPr>
      </w:pPr>
    </w:p>
    <w:p>
      <w:pPr>
        <w:ind w:left="732" w:hanging="276"/>
        <w:spacing w:after="0"/>
        <w:tabs>
          <w:tab w:leader="none" w:pos="732"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 and Date of Termination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jc w:val="both"/>
        <w:ind w:left="-8" w:right="100" w:firstLine="921"/>
        <w:spacing w:after="0" w:line="259" w:lineRule="auto"/>
        <w:tabs>
          <w:tab w:leader="none" w:pos="1149" w:val="left"/>
        </w:tabs>
        <w:numPr>
          <w:ilvl w:val="2"/>
          <w:numId w:val="17"/>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After a Change in Control and during the term of this Agreement, any purported termination of the Employee’s employment (other than by reason of death) shall be communicated by written Notice of Termination from one party hereto to the other party hereto in accordance with this Section 10. For purposes of this Agreement, a “Notice of Termination” shall mean a notice which shall indicate the specific termination provision in this Agreement relied upon.</w:t>
      </w:r>
    </w:p>
    <w:p>
      <w:pPr>
        <w:spacing w:after="0" w:line="78" w:lineRule="exact"/>
        <w:rPr>
          <w:rFonts w:ascii="Arial" w:cs="Arial" w:eastAsia="Arial" w:hAnsi="Arial"/>
          <w:sz w:val="18"/>
          <w:szCs w:val="18"/>
          <w:color w:val="auto"/>
        </w:rPr>
      </w:pPr>
    </w:p>
    <w:p>
      <w:pPr>
        <w:ind w:left="1172" w:hanging="259"/>
        <w:spacing w:after="0"/>
        <w:tabs>
          <w:tab w:leader="none" w:pos="1172" w:val="left"/>
        </w:tabs>
        <w:numPr>
          <w:ilvl w:val="2"/>
          <w:numId w:val="17"/>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shall mean: (i) if the Employee’s employment is terminated by his death, the date of his death;</w:t>
      </w:r>
    </w:p>
    <w:p>
      <w:pPr>
        <w:spacing w:after="0" w:line="46" w:lineRule="exact"/>
        <w:rPr>
          <w:rFonts w:ascii="Arial" w:cs="Arial" w:eastAsia="Arial" w:hAnsi="Arial"/>
          <w:sz w:val="16"/>
          <w:szCs w:val="16"/>
          <w:color w:val="auto"/>
        </w:rPr>
      </w:pPr>
    </w:p>
    <w:p>
      <w:pPr>
        <w:ind w:left="-8" w:firstLine="8"/>
        <w:spacing w:after="0" w:line="290" w:lineRule="auto"/>
        <w:tabs>
          <w:tab w:leader="none" w:pos="257"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the Employee’s employment is terminated on account of Employee’s Disability or by the Company for Cause, the date on which Notice of Termination is given; (iii) if the Employee’s employment is terminated by the Company without Cause the date on which a Notice of Termination is given; (iv) if the Employee’s employment is terminated by the Employee without Good Reason, 30 days after the date on which a Notice of Termination is given, and (v) if the Employee’s employment is terminated by the Employee with Good Reason, the date on which a Notice of Termination is given after the end of the Cure Period. Notwithstanding the foregoing, in the event that the Employee gives a Notice of Termination to the Company, the Company may unilaterally accelerate the Date of Termination and such acceleration shall not result in a termination by the Company for purposes of this Agreement.</w:t>
      </w:r>
    </w:p>
    <w:p>
      <w:pPr>
        <w:spacing w:after="0" w:line="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74" w:right="259" w:bottom="1440" w:gutter="0" w:footer="0" w:header="0"/>
        </w:sectPr>
      </w:pPr>
    </w:p>
    <w:bookmarkStart w:id="16" w:name="page17"/>
    <w:bookmarkEnd w:id="16"/>
    <w:p>
      <w:pPr>
        <w:jc w:val="both"/>
        <w:ind w:left="-20" w:right="280" w:firstLine="464"/>
        <w:spacing w:after="0" w:line="261" w:lineRule="auto"/>
        <w:tabs>
          <w:tab w:leader="none" w:pos="69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Mitigation</w:t>
      </w:r>
      <w:r>
        <w:rPr>
          <w:rFonts w:ascii="Arial" w:cs="Arial" w:eastAsia="Arial" w:hAnsi="Arial"/>
          <w:sz w:val="18"/>
          <w:szCs w:val="18"/>
          <w:color w:val="auto"/>
        </w:rPr>
        <w:t>. The Company agrees that, if the Employee’s employment by the Company is terminated during the term of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is not required to seek other employment or to attempt in any way to reduce any amounts payable to the Employee by the Company pursuant to Section 4 or Section 5 hereof. Further, the amount of any payment provided for in this Agreement shall not be reduced by any compensation earned by the Employee as the result of employment by another employer.</w:t>
      </w:r>
    </w:p>
    <w:p>
      <w:pPr>
        <w:spacing w:after="0" w:line="71" w:lineRule="exact"/>
        <w:rPr>
          <w:rFonts w:ascii="Arial" w:cs="Arial" w:eastAsia="Arial" w:hAnsi="Arial"/>
          <w:sz w:val="18"/>
          <w:szCs w:val="18"/>
          <w:b w:val="1"/>
          <w:bCs w:val="1"/>
          <w:color w:val="auto"/>
        </w:rPr>
      </w:pPr>
    </w:p>
    <w:p>
      <w:pPr>
        <w:ind w:left="-20" w:right="140" w:firstLine="464"/>
        <w:spacing w:after="0" w:line="261" w:lineRule="auto"/>
        <w:tabs>
          <w:tab w:leader="none" w:pos="70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Consent to Jurisdiction</w:t>
      </w:r>
      <w:r>
        <w:rPr>
          <w:rFonts w:ascii="Arial" w:cs="Arial" w:eastAsia="Arial" w:hAnsi="Arial"/>
          <w:sz w:val="18"/>
          <w:szCs w:val="18"/>
          <w:color w:val="auto"/>
        </w:rPr>
        <w:t>. The parties hereby consent to the jurisdiction of the Superior Court of the Commonwealth of Massachusetts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District Court for the District of Massachusetts. Accordingly, with respect to any such court action, the Employee (a) submits to the personal jurisdiction of such courts; (b) consents to service of process; and (c) waives any other requirement (whether imposed by statute, rule of court, or otherwise) with respect to personal jurisdiction or service of process.</w:t>
      </w:r>
    </w:p>
    <w:p>
      <w:pPr>
        <w:spacing w:after="0" w:line="71" w:lineRule="exact"/>
        <w:rPr>
          <w:rFonts w:ascii="Arial" w:cs="Arial" w:eastAsia="Arial" w:hAnsi="Arial"/>
          <w:sz w:val="18"/>
          <w:szCs w:val="18"/>
          <w:b w:val="1"/>
          <w:bCs w:val="1"/>
          <w:color w:val="auto"/>
        </w:rPr>
      </w:pPr>
    </w:p>
    <w:p>
      <w:pPr>
        <w:ind w:left="-20" w:right="240" w:firstLine="464"/>
        <w:spacing w:after="0" w:line="274" w:lineRule="auto"/>
        <w:tabs>
          <w:tab w:leader="none" w:pos="706"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Integration</w:t>
      </w:r>
      <w:r>
        <w:rPr>
          <w:rFonts w:ascii="Arial" w:cs="Arial" w:eastAsia="Arial" w:hAnsi="Arial"/>
          <w:sz w:val="17"/>
          <w:szCs w:val="17"/>
          <w:color w:val="auto"/>
        </w:rPr>
        <w:t>. This Agreement constitutes the entire agreement between the parties with respect to severance pay, benefits and accelerated vesting</w:t>
      </w:r>
      <w:r>
        <w:rPr>
          <w:rFonts w:ascii="Arial" w:cs="Arial" w:eastAsia="Arial" w:hAnsi="Arial"/>
          <w:sz w:val="17"/>
          <w:szCs w:val="17"/>
          <w:b w:val="1"/>
          <w:bCs w:val="1"/>
          <w:color w:val="auto"/>
        </w:rPr>
        <w:t xml:space="preserve"> </w:t>
      </w:r>
      <w:r>
        <w:rPr>
          <w:rFonts w:ascii="Arial" w:cs="Arial" w:eastAsia="Arial" w:hAnsi="Arial"/>
          <w:sz w:val="17"/>
          <w:szCs w:val="17"/>
          <w:color w:val="auto"/>
        </w:rPr>
        <w:t>(except to the extent any equity agreement specifically provides for terms more favorable to the Employee) in connection with any termination of employment and supersedes in all respects all prior agreements between the parties concerning such subject matter, including without limitation any provisions of any offer letter or employment agreement relating to severance pay or benefits in connection with the ending of Employee’s employment relationship with the Company. In the interest of clarity, any (i) agreement relating to confidentiality, noncompetition, non-solicitation or assignment of inventions or (ii) equity acceleration more favorable to the Employee, shall not be affected by the Agreement.</w:t>
      </w:r>
    </w:p>
    <w:p>
      <w:pPr>
        <w:spacing w:after="0" w:line="65" w:lineRule="exact"/>
        <w:rPr>
          <w:rFonts w:ascii="Arial" w:cs="Arial" w:eastAsia="Arial" w:hAnsi="Arial"/>
          <w:sz w:val="17"/>
          <w:szCs w:val="17"/>
          <w:b w:val="1"/>
          <w:bCs w:val="1"/>
          <w:color w:val="auto"/>
        </w:rPr>
      </w:pPr>
    </w:p>
    <w:p>
      <w:pPr>
        <w:ind w:left="-20" w:firstLine="464"/>
        <w:spacing w:after="0" w:line="281" w:lineRule="auto"/>
        <w:tabs>
          <w:tab w:leader="none" w:pos="706"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Successor to the Employee</w:t>
      </w:r>
      <w:r>
        <w:rPr>
          <w:rFonts w:ascii="Arial" w:cs="Arial" w:eastAsia="Arial" w:hAnsi="Arial"/>
          <w:sz w:val="17"/>
          <w:szCs w:val="17"/>
          <w:color w:val="auto"/>
        </w:rPr>
        <w:t>. This Agreement shall inure to the benefit of and be enforceable by the Employee’s personal representatives, executors,</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administrators, heirs, distributees, devisees and legatees. In the event of the Employee’s death after a Terminating Event but prior to the completion by the Company of all payments due him under this Agreement, the Company shall continue such payments to the Employee’s beneficiary designated in writing to the Company prior to his death (or to his estate, if the Employee fails to make such designation).</w:t>
      </w:r>
    </w:p>
    <w:p>
      <w:pPr>
        <w:spacing w:after="0" w:line="56" w:lineRule="exact"/>
        <w:rPr>
          <w:rFonts w:ascii="Arial" w:cs="Arial" w:eastAsia="Arial" w:hAnsi="Arial"/>
          <w:sz w:val="17"/>
          <w:szCs w:val="17"/>
          <w:b w:val="1"/>
          <w:bCs w:val="1"/>
          <w:color w:val="auto"/>
        </w:rPr>
      </w:pPr>
    </w:p>
    <w:p>
      <w:pPr>
        <w:jc w:val="both"/>
        <w:ind w:left="-20" w:right="140" w:firstLine="464"/>
        <w:spacing w:after="0" w:line="281" w:lineRule="auto"/>
        <w:tabs>
          <w:tab w:leader="none" w:pos="706"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Enforceability</w:t>
      </w:r>
      <w:r>
        <w:rPr>
          <w:rFonts w:ascii="Arial" w:cs="Arial" w:eastAsia="Arial" w:hAnsi="Arial"/>
          <w:sz w:val="17"/>
          <w:szCs w:val="17"/>
          <w:color w:val="auto"/>
        </w:rPr>
        <w:t>. If any portion or provision of this Agreement (including, without limitation, any portion or provision of any Section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56" w:lineRule="exact"/>
        <w:rPr>
          <w:rFonts w:ascii="Arial" w:cs="Arial" w:eastAsia="Arial" w:hAnsi="Arial"/>
          <w:sz w:val="17"/>
          <w:szCs w:val="17"/>
          <w:b w:val="1"/>
          <w:bCs w:val="1"/>
          <w:color w:val="auto"/>
        </w:rPr>
      </w:pPr>
    </w:p>
    <w:p>
      <w:pPr>
        <w:ind w:left="-20" w:right="260" w:firstLine="464"/>
        <w:spacing w:after="0" w:line="266" w:lineRule="auto"/>
        <w:tabs>
          <w:tab w:leader="none" w:pos="70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 to</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70" w:right="259" w:bottom="1440" w:gutter="0" w:footer="0" w:header="0"/>
        </w:sectPr>
      </w:pPr>
    </w:p>
    <w:bookmarkStart w:id="17" w:name="page18"/>
    <w:bookmarkEnd w:id="17"/>
    <w:p>
      <w:pPr>
        <w:ind w:left="-20" w:right="40" w:firstLine="464"/>
        <w:spacing w:after="0" w:line="314" w:lineRule="auto"/>
        <w:tabs>
          <w:tab w:leader="none" w:pos="706"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Arial" w:cs="Arial" w:eastAsia="Arial" w:hAnsi="Arial"/>
          <w:sz w:val="16"/>
          <w:szCs w:val="16"/>
          <w:color w:val="auto"/>
        </w:rPr>
        <w:t>. Any notices, requests, demands and other communications provided for by this Agreement shall be sufficient if in writing and delivered in</w:t>
      </w:r>
      <w:r>
        <w:rPr>
          <w:rFonts w:ascii="Arial" w:cs="Arial" w:eastAsia="Arial" w:hAnsi="Arial"/>
          <w:sz w:val="16"/>
          <w:szCs w:val="16"/>
          <w:b w:val="1"/>
          <w:bCs w:val="1"/>
          <w:color w:val="auto"/>
        </w:rPr>
        <w:t xml:space="preserve"> </w:t>
      </w:r>
      <w:r>
        <w:rPr>
          <w:rFonts w:ascii="Arial" w:cs="Arial" w:eastAsia="Arial" w:hAnsi="Arial"/>
          <w:sz w:val="16"/>
          <w:szCs w:val="16"/>
          <w:color w:val="auto"/>
        </w:rPr>
        <w:t>person or sent by a nationally recognized overnight currier service of by registered or certified mail, postage prepaid, return receipt requested, to the Employee at the last address the Employee has filed in writing with the Company, or to the Company at its main office, attention of the Board.</w:t>
      </w:r>
    </w:p>
    <w:p>
      <w:pPr>
        <w:spacing w:after="0" w:line="34" w:lineRule="exact"/>
        <w:rPr>
          <w:rFonts w:ascii="Arial" w:cs="Arial" w:eastAsia="Arial" w:hAnsi="Arial"/>
          <w:sz w:val="16"/>
          <w:szCs w:val="16"/>
          <w:b w:val="1"/>
          <w:bCs w:val="1"/>
          <w:color w:val="auto"/>
        </w:rPr>
      </w:pPr>
    </w:p>
    <w:p>
      <w:pPr>
        <w:ind w:left="-20" w:right="620" w:firstLine="464"/>
        <w:spacing w:after="0" w:line="282" w:lineRule="auto"/>
        <w:tabs>
          <w:tab w:leader="none" w:pos="706"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This Agreement may be amended or modified only by a written instrument signed by the Employee and by a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of the Company.</w:t>
      </w:r>
    </w:p>
    <w:p>
      <w:pPr>
        <w:spacing w:after="0" w:line="53" w:lineRule="exact"/>
        <w:rPr>
          <w:rFonts w:ascii="Arial" w:cs="Arial" w:eastAsia="Arial" w:hAnsi="Arial"/>
          <w:sz w:val="18"/>
          <w:szCs w:val="18"/>
          <w:b w:val="1"/>
          <w:bCs w:val="1"/>
          <w:color w:val="auto"/>
        </w:rPr>
      </w:pPr>
    </w:p>
    <w:p>
      <w:pPr>
        <w:ind w:left="-20" w:right="20" w:firstLine="464"/>
        <w:spacing w:after="0" w:line="272" w:lineRule="auto"/>
        <w:tabs>
          <w:tab w:leader="none" w:pos="706"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Effect on Other Plans and Agreements</w:t>
      </w:r>
      <w:r>
        <w:rPr>
          <w:rFonts w:ascii="Arial" w:cs="Arial" w:eastAsia="Arial" w:hAnsi="Arial"/>
          <w:sz w:val="17"/>
          <w:szCs w:val="17"/>
          <w:color w:val="auto"/>
        </w:rPr>
        <w:t>. An election by the Employee to resign for Good Reason under the provisions of this Agreement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a voluntary termination of employment by the Employee for the purpose of interpreting the provisions of any of the Company’s benefit plans, programs or policies. Nothing in this Agreement shall be construed to limit the rights of the Employee under the Company’s benefit plans, programs or policies except as otherwise provided in Section 6 hereof, and except that the Employee shall have no rights to any severance benefits under any Company severance pay plan, offer letter or otherwise. In the event that the Employee is party to an agreement with the Company providing for payments or benefits under such agreement and this Agreement, the terms of this Agreement (subject to the equity provisions in Section 13 above) shall govern and Employee may receive payment under this Agreement only and not both. Further, Section 4 and Section 5 of this Agreement are mutually exclusive and in no event shall Employee be entitled to payments or benefits pursuant to Section 4 and Section 5 of this Agreement.</w:t>
      </w:r>
    </w:p>
    <w:p>
      <w:pPr>
        <w:spacing w:after="0" w:line="64" w:lineRule="exact"/>
        <w:rPr>
          <w:rFonts w:ascii="Arial" w:cs="Arial" w:eastAsia="Arial" w:hAnsi="Arial"/>
          <w:sz w:val="17"/>
          <w:szCs w:val="17"/>
          <w:b w:val="1"/>
          <w:bCs w:val="1"/>
          <w:color w:val="auto"/>
        </w:rPr>
      </w:pPr>
    </w:p>
    <w:p>
      <w:pPr>
        <w:jc w:val="both"/>
        <w:ind w:left="-20" w:right="160" w:firstLine="464"/>
        <w:spacing w:after="0" w:line="314" w:lineRule="auto"/>
        <w:tabs>
          <w:tab w:leader="none" w:pos="706"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is a Massachusetts contract and shall be construed under and be governed in all respects by the laws of the Commonwealth</w:t>
      </w:r>
      <w:r>
        <w:rPr>
          <w:rFonts w:ascii="Arial" w:cs="Arial" w:eastAsia="Arial" w:hAnsi="Arial"/>
          <w:sz w:val="16"/>
          <w:szCs w:val="16"/>
          <w:b w:val="1"/>
          <w:bCs w:val="1"/>
          <w:color w:val="auto"/>
        </w:rPr>
        <w:t xml:space="preserve"> </w:t>
      </w:r>
      <w:r>
        <w:rPr>
          <w:rFonts w:ascii="Arial" w:cs="Arial" w:eastAsia="Arial" w:hAnsi="Arial"/>
          <w:sz w:val="16"/>
          <w:szCs w:val="16"/>
          <w:color w:val="auto"/>
        </w:rPr>
        <w:t>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w:t>
      </w:r>
    </w:p>
    <w:p>
      <w:pPr>
        <w:spacing w:after="0" w:line="34" w:lineRule="exact"/>
        <w:rPr>
          <w:rFonts w:ascii="Arial" w:cs="Arial" w:eastAsia="Arial" w:hAnsi="Arial"/>
          <w:sz w:val="16"/>
          <w:szCs w:val="16"/>
          <w:b w:val="1"/>
          <w:bCs w:val="1"/>
          <w:color w:val="auto"/>
        </w:rPr>
      </w:pPr>
    </w:p>
    <w:p>
      <w:pPr>
        <w:ind w:left="-20" w:firstLine="464"/>
        <w:spacing w:after="0" w:line="261" w:lineRule="auto"/>
        <w:tabs>
          <w:tab w:leader="none" w:pos="706"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 to Company</w:t>
      </w:r>
      <w:r>
        <w:rPr>
          <w:rFonts w:ascii="Arial" w:cs="Arial" w:eastAsia="Arial" w:hAnsi="Arial"/>
          <w:sz w:val="18"/>
          <w:szCs w:val="18"/>
          <w:color w:val="auto"/>
        </w:rPr>
        <w:t>. The Company shall require any successor (whether direct or indirect, by purchase, merger, consolidation or otherwise) to</w:t>
      </w:r>
      <w:r>
        <w:rPr>
          <w:rFonts w:ascii="Arial" w:cs="Arial" w:eastAsia="Arial" w:hAnsi="Arial"/>
          <w:sz w:val="18"/>
          <w:szCs w:val="18"/>
          <w:b w:val="1"/>
          <w:bCs w:val="1"/>
          <w:color w:val="auto"/>
        </w:rPr>
        <w:t xml:space="preserve"> </w:t>
      </w:r>
      <w:r>
        <w:rPr>
          <w:rFonts w:ascii="Arial" w:cs="Arial" w:eastAsia="Arial" w:hAnsi="Arial"/>
          <w:sz w:val="18"/>
          <w:szCs w:val="18"/>
          <w:color w:val="auto"/>
        </w:rPr>
        <w:t>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71" w:lineRule="exact"/>
        <w:rPr>
          <w:rFonts w:ascii="Arial" w:cs="Arial" w:eastAsia="Arial" w:hAnsi="Arial"/>
          <w:sz w:val="18"/>
          <w:szCs w:val="18"/>
          <w:b w:val="1"/>
          <w:bCs w:val="1"/>
          <w:color w:val="auto"/>
        </w:rPr>
      </w:pPr>
    </w:p>
    <w:p>
      <w:pPr>
        <w:ind w:left="-20" w:right="40" w:firstLine="464"/>
        <w:spacing w:after="0" w:line="282" w:lineRule="auto"/>
        <w:tabs>
          <w:tab w:leader="none" w:pos="706"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Gender Neutral</w:t>
      </w:r>
      <w:r>
        <w:rPr>
          <w:rFonts w:ascii="Arial" w:cs="Arial" w:eastAsia="Arial" w:hAnsi="Arial"/>
          <w:sz w:val="18"/>
          <w:szCs w:val="18"/>
          <w:color w:val="auto"/>
        </w:rPr>
        <w:t>. Wherever used herein, a pronoun in the masculine gender shall be considered as including the feminine gender unless the context</w:t>
      </w:r>
      <w:r>
        <w:rPr>
          <w:rFonts w:ascii="Arial" w:cs="Arial" w:eastAsia="Arial" w:hAnsi="Arial"/>
          <w:sz w:val="18"/>
          <w:szCs w:val="18"/>
          <w:b w:val="1"/>
          <w:bCs w:val="1"/>
          <w:color w:val="auto"/>
        </w:rPr>
        <w:t xml:space="preserve"> </w:t>
      </w:r>
      <w:r>
        <w:rPr>
          <w:rFonts w:ascii="Arial" w:cs="Arial" w:eastAsia="Arial" w:hAnsi="Arial"/>
          <w:sz w:val="18"/>
          <w:szCs w:val="18"/>
          <w:color w:val="auto"/>
        </w:rPr>
        <w:t>clearly indicates otherwise.</w:t>
      </w:r>
    </w:p>
    <w:p>
      <w:pPr>
        <w:spacing w:after="0" w:line="53" w:lineRule="exact"/>
        <w:rPr>
          <w:rFonts w:ascii="Arial" w:cs="Arial" w:eastAsia="Arial" w:hAnsi="Arial"/>
          <w:sz w:val="18"/>
          <w:szCs w:val="18"/>
          <w:b w:val="1"/>
          <w:bCs w:val="1"/>
          <w:color w:val="auto"/>
        </w:rPr>
      </w:pPr>
    </w:p>
    <w:p>
      <w:pPr>
        <w:ind w:left="-20" w:right="20" w:firstLine="464"/>
        <w:spacing w:after="0" w:line="282" w:lineRule="auto"/>
        <w:tabs>
          <w:tab w:leader="none" w:pos="706"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 to be</w:t>
      </w:r>
      <w:r>
        <w:rPr>
          <w:rFonts w:ascii="Arial" w:cs="Arial" w:eastAsia="Arial" w:hAnsi="Arial"/>
          <w:sz w:val="18"/>
          <w:szCs w:val="18"/>
          <w:b w:val="1"/>
          <w:bCs w:val="1"/>
          <w:color w:val="auto"/>
        </w:rPr>
        <w:t xml:space="preserve"> </w:t>
      </w:r>
      <w:r>
        <w:rPr>
          <w:rFonts w:ascii="Arial" w:cs="Arial" w:eastAsia="Arial" w:hAnsi="Arial"/>
          <w:sz w:val="18"/>
          <w:szCs w:val="18"/>
          <w:color w:val="auto"/>
        </w:rPr>
        <w:t>an original; but such counterparts shall together constitute one and the same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70" w:right="25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7"/>
          <w:szCs w:val="17"/>
          <w:color w:val="auto"/>
        </w:rPr>
        <w:t>, the parties have executed this Agreement effective on the date and year first above written.</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ZAFGEN,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Jeffrey S. Hatfield</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Title: Cheif Executive Officer</w:t>
      </w:r>
    </w:p>
    <w:p>
      <w:pPr>
        <w:spacing w:after="0" w:line="26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Brian P. McVeigh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Brian P. McVeigh</w:t>
      </w:r>
    </w:p>
    <w:p>
      <w:pPr>
        <w:sectPr>
          <w:pgSz w:w="11900" w:h="16838" w:orient="portrait"/>
          <w:cols w:equalWidth="0" w:num="1">
            <w:col w:w="9759"/>
          </w:cols>
          <w:pgMar w:left="700" w:top="270" w:right="1440"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172085</wp:posOffset>
            </wp:positionV>
            <wp:extent cx="1844040" cy="831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4404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 Expands Executive Leadership Team with Appointment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Brian McVeigh as Chief Business Officer</w:t>
      </w:r>
    </w:p>
    <w:p>
      <w:pPr>
        <w:spacing w:after="0" w:line="20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BOSTON, Mass., May 30, 2018 </w:t>
      </w:r>
      <w:r>
        <w:rPr>
          <w:rFonts w:ascii="Arial" w:cs="Arial" w:eastAsia="Arial" w:hAnsi="Arial"/>
          <w:sz w:val="18"/>
          <w:szCs w:val="18"/>
          <w:color w:val="auto"/>
        </w:rPr>
        <w:t>– Zafgen, Inc., (Nasdaq:ZFGN), a clinical-stage biopharmaceutical company using its proprietary knowledge of MetAP2</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biology to help patients affected by a range of metabolic diseases, announced today the appointment of Brian McVeigh as Chief Business Officer. He brings over 25 years of pharmaceutical and biotech industry experience including 15 years of extensive experience in buy-side and sell-side business development deal making and investment management to Zafgen’s executive leadership team.</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“Brian is an accomplished executive and adds significant value to our executive leadership team, and we are thrilled to welcome him to Zafgen,” said Jeffrey Hatfield, Chief Executive Officer of Zafgen, Inc. “His deal-making and investment management expertise will prove vital to our business development strategy and execution as Zafgen continues to grow and work towards developing medicines to treat patients with both rare and prevalent complex metabolic diseases, such as type 2 diabetes and Prader-Willi syndrome.”</w:t>
      </w:r>
    </w:p>
    <w:p>
      <w:pPr>
        <w:spacing w:after="0" w:line="18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Mr. McVeigh joins Zafgen following a 25-year career with GlaxoSmithKline (GSK) where he held multiple senior-level positions within the global Business Development, Finance, Marketing, Corporate and R&amp;D organizations. During his 15-year tenure in the Business Development organization he personally led the assessment and negotiation of more than two-dozen significant transactions including the acquisitions of Sirtris Pharmaceuticals, Domantis Ltd. and Genelab Technologies, Inc. While with GSK he most recently served as the Vice President of Worldwide Business Development Transactions and Investment Management. In this role he formed and led a global organization accountable for delivering GSK’s business development deals, and he provided oversight and advisement to his team on the execution of over 100 global business development transactions. He also managed GSK’s portfolio of R&amp;D equity investments in biotech partners and early-stage venture capital funds totaling more than $500 million of invested and committed capital which delivered more than $650 million of realized financial returns while under his leadership. Prior to joining Zafgen, Mr. McVeigh was most recently the Chief Executive Officer and Board Director of KBP Biosciences, a multinational clinical stage biotechnology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0" w:name="page21"/>
    <w:bookmarkEnd w:id="20"/>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McVeigh holds Bachelor of Science degrees in Accounting and Finance from LaSalle University, an MBA with a Concentration in Finance from Villanova University, a Post-MBA Certificate in Pharmaceutical Marketing from Saint Joseph’s University and a Certificate of Professional Development from the Wharton Business School at the University of Pennsylvania. He is a member of the Licensing Executives Society and is a Certified Public Accountant, Certified Management Accountant and a Certified Licensing Professional.</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“Zafgen is uniquely positioned to make important advances in the development of treatments for complex metabolic disorders which can make a meaningful difference in the lives of patients with unmet medical needs,” said Mr. McVeigh. “I’m very excited to be joining such an exceptional team and look forward to working with them to maximize the value of the MetAP2 platform by delivering returns to our investors and important new medicines to patients in need.”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Inducement Grant</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granted Mr. McVeigh an option to purchase 225,000 shares of the Company’s common stock, with 25% of the option shares vesting on the first anniversary of Mr. McVeigh’s employment start date and the balance vesting in equal monthly installments over the next three years, subject to his continued service to the Company through each vesting date. The option is subject to acceleration upon a change in control pursuant to the terms of Mr. McVeigh’s Severance and Change in Control Agreement. The option was granted as a material inducement to Mr. McVeigh’s acceptance of employment with the Company in accordance with NASDAQ Listing Rule 5635(c)(4).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Zafgen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Zafgen (Nasdaq:ZFGN) is a clinical-stage biopharmaceutical company leveraging its proprietary knowledge of MetAP2 systems biology to develop novel therapies for patients affected by a range of complex metabolic diseases. Zafgen has pioneered the study of MetAP2 inhibitors in both common and rare metabolic disorders, and its current disease areas of focus are type 2 diabetes, Prader-Willi syndrome and liver diseases. The Company’s lead product candidate is ZGN-1061, a MetAP2 inhibitor in Phase 2 clinical development with unique properties that maximize impact on metabolic parameters relevant to the treatment of type 2 diabetes and other related metabolic disorders. In 2018, Zafgen plans to file an investigational new drug (IND) application with the U.S. FDA and initiate Phase 1 clinical trials for ZGN-1258, its new molecule for the treatment of Prader-Willi syndrome and potential other rare and serious forms of obesity. Learn more at www.zafgen.com.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Various statements in this release concerning Zafgen’s future expectations, plans and prospects, including without limitation, Zafgen’s expectations regarding the use of ZGN-1258, ZGN-1061 and other second-generation MetAP2 inhibitors as treatments for metabolic diseases including Prader-Willi syndrome, type 2 diabetes, liver diseases and obesity and Zafgen’s expectations with respect to the timing and success of its nonclinical studies and clinical trials</w:t>
      </w:r>
    </w:p>
    <w:p>
      <w:pPr>
        <w:ind w:right="280"/>
        <w:spacing w:after="0" w:line="261" w:lineRule="auto"/>
        <w:rPr>
          <w:sz w:val="20"/>
          <w:szCs w:val="20"/>
          <w:color w:val="auto"/>
        </w:rPr>
      </w:pPr>
      <w:r>
        <w:rPr>
          <w:rFonts w:ascii="Arial" w:cs="Arial" w:eastAsia="Arial" w:hAnsi="Arial"/>
          <w:sz w:val="18"/>
          <w:szCs w:val="18"/>
          <w:color w:val="auto"/>
        </w:rPr>
        <w:t>of ZGN-1258, ZGN-1061 and its other product candidates, may constitute forward-looking statements for the purposes of the safe harbor provisions under The Private Securities Litigation Reform Act of 1995 and other federal securities laws. Forward-looking statements can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1" w:name="page22"/>
    <w:bookmarkEnd w:id="2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identified by terminology such as “anticipate,” “believe,” “could,” “could increase the likelihood,” “estimate,” “expect,” “intend,” “is planned,” “may,” “should,” “will,” “will enable,” “would be expected,” “look forward,” “may provide,” “would” or similar terms, variations of such terms or the negative of those terms. Actual results may differ materially from those indicated by these forward-looking statements as a result of various important factors, including, without limitation, Zafgen’s ability to successfully demonstrate the efficacy and safety of ZGN-1258, ZGN-1061 and its other product candidates and to differentiate ZGN-1258, ZGN-1061 and its other product candidates from first generation MetAP2 inhibitors, such as beloranib, the nonclinical and clinical results for ZGN-1258, ZGN-1061 and its other product candidates, which may not support further development and marketing approval, actions of regulatory agencies, which may affect the initiation, timing and progress of nonclinical studies and clinical trials of its product candidates, Zafgen’s ability to obtain, maintain and protect its intellectual property, Zafgen’s ability to enforce its patents against infringers and defend its patent portfolio against challenges from third parties, competition from others developing products for similar uses, Zafgen’s ability to manage operating expenses, Zafgen’s ability to obtain additional funding to support its business activities and establish and maintain strategic business alliances and new business initiatives when needed, Zafgen’s dependence on third parties for development, manufacture, marketing, sales and distribution of product candidates, and unexpected expenditures, as well as those risks more fully discussed in the section entitled “Risk Factors” in Zafgen’s most recent Annual Report on Form 10-K filed with the Securities and Exchange Commission, as well as discussions of potential risks, uncertainties, and other important factors in Zafgen’s subsequent filings, including without limitation Zafgen’s Quarterly Reports on Form 10-Q, with the Securities and Exchange Commission. In addition, any forward-looking statements represent Zafgen’s views only as of today and should not be relied upon as representing its views as of any subsequent date. Zafgen explicitly disclaims any obligation to update any forward-looking statements, whether as a result of new information, future events or otherwise.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Media/Investor Relations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617-648-9792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Krystle Gibbs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krystle@tenbridgecommunications.com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508-479-6358</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Woolford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John.woolford@westwicke.com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443-213-0506</w:t>
      </w:r>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lowerLetter"/>
      <w:start w:val="1"/>
    </w:lvl>
    <w:lvl w:ilvl="1">
      <w:lvlJc w:val="left"/>
      <w:lvlText w:val="%2."/>
      <w:numFmt w:val="decimal"/>
      <w:start w:val="1"/>
    </w:lvl>
  </w:abstractNum>
  <w:abstractNum w:abstractNumId="5">
    <w:nsid w:val="3352255A"/>
    <w:multiLevelType w:val="hybridMultilevel"/>
    <w:lvl w:ilvl="0">
      <w:lvlJc w:val="left"/>
      <w:lvlText w:val="(%1)"/>
      <w:numFmt w:val="lowerLetter"/>
      <w:start w:val="2"/>
    </w:lvl>
    <w:lvl w:ilvl="1">
      <w:lvlJc w:val="left"/>
      <w:lvlText w:val="%2."/>
      <w:numFmt w:val="decimal"/>
      <w:start w:val="3"/>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Roman"/>
      <w:start w:val="1"/>
    </w:lvl>
  </w:abstractNum>
  <w:abstractNum w:abstractNumId="8">
    <w:nsid w:val="7FDCC233"/>
    <w:multiLevelType w:val="hybridMultilevel"/>
    <w:lvl w:ilvl="0">
      <w:lvlJc w:val="left"/>
      <w:lvlText w:val="(%1)"/>
      <w:numFmt w:val="lowerLetter"/>
      <w:start w:val="2"/>
    </w:lvl>
    <w:lvl w:ilvl="1">
      <w:lvlJc w:val="left"/>
      <w:lvlText w:val="(%2)"/>
      <w:numFmt w:val="lowerRoman"/>
      <w:start w:val="1"/>
    </w:lvl>
  </w:abstractNum>
  <w:abstractNum w:abstractNumId="9">
    <w:nsid w:val="1BEFD79F"/>
    <w:multiLevelType w:val="hybridMultilevel"/>
    <w:lvl w:ilvl="0">
      <w:lvlJc w:val="left"/>
      <w:lvlText w:val="(%1)"/>
      <w:numFmt w:val="lowerRoman"/>
      <w:start w:val="3"/>
    </w:lvl>
  </w:abstractNum>
  <w:abstractNum w:abstractNumId="10">
    <w:nsid w:val="41A7C4C9"/>
    <w:multiLevelType w:val="hybridMultilevel"/>
    <w:lvl w:ilvl="0">
      <w:lvlJc w:val="left"/>
      <w:lvlText w:val="%1."/>
      <w:numFmt w:val="decimal"/>
      <w:start w:val="4"/>
    </w:lvl>
    <w:lvl w:ilvl="1">
      <w:lvlJc w:val="left"/>
      <w:lvlText w:val="(%2)"/>
      <w:numFmt w:val="lowerLetter"/>
      <w:start w:val="1"/>
    </w:lvl>
  </w:abstractNum>
  <w:abstractNum w:abstractNumId="11">
    <w:nsid w:val="6B68079A"/>
    <w:multiLevelType w:val="hybridMultilevel"/>
    <w:lvl w:ilvl="0">
      <w:lvlJc w:val="left"/>
      <w:lvlText w:val="%1"/>
      <w:numFmt w:val="decimal"/>
      <w:start w:val="1"/>
    </w:lvl>
    <w:lvl w:ilvl="1">
      <w:lvlJc w:val="left"/>
      <w:lvlText w:val="(%2)"/>
      <w:numFmt w:val="lowerLetter"/>
      <w:start w:val="1"/>
    </w:lvl>
  </w:abstractNum>
  <w:abstractNum w:abstractNumId="12">
    <w:nsid w:val="4E6AFB66"/>
    <w:multiLevelType w:val="hybridMultilevel"/>
    <w:lvl w:ilvl="0">
      <w:lvlJc w:val="left"/>
      <w:lvlText w:val="%1."/>
      <w:numFmt w:val="decimal"/>
      <w:start w:val="6"/>
    </w:lvl>
    <w:lvl w:ilvl="1">
      <w:lvlJc w:val="left"/>
      <w:lvlText w:val="(%2)"/>
      <w:numFmt w:val="lowerLetter"/>
      <w:start w:val="1"/>
    </w:lvl>
  </w:abstractNum>
  <w:abstractNum w:abstractNumId="13">
    <w:nsid w:val="25E45D32"/>
    <w:multiLevelType w:val="hybridMultilevel"/>
    <w:lvl w:ilvl="0">
      <w:lvlJc w:val="left"/>
      <w:lvlText w:val="%1"/>
      <w:numFmt w:val="decimal"/>
      <w:start w:val="1"/>
    </w:lvl>
    <w:lvl w:ilvl="1">
      <w:lvlJc w:val="left"/>
      <w:lvlText w:val="(%2)"/>
      <w:numFmt w:val="lowerLetter"/>
      <w:start w:val="3"/>
    </w:lvl>
  </w:abstractNum>
  <w:abstractNum w:abstractNumId="14">
    <w:nsid w:val="519B500D"/>
    <w:multiLevelType w:val="hybridMultilevel"/>
    <w:lvl w:ilvl="0">
      <w:lvlJc w:val="left"/>
      <w:lvlText w:val="%1."/>
      <w:numFmt w:val="decimal"/>
      <w:start w:val="7"/>
    </w:lvl>
    <w:lvl w:ilvl="1">
      <w:lvlJc w:val="left"/>
      <w:lvlText w:val="(%2)"/>
      <w:numFmt w:val="lowerLetter"/>
      <w:start w:val="1"/>
    </w:lvl>
  </w:abstractNum>
  <w:abstractNum w:abstractNumId="15">
    <w:nsid w:val="431BD7B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6">
    <w:nsid w:val="3F2DBA31"/>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17">
    <w:nsid w:val="7C83E45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8">
    <w:nsid w:val="257130A3"/>
    <w:multiLevelType w:val="hybridMultilevel"/>
    <w:lvl w:ilvl="0">
      <w:lvlJc w:val="left"/>
      <w:lvlText w:val="%1."/>
      <w:numFmt w:val="decimal"/>
      <w:start w:val="11"/>
    </w:lvl>
  </w:abstractNum>
  <w:abstractNum w:abstractNumId="19">
    <w:nsid w:val="62BBD95A"/>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2019-12-28T21:46:24Z</dcterms:created>
  <dcterms:modified xsi:type="dcterms:W3CDTF">2019-12-28T21:46:24Z</dcterms:modified>
</cp:coreProperties>
</file>