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June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Larimar Therapeutics,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tbl>
      <w:tblPr>
        <w:tblLayout w:type="fixed"/>
        <w:tblInd w:w="1460" w:type="dxa"/>
        <w:tblCellMar>
          <w:top w:w="0" w:type="dxa"/>
          <w:left w:w="0" w:type="dxa"/>
          <w:bottom w:w="0" w:type="dxa"/>
          <w:right w:w="0" w:type="dxa"/>
        </w:tblCellMar>
      </w:tblPr>
      <w:tr>
        <w:trPr>
          <w:trHeight w:val="142"/>
        </w:trPr>
        <w:tc>
          <w:tcPr>
            <w:tcW w:w="2040" w:type="dxa"/>
            <w:vAlign w:val="bottom"/>
          </w:tcPr>
          <w:p>
            <w:pPr>
              <w:jc w:val="center"/>
              <w:ind w:right="748"/>
              <w:spacing w:after="0"/>
              <w:rPr>
                <w:sz w:val="20"/>
                <w:szCs w:val="20"/>
                <w:color w:val="auto"/>
              </w:rPr>
            </w:pPr>
            <w:r>
              <w:rPr>
                <w:rFonts w:ascii="Arial" w:cs="Arial" w:eastAsia="Arial" w:hAnsi="Arial"/>
                <w:sz w:val="12"/>
                <w:szCs w:val="12"/>
                <w:b w:val="1"/>
                <w:bCs w:val="1"/>
                <w:color w:val="auto"/>
                <w:w w:val="91"/>
              </w:rPr>
              <w:t>Delaware</w:t>
            </w:r>
          </w:p>
        </w:tc>
        <w:tc>
          <w:tcPr>
            <w:tcW w:w="2240" w:type="dxa"/>
            <w:vAlign w:val="bottom"/>
          </w:tcPr>
          <w:p>
            <w:pPr>
              <w:ind w:left="82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20-3857670</w:t>
            </w:r>
          </w:p>
        </w:tc>
      </w:tr>
      <w:tr>
        <w:trPr>
          <w:trHeight w:val="99"/>
        </w:trPr>
        <w:tc>
          <w:tcPr>
            <w:tcW w:w="2040" w:type="dxa"/>
            <w:vAlign w:val="bottom"/>
          </w:tcPr>
          <w:p>
            <w:pPr>
              <w:jc w:val="center"/>
              <w:ind w:right="748"/>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2240" w:type="dxa"/>
            <w:vAlign w:val="bottom"/>
          </w:tcPr>
          <w:p>
            <w:pPr>
              <w:ind w:left="82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2040" w:type="dxa"/>
            <w:vAlign w:val="bottom"/>
          </w:tcPr>
          <w:p>
            <w:pPr>
              <w:jc w:val="center"/>
              <w:ind w:right="748"/>
              <w:spacing w:after="0"/>
              <w:rPr>
                <w:sz w:val="20"/>
                <w:szCs w:val="20"/>
                <w:color w:val="auto"/>
              </w:rPr>
            </w:pPr>
            <w:r>
              <w:rPr>
                <w:rFonts w:ascii="Arial" w:cs="Arial" w:eastAsia="Arial" w:hAnsi="Arial"/>
                <w:sz w:val="10"/>
                <w:szCs w:val="10"/>
                <w:b w:val="1"/>
                <w:bCs w:val="1"/>
                <w:color w:val="auto"/>
                <w:w w:val="86"/>
              </w:rPr>
              <w:t>incorporation or organization)</w:t>
            </w:r>
          </w:p>
        </w:tc>
        <w:tc>
          <w:tcPr>
            <w:tcW w:w="2240" w:type="dxa"/>
            <w:vAlign w:val="bottom"/>
          </w:tcPr>
          <w:p>
            <w:pPr>
              <w:ind w:left="80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30" w:lineRule="exact"/>
        <w:rPr>
          <w:sz w:val="24"/>
          <w:szCs w:val="24"/>
          <w:color w:val="auto"/>
        </w:rPr>
      </w:pPr>
    </w:p>
    <w:p>
      <w:pPr>
        <w:sectPr>
          <w:pgSz w:w="11900" w:h="16838" w:orient="portrait"/>
          <w:cols w:equalWidth="0" w:num="1">
            <w:col w:w="9019"/>
          </w:cols>
          <w:pgMar w:left="1440" w:top="292" w:right="1440" w:bottom="1440" w:gutter="0" w:footer="0" w:header="0"/>
        </w:sectPr>
      </w:pPr>
    </w:p>
    <w:p>
      <w:pPr>
        <w:jc w:val="center"/>
        <w:ind w:right="140"/>
        <w:spacing w:after="0"/>
        <w:rPr>
          <w:sz w:val="20"/>
          <w:szCs w:val="20"/>
          <w:color w:val="auto"/>
        </w:rPr>
      </w:pPr>
      <w:r>
        <w:rPr>
          <w:rFonts w:ascii="Arial" w:cs="Arial" w:eastAsia="Arial" w:hAnsi="Arial"/>
          <w:sz w:val="10"/>
          <w:szCs w:val="10"/>
          <w:b w:val="1"/>
          <w:bCs w:val="1"/>
          <w:color w:val="auto"/>
        </w:rPr>
        <w:t>Three Bala Plaza East. Suite 506</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2"/>
          <w:szCs w:val="12"/>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479"/>
        <w:spacing w:after="0"/>
        <w:rPr>
          <w:sz w:val="20"/>
          <w:szCs w:val="20"/>
          <w:color w:val="auto"/>
        </w:rPr>
      </w:pPr>
      <w:r>
        <w:rPr>
          <w:rFonts w:ascii="Arial" w:cs="Arial" w:eastAsia="Arial" w:hAnsi="Arial"/>
          <w:sz w:val="10"/>
          <w:szCs w:val="10"/>
          <w:b w:val="1"/>
          <w:bCs w:val="1"/>
          <w:color w:val="auto"/>
        </w:rPr>
        <w:t>19004</w:t>
      </w:r>
    </w:p>
    <w:p>
      <w:pPr>
        <w:spacing w:after="0" w:line="41" w:lineRule="exact"/>
        <w:rPr>
          <w:sz w:val="24"/>
          <w:szCs w:val="24"/>
          <w:color w:val="auto"/>
        </w:rPr>
      </w:pPr>
    </w:p>
    <w:p>
      <w:pPr>
        <w:sectPr>
          <w:pgSz w:w="11900" w:h="16838" w:orient="portrait"/>
          <w:cols w:equalWidth="0" w:num="2">
            <w:col w:w="5520" w:space="720"/>
            <w:col w:w="2779"/>
          </w:cols>
          <w:pgMar w:left="1440" w:top="292" w:right="1440" w:bottom="1440" w:gutter="0" w:footer="0" w:header="0"/>
          <w:type w:val="continuous"/>
        </w:sectPr>
      </w:pPr>
    </w:p>
    <w:p>
      <w:pPr>
        <w:ind w:left="190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11"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511-9056</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135890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95"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66"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jc w:val="both"/>
        <w:ind w:left="840" w:right="859"/>
        <w:spacing w:after="0" w:line="263" w:lineRule="auto"/>
        <w:rPr>
          <w:sz w:val="20"/>
          <w:szCs w:val="20"/>
          <w:color w:val="auto"/>
        </w:rPr>
      </w:pPr>
      <w:r>
        <w:rPr>
          <w:rFonts w:ascii="Arial" w:cs="Arial" w:eastAsia="Arial" w:hAnsi="Arial"/>
          <w:sz w:val="12"/>
          <w:szCs w:val="12"/>
          <w:color w:val="auto"/>
        </w:rPr>
        <w:t>Attached as Exhibit 99.1 and furnished for the purposes of Regulation FD is a presentation that Larimar Therapeutics, Inc. (the “Company”) will post on its website on June 3, 2020. Representatives of the Company will use the presentation in various meetings with investors, analysts and other parties from time to time.</w:t>
      </w:r>
    </w:p>
    <w:p>
      <w:pPr>
        <w:spacing w:after="0" w:line="122" w:lineRule="exact"/>
        <w:rPr>
          <w:sz w:val="20"/>
          <w:szCs w:val="20"/>
          <w:color w:val="auto"/>
        </w:rPr>
      </w:pPr>
    </w:p>
    <w:p>
      <w:pPr>
        <w:ind w:left="840" w:right="999"/>
        <w:spacing w:after="0" w:line="298" w:lineRule="auto"/>
        <w:rPr>
          <w:sz w:val="20"/>
          <w:szCs w:val="20"/>
          <w:color w:val="auto"/>
        </w:rPr>
      </w:pPr>
      <w:r>
        <w:rPr>
          <w:rFonts w:ascii="Arial" w:cs="Arial" w:eastAsia="Arial" w:hAnsi="Arial"/>
          <w:sz w:val="11"/>
          <w:szCs w:val="11"/>
          <w:color w:val="auto"/>
        </w:rPr>
        <w:t>The information in this Item 7.01 (including Exhibit 99.1) is being furnished solely to satisfy the requirements of Regulation FD and shall not be deemed to be “filed” for purposes of Section 18 of the Securities Exchange Act of 1934 (the “Exchange Act”) or otherwise subject to the liabilities of that Section, nor shall it be deemed to be incorporated by reference in any filing under the Securities Act of 1933 or the Exchange Act.</w:t>
      </w:r>
    </w:p>
    <w:p>
      <w:pPr>
        <w:spacing w:after="0" w:line="20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Below is a list of exhibits included with this Current Report on Form 8-K.</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0</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Larimar Therapeutics, Inc. Corporate Presentation, dated June 3, 2020**</w:t>
        </w:r>
      </w:hyperlink>
    </w:p>
    <w:p>
      <w:pPr>
        <w:spacing w:after="0" w:line="168" w:lineRule="exact"/>
        <w:rPr>
          <w:sz w:val="20"/>
          <w:szCs w:val="20"/>
          <w:color w:val="auto"/>
        </w:rPr>
      </w:pPr>
    </w:p>
    <w:p>
      <w:pPr>
        <w:ind w:left="1120" w:hanging="288"/>
        <w:spacing w:after="0"/>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Furnished herewith.</w:t>
      </w:r>
    </w:p>
    <w:p>
      <w:pPr>
        <w:sectPr>
          <w:pgSz w:w="11900" w:h="16838" w:orient="portrait"/>
          <w:cols w:equalWidth="0" w:num="1">
            <w:col w:w="9019"/>
          </w:cols>
          <w:pgMar w:left="1440" w:top="22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Larimar Therapeutics, Inc.</w:t>
      </w:r>
    </w:p>
    <w:p>
      <w:pPr>
        <w:spacing w:after="0" w:line="150"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i w:val="1"/>
          <w:iCs w:val="1"/>
          <w:color w:val="auto"/>
        </w:rPr>
        <w:t>Name:  Carole S. Ben-Maimon, M.D.</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i w:val="1"/>
          <w:iCs w:val="1"/>
          <w:color w:val="auto"/>
        </w:rPr>
        <w:t>Title:</w:t>
        <w:tab/>
        <w:t>President and Chief Executive Officer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June 3, 2020</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2020-06-03T05:06:21Z</dcterms:created>
  <dcterms:modified xsi:type="dcterms:W3CDTF">2020-06-03T05:06:21Z</dcterms:modified>
</cp:coreProperties>
</file>