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156210</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159385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CURRENT REPORT</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13 or 15(d)</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Report (Date of earliest event reported): August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160655</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Larimar Therapeutics, Inc.</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157480</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tbl>
      <w:tblPr>
        <w:tblLayout w:type="fixed"/>
        <w:tblInd w:w="1540" w:type="dxa"/>
        <w:tblCellMar>
          <w:top w:w="0" w:type="dxa"/>
          <w:left w:w="0" w:type="dxa"/>
          <w:bottom w:w="0" w:type="dxa"/>
          <w:right w:w="0" w:type="dxa"/>
        </w:tblCellMar>
      </w:tblPr>
      <w:tr>
        <w:trPr>
          <w:trHeight w:val="142"/>
        </w:trPr>
        <w:tc>
          <w:tcPr>
            <w:tcW w:w="1920" w:type="dxa"/>
            <w:vAlign w:val="bottom"/>
          </w:tcPr>
          <w:p>
            <w:pPr>
              <w:jc w:val="center"/>
              <w:ind w:right="788"/>
              <w:spacing w:after="0"/>
              <w:rPr>
                <w:sz w:val="20"/>
                <w:szCs w:val="20"/>
                <w:color w:val="auto"/>
              </w:rPr>
            </w:pPr>
            <w:r>
              <w:rPr>
                <w:rFonts w:ascii="Arial" w:cs="Arial" w:eastAsia="Arial" w:hAnsi="Arial"/>
                <w:sz w:val="12"/>
                <w:szCs w:val="12"/>
                <w:b w:val="1"/>
                <w:bCs w:val="1"/>
                <w:color w:val="auto"/>
                <w:w w:val="91"/>
              </w:rPr>
              <w:t>Delaware</w:t>
            </w:r>
          </w:p>
        </w:tc>
        <w:tc>
          <w:tcPr>
            <w:tcW w:w="2280" w:type="dxa"/>
            <w:vAlign w:val="bottom"/>
          </w:tcPr>
          <w:p>
            <w:pPr>
              <w:ind w:left="860"/>
              <w:spacing w:after="0"/>
              <w:rPr>
                <w:sz w:val="20"/>
                <w:szCs w:val="20"/>
                <w:color w:val="auto"/>
              </w:rPr>
            </w:pPr>
            <w:r>
              <w:rPr>
                <w:rFonts w:ascii="Arial" w:cs="Arial" w:eastAsia="Arial" w:hAnsi="Arial"/>
                <w:sz w:val="12"/>
                <w:szCs w:val="12"/>
                <w:b w:val="1"/>
                <w:bCs w:val="1"/>
                <w:color w:val="auto"/>
              </w:rPr>
              <w:t>001-36510</w:t>
            </w:r>
          </w:p>
        </w:tc>
        <w:tc>
          <w:tcPr>
            <w:tcW w:w="1640" w:type="dxa"/>
            <w:vAlign w:val="bottom"/>
          </w:tcPr>
          <w:p>
            <w:pPr>
              <w:jc w:val="center"/>
              <w:ind w:left="848"/>
              <w:spacing w:after="0"/>
              <w:rPr>
                <w:sz w:val="20"/>
                <w:szCs w:val="20"/>
                <w:color w:val="auto"/>
              </w:rPr>
            </w:pPr>
            <w:r>
              <w:rPr>
                <w:rFonts w:ascii="Arial" w:cs="Arial" w:eastAsia="Arial" w:hAnsi="Arial"/>
                <w:sz w:val="12"/>
                <w:szCs w:val="12"/>
                <w:b w:val="1"/>
                <w:bCs w:val="1"/>
                <w:color w:val="auto"/>
                <w:w w:val="90"/>
              </w:rPr>
              <w:t>20-3857670</w:t>
            </w:r>
          </w:p>
        </w:tc>
      </w:tr>
      <w:tr>
        <w:trPr>
          <w:trHeight w:val="99"/>
        </w:trPr>
        <w:tc>
          <w:tcPr>
            <w:tcW w:w="1920" w:type="dxa"/>
            <w:vAlign w:val="bottom"/>
          </w:tcPr>
          <w:p>
            <w:pPr>
              <w:jc w:val="center"/>
              <w:ind w:right="788"/>
              <w:spacing w:after="0" w:line="99" w:lineRule="exact"/>
              <w:rPr>
                <w:sz w:val="20"/>
                <w:szCs w:val="20"/>
                <w:color w:val="auto"/>
              </w:rPr>
            </w:pPr>
            <w:r>
              <w:rPr>
                <w:rFonts w:ascii="Arial" w:cs="Arial" w:eastAsia="Arial" w:hAnsi="Arial"/>
                <w:sz w:val="10"/>
                <w:szCs w:val="10"/>
                <w:b w:val="1"/>
                <w:bCs w:val="1"/>
                <w:color w:val="auto"/>
                <w:w w:val="86"/>
              </w:rPr>
              <w:t>(State or other jurisdiction</w:t>
            </w:r>
          </w:p>
        </w:tc>
        <w:tc>
          <w:tcPr>
            <w:tcW w:w="2280" w:type="dxa"/>
            <w:vAlign w:val="bottom"/>
          </w:tcPr>
          <w:p>
            <w:pPr>
              <w:ind w:left="860"/>
              <w:spacing w:after="0" w:line="99" w:lineRule="exact"/>
              <w:rPr>
                <w:sz w:val="20"/>
                <w:szCs w:val="20"/>
                <w:color w:val="auto"/>
              </w:rPr>
            </w:pPr>
            <w:r>
              <w:rPr>
                <w:rFonts w:ascii="Arial" w:cs="Arial" w:eastAsia="Arial" w:hAnsi="Arial"/>
                <w:sz w:val="10"/>
                <w:szCs w:val="10"/>
                <w:b w:val="1"/>
                <w:bCs w:val="1"/>
                <w:color w:val="auto"/>
              </w:rPr>
              <w:t>(Commission</w:t>
            </w:r>
          </w:p>
        </w:tc>
        <w:tc>
          <w:tcPr>
            <w:tcW w:w="1640" w:type="dxa"/>
            <w:vAlign w:val="bottom"/>
          </w:tcPr>
          <w:p>
            <w:pPr>
              <w:jc w:val="center"/>
              <w:ind w:left="828"/>
              <w:spacing w:after="0" w:line="99" w:lineRule="exact"/>
              <w:rPr>
                <w:sz w:val="20"/>
                <w:szCs w:val="20"/>
                <w:color w:val="auto"/>
              </w:rPr>
            </w:pPr>
            <w:r>
              <w:rPr>
                <w:rFonts w:ascii="Arial" w:cs="Arial" w:eastAsia="Arial" w:hAnsi="Arial"/>
                <w:sz w:val="10"/>
                <w:szCs w:val="10"/>
                <w:b w:val="1"/>
                <w:bCs w:val="1"/>
                <w:color w:val="auto"/>
                <w:w w:val="88"/>
              </w:rPr>
              <w:t>(I.R.S. Employer</w:t>
            </w:r>
          </w:p>
        </w:tc>
      </w:tr>
      <w:tr>
        <w:trPr>
          <w:trHeight w:val="123"/>
        </w:trPr>
        <w:tc>
          <w:tcPr>
            <w:tcW w:w="1920" w:type="dxa"/>
            <w:vAlign w:val="bottom"/>
          </w:tcPr>
          <w:p>
            <w:pPr>
              <w:jc w:val="center"/>
              <w:ind w:right="808"/>
              <w:spacing w:after="0"/>
              <w:rPr>
                <w:sz w:val="20"/>
                <w:szCs w:val="20"/>
                <w:color w:val="auto"/>
              </w:rPr>
            </w:pPr>
            <w:r>
              <w:rPr>
                <w:rFonts w:ascii="Arial" w:cs="Arial" w:eastAsia="Arial" w:hAnsi="Arial"/>
                <w:sz w:val="10"/>
                <w:szCs w:val="10"/>
                <w:b w:val="1"/>
                <w:bCs w:val="1"/>
                <w:color w:val="auto"/>
                <w:w w:val="87"/>
              </w:rPr>
              <w:t>of incorporation)</w:t>
            </w:r>
          </w:p>
        </w:tc>
        <w:tc>
          <w:tcPr>
            <w:tcW w:w="2280" w:type="dxa"/>
            <w:vAlign w:val="bottom"/>
          </w:tcPr>
          <w:p>
            <w:pPr>
              <w:ind w:left="840"/>
              <w:spacing w:after="0"/>
              <w:rPr>
                <w:sz w:val="20"/>
                <w:szCs w:val="20"/>
                <w:color w:val="auto"/>
              </w:rPr>
            </w:pPr>
            <w:r>
              <w:rPr>
                <w:rFonts w:ascii="Arial" w:cs="Arial" w:eastAsia="Arial" w:hAnsi="Arial"/>
                <w:sz w:val="10"/>
                <w:szCs w:val="10"/>
                <w:b w:val="1"/>
                <w:bCs w:val="1"/>
                <w:color w:val="auto"/>
              </w:rPr>
              <w:t>File Number)</w:t>
            </w:r>
          </w:p>
        </w:tc>
        <w:tc>
          <w:tcPr>
            <w:tcW w:w="1640" w:type="dxa"/>
            <w:vAlign w:val="bottom"/>
          </w:tcPr>
          <w:p>
            <w:pPr>
              <w:jc w:val="center"/>
              <w:ind w:left="828"/>
              <w:spacing w:after="0"/>
              <w:rPr>
                <w:sz w:val="20"/>
                <w:szCs w:val="20"/>
                <w:color w:val="auto"/>
              </w:rPr>
            </w:pPr>
            <w:r>
              <w:rPr>
                <w:rFonts w:ascii="Arial" w:cs="Arial" w:eastAsia="Arial" w:hAnsi="Arial"/>
                <w:sz w:val="10"/>
                <w:szCs w:val="10"/>
                <w:b w:val="1"/>
                <w:bCs w:val="1"/>
                <w:color w:val="auto"/>
                <w:w w:val="89"/>
              </w:rPr>
              <w:t>Identification No.)</w:t>
            </w:r>
          </w:p>
        </w:tc>
      </w:tr>
    </w:tbl>
    <w:p>
      <w:pPr>
        <w:spacing w:after="0" w:line="148" w:lineRule="exact"/>
        <w:rPr>
          <w:sz w:val="24"/>
          <w:szCs w:val="24"/>
          <w:color w:val="auto"/>
        </w:rPr>
      </w:pPr>
    </w:p>
    <w:p>
      <w:pPr>
        <w:sectPr>
          <w:pgSz w:w="11900" w:h="16838" w:orient="portrait"/>
          <w:cols w:equalWidth="0" w:num="1">
            <w:col w:w="9019"/>
          </w:cols>
          <w:pgMar w:left="1440" w:top="292" w:right="1440" w:bottom="1440" w:gutter="0" w:footer="0" w:header="0"/>
        </w:sectPr>
      </w:pPr>
    </w:p>
    <w:p>
      <w:pPr>
        <w:jc w:val="center"/>
        <w:ind w:right="140"/>
        <w:spacing w:after="0"/>
        <w:rPr>
          <w:sz w:val="20"/>
          <w:szCs w:val="20"/>
          <w:color w:val="auto"/>
        </w:rPr>
      </w:pPr>
      <w:r>
        <w:rPr>
          <w:rFonts w:ascii="Arial" w:cs="Arial" w:eastAsia="Arial" w:hAnsi="Arial"/>
          <w:sz w:val="10"/>
          <w:szCs w:val="10"/>
          <w:b w:val="1"/>
          <w:bCs w:val="1"/>
          <w:color w:val="auto"/>
        </w:rPr>
        <w:t>Three Bala Plaza East, Suite 506</w:t>
      </w:r>
    </w:p>
    <w:p>
      <w:pPr>
        <w:spacing w:after="0" w:line="42" w:lineRule="exact"/>
        <w:rPr>
          <w:sz w:val="24"/>
          <w:szCs w:val="24"/>
          <w:color w:val="auto"/>
        </w:rPr>
      </w:pPr>
    </w:p>
    <w:p>
      <w:pPr>
        <w:jc w:val="center"/>
        <w:ind w:right="140"/>
        <w:spacing w:after="0"/>
        <w:rPr>
          <w:sz w:val="20"/>
          <w:szCs w:val="20"/>
          <w:color w:val="auto"/>
        </w:rPr>
      </w:pPr>
      <w:r>
        <w:rPr>
          <w:rFonts w:ascii="Arial" w:cs="Arial" w:eastAsia="Arial" w:hAnsi="Arial"/>
          <w:sz w:val="12"/>
          <w:szCs w:val="12"/>
          <w:b w:val="1"/>
          <w:bCs w:val="1"/>
          <w:color w:val="auto"/>
        </w:rPr>
        <w:t>Bala Cynwyd, Pennsylvania</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jc w:val="center"/>
        <w:ind w:right="2479"/>
        <w:spacing w:after="0"/>
        <w:rPr>
          <w:sz w:val="20"/>
          <w:szCs w:val="20"/>
          <w:color w:val="auto"/>
        </w:rPr>
      </w:pPr>
      <w:r>
        <w:rPr>
          <w:rFonts w:ascii="Arial" w:cs="Arial" w:eastAsia="Arial" w:hAnsi="Arial"/>
          <w:sz w:val="10"/>
          <w:szCs w:val="10"/>
          <w:b w:val="1"/>
          <w:bCs w:val="1"/>
          <w:color w:val="auto"/>
        </w:rPr>
        <w:t>19004</w:t>
      </w:r>
    </w:p>
    <w:p>
      <w:pPr>
        <w:spacing w:after="0" w:line="41" w:lineRule="exact"/>
        <w:rPr>
          <w:sz w:val="24"/>
          <w:szCs w:val="24"/>
          <w:color w:val="auto"/>
        </w:rPr>
      </w:pPr>
    </w:p>
    <w:p>
      <w:pPr>
        <w:sectPr>
          <w:pgSz w:w="11900" w:h="16838" w:orient="portrait"/>
          <w:cols w:equalWidth="0" w:num="2">
            <w:col w:w="5520" w:space="720"/>
            <w:col w:w="2779"/>
          </w:cols>
          <w:pgMar w:left="1440" w:top="292" w:right="1440" w:bottom="1440" w:gutter="0" w:footer="0" w:header="0"/>
          <w:type w:val="continuous"/>
        </w:sectPr>
      </w:pPr>
    </w:p>
    <w:p>
      <w:pPr>
        <w:ind w:left="1900"/>
        <w:spacing w:after="0"/>
        <w:rPr>
          <w:sz w:val="20"/>
          <w:szCs w:val="20"/>
          <w:color w:val="auto"/>
        </w:rPr>
      </w:pPr>
      <w:r>
        <w:rPr>
          <w:rFonts w:ascii="Arial" w:cs="Arial" w:eastAsia="Arial" w:hAnsi="Arial"/>
          <w:sz w:val="8"/>
          <w:szCs w:val="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8"/>
          <w:szCs w:val="8"/>
          <w:b w:val="1"/>
          <w:bCs w:val="1"/>
          <w:color w:val="auto"/>
        </w:rPr>
        <w:t>(Zip Code)</w:t>
      </w:r>
    </w:p>
    <w:p>
      <w:pPr>
        <w:spacing w:after="0" w:line="138" w:lineRule="exact"/>
        <w:rPr>
          <w:sz w:val="24"/>
          <w:szCs w:val="24"/>
          <w:color w:val="auto"/>
        </w:rPr>
      </w:pPr>
    </w:p>
    <w:p>
      <w:pPr>
        <w:sectPr>
          <w:pgSz w:w="11900" w:h="16838" w:orient="portrait"/>
          <w:cols w:equalWidth="0" w:num="2">
            <w:col w:w="5460" w:space="720"/>
            <w:col w:w="2839"/>
          </w:cols>
          <w:pgMar w:left="1440" w:top="292" w:right="1440" w:bottom="1440" w:gutter="0" w:footer="0" w:header="0"/>
          <w:type w:val="continuous"/>
        </w:sect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 (844) 511-9056</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153035</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6" w:lineRule="exact"/>
        <w:rPr>
          <w:sz w:val="24"/>
          <w:szCs w:val="24"/>
          <w:color w:val="auto"/>
        </w:rPr>
      </w:pPr>
    </w:p>
    <w:p>
      <w:pPr>
        <w:ind w:left="840" w:right="1159"/>
        <w:spacing w:after="0" w:line="276"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52"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50" w:lineRule="exact"/>
        <w:rPr>
          <w:sz w:val="24"/>
          <w:szCs w:val="24"/>
          <w:color w:val="auto"/>
        </w:rPr>
      </w:pPr>
    </w:p>
    <w:p>
      <w:pPr>
        <w:ind w:left="840"/>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46"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7"/>
              </w:rPr>
              <w:t>Trading</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Name of each exchange</w:t>
            </w:r>
          </w:p>
        </w:tc>
      </w:tr>
      <w:tr>
        <w:trPr>
          <w:trHeight w:val="122"/>
        </w:trPr>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3"/>
              </w:rPr>
              <w:t>Title of each class</w:t>
            </w: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2"/>
              </w:rPr>
              <w:t>Symbol(s)</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46"/>
        </w:trPr>
        <w:tc>
          <w:tcPr>
            <w:tcW w:w="24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Common Stock, par value $0.001 per share</w:t>
            </w:r>
          </w:p>
        </w:tc>
        <w:tc>
          <w:tcPr>
            <w:tcW w:w="8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rPr>
              <w:t>LRMR</w:t>
            </w:r>
          </w:p>
        </w:tc>
        <w:tc>
          <w:tcPr>
            <w:tcW w:w="6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Nasdaq Global Market</w:t>
            </w:r>
          </w:p>
        </w:tc>
      </w:tr>
    </w:tbl>
    <w:p>
      <w:pPr>
        <w:spacing w:after="0" w:line="122" w:lineRule="exact"/>
        <w:rPr>
          <w:sz w:val="24"/>
          <w:szCs w:val="24"/>
          <w:color w:val="auto"/>
        </w:rPr>
      </w:pPr>
    </w:p>
    <w:p>
      <w:pPr>
        <w:ind w:left="840" w:right="1039"/>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6720"/>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184" w:lineRule="exact"/>
        <w:rPr>
          <w:sz w:val="24"/>
          <w:szCs w:val="24"/>
          <w:color w:val="auto"/>
        </w:rPr>
      </w:pPr>
    </w:p>
    <w:p>
      <w:pPr>
        <w:ind w:left="840" w:right="103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90170</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118745</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type w:val="continuous"/>
        </w:sectPr>
      </w:pPr>
    </w:p>
    <w:bookmarkStart w:id="1" w:name="page2"/>
    <w:bookmarkEnd w:id="1"/>
    <w:p>
      <w:pPr>
        <w:ind w:left="840"/>
        <w:spacing w:after="0"/>
        <w:tabs>
          <w:tab w:leader="none" w:pos="154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2.02</w:t>
      </w:r>
      <w:r>
        <w:rPr>
          <w:sz w:val="20"/>
          <w:szCs w:val="20"/>
          <w:color w:val="auto"/>
        </w:rPr>
        <w:tab/>
      </w:r>
      <w:r>
        <w:rPr>
          <w:rFonts w:ascii="Arial" w:cs="Arial" w:eastAsia="Arial" w:hAnsi="Arial"/>
          <w:sz w:val="10"/>
          <w:szCs w:val="10"/>
          <w:b w:val="1"/>
          <w:bCs w:val="1"/>
          <w:color w:val="auto"/>
        </w:rPr>
        <w:t>Results of Operations and Financial Condition.</w:t>
      </w:r>
    </w:p>
    <w:p>
      <w:pPr>
        <w:spacing w:after="0" w:line="82" w:lineRule="exact"/>
        <w:rPr>
          <w:sz w:val="20"/>
          <w:szCs w:val="20"/>
          <w:color w:val="auto"/>
        </w:rPr>
      </w:pPr>
    </w:p>
    <w:p>
      <w:pPr>
        <w:jc w:val="both"/>
        <w:ind w:left="840" w:right="839"/>
        <w:spacing w:after="0" w:line="379" w:lineRule="auto"/>
        <w:rPr>
          <w:sz w:val="20"/>
          <w:szCs w:val="20"/>
          <w:color w:val="auto"/>
        </w:rPr>
      </w:pPr>
      <w:r>
        <w:rPr>
          <w:rFonts w:ascii="Arial" w:cs="Arial" w:eastAsia="Arial" w:hAnsi="Arial"/>
          <w:sz w:val="10"/>
          <w:szCs w:val="10"/>
          <w:color w:val="auto"/>
        </w:rPr>
        <w:t>On August 12, 2021, Larimar Therapeutics, Inc. (the “</w:t>
      </w:r>
      <w:r>
        <w:rPr>
          <w:rFonts w:ascii="Arial" w:cs="Arial" w:eastAsia="Arial" w:hAnsi="Arial"/>
          <w:sz w:val="10"/>
          <w:szCs w:val="10"/>
          <w:b w:val="1"/>
          <w:bCs w:val="1"/>
          <w:i w:val="1"/>
          <w:iCs w:val="1"/>
          <w:color w:val="auto"/>
        </w:rPr>
        <w:t>Company</w:t>
      </w:r>
      <w:r>
        <w:rPr>
          <w:rFonts w:ascii="Arial" w:cs="Arial" w:eastAsia="Arial" w:hAnsi="Arial"/>
          <w:sz w:val="10"/>
          <w:szCs w:val="10"/>
          <w:color w:val="auto"/>
        </w:rPr>
        <w:t>”) announced its financial results and operational highlights for the second quarter ended June 30, 2021. A copy of the press release is being furnished as Exhibit 99.1 to this Current Report on Form 8-K and is incorporated herein by reference.</w:t>
      </w:r>
    </w:p>
    <w:p>
      <w:pPr>
        <w:spacing w:after="0" w:line="69" w:lineRule="exact"/>
        <w:rPr>
          <w:sz w:val="20"/>
          <w:szCs w:val="20"/>
          <w:color w:val="auto"/>
        </w:rPr>
      </w:pPr>
    </w:p>
    <w:p>
      <w:pPr>
        <w:ind w:left="840" w:right="859"/>
        <w:spacing w:after="0" w:line="259" w:lineRule="auto"/>
        <w:rPr>
          <w:sz w:val="20"/>
          <w:szCs w:val="20"/>
          <w:color w:val="auto"/>
        </w:rPr>
      </w:pPr>
      <w:r>
        <w:rPr>
          <w:rFonts w:ascii="Arial" w:cs="Arial" w:eastAsia="Arial" w:hAnsi="Arial"/>
          <w:sz w:val="12"/>
          <w:szCs w:val="12"/>
          <w:color w:val="auto"/>
        </w:rPr>
        <w:t>The information in this Current Report on Form 8-K and Exhibit 99.1 attached hereto is intended to be furnished and shall not be deemed “filed” for purposes of Section 18 of the Securities Exchange Act of 1934, as amended (the “</w:t>
      </w:r>
      <w:r>
        <w:rPr>
          <w:rFonts w:ascii="Arial" w:cs="Arial" w:eastAsia="Arial" w:hAnsi="Arial"/>
          <w:sz w:val="12"/>
          <w:szCs w:val="12"/>
          <w:b w:val="1"/>
          <w:bCs w:val="1"/>
          <w:i w:val="1"/>
          <w:iCs w:val="1"/>
          <w:color w:val="auto"/>
        </w:rPr>
        <w:t>Exchange Act</w:t>
      </w:r>
      <w:r>
        <w:rPr>
          <w:rFonts w:ascii="Arial" w:cs="Arial" w:eastAsia="Arial" w:hAnsi="Arial"/>
          <w:sz w:val="12"/>
          <w:szCs w:val="12"/>
          <w:color w:val="auto"/>
        </w:rPr>
        <w: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19" w:lineRule="exact"/>
        <w:rPr>
          <w:sz w:val="20"/>
          <w:szCs w:val="20"/>
          <w:color w:val="auto"/>
        </w:rPr>
      </w:pPr>
    </w:p>
    <w:p>
      <w:pPr>
        <w:ind w:left="840"/>
        <w:spacing w:after="0"/>
        <w:tabs>
          <w:tab w:leader="none" w:pos="1540" w:val="left"/>
        </w:tabs>
        <w:rPr>
          <w:sz w:val="20"/>
          <w:szCs w:val="20"/>
          <w:color w:val="auto"/>
        </w:rPr>
      </w:pPr>
      <w:r>
        <w:rPr>
          <w:rFonts w:ascii="Arial" w:cs="Arial" w:eastAsia="Arial" w:hAnsi="Arial"/>
          <w:sz w:val="12"/>
          <w:szCs w:val="12"/>
          <w:b w:val="1"/>
          <w:bCs w:val="1"/>
          <w:color w:val="auto"/>
        </w:rPr>
        <w:t>Item 8.01</w:t>
      </w:r>
      <w:r>
        <w:rPr>
          <w:sz w:val="20"/>
          <w:szCs w:val="20"/>
          <w:color w:val="auto"/>
        </w:rPr>
        <w:tab/>
      </w:r>
      <w:r>
        <w:rPr>
          <w:rFonts w:ascii="Arial" w:cs="Arial" w:eastAsia="Arial" w:hAnsi="Arial"/>
          <w:sz w:val="11"/>
          <w:szCs w:val="11"/>
          <w:b w:val="1"/>
          <w:bCs w:val="1"/>
          <w:color w:val="auto"/>
        </w:rPr>
        <w:t>Other Events.</w:t>
      </w:r>
    </w:p>
    <w:p>
      <w:pPr>
        <w:spacing w:after="0" w:line="82" w:lineRule="exact"/>
        <w:rPr>
          <w:sz w:val="20"/>
          <w:szCs w:val="20"/>
          <w:color w:val="auto"/>
        </w:rPr>
      </w:pPr>
    </w:p>
    <w:p>
      <w:pPr>
        <w:jc w:val="both"/>
        <w:ind w:left="840" w:right="879"/>
        <w:spacing w:after="0" w:line="263" w:lineRule="auto"/>
        <w:rPr>
          <w:sz w:val="20"/>
          <w:szCs w:val="20"/>
          <w:color w:val="auto"/>
        </w:rPr>
      </w:pPr>
      <w:r>
        <w:rPr>
          <w:rFonts w:ascii="Arial" w:cs="Arial" w:eastAsia="Arial" w:hAnsi="Arial"/>
          <w:sz w:val="12"/>
          <w:szCs w:val="12"/>
          <w:color w:val="auto"/>
        </w:rPr>
        <w:t>On August 12, 2021, the Company posted on its website an updated slide presentation, which is attached as Exhibit 99.2 to this Current Report on Form 8-K and is incorporated herein by reference. Representatives of the Company will use the presentation in various meetings with investors, analysts and other parties from time to time.</w:t>
      </w:r>
    </w:p>
    <w:p>
      <w:pPr>
        <w:spacing w:after="0" w:line="217" w:lineRule="exact"/>
        <w:rPr>
          <w:sz w:val="20"/>
          <w:szCs w:val="20"/>
          <w:color w:val="auto"/>
        </w:rPr>
      </w:pPr>
    </w:p>
    <w:p>
      <w:pPr>
        <w:ind w:left="840"/>
        <w:spacing w:after="0"/>
        <w:tabs>
          <w:tab w:leader="none" w:pos="154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 Exhibits</w:t>
      </w:r>
    </w:p>
    <w:p>
      <w:pPr>
        <w:spacing w:after="0" w:line="150" w:lineRule="exact"/>
        <w:rPr>
          <w:sz w:val="20"/>
          <w:szCs w:val="20"/>
          <w:color w:val="auto"/>
        </w:rPr>
      </w:pPr>
    </w:p>
    <w:p>
      <w:pPr>
        <w:ind w:left="840"/>
        <w:spacing w:after="0"/>
        <w:rPr>
          <w:sz w:val="20"/>
          <w:szCs w:val="20"/>
          <w:color w:val="auto"/>
        </w:rPr>
      </w:pPr>
      <w:r>
        <w:rPr>
          <w:rFonts w:ascii="Arial" w:cs="Arial" w:eastAsia="Arial" w:hAnsi="Arial"/>
          <w:sz w:val="12"/>
          <w:szCs w:val="12"/>
          <w:color w:val="auto"/>
        </w:rPr>
        <w:t>Below is a list of exhibits included with this Current Report on Form 8-K.</w:t>
      </w:r>
    </w:p>
    <w:p>
      <w:pPr>
        <w:spacing w:after="0" w:line="161"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4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4"/>
              </w:rPr>
              <w:t>Exhibit No.</w:t>
            </w:r>
          </w:p>
        </w:tc>
        <w:tc>
          <w:tcPr>
            <w:tcW w:w="500" w:type="dxa"/>
            <w:vAlign w:val="bottom"/>
          </w:tcPr>
          <w:p>
            <w:pPr>
              <w:spacing w:after="0"/>
              <w:rPr>
                <w:sz w:val="10"/>
                <w:szCs w:val="10"/>
                <w:color w:val="auto"/>
              </w:rPr>
            </w:pPr>
          </w:p>
        </w:tc>
        <w:tc>
          <w:tcPr>
            <w:tcW w:w="6380" w:type="dxa"/>
            <w:vAlign w:val="bottom"/>
            <w:tcBorders>
              <w:bottom w:val="single" w:sz="8" w:color="auto"/>
            </w:tcBorders>
            <w:gridSpan w:val="3"/>
          </w:tcPr>
          <w:p>
            <w:pPr>
              <w:ind w:left="2980"/>
              <w:spacing w:after="0"/>
              <w:rPr>
                <w:sz w:val="20"/>
                <w:szCs w:val="20"/>
                <w:color w:val="auto"/>
              </w:rPr>
            </w:pPr>
            <w:r>
              <w:rPr>
                <w:rFonts w:ascii="Arial" w:cs="Arial" w:eastAsia="Arial" w:hAnsi="Arial"/>
                <w:sz w:val="10"/>
                <w:szCs w:val="10"/>
                <w:b w:val="1"/>
                <w:bCs w:val="1"/>
                <w:color w:val="auto"/>
              </w:rPr>
              <w:t>Document</w:t>
            </w:r>
          </w:p>
        </w:tc>
      </w:tr>
      <w:tr>
        <w:trPr>
          <w:trHeight w:val="178"/>
        </w:trPr>
        <w:tc>
          <w:tcPr>
            <w:tcW w:w="460" w:type="dxa"/>
            <w:vAlign w:val="bottom"/>
          </w:tcPr>
          <w:p>
            <w:pPr>
              <w:spacing w:after="0"/>
              <w:rPr>
                <w:sz w:val="20"/>
                <w:szCs w:val="20"/>
                <w:color w:val="auto"/>
              </w:rPr>
            </w:pPr>
            <w:r>
              <w:rPr>
                <w:rFonts w:ascii="Arial" w:cs="Arial" w:eastAsia="Arial" w:hAnsi="Arial"/>
                <w:sz w:val="12"/>
                <w:szCs w:val="12"/>
                <w:color w:val="auto"/>
              </w:rPr>
              <w:t>99.1</w:t>
            </w:r>
          </w:p>
        </w:tc>
        <w:tc>
          <w:tcPr>
            <w:tcW w:w="500" w:type="dxa"/>
            <w:vAlign w:val="bottom"/>
          </w:tcPr>
          <w:p>
            <w:pPr>
              <w:spacing w:after="0"/>
              <w:rPr>
                <w:sz w:val="15"/>
                <w:szCs w:val="15"/>
                <w:color w:val="auto"/>
              </w:rPr>
            </w:pPr>
          </w:p>
        </w:tc>
        <w:tc>
          <w:tcPr>
            <w:tcW w:w="6380" w:type="dxa"/>
            <w:vAlign w:val="bottom"/>
            <w:gridSpan w:val="3"/>
          </w:tcPr>
          <w:p>
            <w:pPr>
              <w:spacing w:after="0"/>
              <w:rPr>
                <w:rFonts w:ascii="Arial" w:cs="Arial" w:eastAsia="Arial" w:hAnsi="Arial"/>
                <w:sz w:val="12"/>
                <w:szCs w:val="12"/>
                <w:color w:val="0000EE"/>
              </w:rPr>
            </w:pPr>
            <w:hyperlink w:anchor="page4">
              <w:r>
                <w:rPr>
                  <w:rFonts w:ascii="Arial" w:cs="Arial" w:eastAsia="Arial" w:hAnsi="Arial"/>
                  <w:sz w:val="12"/>
                  <w:szCs w:val="12"/>
                  <w:color w:val="0000EE"/>
                </w:rPr>
                <w:t>Press Release issued by Larimar Therapeutics, Inc. on August 12, 2021*</w:t>
              </w:r>
            </w:hyperlink>
          </w:p>
        </w:tc>
      </w:tr>
      <w:tr>
        <w:trPr>
          <w:trHeight w:val="20"/>
        </w:trPr>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196"/>
        </w:trPr>
        <w:tc>
          <w:tcPr>
            <w:tcW w:w="460" w:type="dxa"/>
            <w:vAlign w:val="bottom"/>
          </w:tcPr>
          <w:p>
            <w:pPr>
              <w:spacing w:after="0"/>
              <w:rPr>
                <w:sz w:val="20"/>
                <w:szCs w:val="20"/>
                <w:color w:val="auto"/>
              </w:rPr>
            </w:pPr>
            <w:r>
              <w:rPr>
                <w:rFonts w:ascii="Arial" w:cs="Arial" w:eastAsia="Arial" w:hAnsi="Arial"/>
                <w:sz w:val="12"/>
                <w:szCs w:val="12"/>
                <w:color w:val="auto"/>
              </w:rPr>
              <w:t>99.2</w:t>
            </w:r>
          </w:p>
        </w:tc>
        <w:tc>
          <w:tcPr>
            <w:tcW w:w="500" w:type="dxa"/>
            <w:vAlign w:val="bottom"/>
          </w:tcPr>
          <w:p>
            <w:pPr>
              <w:spacing w:after="0"/>
              <w:rPr>
                <w:sz w:val="17"/>
                <w:szCs w:val="17"/>
                <w:color w:val="auto"/>
              </w:rPr>
            </w:pPr>
          </w:p>
        </w:tc>
        <w:tc>
          <w:tcPr>
            <w:tcW w:w="6380" w:type="dxa"/>
            <w:vAlign w:val="bottom"/>
            <w:gridSpan w:val="3"/>
          </w:tcPr>
          <w:p>
            <w:pPr>
              <w:spacing w:after="0"/>
              <w:rPr>
                <w:rFonts w:ascii="Arial" w:cs="Arial" w:eastAsia="Arial" w:hAnsi="Arial"/>
                <w:sz w:val="12"/>
                <w:szCs w:val="12"/>
                <w:color w:val="0000EE"/>
              </w:rPr>
            </w:pPr>
            <w:hyperlink w:anchor="page10">
              <w:r>
                <w:rPr>
                  <w:rFonts w:ascii="Arial" w:cs="Arial" w:eastAsia="Arial" w:hAnsi="Arial"/>
                  <w:sz w:val="12"/>
                  <w:szCs w:val="12"/>
                  <w:color w:val="0000EE"/>
                </w:rPr>
                <w:t>Larimar Therapeutics, Inc. Corporate Presentation, dated August 12, 2021</w:t>
              </w:r>
            </w:hyperlink>
          </w:p>
        </w:tc>
      </w:tr>
      <w:tr>
        <w:trPr>
          <w:trHeight w:val="20"/>
        </w:trPr>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bl>
    <w:p>
      <w:pPr>
        <w:spacing w:after="0" w:line="81" w:lineRule="exact"/>
        <w:rPr>
          <w:sz w:val="20"/>
          <w:szCs w:val="20"/>
          <w:color w:val="auto"/>
        </w:rPr>
      </w:pPr>
    </w:p>
    <w:p>
      <w:pPr>
        <w:ind w:left="840" w:right="3359" w:hanging="8"/>
        <w:spacing w:after="0" w:line="558" w:lineRule="auto"/>
        <w:tabs>
          <w:tab w:leader="none" w:pos="1812" w:val="left"/>
        </w:tabs>
        <w:numPr>
          <w:ilvl w:val="0"/>
          <w:numId w:val="2"/>
        </w:numPr>
        <w:rPr>
          <w:rFonts w:ascii="Arial" w:cs="Arial" w:eastAsia="Arial" w:hAnsi="Arial"/>
          <w:sz w:val="12"/>
          <w:szCs w:val="12"/>
          <w:color w:val="auto"/>
        </w:rPr>
      </w:pPr>
      <w:r>
        <w:rPr>
          <w:rFonts w:ascii="Arial" w:cs="Arial" w:eastAsia="Arial" w:hAnsi="Arial"/>
          <w:sz w:val="12"/>
          <w:szCs w:val="12"/>
          <w:color w:val="auto"/>
        </w:rPr>
        <w:t>Cover Page Interactive Data File (embedded within the Inline XBRL document) * Furnished herewith</w:t>
      </w:r>
    </w:p>
    <w:p>
      <w:pPr>
        <w:sectPr>
          <w:pgSz w:w="11900" w:h="16838" w:orient="portrait"/>
          <w:cols w:equalWidth="0" w:num="1">
            <w:col w:w="9019"/>
          </w:cols>
          <w:pgMar w:left="1440" w:top="244"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SIGNATURES</w:t>
      </w:r>
    </w:p>
    <w:p>
      <w:pPr>
        <w:spacing w:after="0" w:line="154" w:lineRule="exact"/>
        <w:rPr>
          <w:sz w:val="20"/>
          <w:szCs w:val="20"/>
          <w:color w:val="auto"/>
        </w:rPr>
      </w:pPr>
    </w:p>
    <w:p>
      <w:pPr>
        <w:ind w:left="840" w:right="1339"/>
        <w:spacing w:after="0" w:line="276"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33"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Larimar Therapeutics, Inc.</w:t>
      </w:r>
    </w:p>
    <w:p>
      <w:pPr>
        <w:spacing w:after="0" w:line="150" w:lineRule="exact"/>
        <w:rPr>
          <w:sz w:val="20"/>
          <w:szCs w:val="20"/>
          <w:color w:val="auto"/>
        </w:rPr>
      </w:pPr>
    </w:p>
    <w:p>
      <w:pPr>
        <w:ind w:left="5240"/>
        <w:spacing w:after="0"/>
        <w:tabs>
          <w:tab w:leader="none" w:pos="56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9525</wp:posOffset>
            </wp:positionV>
            <wp:extent cx="161734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17345" cy="5715"/>
                    </a:xfrm>
                    <a:prstGeom prst="rect">
                      <a:avLst/>
                    </a:prstGeom>
                    <a:noFill/>
                  </pic:spPr>
                </pic:pic>
              </a:graphicData>
            </a:graphic>
          </wp:anchor>
        </w:drawing>
      </w:r>
    </w:p>
    <w:p>
      <w:pPr>
        <w:spacing w:after="0" w:line="4" w:lineRule="exact"/>
        <w:rPr>
          <w:sz w:val="20"/>
          <w:szCs w:val="20"/>
          <w:color w:val="auto"/>
        </w:rPr>
      </w:pPr>
    </w:p>
    <w:p>
      <w:pPr>
        <w:ind w:left="5240"/>
        <w:spacing w:after="0"/>
        <w:rPr>
          <w:sz w:val="20"/>
          <w:szCs w:val="20"/>
          <w:color w:val="auto"/>
        </w:rPr>
      </w:pPr>
      <w:r>
        <w:rPr>
          <w:rFonts w:ascii="Arial" w:cs="Arial" w:eastAsia="Arial" w:hAnsi="Arial"/>
          <w:sz w:val="12"/>
          <w:szCs w:val="12"/>
          <w:i w:val="1"/>
          <w:iCs w:val="1"/>
          <w:color w:val="auto"/>
        </w:rPr>
        <w:t>Name: Carole S. Ben-Maimon, M.D.</w:t>
      </w:r>
    </w:p>
    <w:p>
      <w:pPr>
        <w:spacing w:after="0" w:line="15" w:lineRule="exact"/>
        <w:rPr>
          <w:sz w:val="20"/>
          <w:szCs w:val="20"/>
          <w:color w:val="auto"/>
        </w:rPr>
      </w:pPr>
    </w:p>
    <w:p>
      <w:pPr>
        <w:ind w:left="5240"/>
        <w:spacing w:after="0"/>
        <w:tabs>
          <w:tab w:leader="none" w:pos="5600" w:val="left"/>
        </w:tabs>
        <w:rPr>
          <w:sz w:val="20"/>
          <w:szCs w:val="20"/>
          <w:color w:val="auto"/>
        </w:rPr>
      </w:pPr>
      <w:r>
        <w:rPr>
          <w:rFonts w:ascii="Arial" w:cs="Arial" w:eastAsia="Arial" w:hAnsi="Arial"/>
          <w:sz w:val="12"/>
          <w:szCs w:val="12"/>
          <w:i w:val="1"/>
          <w:iCs w:val="1"/>
          <w:color w:val="auto"/>
        </w:rPr>
        <w:t>Title:</w:t>
        <w:tab/>
        <w:t>President and Chief Executive Officer</w:t>
      </w:r>
    </w:p>
    <w:p>
      <w:pPr>
        <w:spacing w:after="0" w:line="141"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Date: August 12, 2021</w:t>
      </w:r>
    </w:p>
    <w:p>
      <w:pPr>
        <w:sectPr>
          <w:pgSz w:w="11900" w:h="16838" w:orient="portrait"/>
          <w:cols w:equalWidth="0" w:num="1">
            <w:col w:w="9019"/>
          </w:cols>
          <w:pgMar w:left="1440" w:top="244" w:right="1440" w:bottom="1440" w:gutter="0" w:footer="0" w:header="0"/>
        </w:sectPr>
      </w:pPr>
    </w:p>
    <w:bookmarkStart w:id="3" w:name="page4"/>
    <w:bookmarkEnd w:id="3"/>
    <w:p>
      <w:pPr>
        <w:jc w:val="right"/>
        <w:ind w:right="839"/>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114935</wp:posOffset>
            </wp:positionV>
            <wp:extent cx="1005840" cy="3486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05840" cy="34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Larimar Therapeutics Reports Second Quarter 2021 Operating and Financial Results</w:t>
      </w:r>
    </w:p>
    <w:p>
      <w:pPr>
        <w:spacing w:after="0" w:line="154" w:lineRule="exact"/>
        <w:rPr>
          <w:sz w:val="20"/>
          <w:szCs w:val="20"/>
          <w:color w:val="auto"/>
        </w:rPr>
      </w:pPr>
    </w:p>
    <w:p>
      <w:pPr>
        <w:ind w:left="1080" w:hanging="72"/>
        <w:spacing w:after="0"/>
        <w:tabs>
          <w:tab w:leader="none" w:pos="1080" w:val="left"/>
        </w:tabs>
        <w:numPr>
          <w:ilvl w:val="2"/>
          <w:numId w:val="3"/>
        </w:numPr>
        <w:rPr>
          <w:rFonts w:ascii="Arial" w:cs="Arial" w:eastAsia="Arial" w:hAnsi="Arial"/>
          <w:sz w:val="11"/>
          <w:szCs w:val="11"/>
          <w:i w:val="1"/>
          <w:iCs w:val="1"/>
          <w:color w:val="auto"/>
        </w:rPr>
      </w:pPr>
      <w:r>
        <w:rPr>
          <w:rFonts w:ascii="Arial" w:cs="Arial" w:eastAsia="Arial" w:hAnsi="Arial"/>
          <w:sz w:val="11"/>
          <w:szCs w:val="11"/>
          <w:i w:val="1"/>
          <w:iCs w:val="1"/>
          <w:color w:val="auto"/>
        </w:rPr>
        <w:t>Reported positive proof-of-concept and dose response data from Phase 1 program evaluating CTI-1601 in patients with Friedreich’s ataxia (FA)</w:t>
      </w:r>
    </w:p>
    <w:p>
      <w:pPr>
        <w:spacing w:after="0" w:line="161" w:lineRule="exact"/>
        <w:rPr>
          <w:rFonts w:ascii="Arial" w:cs="Arial" w:eastAsia="Arial" w:hAnsi="Arial"/>
          <w:sz w:val="11"/>
          <w:szCs w:val="11"/>
          <w:i w:val="1"/>
          <w:iCs w:val="1"/>
          <w:color w:val="auto"/>
        </w:rPr>
      </w:pPr>
    </w:p>
    <w:p>
      <w:pPr>
        <w:ind w:left="960" w:hanging="70"/>
        <w:spacing w:after="0"/>
        <w:tabs>
          <w:tab w:leader="none" w:pos="960" w:val="left"/>
        </w:tabs>
        <w:numPr>
          <w:ilvl w:val="1"/>
          <w:numId w:val="3"/>
        </w:numPr>
        <w:rPr>
          <w:rFonts w:ascii="Arial" w:cs="Arial" w:eastAsia="Arial" w:hAnsi="Arial"/>
          <w:sz w:val="10"/>
          <w:szCs w:val="10"/>
          <w:i w:val="1"/>
          <w:iCs w:val="1"/>
          <w:color w:val="auto"/>
        </w:rPr>
      </w:pPr>
      <w:r>
        <w:rPr>
          <w:rFonts w:ascii="Arial" w:cs="Arial" w:eastAsia="Arial" w:hAnsi="Arial"/>
          <w:sz w:val="10"/>
          <w:szCs w:val="10"/>
          <w:i w:val="1"/>
          <w:iCs w:val="1"/>
          <w:color w:val="auto"/>
        </w:rPr>
        <w:t>Subcutaneous injections of CTI-1601 at doses of 50 mg or 100 mg resulted in frataxin levels in buccal cells of FA patients that were at or in excess of</w:t>
      </w:r>
    </w:p>
    <w:p>
      <w:pPr>
        <w:spacing w:after="0" w:line="37" w:lineRule="exact"/>
        <w:rPr>
          <w:rFonts w:ascii="Arial" w:cs="Arial" w:eastAsia="Arial" w:hAnsi="Arial"/>
          <w:sz w:val="10"/>
          <w:szCs w:val="10"/>
          <w:i w:val="1"/>
          <w:iCs w:val="1"/>
          <w:color w:val="auto"/>
        </w:rPr>
      </w:pPr>
    </w:p>
    <w:p>
      <w:pPr>
        <w:ind w:left="2660"/>
        <w:spacing w:after="0"/>
        <w:rPr>
          <w:rFonts w:ascii="Arial" w:cs="Arial" w:eastAsia="Arial" w:hAnsi="Arial"/>
          <w:sz w:val="10"/>
          <w:szCs w:val="10"/>
          <w:i w:val="1"/>
          <w:iCs w:val="1"/>
          <w:color w:val="auto"/>
        </w:rPr>
      </w:pPr>
      <w:r>
        <w:rPr>
          <w:rFonts w:ascii="Arial" w:cs="Arial" w:eastAsia="Arial" w:hAnsi="Arial"/>
          <w:sz w:val="12"/>
          <w:szCs w:val="12"/>
          <w:i w:val="1"/>
          <w:iCs w:val="1"/>
          <w:color w:val="auto"/>
        </w:rPr>
        <w:t>those that would be expected in phenotypically normal heterozygous carriers</w:t>
      </w:r>
    </w:p>
    <w:p>
      <w:pPr>
        <w:spacing w:after="0" w:line="141" w:lineRule="exact"/>
        <w:rPr>
          <w:rFonts w:ascii="Arial" w:cs="Arial" w:eastAsia="Arial" w:hAnsi="Arial"/>
          <w:sz w:val="10"/>
          <w:szCs w:val="10"/>
          <w:i w:val="1"/>
          <w:iCs w:val="1"/>
          <w:color w:val="auto"/>
        </w:rPr>
      </w:pPr>
    </w:p>
    <w:p>
      <w:pPr>
        <w:ind w:left="920" w:hanging="76"/>
        <w:spacing w:after="0"/>
        <w:tabs>
          <w:tab w:leader="none" w:pos="920" w:val="left"/>
        </w:tabs>
        <w:numPr>
          <w:ilvl w:val="0"/>
          <w:numId w:val="3"/>
        </w:numPr>
        <w:rPr>
          <w:rFonts w:ascii="Arial" w:cs="Arial" w:eastAsia="Arial" w:hAnsi="Arial"/>
          <w:sz w:val="10"/>
          <w:szCs w:val="10"/>
          <w:i w:val="1"/>
          <w:iCs w:val="1"/>
          <w:color w:val="auto"/>
        </w:rPr>
      </w:pPr>
      <w:r>
        <w:rPr>
          <w:rFonts w:ascii="Arial" w:cs="Arial" w:eastAsia="Arial" w:hAnsi="Arial"/>
          <w:sz w:val="10"/>
          <w:szCs w:val="10"/>
          <w:i w:val="1"/>
          <w:iCs w:val="1"/>
          <w:color w:val="auto"/>
        </w:rPr>
        <w:t>Phase 1 safety data indicate that repeated subcutaneous injections of CTI-1601 were generally well tolerated at doses up to 100 mg administered daily</w:t>
      </w:r>
    </w:p>
    <w:p>
      <w:pPr>
        <w:spacing w:after="0" w:line="37" w:lineRule="exact"/>
        <w:rPr>
          <w:rFonts w:ascii="Arial" w:cs="Arial" w:eastAsia="Arial" w:hAnsi="Arial"/>
          <w:sz w:val="10"/>
          <w:szCs w:val="10"/>
          <w:i w:val="1"/>
          <w:iCs w:val="1"/>
          <w:color w:val="auto"/>
        </w:rPr>
      </w:pPr>
    </w:p>
    <w:p>
      <w:pPr>
        <w:ind w:left="4240"/>
        <w:spacing w:after="0"/>
        <w:rPr>
          <w:rFonts w:ascii="Arial" w:cs="Arial" w:eastAsia="Arial" w:hAnsi="Arial"/>
          <w:sz w:val="10"/>
          <w:szCs w:val="10"/>
          <w:i w:val="1"/>
          <w:iCs w:val="1"/>
          <w:color w:val="auto"/>
        </w:rPr>
      </w:pPr>
      <w:r>
        <w:rPr>
          <w:rFonts w:ascii="Arial" w:cs="Arial" w:eastAsia="Arial" w:hAnsi="Arial"/>
          <w:sz w:val="12"/>
          <w:szCs w:val="12"/>
          <w:i w:val="1"/>
          <w:iCs w:val="1"/>
          <w:color w:val="auto"/>
        </w:rPr>
        <w:t>for 13 days</w:t>
      </w:r>
    </w:p>
    <w:p>
      <w:pPr>
        <w:spacing w:after="0" w:line="141" w:lineRule="exact"/>
        <w:rPr>
          <w:rFonts w:ascii="Arial" w:cs="Arial" w:eastAsia="Arial" w:hAnsi="Arial"/>
          <w:sz w:val="10"/>
          <w:szCs w:val="10"/>
          <w:i w:val="1"/>
          <w:iCs w:val="1"/>
          <w:color w:val="auto"/>
        </w:rPr>
      </w:pPr>
    </w:p>
    <w:p>
      <w:pPr>
        <w:ind w:left="1560" w:hanging="73"/>
        <w:spacing w:after="0"/>
        <w:tabs>
          <w:tab w:leader="none" w:pos="1560" w:val="left"/>
        </w:tabs>
        <w:numPr>
          <w:ilvl w:val="3"/>
          <w:numId w:val="3"/>
        </w:numPr>
        <w:rPr>
          <w:rFonts w:ascii="Arial" w:cs="Arial" w:eastAsia="Arial" w:hAnsi="Arial"/>
          <w:sz w:val="12"/>
          <w:szCs w:val="12"/>
          <w:i w:val="1"/>
          <w:iCs w:val="1"/>
          <w:color w:val="auto"/>
        </w:rPr>
      </w:pPr>
      <w:r>
        <w:rPr>
          <w:rFonts w:ascii="Arial" w:cs="Arial" w:eastAsia="Arial" w:hAnsi="Arial"/>
          <w:sz w:val="12"/>
          <w:szCs w:val="12"/>
          <w:i w:val="1"/>
          <w:iCs w:val="1"/>
          <w:color w:val="auto"/>
        </w:rPr>
        <w:t>Completed dosing in July in 180-day non-human primate toxicology study designed to support extended dosing of CTI-1601</w:t>
      </w:r>
    </w:p>
    <w:p>
      <w:pPr>
        <w:spacing w:after="0" w:line="150" w:lineRule="exact"/>
        <w:rPr>
          <w:sz w:val="20"/>
          <w:szCs w:val="20"/>
          <w:color w:val="auto"/>
        </w:rPr>
      </w:pPr>
    </w:p>
    <w:p>
      <w:pPr>
        <w:ind w:left="3140" w:hanging="74"/>
        <w:spacing w:after="0"/>
        <w:tabs>
          <w:tab w:leader="none" w:pos="3140" w:val="left"/>
        </w:tabs>
        <w:numPr>
          <w:ilvl w:val="0"/>
          <w:numId w:val="4"/>
        </w:numPr>
        <w:rPr>
          <w:rFonts w:ascii="Arial" w:cs="Arial" w:eastAsia="Arial" w:hAnsi="Arial"/>
          <w:sz w:val="12"/>
          <w:szCs w:val="12"/>
          <w:i w:val="1"/>
          <w:iCs w:val="1"/>
          <w:color w:val="auto"/>
        </w:rPr>
      </w:pPr>
      <w:r>
        <w:rPr>
          <w:rFonts w:ascii="Arial" w:cs="Arial" w:eastAsia="Arial" w:hAnsi="Arial"/>
          <w:sz w:val="12"/>
          <w:szCs w:val="12"/>
          <w:i w:val="1"/>
          <w:iCs w:val="1"/>
          <w:color w:val="auto"/>
        </w:rPr>
        <w:t>Cash and investments of $70.6 million as of June 30, 2021</w:t>
      </w:r>
    </w:p>
    <w:p>
      <w:pPr>
        <w:spacing w:after="0" w:line="150" w:lineRule="exact"/>
        <w:rPr>
          <w:rFonts w:ascii="Arial" w:cs="Arial" w:eastAsia="Arial" w:hAnsi="Arial"/>
          <w:sz w:val="12"/>
          <w:szCs w:val="12"/>
          <w:i w:val="1"/>
          <w:iCs w:val="1"/>
          <w:color w:val="auto"/>
        </w:rPr>
      </w:pPr>
    </w:p>
    <w:p>
      <w:pPr>
        <w:ind w:left="3300" w:hanging="75"/>
        <w:spacing w:after="0"/>
        <w:tabs>
          <w:tab w:leader="none" w:pos="3300" w:val="left"/>
        </w:tabs>
        <w:numPr>
          <w:ilvl w:val="1"/>
          <w:numId w:val="4"/>
        </w:numPr>
        <w:rPr>
          <w:rFonts w:ascii="Arial" w:cs="Arial" w:eastAsia="Arial" w:hAnsi="Arial"/>
          <w:sz w:val="12"/>
          <w:szCs w:val="12"/>
          <w:i w:val="1"/>
          <w:iCs w:val="1"/>
          <w:color w:val="auto"/>
        </w:rPr>
      </w:pPr>
      <w:r>
        <w:rPr>
          <w:rFonts w:ascii="Arial" w:cs="Arial" w:eastAsia="Arial" w:hAnsi="Arial"/>
          <w:sz w:val="12"/>
          <w:szCs w:val="12"/>
          <w:i w:val="1"/>
          <w:iCs w:val="1"/>
          <w:color w:val="auto"/>
        </w:rPr>
        <w:t>Closed $20 million equity financing on July 2, 2021</w:t>
      </w:r>
    </w:p>
    <w:p>
      <w:pPr>
        <w:spacing w:after="0" w:line="146" w:lineRule="exact"/>
        <w:rPr>
          <w:sz w:val="20"/>
          <w:szCs w:val="20"/>
          <w:color w:val="auto"/>
        </w:rPr>
      </w:pPr>
    </w:p>
    <w:p>
      <w:pPr>
        <w:ind w:left="840" w:right="1039"/>
        <w:spacing w:after="0" w:line="330" w:lineRule="auto"/>
        <w:rPr>
          <w:sz w:val="20"/>
          <w:szCs w:val="20"/>
          <w:color w:val="auto"/>
        </w:rPr>
      </w:pPr>
      <w:r>
        <w:rPr>
          <w:rFonts w:ascii="Arial" w:cs="Arial" w:eastAsia="Arial" w:hAnsi="Arial"/>
          <w:sz w:val="11"/>
          <w:szCs w:val="11"/>
          <w:b w:val="1"/>
          <w:bCs w:val="1"/>
          <w:color w:val="auto"/>
        </w:rPr>
        <w:t xml:space="preserve">Bala Cynwyd, PA, </w:t>
      </w:r>
      <w:r>
        <w:rPr>
          <w:rFonts w:ascii="Arial" w:cs="Arial" w:eastAsia="Arial" w:hAnsi="Arial"/>
          <w:sz w:val="11"/>
          <w:szCs w:val="11"/>
          <w:color w:val="auto"/>
        </w:rPr>
        <w:t>August 12, 2021 – Larimar Therapeutics, Inc. (“Larimar”) (Nasdaq: LRMR), a clinical-stage biotechnology company focused on</w:t>
      </w:r>
      <w:r>
        <w:rPr>
          <w:rFonts w:ascii="Arial" w:cs="Arial" w:eastAsia="Arial" w:hAnsi="Arial"/>
          <w:sz w:val="11"/>
          <w:szCs w:val="11"/>
          <w:b w:val="1"/>
          <w:bCs w:val="1"/>
          <w:color w:val="auto"/>
        </w:rPr>
        <w:t xml:space="preserve"> </w:t>
      </w:r>
      <w:r>
        <w:rPr>
          <w:rFonts w:ascii="Arial" w:cs="Arial" w:eastAsia="Arial" w:hAnsi="Arial"/>
          <w:sz w:val="11"/>
          <w:szCs w:val="11"/>
          <w:color w:val="auto"/>
        </w:rPr>
        <w:t>developing treatments for complex rare diseases, today reported its second quarter and year to date June 30, 2021 operating and financial results.</w:t>
      </w:r>
    </w:p>
    <w:p>
      <w:pPr>
        <w:spacing w:after="0" w:line="88" w:lineRule="exact"/>
        <w:rPr>
          <w:sz w:val="20"/>
          <w:szCs w:val="20"/>
          <w:color w:val="auto"/>
        </w:rPr>
      </w:pPr>
    </w:p>
    <w:p>
      <w:pPr>
        <w:ind w:left="840" w:right="899"/>
        <w:spacing w:after="0" w:line="281" w:lineRule="auto"/>
        <w:rPr>
          <w:sz w:val="20"/>
          <w:szCs w:val="20"/>
          <w:color w:val="auto"/>
        </w:rPr>
      </w:pPr>
      <w:r>
        <w:rPr>
          <w:rFonts w:ascii="Arial" w:cs="Arial" w:eastAsia="Arial" w:hAnsi="Arial"/>
          <w:sz w:val="11"/>
          <w:szCs w:val="11"/>
          <w:color w:val="auto"/>
        </w:rPr>
        <w:t>“We finished the second quarter in a strong financial position and with a compelling clinical data set that demonstrates proof-of-concept for CTI-1601, which to our knowledge is the only clinical-stage candidate designed to address the root cause of Friedreich’s ataxia,” said Carole Ben-Maimon, MD, President and Chief Executive Officer of Larimar. “These positive Phase 1 data along with non-clinical pharmacology data demonstrate proof-of-concept, and CTI-1601’s differentiated mechanism of action helped us to earn a PRIME designation from the European Medicines Agency, providing us with valuable regulatory benefits and important external validation. Looking forward, we continue to collect and analyze data from our 180-day non-human primate toxicology study and remain confident that there is a path forward through the resolution of the CTI-1601 clinical hold and towards the initiation of our Jive open-label extension and pediatric multiple ascending dose trials.”</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Second Quarter 2021 Highlights</w:t>
      </w:r>
    </w:p>
    <w:p>
      <w:pPr>
        <w:spacing w:after="0" w:line="91" w:lineRule="exact"/>
        <w:rPr>
          <w:sz w:val="20"/>
          <w:szCs w:val="20"/>
          <w:color w:val="auto"/>
        </w:rPr>
      </w:pPr>
    </w:p>
    <w:p>
      <w:pPr>
        <w:ind w:left="1480" w:right="859" w:hanging="360"/>
        <w:spacing w:after="0" w:line="254" w:lineRule="auto"/>
        <w:tabs>
          <w:tab w:leader="none" w:pos="1480" w:val="left"/>
        </w:tabs>
        <w:numPr>
          <w:ilvl w:val="0"/>
          <w:numId w:val="5"/>
        </w:numPr>
        <w:rPr>
          <w:rFonts w:ascii="Arial" w:cs="Arial" w:eastAsia="Arial" w:hAnsi="Arial"/>
          <w:sz w:val="12"/>
          <w:szCs w:val="12"/>
          <w:color w:val="auto"/>
        </w:rPr>
      </w:pPr>
      <w:r>
        <w:rPr>
          <w:rFonts w:ascii="Arial" w:cs="Arial" w:eastAsia="Arial" w:hAnsi="Arial"/>
          <w:sz w:val="12"/>
          <w:szCs w:val="12"/>
          <w:color w:val="auto"/>
        </w:rPr>
        <w:t>In May 2021, Larimar reported positive topline data from its Phase 1 Friedreich’s ataxia (FA) program after completing dosing of the single ascending dose (SAD) trial in December, 2020 and of the multiple ascending dose (MAD) trial in March, 2021. Data from these trials demonstrate proof-of-concept by showing that daily subcutaneous injections of CTI-1601 for up to 13 days resulted in dose-dependent increases in frataxin levels from baseline compared to placebo in all evaluated tissues (buccal cells, skin, and platelets). Frataxin levels achieved in peripheral tissues (buccal cells) following daily 50 mg and 100 mg subcutaneous injections of CTI-1601 were at or in excess of frataxin levels that would be expected in phenotypically normal heterozygous carriers. There were no serious adverse events (SAEs), associated with either the MAD or SAD trials.</w:t>
      </w:r>
    </w:p>
    <w:p>
      <w:pPr>
        <w:sectPr>
          <w:pgSz w:w="11900" w:h="16838" w:orient="portrait"/>
          <w:cols w:equalWidth="0" w:num="1">
            <w:col w:w="9019"/>
          </w:cols>
          <w:pgMar w:left="1440" w:top="127" w:right="1440" w:bottom="1440" w:gutter="0" w:footer="0" w:header="0"/>
        </w:sectPr>
      </w:pPr>
    </w:p>
    <w:bookmarkStart w:id="4" w:name="page5"/>
    <w:bookmarkEnd w:id="4"/>
    <w:p>
      <w:pPr>
        <w:ind w:left="1480" w:right="1079" w:hanging="360"/>
        <w:spacing w:after="0" w:line="256" w:lineRule="auto"/>
        <w:tabs>
          <w:tab w:leader="none" w:pos="1480" w:val="left"/>
        </w:tabs>
        <w:numPr>
          <w:ilvl w:val="0"/>
          <w:numId w:val="6"/>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May 2021, Larimar received European Medicines Agency (EMA) Priority Medicines (PRIME) designation for CTI-1601 in FA. Through PRIME, the EMA offers early and proactive support to medicine developers to optimize the generation of robust data on a medicine’s benefits and risks and enables accelerated assessment of medicines applications so that these medicines can reach patients earlier. Larimar’s PRIME designation was based on pre-clinical data as well as tolerability data from the CTI-1601 Phase 1 program in patients with FA.</w:t>
      </w:r>
    </w:p>
    <w:p>
      <w:pPr>
        <w:spacing w:after="0" w:line="65" w:lineRule="exact"/>
        <w:rPr>
          <w:rFonts w:ascii="Arial" w:cs="Arial" w:eastAsia="Arial" w:hAnsi="Arial"/>
          <w:sz w:val="12"/>
          <w:szCs w:val="12"/>
          <w:color w:val="auto"/>
        </w:rPr>
      </w:pPr>
    </w:p>
    <w:p>
      <w:pPr>
        <w:ind w:left="1480" w:right="939" w:hanging="360"/>
        <w:spacing w:after="0" w:line="283" w:lineRule="auto"/>
        <w:tabs>
          <w:tab w:leader="none" w:pos="1480" w:val="left"/>
        </w:tabs>
        <w:numPr>
          <w:ilvl w:val="0"/>
          <w:numId w:val="6"/>
        </w:numPr>
        <w:rPr>
          <w:rFonts w:ascii="Arial" w:cs="Arial" w:eastAsia="Arial" w:hAnsi="Arial"/>
          <w:sz w:val="11"/>
          <w:szCs w:val="11"/>
          <w:color w:val="auto"/>
        </w:rPr>
      </w:pPr>
      <w:r>
        <w:rPr>
          <w:rFonts w:ascii="Arial" w:cs="Arial" w:eastAsia="Arial" w:hAnsi="Arial"/>
          <w:sz w:val="11"/>
          <w:szCs w:val="11"/>
          <w:color w:val="auto"/>
        </w:rPr>
        <w:t>On May 25, 2021 the United States Food and Drug Administration (FDA) placed a clinical hold on the CTI-1601 clinical program following the Company’s notification to the FDA of mortalities which occurred at the highest dose levels in an ongoing 180-day non-human primate (NHP) toxicology study, which is designed to support extended dosing of patients with CTI-1601. In the clinical hold letter, the FDA stated that it needs a full study report from the ongoing NHP study and Larimar may not initiate additional clinical trials until the company has submitted the report and received notification from the FDA that additional clinical trials may commence. At the time of the notice, the Company had no interventional clinical trials with patients enrolled or enrolling.</w:t>
      </w:r>
    </w:p>
    <w:p>
      <w:pPr>
        <w:spacing w:after="0" w:line="50" w:lineRule="exact"/>
        <w:rPr>
          <w:rFonts w:ascii="Arial" w:cs="Arial" w:eastAsia="Arial" w:hAnsi="Arial"/>
          <w:sz w:val="11"/>
          <w:szCs w:val="11"/>
          <w:color w:val="auto"/>
        </w:rPr>
      </w:pPr>
    </w:p>
    <w:p>
      <w:pPr>
        <w:ind w:left="1480" w:right="899" w:hanging="360"/>
        <w:spacing w:after="0" w:line="259" w:lineRule="auto"/>
        <w:tabs>
          <w:tab w:leader="none" w:pos="1480" w:val="left"/>
        </w:tabs>
        <w:numPr>
          <w:ilvl w:val="0"/>
          <w:numId w:val="6"/>
        </w:numPr>
        <w:rPr>
          <w:rFonts w:ascii="Arial" w:cs="Arial" w:eastAsia="Arial" w:hAnsi="Arial"/>
          <w:sz w:val="12"/>
          <w:szCs w:val="12"/>
          <w:color w:val="auto"/>
        </w:rPr>
      </w:pPr>
      <w:r>
        <w:rPr>
          <w:rFonts w:ascii="Arial" w:cs="Arial" w:eastAsia="Arial" w:hAnsi="Arial"/>
          <w:sz w:val="12"/>
          <w:szCs w:val="12"/>
          <w:color w:val="auto"/>
        </w:rPr>
        <w:t>In July 2021, the Company completed dosing in the 180-day NHP toxicology study discussed above. The Company is currently collecting and analyzing data from the study. While there is no way to predict the FDA’s response or whether they will require additional data or testing before lifting the clinical hold on CTI-1601 in full or in part, the Company expects to initiate its Jive open-label extension and pediatric MAD trials in the first half of next year.</w:t>
      </w:r>
    </w:p>
    <w:p>
      <w:pPr>
        <w:spacing w:after="0" w:line="192"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Recent Developments</w:t>
      </w:r>
    </w:p>
    <w:p>
      <w:pPr>
        <w:spacing w:after="0" w:line="82" w:lineRule="exact"/>
        <w:rPr>
          <w:sz w:val="20"/>
          <w:szCs w:val="20"/>
          <w:color w:val="auto"/>
        </w:rPr>
      </w:pPr>
    </w:p>
    <w:p>
      <w:pPr>
        <w:jc w:val="both"/>
        <w:ind w:left="840" w:right="979"/>
        <w:spacing w:after="0" w:line="263" w:lineRule="auto"/>
        <w:rPr>
          <w:sz w:val="20"/>
          <w:szCs w:val="20"/>
          <w:color w:val="auto"/>
        </w:rPr>
      </w:pPr>
      <w:r>
        <w:rPr>
          <w:rFonts w:ascii="Arial" w:cs="Arial" w:eastAsia="Arial" w:hAnsi="Arial"/>
          <w:sz w:val="12"/>
          <w:szCs w:val="12"/>
          <w:color w:val="auto"/>
        </w:rPr>
        <w:t>Under an Equity Distribution Agreement with an investment bank, the Company may sell up to an aggregate of $50,000,000 shares of common stock from time to time in connection with an “at the market” program. In July 2021, the Company sold an additional 2,342,720 shares under the agreement for net proceeds of $19.9 million. The Company can raise an additional $29.2 million under this program.</w:t>
      </w:r>
    </w:p>
    <w:p>
      <w:pPr>
        <w:spacing w:after="0" w:line="190"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Anticipated Milestones</w:t>
      </w:r>
    </w:p>
    <w:p>
      <w:pPr>
        <w:spacing w:after="0" w:line="91" w:lineRule="exact"/>
        <w:rPr>
          <w:sz w:val="20"/>
          <w:szCs w:val="20"/>
          <w:color w:val="auto"/>
        </w:rPr>
      </w:pPr>
    </w:p>
    <w:p>
      <w:pPr>
        <w:ind w:left="1480" w:hanging="360"/>
        <w:spacing w:after="0"/>
        <w:tabs>
          <w:tab w:leader="none" w:pos="1480" w:val="left"/>
        </w:tabs>
        <w:numPr>
          <w:ilvl w:val="0"/>
          <w:numId w:val="7"/>
        </w:numPr>
        <w:rPr>
          <w:rFonts w:ascii="Arial" w:cs="Arial" w:eastAsia="Arial" w:hAnsi="Arial"/>
          <w:sz w:val="12"/>
          <w:szCs w:val="12"/>
          <w:color w:val="auto"/>
        </w:rPr>
      </w:pPr>
      <w:r>
        <w:rPr>
          <w:rFonts w:ascii="Arial" w:cs="Arial" w:eastAsia="Arial" w:hAnsi="Arial"/>
          <w:sz w:val="12"/>
          <w:szCs w:val="12"/>
          <w:color w:val="auto"/>
        </w:rPr>
        <w:t>Obtain FDA clearance to initiate future clinical trials</w:t>
      </w:r>
    </w:p>
    <w:p>
      <w:pPr>
        <w:spacing w:after="0" w:line="87" w:lineRule="exact"/>
        <w:rPr>
          <w:rFonts w:ascii="Arial" w:cs="Arial" w:eastAsia="Arial" w:hAnsi="Arial"/>
          <w:sz w:val="12"/>
          <w:szCs w:val="12"/>
          <w:color w:val="auto"/>
        </w:rPr>
      </w:pPr>
    </w:p>
    <w:p>
      <w:pPr>
        <w:ind w:left="1480" w:hanging="360"/>
        <w:spacing w:after="0"/>
        <w:tabs>
          <w:tab w:leader="none" w:pos="1480" w:val="left"/>
        </w:tabs>
        <w:numPr>
          <w:ilvl w:val="0"/>
          <w:numId w:val="7"/>
        </w:numPr>
        <w:rPr>
          <w:rFonts w:ascii="Arial" w:cs="Arial" w:eastAsia="Arial" w:hAnsi="Arial"/>
          <w:sz w:val="12"/>
          <w:szCs w:val="12"/>
          <w:color w:val="auto"/>
        </w:rPr>
      </w:pPr>
      <w:r>
        <w:rPr>
          <w:rFonts w:ascii="Arial" w:cs="Arial" w:eastAsia="Arial" w:hAnsi="Arial"/>
          <w:sz w:val="12"/>
          <w:szCs w:val="12"/>
          <w:color w:val="auto"/>
        </w:rPr>
        <w:t>Initiate a non-interventional healthy volunteer study this year to generate data for comparison to FA patients</w:t>
      </w:r>
    </w:p>
    <w:p>
      <w:pPr>
        <w:spacing w:after="0" w:line="87" w:lineRule="exact"/>
        <w:rPr>
          <w:rFonts w:ascii="Arial" w:cs="Arial" w:eastAsia="Arial" w:hAnsi="Arial"/>
          <w:sz w:val="12"/>
          <w:szCs w:val="12"/>
          <w:color w:val="auto"/>
        </w:rPr>
      </w:pPr>
    </w:p>
    <w:p>
      <w:pPr>
        <w:ind w:left="1480" w:hanging="360"/>
        <w:spacing w:after="0"/>
        <w:tabs>
          <w:tab w:leader="none" w:pos="1480" w:val="left"/>
        </w:tabs>
        <w:numPr>
          <w:ilvl w:val="0"/>
          <w:numId w:val="7"/>
        </w:numPr>
        <w:rPr>
          <w:rFonts w:ascii="Arial" w:cs="Arial" w:eastAsia="Arial" w:hAnsi="Arial"/>
          <w:sz w:val="12"/>
          <w:szCs w:val="12"/>
          <w:color w:val="auto"/>
        </w:rPr>
      </w:pPr>
      <w:r>
        <w:rPr>
          <w:rFonts w:ascii="Arial" w:cs="Arial" w:eastAsia="Arial" w:hAnsi="Arial"/>
          <w:sz w:val="12"/>
          <w:szCs w:val="12"/>
          <w:color w:val="auto"/>
        </w:rPr>
        <w:t>Initiate Jive open-label extension clinical trial in the first half of 2022</w:t>
      </w:r>
    </w:p>
    <w:p>
      <w:pPr>
        <w:spacing w:after="0" w:line="87" w:lineRule="exact"/>
        <w:rPr>
          <w:rFonts w:ascii="Arial" w:cs="Arial" w:eastAsia="Arial" w:hAnsi="Arial"/>
          <w:sz w:val="12"/>
          <w:szCs w:val="12"/>
          <w:color w:val="auto"/>
        </w:rPr>
      </w:pPr>
    </w:p>
    <w:p>
      <w:pPr>
        <w:ind w:left="1480" w:hanging="360"/>
        <w:spacing w:after="0"/>
        <w:tabs>
          <w:tab w:leader="none" w:pos="1480" w:val="left"/>
        </w:tabs>
        <w:numPr>
          <w:ilvl w:val="0"/>
          <w:numId w:val="7"/>
        </w:numPr>
        <w:rPr>
          <w:rFonts w:ascii="Arial" w:cs="Arial" w:eastAsia="Arial" w:hAnsi="Arial"/>
          <w:sz w:val="12"/>
          <w:szCs w:val="12"/>
          <w:color w:val="auto"/>
        </w:rPr>
      </w:pPr>
      <w:r>
        <w:rPr>
          <w:rFonts w:ascii="Arial" w:cs="Arial" w:eastAsia="Arial" w:hAnsi="Arial"/>
          <w:sz w:val="12"/>
          <w:szCs w:val="12"/>
          <w:color w:val="auto"/>
        </w:rPr>
        <w:t>Initiate MAD trial in patients under 18 years of age in the first half of 2022</w:t>
      </w:r>
    </w:p>
    <w:p>
      <w:pPr>
        <w:spacing w:after="0" w:line="218"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Second Quarter 2021 Financial Results</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As of June 30, 2021, the Company had cash and cash equivalents totaling $70.6 million.</w:t>
      </w:r>
    </w:p>
    <w:p>
      <w:pPr>
        <w:spacing w:after="0" w:line="150" w:lineRule="exact"/>
        <w:rPr>
          <w:sz w:val="20"/>
          <w:szCs w:val="20"/>
          <w:color w:val="auto"/>
        </w:rPr>
      </w:pPr>
    </w:p>
    <w:p>
      <w:pPr>
        <w:ind w:left="840" w:right="999"/>
        <w:spacing w:after="0" w:line="276" w:lineRule="auto"/>
        <w:rPr>
          <w:sz w:val="20"/>
          <w:szCs w:val="20"/>
          <w:color w:val="auto"/>
        </w:rPr>
      </w:pPr>
      <w:r>
        <w:rPr>
          <w:rFonts w:ascii="Arial" w:cs="Arial" w:eastAsia="Arial" w:hAnsi="Arial"/>
          <w:sz w:val="12"/>
          <w:szCs w:val="12"/>
          <w:color w:val="auto"/>
        </w:rPr>
        <w:t>The Company reported a net loss for the second quarter of 2021 of $12.6 million, or $0.79 per share, compared to a net loss of $11.3 million, or $1.21 per share, for the second quarter of 2020.</w:t>
      </w:r>
    </w:p>
    <w:p>
      <w:pPr>
        <w:sectPr>
          <w:pgSz w:w="11900" w:h="16838" w:orient="portrait"/>
          <w:cols w:equalWidth="0" w:num="1">
            <w:col w:w="9019"/>
          </w:cols>
          <w:pgMar w:left="1440" w:top="230" w:right="1440" w:bottom="1440" w:gutter="0" w:footer="0" w:header="0"/>
        </w:sectPr>
      </w:pPr>
    </w:p>
    <w:bookmarkStart w:id="5" w:name="page6"/>
    <w:bookmarkEnd w:id="5"/>
    <w:p>
      <w:pPr>
        <w:ind w:left="840" w:right="859"/>
        <w:spacing w:after="0" w:line="25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Research and development expenses for the second quarter of 2021 were $9.1 million compared to $8.9 million for the second quarter of 2020. The increase in research and development expenses compared to the prior year period was primarily driven by higher non-clinical costs associated with assay development and toxicology studies, an increase in clinical trial costs, an increase in personnel related costs due to headcount additions in our research and development functions, an increase in stock compensation expense associated with stock option grants made in the second half of 2020 and thus far in 2021, partially offset by a decrease of clinical supply manufacturing costs.</w:t>
      </w:r>
    </w:p>
    <w:p>
      <w:pPr>
        <w:spacing w:after="0" w:line="128" w:lineRule="exact"/>
        <w:rPr>
          <w:sz w:val="20"/>
          <w:szCs w:val="20"/>
          <w:color w:val="auto"/>
        </w:rPr>
      </w:pPr>
    </w:p>
    <w:p>
      <w:pPr>
        <w:ind w:left="840" w:right="939"/>
        <w:spacing w:after="0" w:line="326" w:lineRule="auto"/>
        <w:rPr>
          <w:sz w:val="20"/>
          <w:szCs w:val="20"/>
          <w:color w:val="auto"/>
        </w:rPr>
      </w:pPr>
      <w:r>
        <w:rPr>
          <w:rFonts w:ascii="Arial" w:cs="Arial" w:eastAsia="Arial" w:hAnsi="Arial"/>
          <w:sz w:val="10"/>
          <w:szCs w:val="10"/>
          <w:color w:val="auto"/>
        </w:rPr>
        <w:t>General and administrative expenses for the second quarter of 2021 were $3.4 million, compared to $2.5 million for the second quarter of 2020. The increase in general and administrative expenses as compared to the prior year period was primarily driven by an increase in personnel related costs due to increased headcount, an increase in stock-based compensation associated with stock option grants made in the second half of 2020 and thus far in 2021, an increase in professional fees primarily associated with insurance costs, legal and consulting fees as a result of operating as a public company.</w:t>
      </w:r>
    </w:p>
    <w:p>
      <w:pPr>
        <w:spacing w:after="0" w:line="95" w:lineRule="exact"/>
        <w:rPr>
          <w:sz w:val="20"/>
          <w:szCs w:val="20"/>
          <w:color w:val="auto"/>
        </w:rPr>
      </w:pPr>
    </w:p>
    <w:p>
      <w:pPr>
        <w:ind w:left="840" w:right="1079"/>
        <w:spacing w:after="0" w:line="276" w:lineRule="auto"/>
        <w:rPr>
          <w:sz w:val="20"/>
          <w:szCs w:val="20"/>
          <w:color w:val="auto"/>
        </w:rPr>
      </w:pPr>
      <w:r>
        <w:rPr>
          <w:rFonts w:ascii="Arial" w:cs="Arial" w:eastAsia="Arial" w:hAnsi="Arial"/>
          <w:sz w:val="12"/>
          <w:szCs w:val="12"/>
          <w:color w:val="auto"/>
        </w:rPr>
        <w:t>For the first half of 2021, the Company reported a net loss of $24.7 million, or $1.54 per share, compared to a net loss of $18.1 million, or $2.33 per share for the same period in 2020.</w:t>
      </w:r>
    </w:p>
    <w:p>
      <w:pPr>
        <w:spacing w:after="0" w:line="115" w:lineRule="exact"/>
        <w:rPr>
          <w:sz w:val="20"/>
          <w:szCs w:val="20"/>
          <w:color w:val="auto"/>
        </w:rPr>
      </w:pPr>
    </w:p>
    <w:p>
      <w:pPr>
        <w:ind w:left="840" w:right="859"/>
        <w:spacing w:after="0" w:line="256" w:lineRule="auto"/>
        <w:rPr>
          <w:sz w:val="20"/>
          <w:szCs w:val="20"/>
          <w:color w:val="auto"/>
        </w:rPr>
      </w:pPr>
      <w:r>
        <w:rPr>
          <w:rFonts w:ascii="Arial" w:cs="Arial" w:eastAsia="Arial" w:hAnsi="Arial"/>
          <w:sz w:val="12"/>
          <w:szCs w:val="12"/>
          <w:color w:val="auto"/>
        </w:rPr>
        <w:t>Research and development expenses for the first half of 2021 were $18.1 million compared to $13.9 million for the first half of 2020. The increase in research and development expenses compared to the prior year period was primarily driven by an increase in clinical trial costs, higher non-clinical costs associated with the assay and toxicology studies, an increase in personnel related costs due to headcount additions in our research and development functions, an increase in stock compensation expense associated with stock option grants made in the second half of 2020 and thus far in 2021, partially offset by a decrease of clinical supply manufacturing costs.</w:t>
      </w:r>
    </w:p>
    <w:p>
      <w:pPr>
        <w:spacing w:after="0" w:line="128" w:lineRule="exact"/>
        <w:rPr>
          <w:sz w:val="20"/>
          <w:szCs w:val="20"/>
          <w:color w:val="auto"/>
        </w:rPr>
      </w:pPr>
    </w:p>
    <w:p>
      <w:pPr>
        <w:ind w:left="840" w:right="879"/>
        <w:spacing w:after="0" w:line="320" w:lineRule="auto"/>
        <w:rPr>
          <w:sz w:val="20"/>
          <w:szCs w:val="20"/>
          <w:color w:val="auto"/>
        </w:rPr>
      </w:pPr>
      <w:r>
        <w:rPr>
          <w:rFonts w:ascii="Arial" w:cs="Arial" w:eastAsia="Arial" w:hAnsi="Arial"/>
          <w:sz w:val="10"/>
          <w:szCs w:val="10"/>
          <w:color w:val="auto"/>
        </w:rPr>
        <w:t>General and administrative expenses for the first half of 2021 were $6.6 million, compared to $4.2 million for the first half of 2020. The increase in general and administrative expenses as compared to the prior year period was primarily driven by an increase in personnel related costs due to increased headcount, an increase in stock-based compensation associated with stock option grants made in the second half of 2020 and thus far in 2021, an increase in professional fees primarily associated with insurance costs, recruiting expenses, legal and consulting fees as a result of operating as a public company, partially offset by a decrease in accounting and audit costs related to additional years under audit in the first quarter 2020.</w:t>
      </w:r>
    </w:p>
    <w:p>
      <w:pPr>
        <w:spacing w:after="0" w:line="165"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About Larimar Therapeutics</w:t>
      </w:r>
    </w:p>
    <w:p>
      <w:pPr>
        <w:spacing w:after="0" w:line="82" w:lineRule="exact"/>
        <w:rPr>
          <w:sz w:val="20"/>
          <w:szCs w:val="20"/>
          <w:color w:val="auto"/>
        </w:rPr>
      </w:pPr>
    </w:p>
    <w:p>
      <w:pPr>
        <w:ind w:left="840" w:right="1059"/>
        <w:spacing w:after="0" w:line="289" w:lineRule="auto"/>
        <w:rPr>
          <w:sz w:val="20"/>
          <w:szCs w:val="20"/>
          <w:color w:val="auto"/>
        </w:rPr>
      </w:pPr>
      <w:r>
        <w:rPr>
          <w:rFonts w:ascii="Arial" w:cs="Arial" w:eastAsia="Arial" w:hAnsi="Arial"/>
          <w:sz w:val="11"/>
          <w:szCs w:val="11"/>
          <w:color w:val="auto"/>
        </w:rPr>
        <w:t xml:space="preserve">Larimar Therapeutics, Inc. (Nasdaq: LRMR) is a clinical-stage biotechnology company focused on developing treatments for complex rare diseases. Larimar’s lead compound, CTI-1601, is currently being evaluated in a Phase 1 clinical program in the U.S. as a potential treatment for Friedreich’s ataxia. Larimar also plans to use its intracellular delivery platform to design other fusion proteins to target additional rare diseases characterized by deficiencies in intracellular bioactive compounds. For more information, please visit: </w:t>
      </w:r>
      <w:r>
        <w:rPr>
          <w:rFonts w:ascii="Arial" w:cs="Arial" w:eastAsia="Arial" w:hAnsi="Arial"/>
          <w:sz w:val="11"/>
          <w:szCs w:val="11"/>
          <w:u w:val="single" w:color="auto"/>
          <w:color w:val="auto"/>
        </w:rPr>
        <w:t>https://larimartx.com</w:t>
      </w:r>
      <w:r>
        <w:rPr>
          <w:rFonts w:ascii="Arial" w:cs="Arial" w:eastAsia="Arial" w:hAnsi="Arial"/>
          <w:sz w:val="11"/>
          <w:szCs w:val="11"/>
          <w:color w:val="auto"/>
        </w:rPr>
        <w:t>.</w:t>
      </w:r>
    </w:p>
    <w:p>
      <w:pPr>
        <w:spacing w:after="0" w:line="179"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Forward-Looking Statements</w:t>
      </w:r>
    </w:p>
    <w:p>
      <w:pPr>
        <w:spacing w:after="0" w:line="82" w:lineRule="exact"/>
        <w:rPr>
          <w:sz w:val="20"/>
          <w:szCs w:val="20"/>
          <w:color w:val="auto"/>
        </w:rPr>
      </w:pPr>
    </w:p>
    <w:p>
      <w:pPr>
        <w:ind w:left="840" w:right="899"/>
        <w:spacing w:after="0" w:line="289" w:lineRule="auto"/>
        <w:rPr>
          <w:sz w:val="20"/>
          <w:szCs w:val="20"/>
          <w:color w:val="auto"/>
        </w:rPr>
      </w:pPr>
      <w:r>
        <w:rPr>
          <w:rFonts w:ascii="Arial" w:cs="Arial" w:eastAsia="Arial" w:hAnsi="Arial"/>
          <w:sz w:val="11"/>
          <w:szCs w:val="11"/>
          <w:color w:val="auto"/>
        </w:rPr>
        <w:t>This press release contains forward-looking statements that are based on Larimar’s management’s beliefs and assumptions and on information currently available to management. All statements contained in this release other than statements of historical fact are forward-looking statements, including but not limited to statements regarding Larimar’s expectations regarding its ability to resolve the clinical hold imposed by the FDA related to CTI-1601, Larimar’s ability to develop and commercialize CTI-1601 and other planned product candidates, Larimar’s planned</w:t>
      </w:r>
    </w:p>
    <w:p>
      <w:pPr>
        <w:sectPr>
          <w:pgSz w:w="11900" w:h="16838" w:orient="portrait"/>
          <w:cols w:equalWidth="0" w:num="1">
            <w:col w:w="9019"/>
          </w:cols>
          <w:pgMar w:left="1440" w:top="230" w:right="1440" w:bottom="1440" w:gutter="0" w:footer="0" w:header="0"/>
        </w:sectPr>
      </w:pPr>
    </w:p>
    <w:bookmarkStart w:id="6" w:name="page7"/>
    <w:bookmarkEnd w:id="6"/>
    <w:p>
      <w:pPr>
        <w:ind w:left="840" w:right="959"/>
        <w:spacing w:after="0" w:line="27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research and development efforts, and other matters regarding Larimar’s business strategies, use of capital, results of operations and financial position, and plans and objectives for future operations.</w:t>
      </w:r>
    </w:p>
    <w:p>
      <w:pPr>
        <w:spacing w:after="0" w:line="115" w:lineRule="exact"/>
        <w:rPr>
          <w:sz w:val="20"/>
          <w:szCs w:val="20"/>
          <w:color w:val="auto"/>
        </w:rPr>
      </w:pPr>
    </w:p>
    <w:p>
      <w:pPr>
        <w:ind w:left="840" w:right="879"/>
        <w:spacing w:after="0" w:line="276" w:lineRule="auto"/>
        <w:rPr>
          <w:sz w:val="20"/>
          <w:szCs w:val="20"/>
          <w:color w:val="auto"/>
        </w:rPr>
      </w:pPr>
      <w:r>
        <w:rPr>
          <w:rFonts w:ascii="Arial" w:cs="Arial" w:eastAsia="Arial" w:hAnsi="Arial"/>
          <w:sz w:val="11"/>
          <w:szCs w:val="11"/>
          <w:color w:val="auto"/>
        </w:rPr>
        <w:t xml:space="preserve">In some cases, you can identify forward-looking statements by the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performance, or achievements to be materially different from the information expressed or implied by these forward-looking statements. These risks, uncertainties and other factors include, among others, Larimar’s ability to successfully engage with the FDA and satisfactorily respond to requests from the FDA for further information and data regarding CTI-1601, the timing and outcome of Larimar’s planned interactions with the FDA concerning the clinical hold on CTI-1601, the success, cost and timing of Larimar’s product development activities, nonclinical studies and clinical trials, including CTI-1601 clinical milestones; that clinical trial results may differ from final clinical trial results, that earlier non-clinical and clinical data and testing of CTI-1601 may not be predictive of the results or success of clinical trials, and assessments; the ongoing impact of the COVID-19 pandemic on Larimar’s future clinical trials, manufacturing, regulatory and nonclinical study timelines, ability to raise additional capital and general economic conditions; Larimar’s ability to optimize and scale CTI-1601’s manufacturing process; Larimar’s ability to obtain regulatory approval for CTI-1601 and future product candidates; Larimar’s ability to develop sales and marketing capabilities, whether alone or with potential future collaborators, and to successfully commercialize any approved product candidates; Larimar’s ability to raise the necessary capital to conduct its product development activities; and other risks described in the filings made by Larimar with the Securities and Exchange Commission (SEC), including but not limited to Larimar’s periodic reports, including the annual report on Form 10-K, quarterly reports on Form 10-Q and current reports on Form 8-K, filed with or furnished to the SEC and available at </w:t>
      </w:r>
      <w:r>
        <w:rPr>
          <w:rFonts w:ascii="Arial" w:cs="Arial" w:eastAsia="Arial" w:hAnsi="Arial"/>
          <w:sz w:val="11"/>
          <w:szCs w:val="11"/>
          <w:u w:val="single" w:color="auto"/>
          <w:color w:val="auto"/>
        </w:rPr>
        <w:t>www.sec.gov</w:t>
      </w:r>
      <w:r>
        <w:rPr>
          <w:rFonts w:ascii="Arial" w:cs="Arial" w:eastAsia="Arial" w:hAnsi="Arial"/>
          <w:sz w:val="11"/>
          <w:szCs w:val="11"/>
          <w:color w:val="auto"/>
        </w:rPr>
        <w:t>. These forward-looking statements are based on a combination of facts and factors currently known by Larimar and its projections of the future, about which it cannot be certain. As a result, the forward-looking statements may not prove to be accurate. The forward-looking statements in this press release represent views as of the date hereof. Larimar undertakes no obligation to update any forward-looking statements for any reason, except as required by law.</w:t>
      </w:r>
    </w:p>
    <w:p>
      <w:pPr>
        <w:spacing w:after="0" w:line="130" w:lineRule="exact"/>
        <w:rPr>
          <w:sz w:val="20"/>
          <w:szCs w:val="20"/>
          <w:color w:val="auto"/>
        </w:rPr>
      </w:pPr>
    </w:p>
    <w:tbl>
      <w:tblPr>
        <w:tblLayout w:type="fixed"/>
        <w:tblInd w:w="840" w:type="dxa"/>
        <w:tblCellMar>
          <w:top w:w="0" w:type="dxa"/>
          <w:left w:w="0" w:type="dxa"/>
          <w:bottom w:w="0" w:type="dxa"/>
          <w:right w:w="0" w:type="dxa"/>
        </w:tblCellMar>
      </w:tblPr>
      <w:tr>
        <w:trPr>
          <w:trHeight w:val="157"/>
        </w:trPr>
        <w:tc>
          <w:tcPr>
            <w:tcW w:w="3820" w:type="dxa"/>
            <w:vAlign w:val="bottom"/>
            <w:gridSpan w:val="2"/>
          </w:tcPr>
          <w:p>
            <w:pPr>
              <w:spacing w:after="0"/>
              <w:rPr>
                <w:sz w:val="20"/>
                <w:szCs w:val="20"/>
                <w:color w:val="auto"/>
              </w:rPr>
            </w:pPr>
            <w:r>
              <w:rPr>
                <w:rFonts w:ascii="Arial" w:cs="Arial" w:eastAsia="Arial" w:hAnsi="Arial"/>
                <w:sz w:val="12"/>
                <w:szCs w:val="12"/>
                <w:b w:val="1"/>
                <w:bCs w:val="1"/>
                <w:color w:val="auto"/>
              </w:rPr>
              <w:t>Investor Contact:</w:t>
            </w:r>
          </w:p>
        </w:tc>
        <w:tc>
          <w:tcPr>
            <w:tcW w:w="1200" w:type="dxa"/>
            <w:vAlign w:val="bottom"/>
            <w:gridSpan w:val="2"/>
          </w:tcPr>
          <w:p>
            <w:pPr>
              <w:spacing w:after="0"/>
              <w:rPr>
                <w:sz w:val="20"/>
                <w:szCs w:val="20"/>
                <w:color w:val="auto"/>
              </w:rPr>
            </w:pPr>
            <w:r>
              <w:rPr>
                <w:rFonts w:ascii="Arial" w:cs="Arial" w:eastAsia="Arial" w:hAnsi="Arial"/>
                <w:sz w:val="12"/>
                <w:szCs w:val="12"/>
                <w:b w:val="1"/>
                <w:bCs w:val="1"/>
                <w:color w:val="auto"/>
              </w:rPr>
              <w:t>Company Contact:</w:t>
            </w:r>
          </w:p>
        </w:tc>
      </w:tr>
      <w:tr>
        <w:trPr>
          <w:trHeight w:val="207"/>
        </w:trPr>
        <w:tc>
          <w:tcPr>
            <w:tcW w:w="3820" w:type="dxa"/>
            <w:vAlign w:val="bottom"/>
            <w:gridSpan w:val="2"/>
          </w:tcPr>
          <w:p>
            <w:pPr>
              <w:spacing w:after="0"/>
              <w:rPr>
                <w:sz w:val="20"/>
                <w:szCs w:val="20"/>
                <w:color w:val="auto"/>
              </w:rPr>
            </w:pPr>
            <w:r>
              <w:rPr>
                <w:rFonts w:ascii="Arial" w:cs="Arial" w:eastAsia="Arial" w:hAnsi="Arial"/>
                <w:sz w:val="12"/>
                <w:szCs w:val="12"/>
                <w:color w:val="auto"/>
              </w:rPr>
              <w:t>Joyce Allaire</w:t>
            </w:r>
          </w:p>
        </w:tc>
        <w:tc>
          <w:tcPr>
            <w:tcW w:w="1200" w:type="dxa"/>
            <w:vAlign w:val="bottom"/>
            <w:gridSpan w:val="2"/>
          </w:tcPr>
          <w:p>
            <w:pPr>
              <w:spacing w:after="0"/>
              <w:rPr>
                <w:sz w:val="20"/>
                <w:szCs w:val="20"/>
                <w:color w:val="auto"/>
              </w:rPr>
            </w:pPr>
            <w:r>
              <w:rPr>
                <w:rFonts w:ascii="Arial" w:cs="Arial" w:eastAsia="Arial" w:hAnsi="Arial"/>
                <w:sz w:val="12"/>
                <w:szCs w:val="12"/>
                <w:color w:val="auto"/>
              </w:rPr>
              <w:t>Michael Celano</w:t>
            </w:r>
          </w:p>
        </w:tc>
      </w:tr>
      <w:tr>
        <w:trPr>
          <w:trHeight w:val="144"/>
        </w:trPr>
        <w:tc>
          <w:tcPr>
            <w:tcW w:w="3820" w:type="dxa"/>
            <w:vAlign w:val="bottom"/>
            <w:gridSpan w:val="2"/>
          </w:tcPr>
          <w:p>
            <w:pPr>
              <w:spacing w:after="0"/>
              <w:rPr>
                <w:sz w:val="20"/>
                <w:szCs w:val="20"/>
                <w:color w:val="auto"/>
              </w:rPr>
            </w:pPr>
            <w:r>
              <w:rPr>
                <w:rFonts w:ascii="Arial" w:cs="Arial" w:eastAsia="Arial" w:hAnsi="Arial"/>
                <w:sz w:val="12"/>
                <w:szCs w:val="12"/>
                <w:color w:val="auto"/>
              </w:rPr>
              <w:t>LifeSci Advisors</w:t>
            </w:r>
          </w:p>
        </w:tc>
        <w:tc>
          <w:tcPr>
            <w:tcW w:w="1200" w:type="dxa"/>
            <w:vAlign w:val="bottom"/>
            <w:gridSpan w:val="2"/>
          </w:tcPr>
          <w:p>
            <w:pPr>
              <w:spacing w:after="0"/>
              <w:rPr>
                <w:sz w:val="20"/>
                <w:szCs w:val="20"/>
                <w:color w:val="auto"/>
              </w:rPr>
            </w:pPr>
            <w:r>
              <w:rPr>
                <w:rFonts w:ascii="Arial" w:cs="Arial" w:eastAsia="Arial" w:hAnsi="Arial"/>
                <w:sz w:val="12"/>
                <w:szCs w:val="12"/>
                <w:color w:val="auto"/>
                <w:w w:val="99"/>
              </w:rPr>
              <w:t>Chief Financial Officer</w:t>
            </w:r>
          </w:p>
        </w:tc>
      </w:tr>
      <w:tr>
        <w:trPr>
          <w:trHeight w:val="126"/>
        </w:trPr>
        <w:tc>
          <w:tcPr>
            <w:tcW w:w="3820" w:type="dxa"/>
            <w:vAlign w:val="bottom"/>
            <w:gridSpan w:val="2"/>
          </w:tcPr>
          <w:p>
            <w:pPr>
              <w:spacing w:after="0" w:line="126" w:lineRule="exact"/>
              <w:rPr>
                <w:sz w:val="20"/>
                <w:szCs w:val="20"/>
                <w:color w:val="auto"/>
              </w:rPr>
            </w:pPr>
            <w:r>
              <w:rPr>
                <w:rFonts w:ascii="Arial" w:cs="Arial" w:eastAsia="Arial" w:hAnsi="Arial"/>
                <w:sz w:val="12"/>
                <w:szCs w:val="12"/>
                <w:color w:val="auto"/>
              </w:rPr>
              <w:t>jallaire@lifesciadvisors.com</w:t>
            </w:r>
          </w:p>
        </w:tc>
        <w:tc>
          <w:tcPr>
            <w:tcW w:w="1200" w:type="dxa"/>
            <w:vAlign w:val="bottom"/>
            <w:gridSpan w:val="2"/>
          </w:tcPr>
          <w:p>
            <w:pPr>
              <w:spacing w:after="0" w:line="126" w:lineRule="exact"/>
              <w:rPr>
                <w:sz w:val="20"/>
                <w:szCs w:val="20"/>
                <w:color w:val="auto"/>
              </w:rPr>
            </w:pPr>
            <w:r>
              <w:rPr>
                <w:rFonts w:ascii="Arial" w:cs="Arial" w:eastAsia="Arial" w:hAnsi="Arial"/>
                <w:sz w:val="12"/>
                <w:szCs w:val="12"/>
                <w:color w:val="auto"/>
                <w:w w:val="91"/>
              </w:rPr>
              <w:t>mcelano@larimartx.com</w:t>
            </w:r>
          </w:p>
        </w:tc>
      </w:tr>
      <w:tr>
        <w:trPr>
          <w:trHeight w:val="151"/>
        </w:trPr>
        <w:tc>
          <w:tcPr>
            <w:tcW w:w="136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(212) 915-2569</w:t>
            </w:r>
          </w:p>
        </w:tc>
        <w:tc>
          <w:tcPr>
            <w:tcW w:w="2460" w:type="dxa"/>
            <w:vAlign w:val="bottom"/>
          </w:tcPr>
          <w:p>
            <w:pPr>
              <w:spacing w:after="0"/>
              <w:rPr>
                <w:sz w:val="13"/>
                <w:szCs w:val="13"/>
                <w:color w:val="auto"/>
              </w:rPr>
            </w:pPr>
          </w:p>
        </w:tc>
        <w:tc>
          <w:tcPr>
            <w:tcW w:w="118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(484) 414-2715</w:t>
            </w:r>
          </w:p>
        </w:tc>
        <w:tc>
          <w:tcPr>
            <w:tcW w:w="20" w:type="dxa"/>
            <w:vAlign w:val="bottom"/>
          </w:tcPr>
          <w:p>
            <w:pPr>
              <w:spacing w:after="0"/>
              <w:rPr>
                <w:sz w:val="13"/>
                <w:szCs w:val="13"/>
                <w:color w:val="auto"/>
              </w:rPr>
            </w:pPr>
          </w:p>
        </w:tc>
      </w:tr>
    </w:tbl>
    <w:p>
      <w:pPr>
        <w:sectPr>
          <w:pgSz w:w="11900" w:h="16838" w:orient="portrait"/>
          <w:cols w:equalWidth="0" w:num="1">
            <w:col w:w="9019"/>
          </w:cols>
          <w:pgMar w:left="1440" w:top="230" w:right="1440"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Larimar Therapeutics,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Consolidated Balance Sheet</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(Unaudited)</w:t>
      </w:r>
    </w:p>
    <w:p>
      <w:pPr>
        <w:spacing w:after="0" w:line="138"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6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w w:val="79"/>
              </w:rPr>
              <w:t>June 30,</w:t>
            </w:r>
          </w:p>
        </w:tc>
        <w:tc>
          <w:tcPr>
            <w:tcW w:w="640" w:type="dxa"/>
            <w:vAlign w:val="bottom"/>
            <w:gridSpan w:val="3"/>
          </w:tcPr>
          <w:p>
            <w:pPr>
              <w:spacing w:after="0"/>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13"/>
        </w:trPr>
        <w:tc>
          <w:tcPr>
            <w:tcW w:w="604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ind w:right="61"/>
              <w:spacing w:after="0" w:line="114" w:lineRule="exact"/>
              <w:rPr>
                <w:sz w:val="20"/>
                <w:szCs w:val="20"/>
                <w:color w:val="auto"/>
              </w:rPr>
            </w:pPr>
            <w:r>
              <w:rPr>
                <w:rFonts w:ascii="Arial" w:cs="Arial" w:eastAsia="Arial" w:hAnsi="Arial"/>
                <w:sz w:val="10"/>
                <w:szCs w:val="10"/>
                <w:b w:val="1"/>
                <w:bCs w:val="1"/>
                <w:color w:val="auto"/>
              </w:rPr>
              <w:t>2021</w:t>
            </w:r>
          </w:p>
        </w:tc>
        <w:tc>
          <w:tcPr>
            <w:tcW w:w="22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ind w:right="121"/>
              <w:spacing w:after="0" w:line="114" w:lineRule="exact"/>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6040" w:type="dxa"/>
            <w:vAlign w:val="bottom"/>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Assets</w:t>
            </w: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20" w:type="dxa"/>
            <w:vAlign w:val="bottom"/>
            <w:tcBorders>
              <w:lef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040" w:type="dxa"/>
            <w:vAlign w:val="bottom"/>
          </w:tcPr>
          <w:p>
            <w:pPr>
              <w:spacing w:after="0"/>
              <w:rPr>
                <w:sz w:val="20"/>
                <w:szCs w:val="20"/>
                <w:color w:val="auto"/>
              </w:rPr>
            </w:pPr>
            <w:r>
              <w:rPr>
                <w:rFonts w:ascii="Arial" w:cs="Arial" w:eastAsia="Arial" w:hAnsi="Arial"/>
                <w:sz w:val="12"/>
                <w:szCs w:val="12"/>
                <w:color w:val="auto"/>
              </w:rPr>
              <w:t>Current assets:</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40" w:type="dxa"/>
            <w:vAlign w:val="bottom"/>
            <w:shd w:val="clear" w:color="auto" w:fill="CCEEFF"/>
          </w:tcPr>
          <w:p>
            <w:pPr>
              <w:ind w:left="480"/>
              <w:spacing w:after="0"/>
              <w:rPr>
                <w:sz w:val="20"/>
                <w:szCs w:val="20"/>
                <w:color w:val="auto"/>
              </w:rPr>
            </w:pPr>
            <w:r>
              <w:rPr>
                <w:rFonts w:ascii="Arial" w:cs="Arial" w:eastAsia="Arial" w:hAnsi="Arial"/>
                <w:sz w:val="12"/>
                <w:szCs w:val="12"/>
                <w:color w:val="auto"/>
              </w:rPr>
              <w:t>Cash and cash equivalents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70,630</w:t>
            </w:r>
          </w:p>
        </w:tc>
        <w:tc>
          <w:tcPr>
            <w:tcW w:w="2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68,148</w:t>
            </w:r>
          </w:p>
        </w:tc>
        <w:tc>
          <w:tcPr>
            <w:tcW w:w="0" w:type="dxa"/>
            <w:vAlign w:val="bottom"/>
          </w:tcPr>
          <w:p>
            <w:pPr>
              <w:spacing w:after="0"/>
              <w:rPr>
                <w:sz w:val="1"/>
                <w:szCs w:val="1"/>
                <w:color w:val="auto"/>
              </w:rPr>
            </w:pPr>
          </w:p>
        </w:tc>
      </w:tr>
      <w:tr>
        <w:trPr>
          <w:trHeight w:val="144"/>
        </w:trPr>
        <w:tc>
          <w:tcPr>
            <w:tcW w:w="6040" w:type="dxa"/>
            <w:vAlign w:val="bottom"/>
          </w:tcPr>
          <w:p>
            <w:pPr>
              <w:ind w:left="480"/>
              <w:spacing w:after="0"/>
              <w:rPr>
                <w:sz w:val="20"/>
                <w:szCs w:val="20"/>
                <w:color w:val="auto"/>
              </w:rPr>
            </w:pPr>
            <w:r>
              <w:rPr>
                <w:rFonts w:ascii="Arial" w:cs="Arial" w:eastAsia="Arial" w:hAnsi="Arial"/>
                <w:sz w:val="12"/>
                <w:szCs w:val="12"/>
                <w:color w:val="auto"/>
              </w:rPr>
              <w:t>Marketable debt securities</w:t>
            </w:r>
          </w:p>
        </w:tc>
        <w:tc>
          <w:tcPr>
            <w:tcW w:w="60" w:type="dxa"/>
            <w:vAlign w:val="bottom"/>
          </w:tcPr>
          <w:p>
            <w:pPr>
              <w:spacing w:after="0"/>
              <w:rPr>
                <w:sz w:val="12"/>
                <w:szCs w:val="12"/>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24,490</w:t>
            </w:r>
          </w:p>
        </w:tc>
        <w:tc>
          <w:tcPr>
            <w:tcW w:w="0" w:type="dxa"/>
            <w:vAlign w:val="bottom"/>
          </w:tcPr>
          <w:p>
            <w:pPr>
              <w:spacing w:after="0"/>
              <w:rPr>
                <w:sz w:val="1"/>
                <w:szCs w:val="1"/>
                <w:color w:val="auto"/>
              </w:rPr>
            </w:pPr>
          </w:p>
        </w:tc>
      </w:tr>
      <w:tr>
        <w:trPr>
          <w:trHeight w:val="144"/>
        </w:trPr>
        <w:tc>
          <w:tcPr>
            <w:tcW w:w="6040" w:type="dxa"/>
            <w:vAlign w:val="bottom"/>
            <w:shd w:val="clear" w:color="auto" w:fill="CCEEFF"/>
          </w:tcPr>
          <w:p>
            <w:pPr>
              <w:ind w:left="480"/>
              <w:spacing w:after="0"/>
              <w:rPr>
                <w:sz w:val="20"/>
                <w:szCs w:val="20"/>
                <w:color w:val="auto"/>
              </w:rPr>
            </w:pPr>
            <w:r>
              <w:rPr>
                <w:rFonts w:ascii="Arial" w:cs="Arial" w:eastAsia="Arial" w:hAnsi="Arial"/>
                <w:sz w:val="12"/>
                <w:szCs w:val="12"/>
                <w:color w:val="auto"/>
              </w:rPr>
              <w:t>Prepaid expenses and other current assets</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3,406</w:t>
            </w:r>
          </w:p>
        </w:tc>
        <w:tc>
          <w:tcPr>
            <w:tcW w:w="2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5,314</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720"/>
              <w:spacing w:after="0"/>
              <w:rPr>
                <w:sz w:val="20"/>
                <w:szCs w:val="20"/>
                <w:color w:val="auto"/>
              </w:rPr>
            </w:pPr>
            <w:r>
              <w:rPr>
                <w:rFonts w:ascii="Arial" w:cs="Arial" w:eastAsia="Arial" w:hAnsi="Arial"/>
                <w:sz w:val="12"/>
                <w:szCs w:val="12"/>
                <w:color w:val="auto"/>
              </w:rPr>
              <w:t>Total current assets</w:t>
            </w: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74,036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97,952</w:t>
            </w:r>
          </w:p>
        </w:tc>
        <w:tc>
          <w:tcPr>
            <w:tcW w:w="0" w:type="dxa"/>
            <w:vAlign w:val="bottom"/>
          </w:tcPr>
          <w:p>
            <w:pPr>
              <w:spacing w:after="0"/>
              <w:rPr>
                <w:sz w:val="1"/>
                <w:szCs w:val="1"/>
                <w:color w:val="auto"/>
              </w:rPr>
            </w:pPr>
          </w:p>
        </w:tc>
      </w:tr>
      <w:tr>
        <w:trPr>
          <w:trHeight w:val="144"/>
        </w:trPr>
        <w:tc>
          <w:tcPr>
            <w:tcW w:w="6040" w:type="dxa"/>
            <w:vAlign w:val="bottom"/>
            <w:shd w:val="clear" w:color="auto" w:fill="CCEEFF"/>
          </w:tcPr>
          <w:p>
            <w:pPr>
              <w:spacing w:after="0"/>
              <w:rPr>
                <w:sz w:val="20"/>
                <w:szCs w:val="20"/>
                <w:color w:val="auto"/>
              </w:rPr>
            </w:pPr>
            <w:r>
              <w:rPr>
                <w:rFonts w:ascii="Arial" w:cs="Arial" w:eastAsia="Arial" w:hAnsi="Arial"/>
                <w:sz w:val="12"/>
                <w:szCs w:val="12"/>
                <w:color w:val="auto"/>
              </w:rPr>
              <w:t>Property and equipment, net</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1,211</w:t>
            </w:r>
          </w:p>
        </w:tc>
        <w:tc>
          <w:tcPr>
            <w:tcW w:w="2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1,040</w:t>
            </w:r>
          </w:p>
        </w:tc>
        <w:tc>
          <w:tcPr>
            <w:tcW w:w="0" w:type="dxa"/>
            <w:vAlign w:val="bottom"/>
          </w:tcPr>
          <w:p>
            <w:pPr>
              <w:spacing w:after="0"/>
              <w:rPr>
                <w:sz w:val="1"/>
                <w:szCs w:val="1"/>
                <w:color w:val="auto"/>
              </w:rPr>
            </w:pPr>
          </w:p>
        </w:tc>
      </w:tr>
      <w:tr>
        <w:trPr>
          <w:trHeight w:val="144"/>
        </w:trPr>
        <w:tc>
          <w:tcPr>
            <w:tcW w:w="6040" w:type="dxa"/>
            <w:vAlign w:val="bottom"/>
          </w:tcPr>
          <w:p>
            <w:pPr>
              <w:spacing w:after="0"/>
              <w:rPr>
                <w:sz w:val="20"/>
                <w:szCs w:val="20"/>
                <w:color w:val="auto"/>
              </w:rPr>
            </w:pPr>
            <w:r>
              <w:rPr>
                <w:rFonts w:ascii="Arial" w:cs="Arial" w:eastAsia="Arial" w:hAnsi="Arial"/>
                <w:sz w:val="12"/>
                <w:szCs w:val="12"/>
                <w:color w:val="auto"/>
              </w:rPr>
              <w:t>Operating lease right-of-use assets</w:t>
            </w:r>
          </w:p>
        </w:tc>
        <w:tc>
          <w:tcPr>
            <w:tcW w:w="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3,673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3,936</w:t>
            </w:r>
          </w:p>
        </w:tc>
        <w:tc>
          <w:tcPr>
            <w:tcW w:w="0" w:type="dxa"/>
            <w:vAlign w:val="bottom"/>
          </w:tcPr>
          <w:p>
            <w:pPr>
              <w:spacing w:after="0"/>
              <w:rPr>
                <w:sz w:val="1"/>
                <w:szCs w:val="1"/>
                <w:color w:val="auto"/>
              </w:rPr>
            </w:pPr>
          </w:p>
        </w:tc>
      </w:tr>
      <w:tr>
        <w:trPr>
          <w:trHeight w:val="144"/>
        </w:trPr>
        <w:tc>
          <w:tcPr>
            <w:tcW w:w="6040" w:type="dxa"/>
            <w:vAlign w:val="bottom"/>
            <w:shd w:val="clear" w:color="auto" w:fill="CCEEFF"/>
          </w:tcPr>
          <w:p>
            <w:pPr>
              <w:spacing w:after="0"/>
              <w:rPr>
                <w:sz w:val="20"/>
                <w:szCs w:val="20"/>
                <w:color w:val="auto"/>
              </w:rPr>
            </w:pPr>
            <w:r>
              <w:rPr>
                <w:rFonts w:ascii="Arial" w:cs="Arial" w:eastAsia="Arial" w:hAnsi="Arial"/>
                <w:sz w:val="12"/>
                <w:szCs w:val="12"/>
                <w:color w:val="auto"/>
              </w:rPr>
              <w:t>Restricted cash</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1,339</w:t>
            </w:r>
          </w:p>
        </w:tc>
        <w:tc>
          <w:tcPr>
            <w:tcW w:w="2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1,339</w:t>
            </w:r>
          </w:p>
        </w:tc>
        <w:tc>
          <w:tcPr>
            <w:tcW w:w="0" w:type="dxa"/>
            <w:vAlign w:val="bottom"/>
          </w:tcPr>
          <w:p>
            <w:pPr>
              <w:spacing w:after="0"/>
              <w:rPr>
                <w:sz w:val="1"/>
                <w:szCs w:val="1"/>
                <w:color w:val="auto"/>
              </w:rPr>
            </w:pPr>
          </w:p>
        </w:tc>
      </w:tr>
      <w:tr>
        <w:trPr>
          <w:trHeight w:val="144"/>
        </w:trPr>
        <w:tc>
          <w:tcPr>
            <w:tcW w:w="6040" w:type="dxa"/>
            <w:vAlign w:val="bottom"/>
          </w:tcPr>
          <w:p>
            <w:pPr>
              <w:spacing w:after="0"/>
              <w:rPr>
                <w:sz w:val="20"/>
                <w:szCs w:val="20"/>
                <w:color w:val="auto"/>
              </w:rPr>
            </w:pPr>
            <w:r>
              <w:rPr>
                <w:rFonts w:ascii="Arial" w:cs="Arial" w:eastAsia="Arial" w:hAnsi="Arial"/>
                <w:sz w:val="12"/>
                <w:szCs w:val="12"/>
                <w:color w:val="auto"/>
              </w:rPr>
              <w:t>Other assets</w:t>
            </w:r>
          </w:p>
        </w:tc>
        <w:tc>
          <w:tcPr>
            <w:tcW w:w="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672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419</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040" w:type="dxa"/>
            <w:vAlign w:val="bottom"/>
            <w:shd w:val="clear" w:color="auto" w:fill="CCEEFF"/>
          </w:tcPr>
          <w:p>
            <w:pPr>
              <w:ind w:left="480"/>
              <w:spacing w:after="0"/>
              <w:rPr>
                <w:sz w:val="20"/>
                <w:szCs w:val="20"/>
                <w:color w:val="auto"/>
              </w:rPr>
            </w:pPr>
            <w:r>
              <w:rPr>
                <w:rFonts w:ascii="Arial" w:cs="Arial" w:eastAsia="Arial" w:hAnsi="Arial"/>
                <w:sz w:val="12"/>
                <w:szCs w:val="12"/>
                <w:color w:val="auto"/>
              </w:rPr>
              <w:t>Total assets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80,931</w:t>
            </w:r>
          </w:p>
        </w:tc>
        <w:tc>
          <w:tcPr>
            <w:tcW w:w="2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6"/>
              </w:rPr>
              <w:t>104,686</w:t>
            </w:r>
          </w:p>
        </w:tc>
        <w:tc>
          <w:tcPr>
            <w:tcW w:w="0" w:type="dxa"/>
            <w:vAlign w:val="bottom"/>
          </w:tcPr>
          <w:p>
            <w:pPr>
              <w:spacing w:after="0"/>
              <w:rPr>
                <w:sz w:val="1"/>
                <w:szCs w:val="1"/>
                <w:color w:val="auto"/>
              </w:rPr>
            </w:pPr>
          </w:p>
        </w:tc>
      </w:tr>
      <w:tr>
        <w:trPr>
          <w:trHeight w:val="153"/>
        </w:trPr>
        <w:tc>
          <w:tcPr>
            <w:tcW w:w="6040" w:type="dxa"/>
            <w:vAlign w:val="bottom"/>
          </w:tcPr>
          <w:p>
            <w:pPr>
              <w:spacing w:after="0"/>
              <w:rPr>
                <w:sz w:val="20"/>
                <w:szCs w:val="20"/>
                <w:color w:val="auto"/>
              </w:rPr>
            </w:pPr>
            <w:r>
              <w:rPr>
                <w:rFonts w:ascii="Arial" w:cs="Arial" w:eastAsia="Arial" w:hAnsi="Arial"/>
                <w:sz w:val="12"/>
                <w:szCs w:val="12"/>
                <w:b w:val="1"/>
                <w:bCs w:val="1"/>
                <w:color w:val="auto"/>
              </w:rPr>
              <w:t>Liabilities and Stockholders’ Equity</w:t>
            </w:r>
          </w:p>
        </w:tc>
        <w:tc>
          <w:tcPr>
            <w:tcW w:w="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040" w:type="dxa"/>
            <w:vAlign w:val="bottom"/>
            <w:shd w:val="clear" w:color="auto" w:fill="CCEEFF"/>
          </w:tcPr>
          <w:p>
            <w:pPr>
              <w:spacing w:after="0"/>
              <w:rPr>
                <w:sz w:val="20"/>
                <w:szCs w:val="20"/>
                <w:color w:val="auto"/>
              </w:rPr>
            </w:pPr>
            <w:r>
              <w:rPr>
                <w:rFonts w:ascii="Arial" w:cs="Arial" w:eastAsia="Arial" w:hAnsi="Arial"/>
                <w:sz w:val="12"/>
                <w:szCs w:val="12"/>
                <w:color w:val="auto"/>
              </w:rPr>
              <w:t>Current liabilities:</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40" w:type="dxa"/>
            <w:vAlign w:val="bottom"/>
          </w:tcPr>
          <w:p>
            <w:pPr>
              <w:ind w:left="480"/>
              <w:spacing w:after="0"/>
              <w:rPr>
                <w:sz w:val="20"/>
                <w:szCs w:val="20"/>
                <w:color w:val="auto"/>
              </w:rPr>
            </w:pPr>
            <w:r>
              <w:rPr>
                <w:rFonts w:ascii="Arial" w:cs="Arial" w:eastAsia="Arial" w:hAnsi="Arial"/>
                <w:sz w:val="12"/>
                <w:szCs w:val="12"/>
                <w:color w:val="auto"/>
              </w:rPr>
              <w:t>Accounts payable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1,463</w:t>
            </w:r>
          </w:p>
        </w:tc>
        <w:tc>
          <w:tcPr>
            <w:tcW w:w="22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2,634</w:t>
            </w:r>
          </w:p>
        </w:tc>
        <w:tc>
          <w:tcPr>
            <w:tcW w:w="0" w:type="dxa"/>
            <w:vAlign w:val="bottom"/>
          </w:tcPr>
          <w:p>
            <w:pPr>
              <w:spacing w:after="0"/>
              <w:rPr>
                <w:sz w:val="1"/>
                <w:szCs w:val="1"/>
                <w:color w:val="auto"/>
              </w:rPr>
            </w:pPr>
          </w:p>
        </w:tc>
      </w:tr>
      <w:tr>
        <w:trPr>
          <w:trHeight w:val="144"/>
        </w:trPr>
        <w:tc>
          <w:tcPr>
            <w:tcW w:w="6040" w:type="dxa"/>
            <w:vAlign w:val="bottom"/>
            <w:shd w:val="clear" w:color="auto" w:fill="CCEEFF"/>
          </w:tcPr>
          <w:p>
            <w:pPr>
              <w:ind w:left="480"/>
              <w:spacing w:after="0"/>
              <w:rPr>
                <w:sz w:val="20"/>
                <w:szCs w:val="20"/>
                <w:color w:val="auto"/>
              </w:rPr>
            </w:pPr>
            <w:r>
              <w:rPr>
                <w:rFonts w:ascii="Arial" w:cs="Arial" w:eastAsia="Arial" w:hAnsi="Arial"/>
                <w:sz w:val="12"/>
                <w:szCs w:val="12"/>
                <w:color w:val="auto"/>
              </w:rPr>
              <w:t>Accrued expenses</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5,675</w:t>
            </w:r>
          </w:p>
        </w:tc>
        <w:tc>
          <w:tcPr>
            <w:tcW w:w="2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5,843</w:t>
            </w:r>
          </w:p>
        </w:tc>
        <w:tc>
          <w:tcPr>
            <w:tcW w:w="0" w:type="dxa"/>
            <w:vAlign w:val="bottom"/>
          </w:tcPr>
          <w:p>
            <w:pPr>
              <w:spacing w:after="0"/>
              <w:rPr>
                <w:sz w:val="1"/>
                <w:szCs w:val="1"/>
                <w:color w:val="auto"/>
              </w:rPr>
            </w:pPr>
          </w:p>
        </w:tc>
      </w:tr>
      <w:tr>
        <w:trPr>
          <w:trHeight w:val="144"/>
        </w:trPr>
        <w:tc>
          <w:tcPr>
            <w:tcW w:w="6040" w:type="dxa"/>
            <w:vAlign w:val="bottom"/>
          </w:tcPr>
          <w:p>
            <w:pPr>
              <w:ind w:left="480"/>
              <w:spacing w:after="0"/>
              <w:rPr>
                <w:sz w:val="20"/>
                <w:szCs w:val="20"/>
                <w:color w:val="auto"/>
              </w:rPr>
            </w:pPr>
            <w:r>
              <w:rPr>
                <w:rFonts w:ascii="Arial" w:cs="Arial" w:eastAsia="Arial" w:hAnsi="Arial"/>
                <w:sz w:val="12"/>
                <w:szCs w:val="12"/>
                <w:color w:val="auto"/>
              </w:rPr>
              <w:t>Operating lease liabilities, current</w:t>
            </w:r>
          </w:p>
        </w:tc>
        <w:tc>
          <w:tcPr>
            <w:tcW w:w="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553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515</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40" w:type="dxa"/>
            <w:vAlign w:val="bottom"/>
            <w:shd w:val="clear" w:color="auto" w:fill="CCEEFF"/>
          </w:tcPr>
          <w:p>
            <w:pPr>
              <w:ind w:left="720"/>
              <w:spacing w:after="0"/>
              <w:rPr>
                <w:sz w:val="20"/>
                <w:szCs w:val="20"/>
                <w:color w:val="auto"/>
              </w:rPr>
            </w:pPr>
            <w:r>
              <w:rPr>
                <w:rFonts w:ascii="Arial" w:cs="Arial" w:eastAsia="Arial" w:hAnsi="Arial"/>
                <w:sz w:val="12"/>
                <w:szCs w:val="12"/>
                <w:color w:val="auto"/>
              </w:rPr>
              <w:t>Total current liabilities</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7,691</w:t>
            </w:r>
          </w:p>
        </w:tc>
        <w:tc>
          <w:tcPr>
            <w:tcW w:w="2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8,992</w:t>
            </w:r>
          </w:p>
        </w:tc>
        <w:tc>
          <w:tcPr>
            <w:tcW w:w="0" w:type="dxa"/>
            <w:vAlign w:val="bottom"/>
          </w:tcPr>
          <w:p>
            <w:pPr>
              <w:spacing w:after="0"/>
              <w:rPr>
                <w:sz w:val="1"/>
                <w:szCs w:val="1"/>
                <w:color w:val="auto"/>
              </w:rPr>
            </w:pPr>
          </w:p>
        </w:tc>
      </w:tr>
      <w:tr>
        <w:trPr>
          <w:trHeight w:val="144"/>
        </w:trPr>
        <w:tc>
          <w:tcPr>
            <w:tcW w:w="6040" w:type="dxa"/>
            <w:vAlign w:val="bottom"/>
          </w:tcPr>
          <w:p>
            <w:pPr>
              <w:ind w:left="480"/>
              <w:spacing w:after="0"/>
              <w:rPr>
                <w:sz w:val="20"/>
                <w:szCs w:val="20"/>
                <w:color w:val="auto"/>
              </w:rPr>
            </w:pPr>
            <w:r>
              <w:rPr>
                <w:rFonts w:ascii="Arial" w:cs="Arial" w:eastAsia="Arial" w:hAnsi="Arial"/>
                <w:sz w:val="12"/>
                <w:szCs w:val="12"/>
                <w:color w:val="auto"/>
              </w:rPr>
              <w:t>Operating lease liabilities</w:t>
            </w:r>
          </w:p>
        </w:tc>
        <w:tc>
          <w:tcPr>
            <w:tcW w:w="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5,715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6,002</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40" w:type="dxa"/>
            <w:vAlign w:val="bottom"/>
            <w:shd w:val="clear" w:color="auto" w:fill="CCEEFF"/>
          </w:tcPr>
          <w:p>
            <w:pPr>
              <w:ind w:left="720"/>
              <w:spacing w:after="0"/>
              <w:rPr>
                <w:sz w:val="20"/>
                <w:szCs w:val="20"/>
                <w:color w:val="auto"/>
              </w:rPr>
            </w:pPr>
            <w:r>
              <w:rPr>
                <w:rFonts w:ascii="Arial" w:cs="Arial" w:eastAsia="Arial" w:hAnsi="Arial"/>
                <w:sz w:val="12"/>
                <w:szCs w:val="12"/>
                <w:color w:val="auto"/>
              </w:rPr>
              <w:t>Total liabilities</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13,406</w:t>
            </w:r>
          </w:p>
        </w:tc>
        <w:tc>
          <w:tcPr>
            <w:tcW w:w="2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14,994</w:t>
            </w:r>
          </w:p>
        </w:tc>
        <w:tc>
          <w:tcPr>
            <w:tcW w:w="0" w:type="dxa"/>
            <w:vAlign w:val="bottom"/>
          </w:tcPr>
          <w:p>
            <w:pPr>
              <w:spacing w:after="0"/>
              <w:rPr>
                <w:sz w:val="1"/>
                <w:szCs w:val="1"/>
                <w:color w:val="auto"/>
              </w:rPr>
            </w:pPr>
          </w:p>
        </w:tc>
      </w:tr>
      <w:tr>
        <w:trPr>
          <w:trHeight w:val="142"/>
        </w:trPr>
        <w:tc>
          <w:tcPr>
            <w:tcW w:w="6040" w:type="dxa"/>
            <w:vAlign w:val="bottom"/>
          </w:tcPr>
          <w:p>
            <w:pPr>
              <w:spacing w:after="0"/>
              <w:rPr>
                <w:sz w:val="20"/>
                <w:szCs w:val="20"/>
                <w:color w:val="auto"/>
              </w:rPr>
            </w:pPr>
            <w:r>
              <w:rPr>
                <w:rFonts w:ascii="Arial" w:cs="Arial" w:eastAsia="Arial" w:hAnsi="Arial"/>
                <w:sz w:val="12"/>
                <w:szCs w:val="12"/>
                <w:color w:val="auto"/>
              </w:rPr>
              <w:t>Commitments and contingencies</w:t>
            </w:r>
          </w:p>
        </w:tc>
        <w:tc>
          <w:tcPr>
            <w:tcW w:w="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40" w:type="dxa"/>
            <w:vAlign w:val="bottom"/>
            <w:shd w:val="clear" w:color="auto" w:fill="CCEEFF"/>
          </w:tcPr>
          <w:p>
            <w:pPr>
              <w:spacing w:after="0"/>
              <w:rPr>
                <w:sz w:val="20"/>
                <w:szCs w:val="20"/>
                <w:color w:val="auto"/>
              </w:rPr>
            </w:pPr>
            <w:r>
              <w:rPr>
                <w:rFonts w:ascii="Arial" w:cs="Arial" w:eastAsia="Arial" w:hAnsi="Arial"/>
                <w:sz w:val="12"/>
                <w:szCs w:val="12"/>
                <w:color w:val="auto"/>
              </w:rPr>
              <w:t>Stockholders’ equity:</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040" w:type="dxa"/>
            <w:vAlign w:val="bottom"/>
          </w:tcPr>
          <w:p>
            <w:pPr>
              <w:ind w:left="480"/>
              <w:spacing w:after="0" w:line="135" w:lineRule="exact"/>
              <w:rPr>
                <w:sz w:val="20"/>
                <w:szCs w:val="20"/>
                <w:color w:val="auto"/>
              </w:rPr>
            </w:pPr>
            <w:r>
              <w:rPr>
                <w:rFonts w:ascii="Arial" w:cs="Arial" w:eastAsia="Arial" w:hAnsi="Arial"/>
                <w:sz w:val="12"/>
                <w:szCs w:val="12"/>
                <w:color w:val="auto"/>
              </w:rPr>
              <w:t>Preferred stock; $0.001 par value per share; 5,000,000 shares authorized as of December 31, 2020 and</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040" w:type="dxa"/>
            <w:vAlign w:val="bottom"/>
          </w:tcPr>
          <w:p>
            <w:pPr>
              <w:ind w:left="600"/>
              <w:spacing w:after="0"/>
              <w:rPr>
                <w:sz w:val="20"/>
                <w:szCs w:val="20"/>
                <w:color w:val="auto"/>
              </w:rPr>
            </w:pPr>
            <w:r>
              <w:rPr>
                <w:rFonts w:ascii="Arial" w:cs="Arial" w:eastAsia="Arial" w:hAnsi="Arial"/>
                <w:sz w:val="12"/>
                <w:szCs w:val="12"/>
                <w:color w:val="auto"/>
                <w:w w:val="96"/>
              </w:rPr>
              <w:t>December 31, 2019; no shares issued and outstanding as of December 31, 2020 and December 31, 2019</w:t>
            </w:r>
          </w:p>
        </w:tc>
        <w:tc>
          <w:tcPr>
            <w:tcW w:w="60" w:type="dxa"/>
            <w:vAlign w:val="bottom"/>
          </w:tcPr>
          <w:p>
            <w:pPr>
              <w:spacing w:after="0"/>
              <w:rPr>
                <w:sz w:val="13"/>
                <w:szCs w:val="13"/>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6040" w:type="dxa"/>
            <w:vAlign w:val="bottom"/>
            <w:shd w:val="clear" w:color="auto" w:fill="CCEEFF"/>
          </w:tcPr>
          <w:p>
            <w:pPr>
              <w:ind w:left="480"/>
              <w:spacing w:after="0" w:line="135" w:lineRule="exact"/>
              <w:rPr>
                <w:sz w:val="20"/>
                <w:szCs w:val="20"/>
                <w:color w:val="auto"/>
              </w:rPr>
            </w:pPr>
            <w:r>
              <w:rPr>
                <w:rFonts w:ascii="Arial" w:cs="Arial" w:eastAsia="Arial" w:hAnsi="Arial"/>
                <w:sz w:val="12"/>
                <w:szCs w:val="12"/>
                <w:color w:val="auto"/>
              </w:rPr>
              <w:t>Common stock, $0.001 par value per share; 115,000,000 shares authorized as of June 30, 2021 and</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040" w:type="dxa"/>
            <w:vAlign w:val="bottom"/>
            <w:shd w:val="clear" w:color="auto" w:fill="CCEEFF"/>
          </w:tcPr>
          <w:p>
            <w:pPr>
              <w:ind w:left="600"/>
              <w:spacing w:after="0"/>
              <w:rPr>
                <w:sz w:val="20"/>
                <w:szCs w:val="20"/>
                <w:color w:val="auto"/>
              </w:rPr>
            </w:pPr>
            <w:r>
              <w:rPr>
                <w:rFonts w:ascii="Arial" w:cs="Arial" w:eastAsia="Arial" w:hAnsi="Arial"/>
                <w:sz w:val="12"/>
                <w:szCs w:val="12"/>
                <w:color w:val="auto"/>
                <w:w w:val="98"/>
              </w:rPr>
              <w:t>December 31, 2020; 15,367,730 and 6,091,250 shares issued and outstanding as of June 30, 2021 and</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040" w:type="dxa"/>
            <w:vAlign w:val="bottom"/>
            <w:shd w:val="clear" w:color="auto" w:fill="CCEEFF"/>
          </w:tcPr>
          <w:p>
            <w:pPr>
              <w:ind w:left="600"/>
              <w:spacing w:after="0"/>
              <w:rPr>
                <w:sz w:val="20"/>
                <w:szCs w:val="20"/>
                <w:color w:val="auto"/>
              </w:rPr>
            </w:pPr>
            <w:r>
              <w:rPr>
                <w:rFonts w:ascii="Arial" w:cs="Arial" w:eastAsia="Arial" w:hAnsi="Arial"/>
                <w:sz w:val="12"/>
                <w:szCs w:val="12"/>
                <w:color w:val="auto"/>
              </w:rPr>
              <w:t>December 31, 2020, respectively</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22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44"/>
        </w:trPr>
        <w:tc>
          <w:tcPr>
            <w:tcW w:w="6040" w:type="dxa"/>
            <w:vAlign w:val="bottom"/>
          </w:tcPr>
          <w:p>
            <w:pPr>
              <w:spacing w:after="0"/>
              <w:rPr>
                <w:sz w:val="20"/>
                <w:szCs w:val="20"/>
                <w:color w:val="auto"/>
              </w:rPr>
            </w:pPr>
            <w:r>
              <w:rPr>
                <w:rFonts w:ascii="Arial" w:cs="Arial" w:eastAsia="Arial" w:hAnsi="Arial"/>
                <w:sz w:val="12"/>
                <w:szCs w:val="12"/>
                <w:color w:val="auto"/>
              </w:rPr>
              <w:t>Additional paid-in capital</w:t>
            </w:r>
          </w:p>
        </w:tc>
        <w:tc>
          <w:tcPr>
            <w:tcW w:w="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87"/>
              </w:rPr>
              <w:t>157,820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w w:val="96"/>
              </w:rPr>
              <w:t>155,290</w:t>
            </w:r>
          </w:p>
        </w:tc>
        <w:tc>
          <w:tcPr>
            <w:tcW w:w="0" w:type="dxa"/>
            <w:vAlign w:val="bottom"/>
          </w:tcPr>
          <w:p>
            <w:pPr>
              <w:spacing w:after="0"/>
              <w:rPr>
                <w:sz w:val="1"/>
                <w:szCs w:val="1"/>
                <w:color w:val="auto"/>
              </w:rPr>
            </w:pPr>
          </w:p>
        </w:tc>
      </w:tr>
      <w:tr>
        <w:trPr>
          <w:trHeight w:val="144"/>
        </w:trPr>
        <w:tc>
          <w:tcPr>
            <w:tcW w:w="6040" w:type="dxa"/>
            <w:vAlign w:val="bottom"/>
            <w:shd w:val="clear" w:color="auto" w:fill="CCEEFF"/>
          </w:tcPr>
          <w:p>
            <w:pPr>
              <w:spacing w:after="0"/>
              <w:rPr>
                <w:sz w:val="20"/>
                <w:szCs w:val="20"/>
                <w:color w:val="auto"/>
              </w:rPr>
            </w:pPr>
            <w:r>
              <w:rPr>
                <w:rFonts w:ascii="Arial" w:cs="Arial" w:eastAsia="Arial" w:hAnsi="Arial"/>
                <w:sz w:val="12"/>
                <w:szCs w:val="12"/>
                <w:color w:val="auto"/>
              </w:rPr>
              <w:t>Accumulated deficit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3"/>
              </w:rPr>
              <w:t>(90,311)</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(65,614)</w:t>
            </w:r>
          </w:p>
        </w:tc>
        <w:tc>
          <w:tcPr>
            <w:tcW w:w="0" w:type="dxa"/>
            <w:vAlign w:val="bottom"/>
          </w:tcPr>
          <w:p>
            <w:pPr>
              <w:spacing w:after="0"/>
              <w:rPr>
                <w:sz w:val="1"/>
                <w:szCs w:val="1"/>
                <w:color w:val="auto"/>
              </w:rPr>
            </w:pPr>
          </w:p>
        </w:tc>
      </w:tr>
      <w:tr>
        <w:trPr>
          <w:trHeight w:val="144"/>
        </w:trPr>
        <w:tc>
          <w:tcPr>
            <w:tcW w:w="6040" w:type="dxa"/>
            <w:vAlign w:val="bottom"/>
          </w:tcPr>
          <w:p>
            <w:pPr>
              <w:spacing w:after="0"/>
              <w:rPr>
                <w:sz w:val="20"/>
                <w:szCs w:val="20"/>
                <w:color w:val="auto"/>
              </w:rPr>
            </w:pPr>
            <w:r>
              <w:rPr>
                <w:rFonts w:ascii="Arial" w:cs="Arial" w:eastAsia="Arial" w:hAnsi="Arial"/>
                <w:sz w:val="12"/>
                <w:szCs w:val="12"/>
                <w:color w:val="auto"/>
              </w:rPr>
              <w:t>Accumulated other comprehensive gain</w:t>
            </w:r>
          </w:p>
        </w:tc>
        <w:tc>
          <w:tcPr>
            <w:tcW w:w="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stockholders’ equity</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67,525</w:t>
            </w:r>
          </w:p>
        </w:tc>
        <w:tc>
          <w:tcPr>
            <w:tcW w:w="2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89,692</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240"/>
              <w:spacing w:after="0"/>
              <w:rPr>
                <w:sz w:val="20"/>
                <w:szCs w:val="20"/>
                <w:color w:val="auto"/>
              </w:rPr>
            </w:pPr>
            <w:r>
              <w:rPr>
                <w:rFonts w:ascii="Arial" w:cs="Arial" w:eastAsia="Arial" w:hAnsi="Arial"/>
                <w:sz w:val="12"/>
                <w:szCs w:val="12"/>
                <w:color w:val="auto"/>
              </w:rPr>
              <w:t>Total liabilities and stockholders’ equity</w:t>
            </w: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4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80,931</w:t>
            </w:r>
          </w:p>
        </w:tc>
        <w:tc>
          <w:tcPr>
            <w:tcW w:w="22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w w:val="96"/>
              </w:rPr>
              <w:t>104,686</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26" w:right="1440"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870" cy="411480"/>
                    </a:xfrm>
                    <a:prstGeom prst="rect">
                      <a:avLst/>
                    </a:prstGeom>
                    <a:noFill/>
                  </pic:spPr>
                </pic:pic>
              </a:graphicData>
            </a:graphic>
          </wp:anchor>
        </w:drawing>
        <w:t>Larimar Therapeutics,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Consolidated Statements of Operations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(In thousands, except share and per share data)</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(Unaudited)</w:t>
      </w:r>
    </w:p>
    <w:p>
      <w:pPr>
        <w:spacing w:after="0" w:line="152"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4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20" w:type="dxa"/>
            <w:vAlign w:val="bottom"/>
            <w:gridSpan w:val="5"/>
          </w:tcPr>
          <w:p>
            <w:pPr>
              <w:jc w:val="right"/>
              <w:ind w:right="360"/>
              <w:spacing w:after="0"/>
              <w:rPr>
                <w:sz w:val="20"/>
                <w:szCs w:val="20"/>
                <w:color w:val="auto"/>
              </w:rPr>
            </w:pPr>
            <w:r>
              <w:rPr>
                <w:rFonts w:ascii="Arial" w:cs="Arial" w:eastAsia="Arial" w:hAnsi="Arial"/>
                <w:sz w:val="10"/>
                <w:szCs w:val="10"/>
                <w:b w:val="1"/>
                <w:bCs w:val="1"/>
                <w:color w:val="auto"/>
                <w:w w:val="87"/>
              </w:rPr>
              <w:t>Three Months Ended June 30,</w:t>
            </w:r>
          </w:p>
        </w:tc>
        <w:tc>
          <w:tcPr>
            <w:tcW w:w="60" w:type="dxa"/>
            <w:vAlign w:val="bottom"/>
          </w:tcPr>
          <w:p>
            <w:pPr>
              <w:spacing w:after="0"/>
              <w:rPr>
                <w:sz w:val="10"/>
                <w:szCs w:val="10"/>
                <w:color w:val="auto"/>
              </w:rPr>
            </w:pPr>
          </w:p>
        </w:tc>
        <w:tc>
          <w:tcPr>
            <w:tcW w:w="1420" w:type="dxa"/>
            <w:vAlign w:val="bottom"/>
            <w:gridSpan w:val="5"/>
          </w:tcPr>
          <w:p>
            <w:pPr>
              <w:jc w:val="right"/>
              <w:ind w:right="220"/>
              <w:spacing w:after="0"/>
              <w:rPr>
                <w:sz w:val="20"/>
                <w:szCs w:val="20"/>
                <w:color w:val="auto"/>
              </w:rPr>
            </w:pPr>
            <w:r>
              <w:rPr>
                <w:rFonts w:ascii="Arial" w:cs="Arial" w:eastAsia="Arial" w:hAnsi="Arial"/>
                <w:sz w:val="10"/>
                <w:szCs w:val="10"/>
                <w:b w:val="1"/>
                <w:bCs w:val="1"/>
                <w:color w:val="auto"/>
                <w:w w:val="91"/>
              </w:rPr>
              <w:t>Six Months Ended June 30,</w:t>
            </w:r>
          </w:p>
        </w:tc>
        <w:tc>
          <w:tcPr>
            <w:tcW w:w="0" w:type="dxa"/>
            <w:vAlign w:val="bottom"/>
          </w:tcPr>
          <w:p>
            <w:pPr>
              <w:spacing w:after="0"/>
              <w:rPr>
                <w:sz w:val="1"/>
                <w:szCs w:val="1"/>
                <w:color w:val="auto"/>
              </w:rPr>
            </w:pPr>
          </w:p>
        </w:tc>
      </w:tr>
      <w:tr>
        <w:trPr>
          <w:trHeight w:val="88"/>
        </w:trPr>
        <w:tc>
          <w:tcPr>
            <w:tcW w:w="4180" w:type="dxa"/>
            <w:vAlign w:val="bottom"/>
            <w:tcBorders>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540" w:type="dxa"/>
            <w:vAlign w:val="bottom"/>
            <w:tcBorders>
              <w:top w:val="single" w:sz="8" w:color="auto"/>
              <w:bottom w:val="single" w:sz="8" w:color="auto"/>
            </w:tcBorders>
          </w:tcPr>
          <w:p>
            <w:pPr>
              <w:jc w:val="right"/>
              <w:ind w:right="142"/>
              <w:spacing w:after="0" w:line="88" w:lineRule="exact"/>
              <w:rPr>
                <w:sz w:val="20"/>
                <w:szCs w:val="20"/>
                <w:color w:val="auto"/>
              </w:rPr>
            </w:pPr>
            <w:r>
              <w:rPr>
                <w:rFonts w:ascii="Arial" w:cs="Arial" w:eastAsia="Arial" w:hAnsi="Arial"/>
                <w:sz w:val="10"/>
                <w:szCs w:val="10"/>
                <w:b w:val="1"/>
                <w:bCs w:val="1"/>
                <w:color w:val="auto"/>
              </w:rPr>
              <w:t>2021</w:t>
            </w:r>
          </w:p>
        </w:tc>
        <w:tc>
          <w:tcPr>
            <w:tcW w:w="26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jc w:val="right"/>
              <w:ind w:right="101"/>
              <w:spacing w:after="0" w:line="88" w:lineRule="exact"/>
              <w:rPr>
                <w:sz w:val="20"/>
                <w:szCs w:val="20"/>
                <w:color w:val="auto"/>
              </w:rPr>
            </w:pPr>
            <w:r>
              <w:rPr>
                <w:rFonts w:ascii="Arial" w:cs="Arial" w:eastAsia="Arial" w:hAnsi="Arial"/>
                <w:sz w:val="10"/>
                <w:szCs w:val="10"/>
                <w:b w:val="1"/>
                <w:bCs w:val="1"/>
                <w:color w:val="auto"/>
              </w:rPr>
              <w:t>2020</w:t>
            </w:r>
          </w:p>
        </w:tc>
        <w:tc>
          <w:tcPr>
            <w:tcW w:w="280" w:type="dxa"/>
            <w:vAlign w:val="bottom"/>
            <w:tcBorders>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540" w:type="dxa"/>
            <w:vAlign w:val="bottom"/>
            <w:tcBorders>
              <w:top w:val="single" w:sz="8" w:color="auto"/>
              <w:bottom w:val="single" w:sz="8" w:color="auto"/>
            </w:tcBorders>
          </w:tcPr>
          <w:p>
            <w:pPr>
              <w:jc w:val="right"/>
              <w:ind w:right="162"/>
              <w:spacing w:after="0" w:line="88" w:lineRule="exact"/>
              <w:rPr>
                <w:sz w:val="20"/>
                <w:szCs w:val="20"/>
                <w:color w:val="auto"/>
              </w:rPr>
            </w:pPr>
            <w:r>
              <w:rPr>
                <w:rFonts w:ascii="Arial" w:cs="Arial" w:eastAsia="Arial" w:hAnsi="Arial"/>
                <w:sz w:val="10"/>
                <w:szCs w:val="10"/>
                <w:b w:val="1"/>
                <w:bCs w:val="1"/>
                <w:color w:val="auto"/>
              </w:rPr>
              <w:t>2021</w:t>
            </w:r>
          </w:p>
        </w:tc>
        <w:tc>
          <w:tcPr>
            <w:tcW w:w="26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jc w:val="right"/>
              <w:ind w:right="121"/>
              <w:spacing w:after="0" w:line="88" w:lineRule="exact"/>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418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Operating expenses:</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180" w:type="dxa"/>
            <w:vAlign w:val="bottom"/>
          </w:tcPr>
          <w:p>
            <w:pPr>
              <w:ind w:left="240"/>
              <w:spacing w:after="0"/>
              <w:rPr>
                <w:sz w:val="20"/>
                <w:szCs w:val="20"/>
                <w:color w:val="auto"/>
              </w:rPr>
            </w:pPr>
            <w:r>
              <w:rPr>
                <w:rFonts w:ascii="Arial" w:cs="Arial" w:eastAsia="Arial" w:hAnsi="Arial"/>
                <w:sz w:val="12"/>
                <w:szCs w:val="12"/>
                <w:color w:val="auto"/>
              </w:rPr>
              <w:t>Research and development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60"/>
              <w:spacing w:after="0"/>
              <w:rPr>
                <w:sz w:val="20"/>
                <w:szCs w:val="20"/>
                <w:color w:val="auto"/>
              </w:rPr>
            </w:pPr>
            <w:r>
              <w:rPr>
                <w:rFonts w:ascii="Arial" w:cs="Arial" w:eastAsia="Arial" w:hAnsi="Arial"/>
                <w:sz w:val="12"/>
                <w:szCs w:val="12"/>
                <w:color w:val="auto"/>
              </w:rPr>
              <w:t>9,102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60"/>
              <w:spacing w:after="0"/>
              <w:rPr>
                <w:sz w:val="20"/>
                <w:szCs w:val="20"/>
                <w:color w:val="auto"/>
              </w:rPr>
            </w:pPr>
            <w:r>
              <w:rPr>
                <w:rFonts w:ascii="Arial" w:cs="Arial" w:eastAsia="Arial" w:hAnsi="Arial"/>
                <w:sz w:val="12"/>
                <w:szCs w:val="12"/>
                <w:color w:val="auto"/>
              </w:rPr>
              <w:t>8,907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60"/>
              <w:spacing w:after="0"/>
              <w:rPr>
                <w:sz w:val="20"/>
                <w:szCs w:val="20"/>
                <w:color w:val="auto"/>
              </w:rPr>
            </w:pPr>
            <w:r>
              <w:rPr>
                <w:rFonts w:ascii="Arial" w:cs="Arial" w:eastAsia="Arial" w:hAnsi="Arial"/>
                <w:sz w:val="12"/>
                <w:szCs w:val="12"/>
                <w:color w:val="auto"/>
              </w:rPr>
              <w:t>18,076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13,914</w:t>
            </w:r>
          </w:p>
        </w:tc>
        <w:tc>
          <w:tcPr>
            <w:tcW w:w="0" w:type="dxa"/>
            <w:vAlign w:val="bottom"/>
          </w:tcPr>
          <w:p>
            <w:pPr>
              <w:spacing w:after="0"/>
              <w:rPr>
                <w:sz w:val="1"/>
                <w:szCs w:val="1"/>
                <w:color w:val="auto"/>
              </w:rPr>
            </w:pPr>
          </w:p>
        </w:tc>
      </w:tr>
      <w:tr>
        <w:trPr>
          <w:trHeight w:val="144"/>
        </w:trPr>
        <w:tc>
          <w:tcPr>
            <w:tcW w:w="41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General and administrative</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3,441</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2,492</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6,573</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4,159</w:t>
            </w:r>
          </w:p>
        </w:tc>
        <w:tc>
          <w:tcPr>
            <w:tcW w:w="0" w:type="dxa"/>
            <w:vAlign w:val="bottom"/>
          </w:tcPr>
          <w:p>
            <w:pPr>
              <w:spacing w:after="0"/>
              <w:rPr>
                <w:sz w:val="1"/>
                <w:szCs w:val="1"/>
                <w:color w:val="auto"/>
              </w:rPr>
            </w:pPr>
          </w:p>
        </w:tc>
      </w:tr>
      <w:tr>
        <w:trPr>
          <w:trHeight w:val="20"/>
        </w:trPr>
        <w:tc>
          <w:tcPr>
            <w:tcW w:w="4180" w:type="dxa"/>
            <w:vAlign w:val="bottom"/>
            <w:vMerge w:val="restart"/>
          </w:tcPr>
          <w:p>
            <w:pPr>
              <w:ind w:left="480"/>
              <w:spacing w:after="0"/>
              <w:rPr>
                <w:sz w:val="20"/>
                <w:szCs w:val="20"/>
                <w:color w:val="auto"/>
              </w:rPr>
            </w:pPr>
            <w:r>
              <w:rPr>
                <w:rFonts w:ascii="Arial" w:cs="Arial" w:eastAsia="Arial" w:hAnsi="Arial"/>
                <w:sz w:val="12"/>
                <w:szCs w:val="12"/>
                <w:color w:val="auto"/>
              </w:rPr>
              <w:t>Total operating expenses</w:t>
            </w: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1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2"/>
                <w:szCs w:val="12"/>
                <w:color w:val="auto"/>
              </w:rPr>
              <w:t>12,543</w:t>
            </w:r>
          </w:p>
        </w:tc>
        <w:tc>
          <w:tcPr>
            <w:tcW w:w="60" w:type="dxa"/>
            <w:vAlign w:val="bottom"/>
          </w:tcPr>
          <w:p>
            <w:pPr>
              <w:spacing w:after="0"/>
              <w:rPr>
                <w:sz w:val="12"/>
                <w:szCs w:val="1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2"/>
                <w:szCs w:val="12"/>
                <w:color w:val="auto"/>
              </w:rPr>
              <w:t>11,399</w:t>
            </w:r>
          </w:p>
        </w:tc>
        <w:tc>
          <w:tcPr>
            <w:tcW w:w="60" w:type="dxa"/>
            <w:vAlign w:val="bottom"/>
          </w:tcPr>
          <w:p>
            <w:pPr>
              <w:spacing w:after="0"/>
              <w:rPr>
                <w:sz w:val="12"/>
                <w:szCs w:val="1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2"/>
                <w:szCs w:val="12"/>
                <w:color w:val="auto"/>
              </w:rPr>
              <w:t>24,649</w:t>
            </w:r>
          </w:p>
        </w:tc>
        <w:tc>
          <w:tcPr>
            <w:tcW w:w="6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18,073</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Loss from operations</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(12,543)</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(11,399)</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(24,649)</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(18,073)</w:t>
            </w:r>
          </w:p>
        </w:tc>
        <w:tc>
          <w:tcPr>
            <w:tcW w:w="0" w:type="dxa"/>
            <w:vAlign w:val="bottom"/>
          </w:tcPr>
          <w:p>
            <w:pPr>
              <w:spacing w:after="0"/>
              <w:rPr>
                <w:sz w:val="1"/>
                <w:szCs w:val="1"/>
                <w:color w:val="auto"/>
              </w:rPr>
            </w:pPr>
          </w:p>
        </w:tc>
      </w:tr>
      <w:tr>
        <w:trPr>
          <w:trHeight w:val="144"/>
        </w:trPr>
        <w:tc>
          <w:tcPr>
            <w:tcW w:w="4180" w:type="dxa"/>
            <w:vAlign w:val="bottom"/>
          </w:tcPr>
          <w:p>
            <w:pPr>
              <w:ind w:left="240"/>
              <w:spacing w:after="0"/>
              <w:rPr>
                <w:sz w:val="20"/>
                <w:szCs w:val="20"/>
                <w:color w:val="auto"/>
              </w:rPr>
            </w:pPr>
            <w:r>
              <w:rPr>
                <w:rFonts w:ascii="Arial" w:cs="Arial" w:eastAsia="Arial" w:hAnsi="Arial"/>
                <w:sz w:val="12"/>
                <w:szCs w:val="12"/>
                <w:color w:val="auto"/>
              </w:rPr>
              <w:t>Other income, net</w:t>
            </w:r>
          </w:p>
        </w:tc>
        <w:tc>
          <w:tcPr>
            <w:tcW w:w="6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(66)</w:t>
            </w:r>
          </w:p>
        </w:tc>
        <w:tc>
          <w:tcPr>
            <w:tcW w:w="60" w:type="dxa"/>
            <w:vAlign w:val="bottom"/>
          </w:tcPr>
          <w:p>
            <w:pPr>
              <w:spacing w:after="0"/>
              <w:rPr>
                <w:sz w:val="12"/>
                <w:szCs w:val="1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2"/>
                <w:szCs w:val="12"/>
                <w:color w:val="auto"/>
              </w:rPr>
              <w:t>69</w:t>
            </w:r>
          </w:p>
        </w:tc>
        <w:tc>
          <w:tcPr>
            <w:tcW w:w="6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(48)</w:t>
            </w:r>
          </w:p>
        </w:tc>
        <w:tc>
          <w:tcPr>
            <w:tcW w:w="6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69</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(12,609)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(11,330)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(24,697)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(18,004)</w:t>
            </w:r>
          </w:p>
        </w:tc>
        <w:tc>
          <w:tcPr>
            <w:tcW w:w="0" w:type="dxa"/>
            <w:vAlign w:val="bottom"/>
          </w:tcPr>
          <w:p>
            <w:pPr>
              <w:spacing w:after="0"/>
              <w:rPr>
                <w:sz w:val="1"/>
                <w:szCs w:val="1"/>
                <w:color w:val="auto"/>
              </w:rPr>
            </w:pPr>
          </w:p>
        </w:tc>
      </w:tr>
      <w:tr>
        <w:trPr>
          <w:trHeight w:val="27"/>
        </w:trPr>
        <w:tc>
          <w:tcPr>
            <w:tcW w:w="4180" w:type="dxa"/>
            <w:vAlign w:val="bottom"/>
            <w:vMerge w:val="restart"/>
          </w:tcPr>
          <w:p>
            <w:pPr>
              <w:spacing w:after="0"/>
              <w:rPr>
                <w:sz w:val="20"/>
                <w:szCs w:val="20"/>
                <w:color w:val="auto"/>
              </w:rPr>
            </w:pPr>
            <w:r>
              <w:rPr>
                <w:rFonts w:ascii="Arial" w:cs="Arial" w:eastAsia="Arial" w:hAnsi="Arial"/>
                <w:sz w:val="12"/>
                <w:szCs w:val="12"/>
                <w:color w:val="auto"/>
              </w:rPr>
              <w:t>Net loss per share, basic and diluted</w:t>
            </w: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418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(0.79)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(1.21)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(1.54)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(2.33)</w:t>
            </w:r>
          </w:p>
        </w:tc>
        <w:tc>
          <w:tcPr>
            <w:tcW w:w="0" w:type="dxa"/>
            <w:vAlign w:val="bottom"/>
          </w:tcPr>
          <w:p>
            <w:pPr>
              <w:spacing w:after="0"/>
              <w:rPr>
                <w:sz w:val="1"/>
                <w:szCs w:val="1"/>
                <w:color w:val="auto"/>
              </w:rPr>
            </w:pPr>
          </w:p>
        </w:tc>
      </w:tr>
      <w:tr>
        <w:trPr>
          <w:trHeight w:val="32"/>
        </w:trPr>
        <w:tc>
          <w:tcPr>
            <w:tcW w:w="4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Weighted average common shares outstanding, basic and diluted</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15,996,133</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w w:val="89"/>
              </w:rPr>
              <w:t>9,381,412</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w w:val="86"/>
              </w:rPr>
              <w:t>15,996,133</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6"/>
              </w:rPr>
              <w:t>7,736,331</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919" w:right="1440"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04"/>
    </w:lvl>
  </w:abstractNum>
  <w:abstractNum w:abstractNumId="2">
    <w:nsid w:val="46E87CCD"/>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2021-08-12T09:42:48Z</dcterms:created>
  <dcterms:modified xsi:type="dcterms:W3CDTF">2021-08-12T09:42:48Z</dcterms:modified>
</cp:coreProperties>
</file>