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rmr-20250122.htm"/>
      <w:bookmarkStart w:id="1" w:name="kslrmr2025012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44" w:type="dxa"/>
        <w:jc w:val="left"/>
        <w:tblInd w:w="0" w:type="dxa"/>
        <w:tblLayout w:type="fixed"/>
        <w:tblCellMar>
          <w:top w:w="28" w:type="dxa"/>
          <w:left w:w="28" w:type="dxa"/>
          <w:bottom w:w="28" w:type="dxa"/>
          <w:right w:w="28" w:type="dxa"/>
        </w:tblCellMar>
      </w:tblPr>
      <w:tblGrid>
        <w:gridCol w:w="5744"/>
      </w:tblGrid>
      <w:tr>
        <w:trPr/>
        <w:tc>
          <w:tcPr>
            <w:tcW w:w="5744" w:type="dxa"/>
            <w:tcBorders/>
            <w:vAlign w:val="center"/>
          </w:tcPr>
          <w:p>
            <w:pPr>
              <w:pStyle w:val="TableContents"/>
              <w:bidi w:val="0"/>
              <w:spacing w:before="0" w:after="283"/>
              <w:jc w:val="left"/>
              <w:rPr>
                <w:sz w:val="4"/>
                <w:szCs w:val="4"/>
              </w:rPr>
            </w:pPr>
            <w:r>
              <w:rPr>
                <w:sz w:val="4"/>
                <w:szCs w:val="4"/>
              </w:rPr>
            </w:r>
          </w:p>
        </w:tc>
      </w:tr>
      <w:tr>
        <w:trPr/>
        <w:tc>
          <w:tcPr>
            <w:tcW w:w="574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January 22,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Larimar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001-36510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20-3857670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Bala Plaza East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 Cynwyd,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19004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(844)</w:t>
            </w:r>
            <w:r>
              <w:rPr>
                <w:rFonts w:ascii="Times New Roman" w:hAnsi="Times New Roman"/>
                <w:color w:val="000000"/>
                <w:sz w:val="20"/>
              </w:rPr>
              <w:t xml:space="preserve"> </w:t>
            </w:r>
            <w:r>
              <w:rPr>
                <w:rFonts w:ascii="Times New Roman" w:hAnsi="Times New Roman"/>
                <w:b/>
                <w:color w:val="000000"/>
                <w:sz w:val="20"/>
              </w:rPr>
              <w:t>511-9056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LRMR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sz w:val="20"/>
        </w:rPr>
      </w:pPr>
      <w:r>
        <w:rPr>
          <w:rFonts w:ascii="Times New Roman" w:hAnsi="Times New Roman"/>
          <w:color w:val="000000"/>
          <w:sz w:val="20"/>
        </w:rPr>
        <w:t>On January 22, 2025, the Compensation Committee of the Board of Directors (the “</w:t>
      </w:r>
      <w:r>
        <w:rPr>
          <w:rFonts w:ascii="Times New Roman" w:hAnsi="Times New Roman"/>
          <w:b/>
          <w:i/>
          <w:color w:val="000000"/>
          <w:sz w:val="20"/>
        </w:rPr>
        <w:t>Compensation Committee</w:t>
      </w:r>
      <w:r>
        <w:rPr>
          <w:rFonts w:ascii="Times New Roman" w:hAnsi="Times New Roman"/>
          <w:color w:val="000000"/>
          <w:sz w:val="20"/>
        </w:rPr>
        <w:t>”) of Larimar Therapeutics, Inc. (the “</w:t>
      </w:r>
      <w:r>
        <w:rPr>
          <w:rFonts w:ascii="Times New Roman" w:hAnsi="Times New Roman"/>
          <w:b/>
          <w:i/>
          <w:color w:val="000000"/>
          <w:sz w:val="20"/>
        </w:rPr>
        <w:t>Company</w:t>
      </w:r>
      <w:r>
        <w:rPr>
          <w:rFonts w:ascii="Times New Roman" w:hAnsi="Times New Roman"/>
          <w:color w:val="000000"/>
          <w:sz w:val="20"/>
        </w:rPr>
        <w:t>”) and the Board of Directors, as applicable, granted performance-based restricted stock units (“</w:t>
      </w:r>
      <w:r>
        <w:rPr>
          <w:rFonts w:ascii="Times New Roman" w:hAnsi="Times New Roman"/>
          <w:b/>
          <w:i/>
          <w:color w:val="000000"/>
          <w:sz w:val="20"/>
        </w:rPr>
        <w:t>PSUs</w:t>
      </w:r>
      <w:r>
        <w:rPr>
          <w:rFonts w:ascii="Times New Roman" w:hAnsi="Times New Roman"/>
          <w:color w:val="000000"/>
          <w:sz w:val="20"/>
        </w:rPr>
        <w:t>”) to Carole S. Ben-Maimon, M.D., the Company’s President and Chief Executive Officer, Michael Celano, the Company’s Chief Financial Officer, Gopi Shankar, Ph.D., MBA, FAAPS, the Company’s Chief Development Officer, and Russell G. Clayton, DO, the Company’s Chief Medical Officer (the “</w:t>
      </w:r>
      <w:r>
        <w:rPr>
          <w:rFonts w:ascii="Times New Roman" w:hAnsi="Times New Roman"/>
          <w:b/>
          <w:i/>
          <w:color w:val="000000"/>
          <w:sz w:val="20"/>
        </w:rPr>
        <w:t>Officers</w:t>
      </w:r>
      <w:r>
        <w:rPr>
          <w:rFonts w:ascii="Times New Roman" w:hAnsi="Times New Roman"/>
          <w:color w:val="000000"/>
          <w:sz w:val="20"/>
        </w:rPr>
        <w:t>”). Dr. Ben-Maimon was awarded 100,000 PSUs, Mr. Celano was awarded 50,000 PSUs, Dr. Shankar was awarded 25,000 PSUs and Dr. Clayton was awarded 25,000 PSUs. The Officers will earn a percentage of such PSU award upon the Company’s achievement of certain regulatory milestones, and, in each case, 50% of such earned portion shall vest upon the Compensation Committee’s determination of the achievement of such regulatory milestones (the “</w:t>
      </w:r>
      <w:r>
        <w:rPr>
          <w:rFonts w:ascii="Times New Roman" w:hAnsi="Times New Roman"/>
          <w:b/>
          <w:i/>
          <w:color w:val="000000"/>
          <w:sz w:val="20"/>
        </w:rPr>
        <w:t>Achievement Determination Date</w:t>
      </w:r>
      <w:r>
        <w:rPr>
          <w:rFonts w:ascii="Times New Roman" w:hAnsi="Times New Roman"/>
          <w:color w:val="000000"/>
          <w:sz w:val="20"/>
        </w:rPr>
        <w:t xml:space="preserve">”) and the remaining 50% shall vest upon the one-year anniversary of such Achievement Determination 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PSUs does not purport to be complete and is subject to, and qualified in its entirety by, the form of Performance-Based Restricted Stock Unit Award Agreement, which is filed and attached hereto as Exhibit 10.1, and is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list of exhibits included with this Current Report on Form 8-K.</w:t>
      </w:r>
    </w:p>
    <w:tbl>
      <w:tblPr>
        <w:tblW w:w="10205" w:type="dxa"/>
        <w:jc w:val="left"/>
        <w:tblInd w:w="0" w:type="dxa"/>
        <w:tblLayout w:type="fixed"/>
        <w:tblCellMar>
          <w:top w:w="28" w:type="dxa"/>
          <w:left w:w="28" w:type="dxa"/>
          <w:bottom w:w="28" w:type="dxa"/>
          <w:right w:w="28" w:type="dxa"/>
        </w:tblCellMar>
      </w:tblPr>
      <w:tblGrid>
        <w:gridCol w:w="887"/>
        <w:gridCol w:w="109"/>
        <w:gridCol w:w="9209"/>
      </w:tblGrid>
      <w:tr>
        <w:trPr/>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9" w:type="dxa"/>
            <w:tcBorders/>
            <w:vAlign w:val="center"/>
          </w:tcPr>
          <w:p>
            <w:pPr>
              <w:pStyle w:val="TableContents"/>
              <w:bidi w:val="0"/>
              <w:spacing w:before="0" w:after="283"/>
              <w:jc w:val="left"/>
              <w:rPr>
                <w:sz w:val="4"/>
                <w:szCs w:val="4"/>
              </w:rPr>
            </w:pPr>
            <w:r>
              <w:rPr>
                <w:sz w:val="4"/>
                <w:szCs w:val="4"/>
              </w:rPr>
            </w:r>
          </w:p>
        </w:tc>
      </w:tr>
      <w:tr>
        <w:trPr/>
        <w:tc>
          <w:tcPr>
            <w:tcW w:w="887"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w:t>
            </w:r>
          </w:p>
        </w:tc>
      </w:tr>
      <w:tr>
        <w:trPr/>
        <w:tc>
          <w:tcPr>
            <w:tcW w:w="8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tcBorders/>
            <w:tcMar>
              <w:top w:w="0" w:type="dxa"/>
              <w:left w:w="0" w:type="dxa"/>
              <w:bottom w:w="0" w:type="dxa"/>
              <w:right w:w="0" w:type="dxa"/>
            </w:tcMar>
            <w:vAlign w:val="center"/>
          </w:tcPr>
          <w:p>
            <w:pPr>
              <w:pStyle w:val="TableContents"/>
              <w:bidi w:val="0"/>
              <w:spacing w:before="0" w:after="283"/>
              <w:jc w:val="left"/>
              <w:rPr/>
            </w:pPr>
            <w:hyperlink w:anchor="lrmr-ex10_1.htm">
              <w:r>
                <w:rPr>
                  <w:rStyle w:val="InternetLink"/>
                  <w:rFonts w:ascii="Times New Roman" w:hAnsi="Times New Roman"/>
                  <w:color w:val="0000FF"/>
                  <w:sz w:val="20"/>
                  <w:u w:val="single"/>
                </w:rPr>
                <w:t>Form of Performance-Based Restricted Stock Unit Award Agreement under the Larimar Therapeutics, Inc. 2020 Equity Incentive Plan*</w:t>
              </w:r>
            </w:hyperlink>
          </w:p>
        </w:tc>
      </w:tr>
      <w:tr>
        <w:trPr/>
        <w:tc>
          <w:tcPr>
            <w:tcW w:w="8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229" w:type="dxa"/>
        <w:jc w:val="left"/>
        <w:tblInd w:w="0" w:type="dxa"/>
        <w:tblLayout w:type="fixed"/>
        <w:tblCellMar>
          <w:top w:w="28" w:type="dxa"/>
          <w:left w:w="28" w:type="dxa"/>
          <w:bottom w:w="28" w:type="dxa"/>
          <w:right w:w="28" w:type="dxa"/>
        </w:tblCellMar>
      </w:tblPr>
      <w:tblGrid>
        <w:gridCol w:w="556"/>
        <w:gridCol w:w="1501"/>
        <w:gridCol w:w="451"/>
        <w:gridCol w:w="3721"/>
      </w:tblGrid>
      <w:tr>
        <w:trPr/>
        <w:tc>
          <w:tcPr>
            <w:tcW w:w="55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Larimar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0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January 27,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i/>
                <w:color w:val="000000"/>
                <w:sz w:val="20"/>
              </w:rPr>
            </w:pPr>
            <w:r>
              <w:rPr>
                <w:rFonts w:ascii="Times New Roman" w:hAnsi="Times New Roman"/>
                <w:i/>
                <w:color w:val="000000"/>
                <w:sz w:val="20"/>
              </w:rPr>
              <w:t>Name: Carole S. Ben-Maimon, M.D.</w:t>
              <w:br/>
              <w:t>Title: 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lrmr-ex10_1.htm"/>
      <w:bookmarkStart w:id="3" w:name="kslrmrex10_1"/>
      <w:bookmarkEnd w:id="2"/>
      <w:bookmarkEnd w:id="3"/>
      <w:r>
        <w:rPr/>
        <w:t> </w:t>
      </w:r>
      <w:r>
        <w:br w:type="page"/>
      </w:r>
    </w:p>
    <w:p>
      <w:pPr>
        <w:pStyle w:val="TextBody"/>
        <w:bidi w:val="0"/>
        <w:spacing w:before="0" w:after="457"/>
        <w:jc w:val="righ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LARIMAR THERAPEUTICS, INC. 2020 EQUITY INCENTIVE PLAN</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PERFORMANCE-BASED RESTRICTED STOCK UNIT</w:t>
      </w:r>
    </w:p>
    <w:p>
      <w:pPr>
        <w:pStyle w:val="TextBody"/>
        <w:bidi w:val="0"/>
        <w:jc w:val="center"/>
        <w:rPr>
          <w:rFonts w:ascii="Times New Roman" w:hAnsi="Times New Roman"/>
          <w:b/>
          <w:color w:val="000000"/>
          <w:sz w:val="28"/>
        </w:rPr>
      </w:pPr>
      <w:r>
        <w:rPr>
          <w:rFonts w:ascii="Times New Roman" w:hAnsi="Times New Roman"/>
          <w:b/>
          <w:color w:val="000000"/>
          <w:sz w:val="28"/>
        </w:rPr>
        <w:t>AWARD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8"/>
        </w:rPr>
        <w:t>P</w:t>
      </w:r>
      <w:r>
        <w:rPr>
          <w:rFonts w:ascii="Times New Roman" w:hAnsi="Times New Roman"/>
          <w:color w:val="000000"/>
          <w:sz w:val="24"/>
        </w:rPr>
        <w:t>ursuant to the Larimar Therapeutics, Inc. 2020 Equity Incentive Plan, as amended from time to time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and this Performance-Based Restricted Stock Unit Award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Larimar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hereby grants to the individual listed below (the “</w:t>
      </w:r>
      <w:r>
        <w:rPr>
          <w:rFonts w:ascii="Times New Roman" w:hAnsi="Times New Roman"/>
          <w:color w:val="000000"/>
          <w:sz w:val="24"/>
          <w:u w:val="single"/>
        </w:rPr>
        <w:t>Grantee</w:t>
      </w:r>
      <w:r>
        <w:rPr>
          <w:rFonts w:ascii="Times New Roman" w:hAnsi="Times New Roman"/>
          <w:color w:val="000000"/>
          <w:sz w:val="20"/>
        </w:rPr>
        <w:t>”</w:t>
      </w:r>
      <w:r>
        <w:rPr>
          <w:rFonts w:ascii="Times New Roman" w:hAnsi="Times New Roman"/>
          <w:color w:val="000000"/>
          <w:sz w:val="24"/>
        </w:rPr>
        <w:t>) an award of the target number of performance-based vesting Restricted Stock Units (the “</w:t>
      </w:r>
      <w:r>
        <w:rPr>
          <w:rFonts w:ascii="Times New Roman" w:hAnsi="Times New Roman"/>
          <w:color w:val="000000"/>
          <w:sz w:val="24"/>
          <w:u w:val="single"/>
        </w:rPr>
        <w:t>PSUs</w:t>
      </w:r>
      <w:r>
        <w:rPr>
          <w:rFonts w:ascii="Times New Roman" w:hAnsi="Times New Roman"/>
          <w:color w:val="000000"/>
          <w:sz w:val="20"/>
        </w:rPr>
        <w:t>”</w:t>
      </w:r>
      <w:r>
        <w:rPr>
          <w:rFonts w:ascii="Times New Roman" w:hAnsi="Times New Roman"/>
          <w:color w:val="000000"/>
          <w:sz w:val="24"/>
        </w:rPr>
        <w:t>) specified below and on the terms set forth below in consideration of Grantee’s services (the “</w:t>
      </w:r>
      <w:r>
        <w:rPr>
          <w:rFonts w:ascii="Times New Roman" w:hAnsi="Times New Roman"/>
          <w:color w:val="000000"/>
          <w:sz w:val="24"/>
          <w:u w:val="single"/>
        </w:rPr>
        <w:t>PSU Award</w:t>
      </w:r>
      <w:r>
        <w:rPr>
          <w:rFonts w:ascii="Times New Roman" w:hAnsi="Times New Roman"/>
          <w:color w:val="000000"/>
          <w:sz w:val="20"/>
        </w:rPr>
        <w:t xml:space="preserve">” </w:t>
      </w:r>
      <w:r>
        <w:rPr>
          <w:rFonts w:ascii="Times New Roman" w:hAnsi="Times New Roman"/>
          <w:color w:val="000000"/>
          <w:sz w:val="24"/>
        </w:rPr>
        <w:t>and such number of PSUs, the “</w:t>
      </w:r>
      <w:r>
        <w:rPr>
          <w:rFonts w:ascii="Times New Roman" w:hAnsi="Times New Roman"/>
          <w:color w:val="000000"/>
          <w:sz w:val="24"/>
          <w:u w:val="single"/>
        </w:rPr>
        <w:t>Target Number of PSUs</w:t>
      </w:r>
      <w:r>
        <w:rPr>
          <w:rFonts w:ascii="Times New Roman" w:hAnsi="Times New Roman"/>
          <w:color w:val="000000"/>
          <w:sz w:val="20"/>
        </w:rPr>
        <w:t>”</w:t>
      </w:r>
      <w:r>
        <w:rPr>
          <w:rFonts w:ascii="Times New Roman" w:hAnsi="Times New Roman"/>
          <w:color w:val="000000"/>
          <w:sz w:val="24"/>
        </w:rPr>
        <w:t>). Each PSU shall relate to one Share.</w:t>
      </w:r>
      <w:r>
        <w:rPr>
          <w:rFonts w:ascii="Times New Roman" w:hAnsi="Times New Roman"/>
          <w:color w:val="000000"/>
          <w:sz w:val="20"/>
        </w:rPr>
        <w:t xml:space="preserve"> </w:t>
      </w:r>
    </w:p>
    <w:p>
      <w:pPr>
        <w:pStyle w:val="TextBody"/>
        <w:bidi w:val="0"/>
        <w:jc w:val="center"/>
        <w:rPr/>
      </w:pPr>
      <w:r>
        <w:rPr/>
        <w:t> </w:t>
      </w:r>
    </w:p>
    <w:tbl>
      <w:tblPr>
        <w:tblW w:w="7187" w:type="dxa"/>
        <w:jc w:val="left"/>
        <w:tblInd w:w="0" w:type="dxa"/>
        <w:tblLayout w:type="fixed"/>
        <w:tblCellMar>
          <w:top w:w="28" w:type="dxa"/>
          <w:left w:w="28" w:type="dxa"/>
          <w:bottom w:w="28" w:type="dxa"/>
          <w:right w:w="28" w:type="dxa"/>
        </w:tblCellMar>
      </w:tblPr>
      <w:tblGrid>
        <w:gridCol w:w="6736"/>
        <w:gridCol w:w="451"/>
      </w:tblGrid>
      <w:tr>
        <w:trPr/>
        <w:tc>
          <w:tcPr>
            <w:tcW w:w="673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6736" w:type="dxa"/>
            <w:tcBorders/>
            <w:tcMar>
              <w:top w:w="0" w:type="dxa"/>
              <w:left w:w="0" w:type="dxa"/>
              <w:bottom w:w="0" w:type="dxa"/>
              <w:right w:w="0" w:type="dxa"/>
            </w:tcMar>
            <w:vAlign w:val="center"/>
          </w:tcPr>
          <w:p>
            <w:pPr>
              <w:pStyle w:val="TableContents"/>
              <w:bidi w:val="0"/>
              <w:spacing w:before="0" w:after="226"/>
              <w:jc w:val="left"/>
              <w:rPr>
                <w:rFonts w:ascii="Times New Roman" w:hAnsi="Times New Roman"/>
                <w:sz w:val="24"/>
              </w:rPr>
            </w:pPr>
            <w:r>
              <w:rPr>
                <w:rFonts w:ascii="Times New Roman" w:hAnsi="Times New Roman"/>
                <w:b/>
                <w:color w:val="000000"/>
                <w:sz w:val="24"/>
              </w:rPr>
              <w:t>Grantee</w:t>
            </w:r>
            <w:r>
              <w:rPr>
                <w:rFonts w:ascii="Times New Roman" w:hAnsi="Times New Roman"/>
                <w:color w:val="000000"/>
                <w:sz w:val="24"/>
              </w:rPr>
              <w:t>:</w:t>
            </w:r>
          </w:p>
        </w:tc>
        <w:tc>
          <w:tcPr>
            <w:tcW w:w="451" w:type="dxa"/>
            <w:tcBorders/>
            <w:tcMar>
              <w:top w:w="0" w:type="dxa"/>
              <w:left w:w="0" w:type="dxa"/>
              <w:bottom w:w="0" w:type="dxa"/>
              <w:right w:w="0" w:type="dxa"/>
            </w:tcMar>
            <w:vAlign w:val="center"/>
          </w:tcPr>
          <w:p>
            <w:pPr>
              <w:pStyle w:val="TableContents"/>
              <w:bidi w:val="0"/>
              <w:spacing w:before="0" w:after="226"/>
              <w:jc w:val="center"/>
              <w:rPr>
                <w:rFonts w:ascii="Times New Roman" w:hAnsi="Times New Roman"/>
                <w:color w:val="000000"/>
                <w:sz w:val="24"/>
                <w:u w:val="single"/>
              </w:rPr>
            </w:pPr>
            <w:r>
              <w:rPr>
                <w:rFonts w:ascii="Times New Roman" w:hAnsi="Times New Roman"/>
                <w:color w:val="000000"/>
                <w:sz w:val="24"/>
                <w:u w:val="single"/>
              </w:rPr>
              <w:t>[●]</w:t>
            </w:r>
          </w:p>
        </w:tc>
      </w:tr>
      <w:tr>
        <w:trPr/>
        <w:tc>
          <w:tcPr>
            <w:tcW w:w="6736" w:type="dxa"/>
            <w:tcBorders/>
            <w:tcMar>
              <w:top w:w="0" w:type="dxa"/>
              <w:left w:w="0" w:type="dxa"/>
              <w:bottom w:w="0" w:type="dxa"/>
              <w:right w:w="0" w:type="dxa"/>
            </w:tcMar>
            <w:vAlign w:val="center"/>
          </w:tcPr>
          <w:p>
            <w:pPr>
              <w:pStyle w:val="TableContents"/>
              <w:bidi w:val="0"/>
              <w:spacing w:before="0" w:after="226"/>
              <w:jc w:val="left"/>
              <w:rPr>
                <w:rFonts w:ascii="Times New Roman" w:hAnsi="Times New Roman"/>
                <w:b/>
                <w:color w:val="000000"/>
                <w:sz w:val="24"/>
              </w:rPr>
            </w:pPr>
            <w:r>
              <w:rPr>
                <w:rFonts w:ascii="Times New Roman" w:hAnsi="Times New Roman"/>
                <w:b/>
                <w:color w:val="000000"/>
                <w:sz w:val="24"/>
              </w:rPr>
              <w:t>Grant Date</w:t>
            </w:r>
          </w:p>
        </w:tc>
        <w:tc>
          <w:tcPr>
            <w:tcW w:w="451" w:type="dxa"/>
            <w:tcBorders/>
            <w:tcMar>
              <w:top w:w="0" w:type="dxa"/>
              <w:left w:w="0" w:type="dxa"/>
              <w:bottom w:w="0" w:type="dxa"/>
              <w:right w:w="0" w:type="dxa"/>
            </w:tcMar>
            <w:vAlign w:val="center"/>
          </w:tcPr>
          <w:p>
            <w:pPr>
              <w:pStyle w:val="TableContents"/>
              <w:bidi w:val="0"/>
              <w:spacing w:before="0" w:after="226"/>
              <w:jc w:val="center"/>
              <w:rPr>
                <w:rFonts w:ascii="Times New Roman" w:hAnsi="Times New Roman"/>
                <w:color w:val="000000"/>
                <w:sz w:val="24"/>
                <w:u w:val="single"/>
              </w:rPr>
            </w:pPr>
            <w:r>
              <w:rPr>
                <w:rFonts w:ascii="Times New Roman" w:hAnsi="Times New Roman"/>
                <w:color w:val="000000"/>
                <w:sz w:val="24"/>
                <w:u w:val="single"/>
              </w:rPr>
              <w:t>[●]</w:t>
            </w:r>
          </w:p>
        </w:tc>
      </w:tr>
      <w:tr>
        <w:trPr/>
        <w:tc>
          <w:tcPr>
            <w:tcW w:w="6736" w:type="dxa"/>
            <w:tcBorders/>
            <w:tcMar>
              <w:top w:w="0" w:type="dxa"/>
              <w:left w:w="0" w:type="dxa"/>
              <w:bottom w:w="0" w:type="dxa"/>
              <w:right w:w="0" w:type="dxa"/>
            </w:tcMar>
            <w:vAlign w:val="center"/>
          </w:tcPr>
          <w:p>
            <w:pPr>
              <w:pStyle w:val="TableContents"/>
              <w:bidi w:val="0"/>
              <w:spacing w:before="0" w:after="226"/>
              <w:jc w:val="left"/>
              <w:rPr>
                <w:rFonts w:ascii="Times New Roman" w:hAnsi="Times New Roman"/>
                <w:b/>
                <w:color w:val="000000"/>
                <w:sz w:val="24"/>
              </w:rPr>
            </w:pPr>
            <w:r>
              <w:rPr>
                <w:rFonts w:ascii="Times New Roman" w:hAnsi="Times New Roman"/>
                <w:b/>
                <w:color w:val="000000"/>
                <w:sz w:val="24"/>
              </w:rPr>
              <w:t>Target Number of PSUs for Milestone Award (as defined below):</w:t>
            </w:r>
          </w:p>
        </w:tc>
        <w:tc>
          <w:tcPr>
            <w:tcW w:w="451" w:type="dxa"/>
            <w:tcBorders/>
            <w:tcMar>
              <w:top w:w="0" w:type="dxa"/>
              <w:left w:w="0" w:type="dxa"/>
              <w:bottom w:w="0" w:type="dxa"/>
              <w:right w:w="0" w:type="dxa"/>
            </w:tcMar>
            <w:vAlign w:val="center"/>
          </w:tcPr>
          <w:p>
            <w:pPr>
              <w:pStyle w:val="TableContents"/>
              <w:bidi w:val="0"/>
              <w:spacing w:before="0" w:after="226"/>
              <w:jc w:val="center"/>
              <w:rPr>
                <w:rFonts w:ascii="Times New Roman" w:hAnsi="Times New Roman"/>
                <w:color w:val="000000"/>
                <w:sz w:val="24"/>
                <w:u w:val="single"/>
              </w:rPr>
            </w:pPr>
            <w:r>
              <w:rPr>
                <w:rFonts w:ascii="Times New Roman" w:hAnsi="Times New Roman"/>
                <w:color w:val="000000"/>
                <w:sz w:val="24"/>
                <w:u w:val="single"/>
              </w:rPr>
              <w:t>[●]</w:t>
            </w:r>
          </w:p>
        </w:tc>
      </w:tr>
      <w:tr>
        <w:trPr/>
        <w:tc>
          <w:tcPr>
            <w:tcW w:w="6736" w:type="dxa"/>
            <w:tcBorders/>
            <w:tcMar>
              <w:top w:w="0" w:type="dxa"/>
              <w:left w:w="0" w:type="dxa"/>
              <w:bottom w:w="0" w:type="dxa"/>
              <w:right w:w="0" w:type="dxa"/>
            </w:tcMar>
            <w:vAlign w:val="center"/>
          </w:tcPr>
          <w:p>
            <w:pPr>
              <w:pStyle w:val="TableContents"/>
              <w:bidi w:val="0"/>
              <w:spacing w:before="0" w:after="226"/>
              <w:jc w:val="left"/>
              <w:rPr>
                <w:rFonts w:ascii="Times New Roman" w:hAnsi="Times New Roman"/>
                <w:b/>
                <w:color w:val="000000"/>
                <w:sz w:val="24"/>
              </w:rPr>
            </w:pPr>
            <w:r>
              <w:rPr>
                <w:rFonts w:ascii="Times New Roman" w:hAnsi="Times New Roman"/>
                <w:b/>
                <w:color w:val="000000"/>
                <w:sz w:val="24"/>
              </w:rPr>
              <w:t>Performance Period</w:t>
            </w:r>
          </w:p>
        </w:tc>
        <w:tc>
          <w:tcPr>
            <w:tcW w:w="451" w:type="dxa"/>
            <w:tcBorders/>
            <w:tcMar>
              <w:top w:w="0" w:type="dxa"/>
              <w:left w:w="0" w:type="dxa"/>
              <w:bottom w:w="0" w:type="dxa"/>
              <w:right w:w="0" w:type="dxa"/>
            </w:tcMar>
            <w:vAlign w:val="center"/>
          </w:tcPr>
          <w:p>
            <w:pPr>
              <w:pStyle w:val="TableContents"/>
              <w:bidi w:val="0"/>
              <w:spacing w:before="0" w:after="226"/>
              <w:jc w:val="center"/>
              <w:rPr>
                <w:rFonts w:ascii="Times New Roman" w:hAnsi="Times New Roman"/>
                <w:color w:val="000000"/>
                <w:sz w:val="24"/>
                <w:u w:val="single"/>
              </w:rPr>
            </w:pPr>
            <w:r>
              <w:rPr>
                <w:rFonts w:ascii="Times New Roman" w:hAnsi="Times New Roman"/>
                <w:color w:val="000000"/>
                <w:sz w:val="24"/>
                <w:u w:val="single"/>
              </w:rPr>
              <w:t>[●]</w:t>
            </w:r>
          </w:p>
        </w:tc>
      </w:tr>
    </w:tbl>
    <w:p>
      <w:pPr>
        <w:pStyle w:val="TextBody"/>
        <w:bidi w:val="0"/>
        <w:jc w:val="both"/>
        <w:rPr>
          <w:rFonts w:ascii="Times New Roman" w:hAnsi="Times New Roman"/>
          <w:color w:val="000000"/>
          <w:sz w:val="24"/>
        </w:rPr>
      </w:pPr>
      <w:r>
        <w:rPr>
          <w:rFonts w:ascii="Times New Roman" w:hAnsi="Times New Roman"/>
          <w:color w:val="000000"/>
          <w:sz w:val="24"/>
        </w:rPr>
        <w:t>The PSU Award is further subject to all interpretations, amendments, rules and regulations, which may from time to time be promulgated and adopted pursuant to the Plan. In the event of any conflict between this Agreement and the provisions of the Plan, the provisions of the Plan shall control. The PSU Award (and any compensation paid or shares issued under your PSU Award) is subject to recoupment in accordance with The Dodd-Frank Wall Street Reform and Consumer Protection Act and any implementing regulations thereunder, any clawback policy adopted by the Company and any compensation recovery policy otherwise required by applicable law, including, but not limited to the Company’s Compensation Recovery Policy .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pStyle w:val="TextBody"/>
        <w:bidi w:val="0"/>
        <w:spacing w:before="0" w:after="259"/>
        <w:jc w:val="both"/>
        <w:rPr/>
      </w:pPr>
      <w:r>
        <w:rPr/>
        <w:t> </w:t>
      </w:r>
    </w:p>
    <w:p>
      <w:pPr>
        <w:pStyle w:val="TextBody"/>
        <w:bidi w:val="0"/>
        <w:spacing w:before="0" w:after="259"/>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59"/>
        <w:jc w:val="both"/>
        <w:rPr/>
      </w:pPr>
      <w:r>
        <w:rPr>
          <w:rFonts w:ascii="Times New Roman" w:hAnsi="Times New Roman"/>
          <w:color w:val="000000"/>
          <w:sz w:val="24"/>
          <w:u w:val="single"/>
        </w:rPr>
        <w:t>Restrictions on Transfer of PSU Award</w:t>
      </w:r>
      <w:r>
        <w:rPr>
          <w:rFonts w:ascii="Times New Roman" w:hAnsi="Times New Roman"/>
          <w:color w:val="000000"/>
          <w:sz w:val="24"/>
        </w:rPr>
        <w:t xml:space="preserve">. This PSU Award may not be sold, transferred, pledged, assigned or otherwise encumbered or disposed of by the Grantee, and any Shares issuable with respect to the PSU Award may not be sold, transferred, pledged, assigned or otherwise encumbered or disposed of until (i) the PSUs have vested as provided in Section 2 of this Agreement and (ii) Shares have been issued to the Grantee in accordance with the terms of the Plan and this Agreement. </w:t>
      </w:r>
    </w:p>
    <w:p>
      <w:pPr>
        <w:pStyle w:val="TextBody"/>
        <w:bidi w:val="0"/>
        <w:spacing w:before="0" w:after="229"/>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29"/>
        <w:jc w:val="both"/>
        <w:rPr/>
      </w:pPr>
      <w:r>
        <w:rPr>
          <w:rFonts w:ascii="Times New Roman" w:hAnsi="Times New Roman"/>
          <w:color w:val="000000"/>
          <w:sz w:val="24"/>
          <w:u w:val="single"/>
        </w:rPr>
        <w:t>Earning of Performance Restricted Stock Units</w:t>
      </w:r>
      <w:r>
        <w:rPr>
          <w:rFonts w:ascii="Times New Roman" w:hAnsi="Times New Roman"/>
          <w:color w:val="000000"/>
          <w:sz w:val="24"/>
        </w:rPr>
        <w:t xml:space="preserve">. The number of PSUs to be earned by the Grantee will vary depending upon the Company’s achievement of the Performance Criteria,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29"/>
        <w:jc w:val="both"/>
        <w:rPr/>
      </w:pPr>
      <w:r>
        <w:rPr>
          <w:rFonts w:ascii="Times New Roman" w:hAnsi="Times New Roman"/>
          <w:color w:val="000000"/>
          <w:sz w:val="24"/>
        </w:rPr>
        <w:t xml:space="preserve">as set forth on </w:t>
      </w:r>
      <w:r>
        <w:rPr>
          <w:rFonts w:ascii="Times New Roman" w:hAnsi="Times New Roman"/>
          <w:color w:val="000000"/>
          <w:sz w:val="24"/>
          <w:u w:val="single"/>
        </w:rPr>
        <w:t>Appendix A</w:t>
      </w:r>
      <w:r>
        <w:rPr>
          <w:rFonts w:ascii="Times New Roman" w:hAnsi="Times New Roman"/>
          <w:color w:val="000000"/>
          <w:sz w:val="24"/>
        </w:rPr>
        <w:t xml:space="preserve">, attached hereto. The number of PSUs determined to be earned as of the achievement of the Milestone (as defined on </w:t>
      </w:r>
      <w:r>
        <w:rPr>
          <w:rFonts w:ascii="Times New Roman" w:hAnsi="Times New Roman"/>
          <w:color w:val="000000"/>
          <w:sz w:val="24"/>
          <w:u w:val="single"/>
        </w:rPr>
        <w:t>Appendix A</w:t>
      </w:r>
      <w:r>
        <w:rPr>
          <w:rFonts w:ascii="Times New Roman" w:hAnsi="Times New Roman"/>
          <w:color w:val="000000"/>
          <w:sz w:val="24"/>
        </w:rPr>
        <w:t xml:space="preserve">) pursuant to this Section 2 and </w:t>
      </w:r>
      <w:r>
        <w:rPr>
          <w:rFonts w:ascii="Times New Roman" w:hAnsi="Times New Roman"/>
          <w:color w:val="000000"/>
          <w:sz w:val="24"/>
          <w:u w:val="single"/>
        </w:rPr>
        <w:t>Appendix A</w:t>
      </w:r>
      <w:r>
        <w:rPr>
          <w:color w:val="000000"/>
        </w:rPr>
        <w:t xml:space="preserve"> </w:t>
      </w:r>
      <w:r>
        <w:rPr>
          <w:rFonts w:ascii="Times New Roman" w:hAnsi="Times New Roman"/>
          <w:color w:val="000000"/>
          <w:sz w:val="24"/>
        </w:rPr>
        <w:t>shall be referred to herein as “</w:t>
      </w:r>
      <w:r>
        <w:rPr>
          <w:rFonts w:ascii="Times New Roman" w:hAnsi="Times New Roman"/>
          <w:color w:val="000000"/>
          <w:sz w:val="24"/>
          <w:u w:val="single"/>
        </w:rPr>
        <w:t>Earned PSUs</w:t>
      </w:r>
      <w:r>
        <w:rPr>
          <w:rFonts w:ascii="Times New Roman" w:hAnsi="Times New Roman"/>
          <w:color w:val="000000"/>
          <w:sz w:val="24"/>
        </w:rPr>
        <w:t>.”</w:t>
      </w:r>
    </w:p>
    <w:p>
      <w:pPr>
        <w:pStyle w:val="TextBody"/>
        <w:bidi w:val="0"/>
        <w:spacing w:before="0" w:after="229"/>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29"/>
        <w:jc w:val="both"/>
        <w:rPr/>
      </w:pPr>
      <w:r>
        <w:rPr>
          <w:rFonts w:ascii="Times New Roman" w:hAnsi="Times New Roman"/>
          <w:color w:val="000000"/>
          <w:sz w:val="24"/>
          <w:u w:val="single"/>
        </w:rPr>
        <w:t>Vesting of Performance Restricted Stock Units</w:t>
      </w:r>
      <w:r>
        <w:rPr>
          <w:rFonts w:ascii="Times New Roman" w:hAnsi="Times New Roman"/>
          <w:color w:val="000000"/>
          <w:sz w:val="24"/>
        </w:rPr>
        <w:t xml:space="preserve">. With respect to any Earned PSUs underlying the Milestone Award, except as set forth on </w:t>
      </w:r>
      <w:r>
        <w:rPr>
          <w:rFonts w:ascii="Times New Roman" w:hAnsi="Times New Roman"/>
          <w:color w:val="000000"/>
          <w:sz w:val="24"/>
          <w:u w:val="single"/>
        </w:rPr>
        <w:t>Appendix A</w:t>
      </w:r>
      <w:r>
        <w:rPr>
          <w:rFonts w:ascii="Times New Roman" w:hAnsi="Times New Roman"/>
          <w:color w:val="000000"/>
          <w:sz w:val="24"/>
        </w:rPr>
        <w:t xml:space="preserve">, attached hereto, the restrictions and conditions of Section 1 of this Agreement shall lapse as follows with respect to the Milestone Award (as such term is defined in </w:t>
      </w:r>
      <w:r>
        <w:rPr>
          <w:rFonts w:ascii="Times New Roman" w:hAnsi="Times New Roman"/>
          <w:color w:val="000000"/>
          <w:sz w:val="24"/>
          <w:u w:val="single"/>
        </w:rPr>
        <w:t>Appendix A</w:t>
      </w:r>
      <w:r>
        <w:rPr>
          <w:rFonts w:ascii="Times New Roman" w:hAnsi="Times New Roman"/>
          <w:color w:val="000000"/>
          <w:sz w:val="24"/>
        </w:rPr>
        <w:t>), in each case, subject to the continued service of Grantee with the Company through each such date (each, a “</w:t>
      </w:r>
      <w:r>
        <w:rPr>
          <w:rFonts w:ascii="Times New Roman" w:hAnsi="Times New Roman"/>
          <w:color w:val="000000"/>
          <w:sz w:val="24"/>
          <w:u w:val="single"/>
        </w:rPr>
        <w:t>Vesting Date</w:t>
      </w:r>
      <w:r>
        <w:rPr>
          <w:color w:val="000000"/>
        </w:rPr>
        <w:t>”</w:t>
      </w:r>
      <w:r>
        <w:rPr>
          <w:rFonts w:ascii="Times New Roman" w:hAnsi="Times New Roman"/>
          <w:color w:val="000000"/>
          <w:sz w:val="24"/>
        </w:rPr>
        <w:t xml:space="preserve">): </w:t>
      </w:r>
    </w:p>
    <w:tbl>
      <w:tblPr>
        <w:tblW w:w="5372" w:type="dxa"/>
        <w:jc w:val="left"/>
        <w:tblInd w:w="0" w:type="dxa"/>
        <w:tblLayout w:type="fixed"/>
        <w:tblCellMar>
          <w:top w:w="28" w:type="dxa"/>
          <w:left w:w="28" w:type="dxa"/>
          <w:bottom w:w="28" w:type="dxa"/>
          <w:right w:w="28" w:type="dxa"/>
        </w:tblCellMar>
      </w:tblPr>
      <w:tblGrid>
        <w:gridCol w:w="3811"/>
        <w:gridCol w:w="1561"/>
      </w:tblGrid>
      <w:tr>
        <w:trPr/>
        <w:tc>
          <w:tcPr>
            <w:tcW w:w="381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811" w:type="dxa"/>
            <w:tcBorders/>
            <w:tcMar>
              <w:top w:w="0" w:type="dxa"/>
              <w:left w:w="0" w:type="dxa"/>
              <w:bottom w:w="0" w:type="dxa"/>
              <w:right w:w="0" w:type="dxa"/>
            </w:tcMar>
            <w:vAlign w:val="center"/>
          </w:tcPr>
          <w:p>
            <w:pPr>
              <w:pStyle w:val="TableContents"/>
              <w:pBdr>
                <w:bottom w:val="single" w:sz="4" w:space="1" w:color="000000"/>
              </w:pBdr>
              <w:bidi w:val="0"/>
              <w:spacing w:before="120" w:after="283"/>
              <w:jc w:val="center"/>
              <w:rPr>
                <w:rFonts w:ascii="Times New Roman" w:hAnsi="Times New Roman"/>
                <w:color w:val="000000"/>
                <w:sz w:val="24"/>
                <w:u w:val="single"/>
              </w:rPr>
            </w:pPr>
            <w:r>
              <w:rPr>
                <w:rFonts w:ascii="Times New Roman" w:hAnsi="Times New Roman"/>
                <w:color w:val="000000"/>
                <w:sz w:val="24"/>
                <w:u w:val="single"/>
              </w:rPr>
              <w:t>Number of Target Shares to Time Vest</w:t>
            </w:r>
          </w:p>
        </w:tc>
        <w:tc>
          <w:tcPr>
            <w:tcW w:w="1561" w:type="dxa"/>
            <w:tcBorders/>
            <w:tcMar>
              <w:top w:w="0" w:type="dxa"/>
              <w:left w:w="0" w:type="dxa"/>
              <w:bottom w:w="0" w:type="dxa"/>
              <w:right w:w="0" w:type="dxa"/>
            </w:tcMar>
            <w:vAlign w:val="center"/>
          </w:tcPr>
          <w:p>
            <w:pPr>
              <w:pStyle w:val="TableContents"/>
              <w:pBdr>
                <w:bottom w:val="single" w:sz="4" w:space="1" w:color="000000"/>
              </w:pBdr>
              <w:bidi w:val="0"/>
              <w:spacing w:before="120" w:after="283"/>
              <w:jc w:val="center"/>
              <w:rPr>
                <w:rFonts w:ascii="Times New Roman" w:hAnsi="Times New Roman"/>
                <w:color w:val="000000"/>
                <w:sz w:val="24"/>
                <w:u w:val="single"/>
              </w:rPr>
            </w:pPr>
            <w:r>
              <w:rPr>
                <w:rFonts w:ascii="Times New Roman" w:hAnsi="Times New Roman"/>
                <w:color w:val="000000"/>
                <w:sz w:val="24"/>
                <w:u w:val="single"/>
              </w:rPr>
              <w:t>Vesting Date</w:t>
            </w:r>
          </w:p>
        </w:tc>
      </w:tr>
      <w:tr>
        <w:trPr/>
        <w:tc>
          <w:tcPr>
            <w:tcW w:w="38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56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[__________]</w:t>
            </w:r>
          </w:p>
        </w:tc>
      </w:tr>
      <w:tr>
        <w:trPr/>
        <w:tc>
          <w:tcPr>
            <w:tcW w:w="38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56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 xml:space="preserve">[__________] </w:t>
            </w:r>
          </w:p>
        </w:tc>
      </w:tr>
    </w:tbl>
    <w:p>
      <w:pPr>
        <w:pStyle w:val="TextBody"/>
        <w:bidi w:val="0"/>
        <w:spacing w:before="0" w:after="229"/>
        <w:jc w:val="both"/>
        <w:rPr/>
      </w:pPr>
      <w:r>
        <w:rPr/>
        <w:t> </w:t>
      </w:r>
    </w:p>
    <w:p>
      <w:pPr>
        <w:pStyle w:val="TextBody"/>
        <w:bidi w:val="0"/>
        <w:spacing w:before="0" w:after="259"/>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59"/>
        <w:jc w:val="both"/>
        <w:rPr/>
      </w:pPr>
      <w:r>
        <w:rPr>
          <w:rFonts w:ascii="Times New Roman" w:hAnsi="Times New Roman"/>
          <w:color w:val="000000"/>
          <w:sz w:val="24"/>
          <w:u w:val="single"/>
        </w:rPr>
        <w:t>Change in Control</w:t>
      </w:r>
      <w:r>
        <w:rPr>
          <w:rFonts w:ascii="Times New Roman" w:hAnsi="Times New Roman"/>
          <w:color w:val="000000"/>
          <w:sz w:val="24"/>
        </w:rPr>
        <w:t xml:space="preserve">. Subject to the Grantee’s continued service with the Company through a Change in Control, all unvested PSUs shall vest immediately prior to the Change in Control.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jc w:val="both"/>
        <w:rPr/>
      </w:pPr>
      <w:r>
        <w:rPr>
          <w:rFonts w:ascii="Times New Roman" w:hAnsi="Times New Roman"/>
          <w:color w:val="000000"/>
          <w:sz w:val="24"/>
          <w:u w:val="single"/>
        </w:rPr>
        <w:t>Termination of Service</w:t>
      </w:r>
      <w:r>
        <w:rPr>
          <w:rFonts w:ascii="Times New Roman" w:hAnsi="Times New Roman"/>
          <w:color w:val="000000"/>
          <w:sz w:val="24"/>
        </w:rPr>
        <w:t>. If the Grantee’s service with the Company and its Subsidiaries terminates for any reason (including death or Disability) prior to the satisfaction of the vesting conditions set forth in Section 2 above, any PSUs that have not vested as of such date shall automatically and without notice terminate and be forfeited, and neither the Grantee nor any of his or her successors, heirs, assigns, or personal representatives will thereafter have any further rights or interests in such unvested PSUs.</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jc w:val="both"/>
        <w:rPr/>
      </w:pPr>
      <w:r>
        <w:rPr>
          <w:rFonts w:ascii="Times New Roman" w:hAnsi="Times New Roman"/>
          <w:color w:val="000000"/>
          <w:sz w:val="24"/>
          <w:u w:val="single"/>
        </w:rPr>
        <w:t>Issuance of Shares of Stock</w:t>
      </w:r>
      <w:r>
        <w:rPr>
          <w:rFonts w:ascii="Times New Roman" w:hAnsi="Times New Roman"/>
          <w:color w:val="000000"/>
          <w:sz w:val="24"/>
        </w:rPr>
        <w:t>. As soon as practicable following each Vesting Date (but in no event later than two and one-half months after the end of the year in which the Vesting Date occurs), the Company shall issue to the Grantee the number of Shares equal to the aggregate number of PSUs that have vested pursuant to Section 2 of this Agreement on such date and the Grantee shall thereafter have all the rights of a stockholder of the Company with respect to such shares.</w:t>
      </w:r>
    </w:p>
    <w:p>
      <w:pPr>
        <w:pStyle w:val="TextBody"/>
        <w:bidi w:val="0"/>
        <w:jc w:val="both"/>
        <w:rPr/>
      </w:pPr>
      <w:r>
        <w:rPr/>
        <w:t> </w:t>
      </w:r>
    </w:p>
    <w:p>
      <w:pPr>
        <w:pStyle w:val="TextBody"/>
        <w:bidi w:val="0"/>
        <w:spacing w:before="0" w:after="259"/>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59"/>
        <w:jc w:val="both"/>
        <w:rPr/>
      </w:pPr>
      <w:r>
        <w:rPr>
          <w:rFonts w:ascii="Times New Roman" w:hAnsi="Times New Roman"/>
          <w:color w:val="000000"/>
          <w:sz w:val="24"/>
          <w:u w:val="single"/>
        </w:rPr>
        <w:t>Incorporation of Plan</w:t>
      </w:r>
      <w:r>
        <w:rPr>
          <w:rFonts w:ascii="Times New Roman" w:hAnsi="Times New Roman"/>
          <w:color w:val="000000"/>
          <w:sz w:val="24"/>
        </w:rPr>
        <w:t xml:space="preserve">. Notwithstanding anything herein to the contrary, this Agreement shall be subject to and governed by all the terms and conditions of the Plan, including the powers of the Committee set forth in Section 2 of the Plan. Capitalized terms in this Agreement shall have the meaning specified in the Plan, unless a different meaning is specified herein. </w:t>
      </w:r>
    </w:p>
    <w:p>
      <w:pPr>
        <w:pStyle w:val="TextBody"/>
        <w:bidi w:val="0"/>
        <w:spacing w:before="0" w:after="259"/>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59"/>
        <w:jc w:val="both"/>
        <w:rPr/>
      </w:pPr>
      <w:r>
        <w:rPr>
          <w:rFonts w:ascii="Times New Roman" w:hAnsi="Times New Roman"/>
          <w:color w:val="000000"/>
          <w:sz w:val="24"/>
          <w:u w:val="single"/>
        </w:rPr>
        <w:t>Tax Withholding</w:t>
      </w:r>
      <w:r>
        <w:rPr>
          <w:rFonts w:ascii="Times New Roman" w:hAnsi="Times New Roman"/>
          <w:color w:val="000000"/>
          <w:sz w:val="24"/>
        </w:rPr>
        <w:t>. The Grantee shall, not later than the date or dates as of which the receipt or vesting of this PSU Award becomes a taxable event for Federal income tax purposes, pay to the Company or make arrangements satisfactory to the Committee for payment of any Federal, state, and local taxes required by law to be withheld on account of such taxable event. To the extent authorized by the Committee, the required tax withholding obligation may be satisfied, in whole or in part, by withholding from Shares to be issued to the Grantee a number of Shares with an aggregate Fair Market Value that would satisfy the withholding amount due. The Company has the right to deduct any such taxes from payment of any kind otherwise due to the Grantee.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59"/>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59"/>
        <w:jc w:val="both"/>
        <w:rPr/>
      </w:pPr>
      <w:r>
        <w:rPr>
          <w:rFonts w:ascii="Times New Roman" w:hAnsi="Times New Roman"/>
          <w:color w:val="000000"/>
          <w:sz w:val="24"/>
          <w:u w:val="single"/>
        </w:rPr>
        <w:t>Section 409A of the Code.</w:t>
      </w:r>
      <w:r>
        <w:rPr>
          <w:color w:val="000000"/>
        </w:rPr>
        <w:t xml:space="preserve"> </w:t>
      </w:r>
      <w:r>
        <w:rPr>
          <w:rFonts w:ascii="Times New Roman" w:hAnsi="Times New Roman"/>
          <w:color w:val="000000"/>
          <w:sz w:val="24"/>
        </w:rPr>
        <w:t xml:space="preserve">This Agreement shall be interpreted in such a manner that all provisions relating to the settlement of the PSU Award are exempt from the requirements of Section 409A of the Code as “short-term deferrals” as described in Section 409A of the Code.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10.</w:t>
      </w:r>
    </w:p>
    <w:p>
      <w:pPr>
        <w:pStyle w:val="TextBody"/>
        <w:bidi w:val="0"/>
        <w:jc w:val="both"/>
        <w:rPr/>
      </w:pPr>
      <w:r>
        <w:rPr>
          <w:rFonts w:ascii="Times New Roman" w:hAnsi="Times New Roman"/>
          <w:color w:val="000000"/>
          <w:sz w:val="24"/>
          <w:u w:val="single"/>
        </w:rPr>
        <w:t>No Continuation of Service</w:t>
      </w:r>
      <w:r>
        <w:rPr>
          <w:rFonts w:ascii="Times New Roman" w:hAnsi="Times New Roman"/>
          <w:color w:val="000000"/>
          <w:sz w:val="24"/>
        </w:rPr>
        <w:t>. Neither the Plan nor this Agreement will confer upon the Grantee any right to continue in the employment or service of the Company or any of its Subsidiaries, or limit in any respect the right of the Company or its Subsidiaries to discharge the Grantee at any time, for any reason.</w:t>
      </w:r>
    </w:p>
    <w:p>
      <w:pPr>
        <w:pStyle w:val="TextBody"/>
        <w:bidi w:val="0"/>
        <w:spacing w:before="0" w:after="259"/>
        <w:jc w:val="both"/>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0" w:after="259"/>
        <w:jc w:val="both"/>
        <w:rPr/>
      </w:pPr>
      <w:r>
        <w:rPr>
          <w:rFonts w:ascii="Times New Roman" w:hAnsi="Times New Roman"/>
          <w:color w:val="000000"/>
          <w:sz w:val="24"/>
          <w:u w:val="single"/>
        </w:rPr>
        <w:t>Integration</w:t>
      </w:r>
      <w:r>
        <w:rPr>
          <w:rFonts w:ascii="Times New Roman" w:hAnsi="Times New Roman"/>
          <w:color w:val="000000"/>
          <w:sz w:val="24"/>
        </w:rPr>
        <w:t xml:space="preserve">. This Agreement constitutes the entire agreement between the parties with respect to this PSU Award and supersedes all prior agreements and discussions between the parties concerning such subject matter. </w:t>
      </w:r>
    </w:p>
    <w:p>
      <w:pPr>
        <w:pStyle w:val="TextBody"/>
        <w:bidi w:val="0"/>
        <w:spacing w:before="0" w:after="152"/>
        <w:jc w:val="both"/>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0" w:after="152"/>
        <w:jc w:val="both"/>
        <w:rPr/>
      </w:pPr>
      <w:r>
        <w:rPr>
          <w:rFonts w:ascii="Times New Roman" w:hAnsi="Times New Roman"/>
          <w:color w:val="000000"/>
          <w:sz w:val="24"/>
          <w:u w:val="single"/>
        </w:rPr>
        <w:t>Data Privacy Consent</w:t>
      </w:r>
      <w:r>
        <w:rPr>
          <w:rFonts w:ascii="Times New Roman" w:hAnsi="Times New Roman"/>
          <w:color w:val="000000"/>
          <w:sz w:val="24"/>
        </w:rPr>
        <w:t>. In order to administer the Plan and this Agreement and to implement or structure future equity grants, the Company, its subsidiaries and affiliates and certain agents thereof (together, the “</w:t>
      </w:r>
      <w:r>
        <w:rPr>
          <w:rFonts w:ascii="Times New Roman" w:hAnsi="Times New Roman"/>
          <w:color w:val="000000"/>
          <w:sz w:val="24"/>
          <w:u w:val="single"/>
        </w:rPr>
        <w:t>Relevant Companies</w:t>
      </w:r>
      <w:r>
        <w:rPr>
          <w:color w:val="000000"/>
        </w:rPr>
        <w:t>”</w:t>
      </w:r>
      <w:r>
        <w:rPr>
          <w:rFonts w:ascii="Times New Roman" w:hAnsi="Times New Roman"/>
          <w:color w:val="000000"/>
          <w:sz w:val="24"/>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hAnsi="Times New Roman"/>
          <w:color w:val="000000"/>
          <w:sz w:val="24"/>
          <w:u w:val="single"/>
        </w:rPr>
        <w:t>Relevant Information</w:t>
      </w:r>
      <w:r>
        <w:rPr>
          <w:color w:val="000000"/>
        </w:rPr>
        <w:t>”</w:t>
      </w:r>
      <w:r>
        <w:rPr>
          <w:rFonts w:ascii="Times New Roman" w:hAnsi="Times New Roman"/>
          <w:color w:val="000000"/>
          <w:sz w:val="24"/>
        </w:rPr>
        <w:t xml:space="preserve">).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0" w:after="229"/>
        <w:jc w:val="both"/>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0" w:after="229"/>
        <w:jc w:val="both"/>
        <w:rPr/>
      </w:pPr>
      <w:r>
        <w:rPr>
          <w:rFonts w:ascii="Times New Roman" w:hAnsi="Times New Roman"/>
          <w:color w:val="000000"/>
          <w:sz w:val="24"/>
          <w:u w:val="single"/>
        </w:rPr>
        <w:t>Notices</w:t>
      </w:r>
      <w:r>
        <w:rPr>
          <w:rFonts w:ascii="Times New Roman" w:hAnsi="Times New Roman"/>
          <w:color w:val="000000"/>
          <w:sz w:val="24"/>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0" w:after="229"/>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Follow</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29"/>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b/>
                <w:color w:val="000000"/>
                <w:sz w:val="22"/>
              </w:rPr>
            </w:pPr>
            <w:r>
              <w:rPr>
                <w:rFonts w:ascii="Times New Roman" w:hAnsi="Times New Roman"/>
                <w:b/>
                <w:color w:val="000000"/>
                <w:sz w:val="22"/>
              </w:rPr>
              <w:t>Larimar Therapeutics, Inc.</w:t>
            </w:r>
          </w:p>
        </w:tc>
      </w:tr>
      <w:tr>
        <w:trPr/>
        <w:tc>
          <w:tcPr>
            <w:tcW w:w="283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r>
      <w:tr>
        <w:trPr/>
        <w:tc>
          <w:tcPr>
            <w:tcW w:w="2836" w:type="dxa"/>
            <w:tcBorders/>
            <w:tcMar>
              <w:top w:w="0" w:type="dxa"/>
              <w:left w:w="0" w:type="dxa"/>
              <w:bottom w:w="0" w:type="dxa"/>
              <w:right w:w="0" w:type="dxa"/>
            </w:tcMar>
            <w:vAlign w:val="center"/>
          </w:tcPr>
          <w:p>
            <w:pPr>
              <w:pStyle w:val="TableContents"/>
              <w:bidi w:val="0"/>
              <w:spacing w:before="0" w:after="480"/>
              <w:jc w:val="both"/>
              <w:rPr>
                <w:rFonts w:ascii="Times New Roman" w:hAnsi="Times New Roman"/>
                <w:color w:val="000000"/>
                <w:sz w:val="22"/>
              </w:rPr>
            </w:pPr>
            <w:r>
              <w:rPr>
                <w:rFonts w:ascii="Times New Roman" w:hAnsi="Times New Roman"/>
                <w:color w:val="000000"/>
                <w:sz w:val="22"/>
              </w:rPr>
              <w:t>Title:</w:t>
            </w:r>
          </w:p>
        </w:tc>
      </w:tr>
    </w:tbl>
    <w:p>
      <w:pPr>
        <w:pStyle w:val="TextBody"/>
        <w:bidi w:val="0"/>
        <w:spacing w:before="0" w:after="720"/>
        <w:jc w:val="both"/>
        <w:rPr>
          <w:rFonts w:ascii="Times New Roman" w:hAnsi="Times New Roman"/>
          <w:color w:val="000000"/>
          <w:sz w:val="24"/>
        </w:rPr>
      </w:pPr>
      <w:r>
        <w:rPr>
          <w:rFonts w:ascii="Times New Roman" w:hAnsi="Times New Roman"/>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tbl>
      <w:tblPr>
        <w:tblW w:w="3879" w:type="dxa"/>
        <w:jc w:val="left"/>
        <w:tblInd w:w="0" w:type="dxa"/>
        <w:tblLayout w:type="fixed"/>
        <w:tblCellMar>
          <w:top w:w="28" w:type="dxa"/>
          <w:left w:w="28" w:type="dxa"/>
          <w:bottom w:w="28" w:type="dxa"/>
          <w:right w:w="28" w:type="dxa"/>
        </w:tblCellMar>
      </w:tblPr>
      <w:tblGrid>
        <w:gridCol w:w="736"/>
        <w:gridCol w:w="146"/>
        <w:gridCol w:w="146"/>
        <w:gridCol w:w="285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Dated: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Grantee’s Signature</w:t>
            </w:r>
          </w:p>
        </w:tc>
      </w:tr>
      <w:tr>
        <w:trPr/>
        <w:tc>
          <w:tcPr>
            <w:tcW w:w="7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Grantee’s name and address:</w:t>
            </w:r>
          </w:p>
        </w:tc>
      </w:tr>
      <w:tr>
        <w:trPr/>
        <w:tc>
          <w:tcPr>
            <w:tcW w:w="7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Performance Criteria for the determination of the number of PSUs earned hereunder will be based on the Compensation Committee of the Board of Directors of the Company’s determination of achievement of [_________] (the “</w:t>
      </w:r>
      <w:r>
        <w:rPr>
          <w:rFonts w:ascii="Times New Roman" w:hAnsi="Times New Roman"/>
          <w:color w:val="000000"/>
          <w:sz w:val="24"/>
          <w:u w:val="single"/>
        </w:rPr>
        <w:t>Milestone</w:t>
      </w:r>
      <w:r>
        <w:rPr>
          <w:color w:val="000000"/>
        </w:rPr>
        <w:t xml:space="preserve">” </w:t>
      </w:r>
      <w:r>
        <w:rPr>
          <w:rFonts w:ascii="Times New Roman" w:hAnsi="Times New Roman"/>
          <w:color w:val="000000"/>
          <w:sz w:val="24"/>
        </w:rPr>
        <w:t>and the applicable PSU Awards subject to such Milestone shall be referred to herein as a “</w:t>
      </w:r>
      <w:r>
        <w:rPr>
          <w:rFonts w:ascii="Times New Roman" w:hAnsi="Times New Roman"/>
          <w:color w:val="000000"/>
          <w:sz w:val="24"/>
          <w:u w:val="single"/>
        </w:rPr>
        <w:t>Milestone Award</w:t>
      </w:r>
      <w:r>
        <w:rPr>
          <w:color w:val="000000"/>
        </w:rPr>
        <w:t>”</w:t>
      </w:r>
      <w:r>
        <w:rPr>
          <w:rFonts w:ascii="Times New Roman" w:hAnsi="Times New Roman"/>
          <w:color w:val="000000"/>
          <w:sz w:val="24"/>
        </w:rPr>
        <w:t xml:space="preserve">). </w:t>
      </w:r>
    </w:p>
    <w:p>
      <w:pPr>
        <w:pStyle w:val="TextBody"/>
        <w:bidi w:val="0"/>
        <w:spacing w:before="4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40" w:after="240"/>
        <w:jc w:val="both"/>
        <w:rPr>
          <w:rFonts w:ascii="Times New Roman" w:hAnsi="Times New Roman"/>
          <w:color w:val="000000"/>
          <w:sz w:val="24"/>
        </w:rPr>
      </w:pPr>
      <w:r>
        <w:rPr>
          <w:rFonts w:ascii="Times New Roman" w:hAnsi="Times New Roman"/>
          <w:color w:val="000000"/>
          <w:sz w:val="24"/>
        </w:rPr>
        <w:t>The Target Number of PSUs represents the number of PSUs that would be earned, subject to vesting, if the Company were to achieve the applicable Milestone during the Performance Period. The Target Number of PSUs shall be determined as set forth below:</w:t>
      </w:r>
    </w:p>
    <w:p>
      <w:pPr>
        <w:pStyle w:val="TextBody"/>
        <w:bidi w:val="0"/>
        <w:spacing w:before="0" w:after="259"/>
        <w:jc w:val="left"/>
        <w:rPr/>
      </w:pPr>
      <w:r>
        <w:rPr/>
        <w:t> </w:t>
      </w:r>
    </w:p>
    <w:tbl>
      <w:tblPr>
        <w:tblW w:w="4547" w:type="dxa"/>
        <w:jc w:val="left"/>
        <w:tblInd w:w="0" w:type="dxa"/>
        <w:tblLayout w:type="fixed"/>
        <w:tblCellMar>
          <w:top w:w="28" w:type="dxa"/>
          <w:left w:w="28" w:type="dxa"/>
          <w:bottom w:w="28" w:type="dxa"/>
          <w:right w:w="28" w:type="dxa"/>
        </w:tblCellMar>
      </w:tblPr>
      <w:tblGrid>
        <w:gridCol w:w="2086"/>
        <w:gridCol w:w="2461"/>
      </w:tblGrid>
      <w:tr>
        <w:trPr/>
        <w:tc>
          <w:tcPr>
            <w:tcW w:w="208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2086" w:type="dxa"/>
            <w:tcBorders>
              <w:top w:val="single" w:sz="4" w:space="0" w:color="000000"/>
              <w:left w:val="single" w:sz="4" w:space="0" w:color="000000"/>
              <w:bottom w:val="single" w:sz="4" w:space="0" w:color="000000"/>
              <w:right w:val="single" w:sz="4" w:space="0" w:color="000000"/>
            </w:tcBorders>
            <w:shd w:fill="D0CECE" w:val="clear"/>
            <w:tcMar>
              <w:left w:w="108" w:type="dxa"/>
              <w:right w:w="108" w:type="dxa"/>
            </w:tcMar>
            <w:vAlign w:val="center"/>
          </w:tcPr>
          <w:p>
            <w:pPr>
              <w:pStyle w:val="TableContents"/>
              <w:bidi w:val="0"/>
              <w:spacing w:before="0" w:after="259"/>
              <w:jc w:val="center"/>
              <w:rPr>
                <w:rFonts w:ascii="Times New Roman" w:hAnsi="Times New Roman"/>
                <w:color w:val="000000"/>
                <w:sz w:val="24"/>
              </w:rPr>
            </w:pPr>
            <w:r>
              <w:rPr>
                <w:rFonts w:ascii="Times New Roman" w:hAnsi="Times New Roman"/>
                <w:color w:val="000000"/>
                <w:sz w:val="24"/>
              </w:rPr>
              <w:t>Performance Criteria</w:t>
            </w:r>
          </w:p>
        </w:tc>
        <w:tc>
          <w:tcPr>
            <w:tcW w:w="2461" w:type="dxa"/>
            <w:tcBorders>
              <w:top w:val="single" w:sz="4" w:space="0" w:color="000000"/>
              <w:bottom w:val="single" w:sz="4" w:space="0" w:color="000000"/>
              <w:right w:val="single" w:sz="4" w:space="0" w:color="000000"/>
            </w:tcBorders>
            <w:shd w:fill="D0CECE" w:val="clear"/>
            <w:tcMar>
              <w:left w:w="0" w:type="dxa"/>
              <w:right w:w="108" w:type="dxa"/>
            </w:tcMar>
            <w:vAlign w:val="center"/>
          </w:tcPr>
          <w:p>
            <w:pPr>
              <w:pStyle w:val="TableContents"/>
              <w:bidi w:val="0"/>
              <w:spacing w:before="0" w:after="259"/>
              <w:jc w:val="center"/>
              <w:rPr>
                <w:rFonts w:ascii="Times New Roman" w:hAnsi="Times New Roman"/>
                <w:color w:val="000000"/>
                <w:sz w:val="24"/>
              </w:rPr>
            </w:pPr>
            <w:r>
              <w:rPr>
                <w:rFonts w:ascii="Times New Roman" w:hAnsi="Times New Roman"/>
                <w:color w:val="000000"/>
                <w:sz w:val="24"/>
              </w:rPr>
              <w:t>Target Number of PSUs</w:t>
            </w:r>
          </w:p>
        </w:tc>
      </w:tr>
      <w:tr>
        <w:trPr/>
        <w:tc>
          <w:tcPr>
            <w:tcW w:w="20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59"/>
              <w:jc w:val="left"/>
              <w:rPr>
                <w:rFonts w:ascii="Times New Roman" w:hAnsi="Times New Roman"/>
                <w:color w:val="000000"/>
                <w:sz w:val="24"/>
              </w:rPr>
            </w:pPr>
            <w:r>
              <w:rPr>
                <w:rFonts w:ascii="Times New Roman" w:hAnsi="Times New Roman"/>
                <w:color w:val="000000"/>
                <w:sz w:val="24"/>
              </w:rPr>
              <w:t xml:space="preserve">Milestone </w:t>
            </w:r>
          </w:p>
        </w:tc>
        <w:tc>
          <w:tcPr>
            <w:tcW w:w="24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59"/>
              <w:jc w:val="center"/>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2088</Words>
  <Characters>11167</Characters>
  <CharactersWithSpaces>13238</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