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lrmr-20231231.htm"/>
      <w:bookmarkStart w:id="1" w:name="kslrmr20231231"/>
      <w:bookmarkEnd w:id="0"/>
      <w:bookmarkEnd w:id="1"/>
      <w:r>
        <w:rPr/>
        <w:t> </w:t>
      </w:r>
    </w:p>
    <w:p>
      <w:pPr>
        <w:pStyle w:val="TextBody"/>
        <w:bidi w:val="0"/>
        <w:jc w:val="center"/>
        <w:rPr>
          <w:rFonts w:ascii="Times New Roman" w:hAnsi="Times New Roman"/>
          <w:color w:val="000000"/>
          <w:sz w:val="4"/>
        </w:rPr>
      </w:pPr>
      <w:r>
        <w:rPr>
          <w:rFonts w:ascii="Times New Roman" w:hAnsi="Times New Roman"/>
          <w:color w:val="000000"/>
          <w:sz w:val="4"/>
        </w:rPr>
        <w:t>t</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2"/>
        </w:rPr>
        <w:t>Form 10-K</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ANNUAL REPORT PURSUANT TO SECTION 13 OR 15(d) OF THE SECURITIES EXCHANGE ACT OF 1934</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spacing w:before="4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6"/>
        </w:rPr>
        <w:t>Commission File Number 001-36510</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2"/>
        </w:rPr>
        <w:t>LARIMAR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98" w:type="dxa"/>
        <w:jc w:val="left"/>
        <w:tblInd w:w="0" w:type="dxa"/>
        <w:tblLayout w:type="fixed"/>
        <w:tblCellMar>
          <w:top w:w="28" w:type="dxa"/>
          <w:left w:w="28" w:type="dxa"/>
          <w:bottom w:w="28" w:type="dxa"/>
          <w:right w:w="28" w:type="dxa"/>
        </w:tblCellMar>
      </w:tblPr>
      <w:tblGrid>
        <w:gridCol w:w="2866"/>
        <w:gridCol w:w="146"/>
        <w:gridCol w:w="148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866" w:type="dxa"/>
            <w:tcBorders/>
            <w:vAlign w:val="center"/>
          </w:tcPr>
          <w:p>
            <w:pPr>
              <w:pStyle w:val="TableContents"/>
              <w:pBdr/>
              <w:bidi w:val="0"/>
              <w:ind w:left="0" w:right="0" w:hanging="144"/>
              <w:jc w:val="center"/>
              <w:rPr>
                <w:rFonts w:ascii="Times New Roman" w:hAnsi="Times New Roman"/>
                <w:b/>
                <w:color w:val="000000"/>
                <w:sz w:val="16"/>
              </w:rPr>
            </w:pPr>
            <w:r>
              <w:rPr>
                <w:rFonts w:ascii="Times New Roman" w:hAnsi="Times New Roman"/>
                <w:b/>
                <w:color w:val="000000"/>
                <w:sz w:val="16"/>
              </w:rPr>
              <w:t>Delaware</w:t>
            </w:r>
          </w:p>
          <w:p>
            <w:pPr>
              <w:pStyle w:val="TableContents"/>
              <w:pBdr/>
              <w:bidi w:val="0"/>
              <w:ind w:left="0" w:right="0" w:hanging="144"/>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pBdr/>
              <w:bidi w:val="0"/>
              <w:spacing w:before="0" w:after="283"/>
              <w:ind w:left="0" w:right="0" w:hanging="144"/>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20-3857670</w:t>
            </w:r>
          </w:p>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Identification No.) </w:t>
            </w:r>
          </w:p>
        </w:tc>
      </w:tr>
      <w:tr>
        <w:trPr/>
        <w:tc>
          <w:tcPr>
            <w:tcW w:w="28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spacing w:before="0" w:after="283"/>
              <w:ind w:left="0" w:right="0" w:firstLine="144"/>
              <w:jc w:val="center"/>
              <w:rPr/>
            </w:pPr>
            <w:r>
              <w:rPr/>
              <w:t> </w:t>
            </w:r>
          </w:p>
        </w:tc>
      </w:tr>
      <w:tr>
        <w:trPr/>
        <w:tc>
          <w:tcPr>
            <w:tcW w:w="2866" w:type="dxa"/>
            <w:tcBorders/>
            <w:vAlign w:val="center"/>
          </w:tcPr>
          <w:p>
            <w:pPr>
              <w:pStyle w:val="TableContents"/>
              <w:pBdr/>
              <w:bidi w:val="0"/>
              <w:ind w:left="0" w:right="0" w:hanging="144"/>
              <w:jc w:val="center"/>
              <w:rPr>
                <w:rFonts w:ascii="Times New Roman" w:hAnsi="Times New Roman"/>
                <w:b/>
                <w:color w:val="000000"/>
                <w:sz w:val="16"/>
              </w:rPr>
            </w:pPr>
            <w:r>
              <w:rPr>
                <w:rFonts w:ascii="Times New Roman" w:hAnsi="Times New Roman"/>
                <w:b/>
                <w:color w:val="000000"/>
                <w:sz w:val="16"/>
              </w:rPr>
              <w:t>Three Bala Plaza East, Suite 506</w:t>
            </w:r>
          </w:p>
          <w:p>
            <w:pPr>
              <w:pStyle w:val="TableContents"/>
              <w:pBdr/>
              <w:bidi w:val="0"/>
              <w:ind w:left="0" w:right="0" w:hanging="144"/>
              <w:jc w:val="center"/>
              <w:rPr>
                <w:rFonts w:ascii="Times New Roman" w:hAnsi="Times New Roman"/>
                <w:sz w:val="20"/>
              </w:rPr>
            </w:pPr>
            <w:r>
              <w:rPr>
                <w:rFonts w:ascii="Times New Roman" w:hAnsi="Times New Roman"/>
                <w:b/>
                <w:color w:val="000000"/>
                <w:sz w:val="16"/>
              </w:rPr>
              <w:t>Bala Cynwyd, Pennsylvania</w:t>
            </w:r>
            <w:r>
              <w:rPr>
                <w:rFonts w:ascii="Times New Roman" w:hAnsi="Times New Roman"/>
                <w:color w:val="000000"/>
                <w:sz w:val="20"/>
              </w:rPr>
              <w:t xml:space="preserve"> </w:t>
            </w:r>
          </w:p>
          <w:p>
            <w:pPr>
              <w:pStyle w:val="TableContents"/>
              <w:pBdr/>
              <w:bidi w:val="0"/>
              <w:spacing w:before="0" w:after="283"/>
              <w:ind w:left="0" w:right="0" w:hanging="144"/>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vAlign w:val="center"/>
          </w:tcPr>
          <w:p>
            <w:pPr>
              <w:pStyle w:val="TableContents"/>
              <w:bidi w:val="0"/>
              <w:spacing w:before="0" w:after="283"/>
              <w:jc w:val="right"/>
              <w:rPr/>
            </w:pPr>
            <w:r>
              <w:rPr/>
              <w:t> </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19004</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(Zip Code) </w:t>
            </w:r>
          </w:p>
        </w:tc>
      </w:tr>
    </w:tbl>
    <w:p>
      <w:pPr>
        <w:pStyle w:val="TextBody"/>
        <w:bidi w:val="0"/>
        <w:jc w:val="center"/>
        <w:rPr>
          <w:rFonts w:ascii="Times New Roman" w:hAnsi="Times New Roman"/>
          <w:b/>
          <w:color w:val="000000"/>
          <w:sz w:val="18"/>
        </w:rPr>
      </w:pPr>
      <w:r>
        <w:rPr>
          <w:rFonts w:ascii="Times New Roman" w:hAnsi="Times New Roman"/>
          <w:b/>
          <w:color w:val="000000"/>
          <w:sz w:val="18"/>
        </w:rPr>
        <w:t>(844) 511-9056</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14"/>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LRMR</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w:t>
      </w:r>
      <w:r>
        <w:rPr>
          <w:rFonts w:ascii="Times New Roman" w:hAnsi="Times New Roman"/>
          <w:color w:val="000000"/>
          <w:sz w:val="20"/>
        </w:rPr>
        <w:t xml:space="preserve"> </w:t>
      </w:r>
      <w:r>
        <w:rPr>
          <w:rFonts w:ascii="Times New Roman" w:hAnsi="Times New Roman"/>
          <w:color w:val="000000"/>
          <w:sz w:val="16"/>
        </w:rPr>
        <w:t>Yes ☒</w:t>
      </w:r>
      <w:r>
        <w:rPr>
          <w:rFonts w:ascii="Times New Roman" w:hAnsi="Times New Roman"/>
          <w:color w:val="000000"/>
          <w:sz w:val="20"/>
        </w:rPr>
        <w:t xml:space="preserve"> </w:t>
      </w:r>
      <w:r>
        <w:rPr>
          <w:rFonts w:ascii="Times New Roman" w:hAnsi="Times New Roman"/>
          <w:color w:val="000000"/>
          <w:sz w:val="16"/>
        </w:rPr>
        <w:t>No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w:t>
      </w:r>
      <w:r>
        <w:rPr>
          <w:rFonts w:ascii="Times New Roman" w:hAnsi="Times New Roman"/>
          <w:color w:val="000000"/>
          <w:sz w:val="20"/>
        </w:rPr>
        <w:t xml:space="preserve"> </w:t>
      </w:r>
      <w:r>
        <w:rPr>
          <w:rFonts w:ascii="Times New Roman" w:hAnsi="Times New Roman"/>
          <w:color w:val="000000"/>
          <w:sz w:val="16"/>
        </w:rPr>
        <w:t>Yes ☒</w:t>
      </w:r>
      <w:r>
        <w:rPr>
          <w:rFonts w:ascii="Times New Roman" w:hAnsi="Times New Roman"/>
          <w:color w:val="000000"/>
          <w:sz w:val="20"/>
        </w:rPr>
        <w:t xml:space="preserve"> </w:t>
      </w:r>
      <w:r>
        <w:rPr>
          <w:rFonts w:ascii="Times New Roman" w:hAnsi="Times New Roman"/>
          <w:color w:val="000000"/>
          <w:sz w:val="16"/>
        </w:rPr>
        <w:t>No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75" w:type="dxa"/>
        <w:jc w:val="left"/>
        <w:tblInd w:w="0" w:type="dxa"/>
        <w:tblLayout w:type="fixed"/>
        <w:tblCellMar>
          <w:top w:w="28" w:type="dxa"/>
          <w:left w:w="28" w:type="dxa"/>
          <w:bottom w:w="28" w:type="dxa"/>
          <w:right w:w="28" w:type="dxa"/>
        </w:tblCellMar>
      </w:tblPr>
      <w:tblGrid>
        <w:gridCol w:w="1666"/>
        <w:gridCol w:w="316"/>
        <w:gridCol w:w="146"/>
        <w:gridCol w:w="2026"/>
        <w:gridCol w:w="42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righ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421" w:type="dxa"/>
            <w:tcBorders/>
            <w:vAlign w:val="center"/>
          </w:tcPr>
          <w:p>
            <w:pPr>
              <w:pStyle w:val="TableContents"/>
              <w:bidi w:val="0"/>
              <w:spacing w:before="0" w:after="283"/>
              <w:jc w:val="righ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righ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421" w:type="dxa"/>
            <w:tcBorders/>
            <w:vAlign w:val="center"/>
          </w:tcPr>
          <w:p>
            <w:pPr>
              <w:pStyle w:val="TableContents"/>
              <w:bidi w:val="0"/>
              <w:spacing w:before="0" w:after="283"/>
              <w:jc w:val="right"/>
              <w:rPr>
                <w:color w:val="000000"/>
              </w:rPr>
            </w:pPr>
            <w:r>
              <w:rPr>
                <w:color w:val="000000"/>
              </w:rPr>
              <w:t xml:space="preserve">☒ </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421" w:type="dxa"/>
            <w:tcBorders/>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b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r>
        <w:rPr>
          <w:rFonts w:ascii="Times New Roman" w:hAnsi="Times New Roman"/>
          <w:color w:val="000000"/>
          <w:sz w:val="16"/>
        </w:rPr>
        <w:br/>
        <w:br/>
        <w:br/>
        <w:t>Indicate by check mark whether any of those error corrections are restatements that required a recovery analysis of incentive-based compensation received by any of the registrant’s executive officers during the relevant recovery period pursuant to §240.10D-1(b). ☐</w:t>
        <w:br/>
      </w:r>
      <w:r>
        <w:rPr>
          <w:rFonts w:ascii="Times New Roman" w:hAnsi="Times New Roman"/>
          <w:color w:val="000000"/>
          <w:sz w:val="20"/>
        </w:rPr>
        <w: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On the last business day of the most recently completed second fiscal quarter, the aggregate market value (based on the closing sale price of its common stock on that date) of the voting and non-voting stock held by non-affiliates of the registrant was $80,218,629.</w:t>
      </w:r>
    </w:p>
    <w:p>
      <w:pPr>
        <w:pStyle w:val="TextBody"/>
        <w:bidi w:val="0"/>
        <w:spacing w:before="40" w:after="283"/>
        <w:jc w:val="left"/>
        <w:rPr>
          <w:rFonts w:ascii="Times New Roman" w:hAnsi="Times New Roman"/>
          <w:sz w:val="20"/>
        </w:rPr>
      </w:pPr>
      <w:r>
        <w:rPr>
          <w:rFonts w:ascii="Times New Roman" w:hAnsi="Times New Roman"/>
          <w:color w:val="000000"/>
          <w:sz w:val="16"/>
        </w:rPr>
        <w:t>As of March 12, 2024, the registrant had 63,800,017</w:t>
      </w:r>
      <w:r>
        <w:rPr>
          <w:rFonts w:ascii="Times New Roman" w:hAnsi="Times New Roman"/>
          <w:color w:val="000000"/>
          <w:sz w:val="20"/>
        </w:rPr>
        <w:t xml:space="preserve"> </w:t>
      </w:r>
      <w:r>
        <w:rPr>
          <w:rFonts w:ascii="Times New Roman" w:hAnsi="Times New Roman"/>
          <w:color w:val="000000"/>
          <w:sz w:val="16"/>
        </w:rPr>
        <w:t>shares of the registrant’s Common Stock, $0.001 par value per share, outstanding.</w:t>
      </w:r>
    </w:p>
    <w:p>
      <w:pPr>
        <w:pStyle w:val="TextBody"/>
        <w:bidi w:val="0"/>
        <w:jc w:val="left"/>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6"/>
        </w:rPr>
        <w:t>Part III of this Annual Report on Form 10-K incorporates certain information by reference from the registrant’s proxy statement for the 2024 annual meeting of shareholders to be filed no later than 120 days after the end of the registrant’s fiscal year ended December 31, 2023.</w:t>
      </w:r>
      <w:r>
        <w:rPr>
          <w:rFonts w:ascii="Times New Roman" w:hAnsi="Times New Roman"/>
          <w:color w:val="000000"/>
          <w:sz w:val="20"/>
        </w:rPr>
        <w:t xml:space="preserve"> </w:t>
      </w:r>
    </w:p>
    <w:p>
      <w:pPr>
        <w:pStyle w:val="TextBody"/>
        <w:pBdr>
          <w:bottom w:val="double" w:sz="6"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41"/>
        <w:gridCol w:w="8579"/>
        <w:gridCol w:w="785"/>
      </w:tblGrid>
      <w:tr>
        <w:trPr/>
        <w:tc>
          <w:tcPr>
            <w:tcW w:w="841" w:type="dxa"/>
            <w:tcBorders/>
            <w:vAlign w:val="center"/>
          </w:tcPr>
          <w:p>
            <w:pPr>
              <w:pStyle w:val="TableContents"/>
              <w:bidi w:val="0"/>
              <w:spacing w:before="0" w:after="283"/>
              <w:jc w:val="left"/>
              <w:rPr>
                <w:sz w:val="4"/>
                <w:szCs w:val="4"/>
              </w:rPr>
            </w:pPr>
            <w:r>
              <w:rPr>
                <w:sz w:val="4"/>
                <w:szCs w:val="4"/>
              </w:rPr>
            </w:r>
          </w:p>
        </w:tc>
        <w:tc>
          <w:tcPr>
            <w:tcW w:w="857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Item No.</w:t>
            </w:r>
          </w:p>
        </w:tc>
        <w:tc>
          <w:tcPr>
            <w:tcW w:w="857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8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 No.</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i_291637">
              <w:r>
                <w:rPr>
                  <w:rStyle w:val="InternetLink"/>
                  <w:rFonts w:ascii="Times New Roman" w:hAnsi="Times New Roman"/>
                  <w:b/>
                  <w:color w:val="0000EE"/>
                  <w:sz w:val="20"/>
                  <w:u w:val="single"/>
                </w:rPr>
                <w:t>PART I</w:t>
              </w:r>
            </w:hyperlink>
            <w:r>
              <w:rPr>
                <w:rFonts w:ascii="Times New Roman" w:hAnsi="Times New Roman"/>
                <w:color w:val="000000"/>
                <w:sz w:val="20"/>
              </w:rPr>
              <w:t xml:space="preserve">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business_796317">
              <w:r>
                <w:rPr>
                  <w:rStyle w:val="InternetLink"/>
                  <w:rFonts w:ascii="Times New Roman" w:hAnsi="Times New Roman"/>
                  <w:color w:val="0000EE"/>
                  <w:sz w:val="20"/>
                  <w:u w:val="single"/>
                </w:rPr>
                <w:t>ITEM 1.</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business_796317">
              <w:r>
                <w:rPr>
                  <w:rStyle w:val="InternetLink"/>
                  <w:rFonts w:ascii="Times New Roman" w:hAnsi="Times New Roman"/>
                  <w:color w:val="0000EE"/>
                  <w:sz w:val="20"/>
                  <w:u w:val="single"/>
                </w:rPr>
                <w:t>BUSINESS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ariskfactors_798482">
              <w:r>
                <w:rPr>
                  <w:rStyle w:val="InternetLink"/>
                  <w:rFonts w:ascii="Times New Roman" w:hAnsi="Times New Roman"/>
                  <w:color w:val="0000EE"/>
                  <w:sz w:val="20"/>
                  <w:u w:val="single"/>
                </w:rPr>
                <w:t>ITEM 1A.</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ariskfactors_798482">
              <w:r>
                <w:rPr>
                  <w:rStyle w:val="InternetLink"/>
                  <w:rFonts w:ascii="Times New Roman" w:hAnsi="Times New Roman"/>
                  <w:color w:val="0000EE"/>
                  <w:sz w:val="20"/>
                  <w:u w:val="single"/>
                </w:rPr>
                <w:t>RISK FACTORS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bunresolvedstaffcomments_265117">
              <w:r>
                <w:rPr>
                  <w:rStyle w:val="InternetLink"/>
                  <w:rFonts w:ascii="Times New Roman" w:hAnsi="Times New Roman"/>
                  <w:color w:val="0000EE"/>
                  <w:sz w:val="20"/>
                  <w:u w:val="single"/>
                </w:rPr>
                <w:t>ITEM 1B.</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bunresolvedstaffcomments_265117">
              <w:r>
                <w:rPr>
                  <w:rStyle w:val="InternetLink"/>
                  <w:rFonts w:ascii="Times New Roman" w:hAnsi="Times New Roman"/>
                  <w:color w:val="0000EE"/>
                  <w:sz w:val="20"/>
                  <w:u w:val="single"/>
                </w:rPr>
                <w:t>UNRESOLVED STAFF COMMENTS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ccybersecurity">
              <w:r>
                <w:rPr>
                  <w:rStyle w:val="InternetLink"/>
                  <w:rFonts w:ascii="Times New Roman" w:hAnsi="Times New Roman"/>
                  <w:color w:val="0000FF"/>
                  <w:sz w:val="20"/>
                  <w:u w:val="single"/>
                </w:rPr>
                <w:t>ITEM 1C.</w:t>
              </w:r>
            </w:hyperlink>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ccybersecurity">
              <w:r>
                <w:rPr>
                  <w:rStyle w:val="InternetLink"/>
                  <w:rFonts w:ascii="Times New Roman" w:hAnsi="Times New Roman"/>
                  <w:color w:val="0000FF"/>
                  <w:sz w:val="20"/>
                  <w:u w:val="single"/>
                </w:rPr>
                <w:t>CYBERSECURITY</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2properties_264380">
              <w:r>
                <w:rPr>
                  <w:rStyle w:val="InternetLink"/>
                  <w:rFonts w:ascii="Times New Roman" w:hAnsi="Times New Roman"/>
                  <w:color w:val="0000EE"/>
                  <w:sz w:val="20"/>
                  <w:u w:val="single"/>
                </w:rPr>
                <w:t>ITEM 2.</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2properties_264380">
              <w:r>
                <w:rPr>
                  <w:rStyle w:val="InternetLink"/>
                  <w:rFonts w:ascii="Times New Roman" w:hAnsi="Times New Roman"/>
                  <w:color w:val="0000EE"/>
                  <w:sz w:val="20"/>
                  <w:u w:val="single"/>
                </w:rPr>
                <w:t>PROPERTIES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3legalproceedings_49550">
              <w:r>
                <w:rPr>
                  <w:rStyle w:val="InternetLink"/>
                  <w:rFonts w:ascii="Times New Roman" w:hAnsi="Times New Roman"/>
                  <w:color w:val="0000EE"/>
                  <w:sz w:val="20"/>
                  <w:u w:val="single"/>
                </w:rPr>
                <w:t>ITEM 3.</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3legalproceedings_49550">
              <w:r>
                <w:rPr>
                  <w:rStyle w:val="InternetLink"/>
                  <w:rFonts w:ascii="Times New Roman" w:hAnsi="Times New Roman"/>
                  <w:color w:val="0000EE"/>
                  <w:sz w:val="20"/>
                  <w:u w:val="single"/>
                </w:rPr>
                <w:t>LEGAL PROCEEDINGS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57184">
              <w:r>
                <w:rPr>
                  <w:rStyle w:val="InternetLink"/>
                  <w:rFonts w:ascii="Times New Roman" w:hAnsi="Times New Roman"/>
                  <w:color w:val="0000EE"/>
                  <w:sz w:val="20"/>
                  <w:u w:val="single"/>
                </w:rPr>
                <w:t>ITEM 4.</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57184">
              <w:r>
                <w:rPr>
                  <w:rStyle w:val="InternetLink"/>
                  <w:rFonts w:ascii="Times New Roman" w:hAnsi="Times New Roman"/>
                  <w:color w:val="0000EE"/>
                  <w:sz w:val="20"/>
                  <w:u w:val="single"/>
                </w:rPr>
                <w:t>MINE SAFETY DISCLOSURES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8579" w:type="dxa"/>
            <w:tcBorders/>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ii_672268">
              <w:r>
                <w:rPr>
                  <w:rStyle w:val="InternetLink"/>
                  <w:rFonts w:ascii="Times New Roman" w:hAnsi="Times New Roman"/>
                  <w:b/>
                  <w:color w:val="0000EE"/>
                  <w:sz w:val="20"/>
                  <w:u w:val="single"/>
                </w:rPr>
                <w:t>PART II</w:t>
              </w:r>
            </w:hyperlink>
            <w:r>
              <w:rPr>
                <w:rFonts w:ascii="Times New Roman" w:hAnsi="Times New Roman"/>
                <w:color w:val="000000"/>
                <w:sz w:val="20"/>
              </w:rPr>
              <w:t xml:space="preserve">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5marketforregistrantsscommonequity_9">
              <w:r>
                <w:rPr>
                  <w:rStyle w:val="InternetLink"/>
                  <w:rFonts w:ascii="Times New Roman" w:hAnsi="Times New Roman"/>
                  <w:color w:val="0000EE"/>
                  <w:sz w:val="20"/>
                  <w:u w:val="single"/>
                </w:rPr>
                <w:t>ITEM 5.</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5marketforregistrantsscommonequity_9">
              <w:r>
                <w:rPr>
                  <w:rStyle w:val="InternetLink"/>
                  <w:rFonts w:ascii="Times New Roman" w:hAnsi="Times New Roman"/>
                  <w:color w:val="0000EE"/>
                  <w:sz w:val="20"/>
                  <w:u w:val="single"/>
                </w:rPr>
                <w:t>MARKET FOR REGISTRANT’S COMMON EQUITY, RELATED STOCKHOLDER MATTERS AND ISSUER PURCHASES OF EQUITY SECURITIES.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6selectedconsolidatedfinancialdata_6">
              <w:r>
                <w:rPr>
                  <w:rStyle w:val="InternetLink"/>
                  <w:rFonts w:ascii="Times New Roman" w:hAnsi="Times New Roman"/>
                  <w:color w:val="0000EE"/>
                  <w:sz w:val="20"/>
                  <w:u w:val="single"/>
                </w:rPr>
                <w:t>ITEM 6.</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6selectedconsolidatedfinancialdata_6">
              <w:r>
                <w:rPr>
                  <w:rStyle w:val="InternetLink"/>
                  <w:rFonts w:ascii="Times New Roman" w:hAnsi="Times New Roman"/>
                  <w:color w:val="0000EE"/>
                  <w:sz w:val="20"/>
                  <w:u w:val="single"/>
                </w:rPr>
                <w:t>SELECTED FINANCIAL DATA</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7managementsdiscussionandanalysis_41">
              <w:r>
                <w:rPr>
                  <w:rStyle w:val="InternetLink"/>
                  <w:rFonts w:ascii="Times New Roman" w:hAnsi="Times New Roman"/>
                  <w:color w:val="0000EE"/>
                  <w:sz w:val="20"/>
                  <w:u w:val="single"/>
                </w:rPr>
                <w:t>ITEM 7.</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7managementsdiscussionandanalysis_41">
              <w:r>
                <w:rPr>
                  <w:rStyle w:val="InternetLink"/>
                  <w:rFonts w:ascii="Times New Roman" w:hAnsi="Times New Roman"/>
                  <w:color w:val="0000EE"/>
                  <w:sz w:val="20"/>
                  <w:u w:val="single"/>
                </w:rPr>
                <w:t>MANAGEMENT’S DISCUSSION AND ANALYSIS OF FINANCIAL CONDITION AND RESULTS OF OPERATIONS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7aquantitativeandqualitativedisclosu">
              <w:r>
                <w:rPr>
                  <w:rStyle w:val="InternetLink"/>
                  <w:rFonts w:ascii="Times New Roman" w:hAnsi="Times New Roman"/>
                  <w:color w:val="0000EE"/>
                  <w:sz w:val="20"/>
                  <w:u w:val="single"/>
                </w:rPr>
                <w:t>ITEM 7A.</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7aquantitativeandqualitativedisclosu">
              <w:r>
                <w:rPr>
                  <w:rStyle w:val="InternetLink"/>
                  <w:rFonts w:ascii="Times New Roman" w:hAnsi="Times New Roman"/>
                  <w:color w:val="0000EE"/>
                  <w:sz w:val="20"/>
                  <w:u w:val="single"/>
                </w:rPr>
                <w:t>QUANTITATIVE AND QUALITATIVE DISCLOSURES ABOUT MARKET RISK</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8financialstatementsandsupplementary">
              <w:r>
                <w:rPr>
                  <w:rStyle w:val="InternetLink"/>
                  <w:rFonts w:ascii="Times New Roman" w:hAnsi="Times New Roman"/>
                  <w:color w:val="0000EE"/>
                  <w:sz w:val="20"/>
                  <w:u w:val="single"/>
                </w:rPr>
                <w:t>ITEM 8.</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8financialstatementsandsupplementary">
              <w:r>
                <w:rPr>
                  <w:rStyle w:val="InternetLink"/>
                  <w:rFonts w:ascii="Times New Roman" w:hAnsi="Times New Roman"/>
                  <w:color w:val="0000EE"/>
                  <w:sz w:val="20"/>
                  <w:u w:val="single"/>
                </w:rPr>
                <w:t>FINANCIAL STATEMENTS AND SUPPLEMENTARY DATA</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9changesinanddisagreementswithaccoun">
              <w:r>
                <w:rPr>
                  <w:rStyle w:val="InternetLink"/>
                  <w:rFonts w:ascii="Times New Roman" w:hAnsi="Times New Roman"/>
                  <w:color w:val="0000EE"/>
                  <w:sz w:val="20"/>
                  <w:u w:val="single"/>
                </w:rPr>
                <w:t>ITEM 9.</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9changesinanddisagreementswithaccoun">
              <w:r>
                <w:rPr>
                  <w:rStyle w:val="InternetLink"/>
                  <w:rFonts w:ascii="Times New Roman" w:hAnsi="Times New Roman"/>
                  <w:color w:val="0000EE"/>
                  <w:sz w:val="20"/>
                  <w:u w:val="single"/>
                </w:rPr>
                <w:t>CHANGES IN AND DISAGREEMENTS WITH ACCOUNTANTS ON ACCOUNTING AND FINANCIAL DISCLOSURE</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9acontrolsandprocedures_737107">
              <w:r>
                <w:rPr>
                  <w:rStyle w:val="InternetLink"/>
                  <w:rFonts w:ascii="Times New Roman" w:hAnsi="Times New Roman"/>
                  <w:color w:val="0000EE"/>
                  <w:sz w:val="20"/>
                  <w:u w:val="single"/>
                </w:rPr>
                <w:t>ITEM 9A.</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9acontrolsandprocedures_737107">
              <w:r>
                <w:rPr>
                  <w:rStyle w:val="InternetLink"/>
                  <w:rFonts w:ascii="Times New Roman" w:hAnsi="Times New Roman"/>
                  <w:color w:val="0000EE"/>
                  <w:sz w:val="20"/>
                  <w:u w:val="single"/>
                </w:rPr>
                <w:t>CONTROLS AND PROCEDURES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9botherinformation_654168">
              <w:r>
                <w:rPr>
                  <w:rStyle w:val="InternetLink"/>
                  <w:rFonts w:ascii="Times New Roman" w:hAnsi="Times New Roman"/>
                  <w:color w:val="0000EE"/>
                  <w:sz w:val="20"/>
                  <w:u w:val="single"/>
                </w:rPr>
                <w:t>ITEM 9B.</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9botherinformation_654168">
              <w:r>
                <w:rPr>
                  <w:rStyle w:val="InternetLink"/>
                  <w:rFonts w:ascii="Times New Roman" w:hAnsi="Times New Roman"/>
                  <w:color w:val="0000EE"/>
                  <w:sz w:val="20"/>
                  <w:u w:val="single"/>
                </w:rPr>
                <w:t>OTHER INFORMATION</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9cforeignjurisdictions">
              <w:r>
                <w:rPr>
                  <w:rStyle w:val="InternetLink"/>
                  <w:rFonts w:ascii="Times New Roman" w:hAnsi="Times New Roman"/>
                  <w:color w:val="0000FF"/>
                  <w:sz w:val="20"/>
                  <w:u w:val="single"/>
                </w:rPr>
                <w:t>ITEM 9C</w:t>
              </w:r>
            </w:hyperlink>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9cforeignjurisdictions">
              <w:r>
                <w:rPr>
                  <w:rStyle w:val="InternetLink"/>
                  <w:rFonts w:ascii="Times New Roman" w:hAnsi="Times New Roman"/>
                  <w:color w:val="0000FF"/>
                  <w:sz w:val="20"/>
                  <w:u w:val="single"/>
                </w:rPr>
                <w:t>DISCLOSURE REGARDING FOREIGN JURISDICTIONS THAT PREVENT INSPECTIONS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8579" w:type="dxa"/>
            <w:tcBorders/>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iii_936646">
              <w:r>
                <w:rPr>
                  <w:rStyle w:val="InternetLink"/>
                  <w:rFonts w:ascii="Times New Roman" w:hAnsi="Times New Roman"/>
                  <w:b/>
                  <w:color w:val="0000EE"/>
                  <w:sz w:val="20"/>
                  <w:u w:val="single"/>
                </w:rPr>
                <w:t>PART III</w:t>
              </w:r>
            </w:hyperlink>
            <w:r>
              <w:rPr>
                <w:rFonts w:ascii="Times New Roman" w:hAnsi="Times New Roman"/>
                <w:color w:val="000000"/>
                <w:sz w:val="20"/>
              </w:rPr>
              <w:t xml:space="preserve">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0directorsexecutiveofficersandcorpo">
              <w:r>
                <w:rPr>
                  <w:rStyle w:val="InternetLink"/>
                  <w:rFonts w:ascii="Times New Roman" w:hAnsi="Times New Roman"/>
                  <w:color w:val="0000EE"/>
                  <w:sz w:val="20"/>
                  <w:u w:val="single"/>
                </w:rPr>
                <w:t>ITEM 10.</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0directorsexecutiveofficersandcorpo">
              <w:r>
                <w:rPr>
                  <w:rStyle w:val="InternetLink"/>
                  <w:rFonts w:ascii="Times New Roman" w:hAnsi="Times New Roman"/>
                  <w:color w:val="0000EE"/>
                  <w:sz w:val="20"/>
                  <w:u w:val="single"/>
                </w:rPr>
                <w:t>DIRECTORS, EXECUTIVE OFFICERS AND CORPORATE GOVERNANCE</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1executivecompensation_214372">
              <w:r>
                <w:rPr>
                  <w:rStyle w:val="InternetLink"/>
                  <w:rFonts w:ascii="Times New Roman" w:hAnsi="Times New Roman"/>
                  <w:color w:val="0000EE"/>
                  <w:sz w:val="20"/>
                  <w:u w:val="single"/>
                </w:rPr>
                <w:t>ITEM 11.</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1executivecompensation_214372">
              <w:r>
                <w:rPr>
                  <w:rStyle w:val="InternetLink"/>
                  <w:rFonts w:ascii="Times New Roman" w:hAnsi="Times New Roman"/>
                  <w:color w:val="0000EE"/>
                  <w:sz w:val="20"/>
                  <w:u w:val="single"/>
                </w:rPr>
                <w:t>EXECUTIVE COMPENSATION</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2securityownershipofcertainbenefici">
              <w:r>
                <w:rPr>
                  <w:rStyle w:val="InternetLink"/>
                  <w:rFonts w:ascii="Times New Roman" w:hAnsi="Times New Roman"/>
                  <w:color w:val="0000EE"/>
                  <w:sz w:val="20"/>
                  <w:u w:val="single"/>
                </w:rPr>
                <w:t>ITEM 12.</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2securityownershipofcertainbenefici">
              <w:r>
                <w:rPr>
                  <w:rStyle w:val="InternetLink"/>
                  <w:rFonts w:ascii="Times New Roman" w:hAnsi="Times New Roman"/>
                  <w:color w:val="0000EE"/>
                  <w:sz w:val="20"/>
                  <w:u w:val="single"/>
                </w:rPr>
                <w:t>SECURITY OWNERSHIP OF CERTAIN BENEFICIAL OWNERS AND MANAGEMENT AND RELATED STOCKHOLDER MATTERS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3certainrelationshipsandrelatedtran">
              <w:r>
                <w:rPr>
                  <w:rStyle w:val="InternetLink"/>
                  <w:rFonts w:ascii="Times New Roman" w:hAnsi="Times New Roman"/>
                  <w:color w:val="0000EE"/>
                  <w:sz w:val="20"/>
                  <w:u w:val="single"/>
                </w:rPr>
                <w:t>ITEM 13.</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3certainrelationshipsandrelatedtran">
              <w:r>
                <w:rPr>
                  <w:rStyle w:val="InternetLink"/>
                  <w:rFonts w:ascii="Times New Roman" w:hAnsi="Times New Roman"/>
                  <w:color w:val="0000EE"/>
                  <w:sz w:val="20"/>
                  <w:u w:val="single"/>
                </w:rPr>
                <w:t>CERTAIN RELATIONSHIPS AND RELATED TRANSACTIONS, AND DIRECTOR INDEPENDENCE</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4principalaccountingfeesandservices">
              <w:r>
                <w:rPr>
                  <w:rStyle w:val="InternetLink"/>
                  <w:rFonts w:ascii="Times New Roman" w:hAnsi="Times New Roman"/>
                  <w:color w:val="0000EE"/>
                  <w:sz w:val="20"/>
                  <w:u w:val="single"/>
                </w:rPr>
                <w:t>ITEM 14.</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4principalaccountingfeesandservices">
              <w:r>
                <w:rPr>
                  <w:rStyle w:val="InternetLink"/>
                  <w:rFonts w:ascii="Times New Roman" w:hAnsi="Times New Roman"/>
                  <w:color w:val="0000EE"/>
                  <w:sz w:val="20"/>
                  <w:u w:val="single"/>
                </w:rPr>
                <w:t>PRINCIPAL ACCOUNTING FEES AND SERVICES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8579" w:type="dxa"/>
            <w:tcBorders/>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hyperlink w:anchor="partiv_994849">
              <w:r>
                <w:rPr>
                  <w:rStyle w:val="InternetLink"/>
                  <w:rFonts w:ascii="Times New Roman" w:hAnsi="Times New Roman"/>
                  <w:b/>
                  <w:color w:val="0000EE"/>
                  <w:sz w:val="20"/>
                  <w:u w:val="single"/>
                </w:rPr>
                <w:t>PART IV</w:t>
              </w:r>
            </w:hyperlink>
            <w:r>
              <w:rPr>
                <w:rFonts w:ascii="Times New Roman" w:hAnsi="Times New Roman"/>
                <w:color w:val="000000"/>
                <w:sz w:val="20"/>
              </w:rPr>
              <w:t xml:space="preserve"> </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15exhibitsfinancialstatementschedule">
              <w:r>
                <w:rPr>
                  <w:rStyle w:val="InternetLink"/>
                  <w:rFonts w:ascii="Times New Roman" w:hAnsi="Times New Roman"/>
                  <w:color w:val="0000EE"/>
                  <w:sz w:val="20"/>
                  <w:u w:val="single"/>
                </w:rPr>
                <w:t>ITEM 15.</w:t>
              </w:r>
            </w:hyperlink>
            <w:r>
              <w:rPr>
                <w:rFonts w:ascii="Times New Roman" w:hAnsi="Times New Roman"/>
                <w:color w:val="000000"/>
                <w:sz w:val="20"/>
              </w:rPr>
              <w:t xml:space="preserve"> </w:t>
            </w:r>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15exhibitsfinancialstatementschedule">
              <w:r>
                <w:rPr>
                  <w:rStyle w:val="InternetLink"/>
                  <w:rFonts w:ascii="Times New Roman" w:hAnsi="Times New Roman"/>
                  <w:color w:val="0000EE"/>
                  <w:sz w:val="20"/>
                  <w:u w:val="single"/>
                </w:rPr>
                <w:t>EXHIBIT AND FINANCIAL STATEMENT SCHEDULES</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ITEM 16.</w:t>
              </w:r>
            </w:hyperlink>
          </w:p>
        </w:tc>
        <w:tc>
          <w:tcPr>
            <w:tcW w:w="8579"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8579" w:type="dxa"/>
            <w:tcBorders/>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20" w:type="dxa"/>
            <w:gridSpan w:val="2"/>
            <w:tcBorders/>
            <w:tcMar>
              <w:top w:w="0" w:type="dxa"/>
              <w:left w:w="0" w:type="dxa"/>
              <w:bottom w:w="0" w:type="dxa"/>
              <w:right w:w="0" w:type="dxa"/>
            </w:tcMar>
            <w:vAlign w:val="center"/>
          </w:tcPr>
          <w:p>
            <w:pPr>
              <w:pStyle w:val="TableContents"/>
              <w:bidi w:val="0"/>
              <w:spacing w:before="0" w:after="283"/>
              <w:jc w:val="left"/>
              <w:rPr/>
            </w:pPr>
            <w:hyperlink w:anchor="signatures_181481">
              <w:r>
                <w:rPr>
                  <w:rStyle w:val="InternetLink"/>
                  <w:rFonts w:ascii="Times New Roman" w:hAnsi="Times New Roman"/>
                  <w:color w:val="0000EE"/>
                  <w:sz w:val="20"/>
                  <w:u w:val="single"/>
                </w:rPr>
                <w:t>SIGNATURES</w:t>
              </w:r>
            </w:hyperlink>
            <w:r>
              <w:rPr>
                <w:rFonts w:ascii="Times New Roman" w:hAnsi="Times New Roman"/>
                <w:color w:val="000000"/>
                <w:sz w:val="20"/>
              </w:rPr>
              <w:t xml:space="preserve"> </w:t>
            </w:r>
          </w:p>
        </w:tc>
        <w:tc>
          <w:tcPr>
            <w:tcW w:w="7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nomlabofusp (nomlabofusp is the International Nonproprietary Name and the United States Adopted Name for CTI-1601) or any other product candidate that we may develop in the future and unexpected costs that may result therefrom;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FDA's request for additional information or studies (whether clinical or non-clinical), changes in clinical protocols, unexpected adverse events, regulatory restrictions, including additional clinical holds, and milestones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execute our open label extension trial (“OLE”), including the timing of site initiation and rate of patient enrollment, and our ability to pursue dose escalation;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FDA to review and accept an accelerated application, or any other product candidate that we may develop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difficulties and expenses associated with obtaining and maintaining regulatory approval for nomlabofusp or any other product candidate we may develop in the future, and the indication and labeling under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regulatory requirements applicable to our business and other regulatory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of the potential markets for nomlabofusp, if approved, or any other product candidate that we may develop in the future, the rate and degree of market acceptance of nomlabofusp, if approved, or any other product candidate, that we may develop in the future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patent protection and defend our intellectual property rights against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scientific, technical, commercial, and management personnel and to retain our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proper functionality and security of our internal computer and information systems and prevent or avoid cyber-attacks, malicious intrusion, breakdown, destruction, loss of data privacy or other significant disruption;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impact of healthcare reform in the United States, including the Inflation Reduction Act ("IRA") of</w:t>
        <w:br/>
        <w:t>2022, and measures being taken worldwide designed to reduce healthcare costs and limit the overall level of government expenditures;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risks and uncertainties included under the section titled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The risk factors summarized and detailed below could materially harm our business, operating results and/or financial condition, and may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incur continued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commercial revenue and may never become profitable.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completed an underwritten public offering of common stock raising net proceeds of approximately $161.6 million We anticipate that this amount, combined with our current cash, cash equivalents and marketable securities will fund operations into 2026. We may need to raise additional funding in order to continue our planned operations. This funding may not be available on acceptable terms, or at all. Failure to obtain this necessary capital when needed would force us to delay, limit or terminate our product development efforts or other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Product Development and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FDA partial clinical hold remains in place for the nomlabofusp development program. While the FDA agreed to allow us to conduct the Phase 2 dose exploration trial up to a dose of 50 mg daily for 14 days followed by every other day for 14 days for a total of 28 days, and that we can begin an OLE trial of nomlabofusp at a daily dose of 25 mg, there is uncertainty as to when, or if, the FDA will allow an OLE dose above 25 mg, or allow further clinical development of nomlabofusp beyond the OLE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data from the OLE study or prior clinical studies will provide the FDA with adequate data to allow the nomlabofusp development program to proceed as planned in part or in full, and even if so, that we will ultimately be successful with our clinical development or that we will ever be able to obtain regulatory approval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difficulties identifying and enrolling patients in our clinical trials given the limited number of patients who have the disease for which nomlabofusp is being studied or for any other product candidate. Difficulty in enrolling patients could delay or prevent clinical trials of nomlabofusp or any future product candidate. There is also a competing approved FA therapeutic, other competing studies and potentially other FA therapeutics that could be approved that may also limit the availability of participants for nomlabofusp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competing technologies could emerge, adversely affecting our opportunity to generate revenue from the sale of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Failures or delays in the completion of our clinical trials could result in increased costs and could delay, prevent or limit our ability to generate revenue and continue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Nomlabofusp may cause adverse events or undesirable side effects in non-clinical or clinical trials that could delay or prevent its regulatory approval, limit the commercial profile of an approved label, or result in significant negative consequences following regulatory approval, if any. Because we anticipate that nomlabofusp will require chronic dosing over the lifetime of patients and because we have only tested nomlabofusp in a limited number of patients for a maximum of 14 days daily and every other day from day 15 to day 28, there may be undesirable side effects as of result of long-term exposure to nomlabofusp that we have not seen to date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pursue an accelerated approval from FDA for nomlabofusp for the treatment of FA using FXN levels, supportive pharmacodynamics ("PD") and clinical information, and safety data from the OLE study, along with additional nonclinical pharmacology information needed to use FXN levels as a novel surrogate endpoint. Although we have initiated discussions with FDA regarding our surrogate biomarker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approach, there can be no assurance that data we intend to generate will be successful in establishing, among other things, that dose-dependent increases in FXN levels are reasonably likely to predict or demonstrate a clinical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and marketing capabilities or enter into agreements with third parties to market and sell nomlabofusp in the US and/or foreign markets, if approved, we may not be able to generate any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marketing approval for nomlabofusp, we may not achieve broad market acceptance, which would limit the revenue that we generate from our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regulatory and marketing approval for a product candidate, our product candidates will remain subject to regulatory oversight.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manage expected growth in the scale and complexity of our operations, including attracting and hiring additional qualified management, including commercial, sales and marketing management, our performance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healthcare laws and regulations, and health information privacy and security laws, which could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in conducting or supervising clinical trials and must outsource all clinical trials. As a result, many important aspects of our drug development programs are outside our direct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third-parties to manufacture the materials for our research and development, including our non-clinical and clinical study drug substance and drug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undertaking a program with a third party to produce a lyophilized version of nomlabofusp that, once available, we intend to use in our planned clinical trials. If we are unable to successfully produce a lyophilized version, our ability to execute our clinical trials and commercially launch nomlabofusp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manufactured or formulated nomlabofusp on a commercial scale and we may not be able to do so. As a result, our ability to adequately commercially launch and/or supply nomlabofusp could be adversely affected.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key patent, which we license related to nomlabofusp, will expire in 2040 and we will lose our ability to rely upon this patent to prevent competing products from entering the market.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is highly volatile, and purchasers of our common stock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of our common stock is highly concentrated, and it may prevent other stockholders from influencing significant corporate decisions.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i_291637"/>
      <w:bookmarkEnd w:id="3"/>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4" w:name="item1business_796317"/>
      <w:bookmarkEnd w:id="4"/>
      <w:r>
        <w:rPr>
          <w:rFonts w:ascii="Times New Roman" w:hAnsi="Times New Roman"/>
          <w:b/>
          <w:color w:val="000000"/>
          <w:sz w:val="20"/>
        </w:rPr>
        <w:t>ITEM 1.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("INN") and the United States Adopted Name ("USAN")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cash, cash equivalents and marketable securities of $86.8 million. In February 2024,we raised net proceeds of $161.6 million in an underwritten public offering of common stock, We anticipate the $161.6 million in net proceeds, together with $86.8 million of cash, cash equivalents and marketable securities on hand will fund operations into 2026. </w:t>
      </w:r>
    </w:p>
    <w:p>
      <w:pPr>
        <w:pStyle w:val="TextBody"/>
        <w:bidi w:val="0"/>
        <w:spacing w:before="120" w:after="283"/>
        <w:jc w:val="left"/>
        <w:rPr>
          <w:rFonts w:ascii="Times New Roman" w:hAnsi="Times New Roman"/>
          <w:sz w:val="20"/>
        </w:rPr>
      </w:pPr>
      <w:r>
        <w:rPr>
          <w:rFonts w:ascii="Times New Roman" w:hAnsi="Times New Roman"/>
          <w:b/>
          <w:color w:val="000000"/>
          <w:sz w:val="20"/>
        </w:rPr>
        <w:t>Nomlabofusp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two Phase 1 clinical trials and a Phase 2 dose exploration trial, and recently initiated a Phase 2 OLE trial in patients with FA.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we reported preliminary unblinded top-line data from the 25 mg cohort of our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following the FDA’s review of our complete response to the partial clinical hold, the FDA cleared initiation of a second cohort (50 mg) of our four-week, placebo-controlled, Phase 2 dose exploration trial of nomlabofusp in patients and the initiation of our OLE trial with daily dosing of 25 mg.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reported positive top-line data and successful completion of our four-week, placebo-controlled Phase 2 dose exploration study of nomlabofusp in participants with FA.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Participants treated with 50 mg had individual frataxin levels in skin increase from less than 17% relative to healthy volunteers at baseline, to 33% to 59% of healthy volunteers after 14 days of treatment. Patients treated with placebo showed no increase in their frataxin levels during this period. Additionally, the majority of treated patients in both cohorts with quantifiable levels of frataxin at baseline and day 14 achieve at least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100% increase in tissue frataxin in skin cells, and at least a 30% increase in tissue frataxin levels in buccal cells. With both skin and buccal cells, when dosing is switched to every other day the magnitude of the increase declines.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initiated the OLE trial evaluating daily subcutaneous injections of 25 mg of nomlabofusp self-administered or administered by a caregiver, with the first patient dosed in March 2024. Participants who completed treatment in the Phase 2 dose exploration trial, or who previously completed a prior clinical trial of nomlabofusp are potentially eligible to screen for the OLE. The OLE will evaluate safety, tolerability, pharmacokinetics ("PK") and measures of frataxin levels in peripheral tissues as well as other exploratory PD (lipid profiles and gene expression data) following long-term subcutaneous administration of nomlabofusp. Clinical measures collected during the trial will be compared to data from a matched control arm derived from participants in the Friedreich’s Ataxia Clinical Outcome Measures Study (FACOMS) database. Dose escalation in the OLE trial will be considered based on safety, tolerability, PK, and tissue FXN levels from the Phase 2 trial’s 50 mg cohort as well as available data from the 25 mg dose of nomlabofusp in the OLE trial, and is contingent on FDA review as part of the partial clinical hold. Initial data from the OLE trial is expected in the fourth quarter of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is to become a leader in the treatment of rare diseases by leveraging our technology platform and applying our management team’s know how and expertise to the development of nomlabofusp and other future pipeline programs. Key elements of our strategy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Advance nomlabofusp through clinical development and regulatory approval in the United States the European Union and other foreign jurisdictions</w:t>
      </w:r>
      <w:r>
        <w:rPr>
          <w:color w:val="000000"/>
        </w:rPr>
        <w:t xml:space="preserve"> </w:t>
      </w:r>
      <w:r>
        <w:rPr>
          <w:rFonts w:ascii="Times New Roman" w:hAnsi="Times New Roman"/>
          <w:color w:val="000000"/>
          <w:sz w:val="20"/>
        </w:rPr>
        <w:t xml:space="preserve">We have completed two Phase 1 clinical trials and a Phase 2 dose exploration trial in patients with FA in the United States and have initiated an OLE study in the U.S with patients age 18 or older to be dosed 25 mg of nomlabofusp daily. Expansion of this OLE to doses above 25 mg as well as the initiation of additional U.S. clinical trials evaluating nomlabofusp are contingent on FDA review as part of the FDA’s partial clinical hold. We do not know if, or when, the FDA will lift the partial clinical hold on our nomlabofusp program or if it will ever allow further clinical development of nomlabofusp beyond the current OLE study that we recently initiated. We also are planning to include in our clinical studies, individuals between the ages of 2 and 17 and are currently in discussions with FDA as to what additional clinical trial data in adults would inform inclusion of those pediatric individuals in our studies. We are continuing to collaborate with key opinion leaders and seek guidance from regulatory authorities to develop and execute a clinical development plan for regulatory approval of nomlabofusp in the United States, the European Union, the United Kingdom ("UK"), Australia, Canada and potentially other countries.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Intend to pursue the use of tissue frataxin levels as a novel surrogate endpoint to support a potential Biologics License Application (“BLA”) submission for accelerated approval</w:t>
      </w:r>
      <w:r>
        <w:rPr>
          <w:rFonts w:ascii="Times New Roman" w:hAnsi="Times New Roman"/>
          <w:color w:val="000000"/>
          <w:sz w:val="20"/>
        </w:rPr>
        <w:t xml:space="preserve">. Recently, we had discussions with the FDA regarding the potential use of tissue FXN levels as a novel surrogate endpoint. The FDA has acknowledged that frataxin deficiency appears to be critical to the pathogenic mechanism of FA, and that there continues to be an unmet need for treatments for FA patients that address the underlying disease pathophysiology. We intend to pursue an accelerated approval using FXN levels, supportive PD and clinical information, and safety data from the OLE study, along with additional non-clinical pharmacology information needed to support the novel surrogate endpoint approach. We are beginning to plan for a confirmatory study and are targeting a BLA submission in the second half of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If nomlabofusp receives regulatory approval(s), commercialize nomlabofusp in the United States, the European Union, and other relevant countries independently or with third parties.</w:t>
      </w:r>
      <w:r>
        <w:rPr>
          <w:color w:val="000000"/>
        </w:rPr>
        <w:t xml:space="preserve"> </w:t>
      </w:r>
      <w:r>
        <w:rPr>
          <w:rFonts w:ascii="Times New Roman" w:hAnsi="Times New Roman"/>
          <w:color w:val="000000"/>
          <w:sz w:val="20"/>
        </w:rPr>
        <w:t xml:space="preserve">We intend to evaluate commercialization options in the United States, the European Union, the United Kingdom and in other foreign jurisdictions throughout the world where FA patients can benefit, if we are successful in obtaining regulatory approval. We may build our own internal sales force; partner with a contract sales organization, and/or enter into a joint marketing partnership with another pharmaceutical or biotechnology company, whereby we may jointly sell and market nomlabofusp, if approved; or we may seek to out-license nomlabofusp, whereby other pharmaceutical or biotechnology companies sell and market nomlabofusp and pay us milestone and/or royalty payments on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Expand our product candidate pipeline to treat a variety of rare diseases. </w:t>
      </w:r>
      <w:r>
        <w:rPr>
          <w:rFonts w:ascii="Times New Roman" w:hAnsi="Times New Roman"/>
          <w:color w:val="000000"/>
          <w:sz w:val="20"/>
        </w:rPr>
        <w:t xml:space="preserve">We intend to expand our pipeline to treat additional rare diseases. A 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Continue to improve our novel protein replacement therapy platform. </w:t>
      </w:r>
      <w:r>
        <w:rPr>
          <w:rFonts w:ascii="Times New Roman" w:hAnsi="Times New Roman"/>
          <w:color w:val="000000"/>
          <w:sz w:val="20"/>
        </w:rPr>
        <w:t xml:space="preserve">We continue to improve the scientific understanding of our platform, 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and develop other therapeutics with potentially disease modifying therapeutic action. We also plan to continue to build our intellectual property portfolio to expand our protein replacement therapy platform.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Opportunistically evaluate enabling, adjacent or potential competing technologies, and where advantageous, seek licenses or collaborations regarding those technologies, to advance our platform.</w:t>
      </w:r>
      <w:r>
        <w:rPr>
          <w:color w:val="000000"/>
        </w:rPr>
        <w:t xml:space="preserve"> </w:t>
      </w:r>
      <w:r>
        <w:rPr>
          <w:rFonts w:ascii="Times New Roman" w:hAnsi="Times New Roman"/>
          <w:color w:val="000000"/>
          <w:sz w:val="20"/>
        </w:rPr>
        <w:t xml:space="preserve">We will continue to evaluate technologies that may enable or enhance our product candidates or our rare disease focus. To facilitate the advancement of our CPP platform, we periodically engage in partnering and licensing discussions with a range of biotechnology or pharmaceutical companies and academic institutions and maintain awareness of complementary technologies, synergistic opportunities and "tuck-in" options.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Continue to strengthen key relationships.</w:t>
      </w:r>
      <w:r>
        <w:rPr>
          <w:color w:val="000000"/>
        </w:rPr>
        <w:t xml:space="preserve"> </w:t>
      </w:r>
      <w:r>
        <w:rPr>
          <w:rFonts w:ascii="Times New Roman" w:hAnsi="Times New Roman"/>
          <w:color w:val="000000"/>
          <w:sz w:val="20"/>
        </w:rPr>
        <w:t xml:space="preserve">We partner with experts in every aspect of development. We believe this expertise, along with our technology platform, will provide us with the ability to develop and 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 </w:t>
      </w:r>
    </w:p>
    <w:p>
      <w:pPr>
        <w:pStyle w:val="TextBody"/>
        <w:bidi w:val="0"/>
        <w:spacing w:before="120" w:after="283"/>
        <w:jc w:val="left"/>
        <w:rPr>
          <w:rFonts w:ascii="Times New Roman" w:hAnsi="Times New Roman"/>
          <w:sz w:val="20"/>
        </w:rPr>
      </w:pPr>
      <w:r>
        <w:rPr>
          <w:rFonts w:ascii="Times New Roman" w:hAnsi="Times New Roman"/>
          <w:b/>
          <w:color w:val="000000"/>
          <w:sz w:val="20"/>
        </w:rPr>
        <w:t>Platform Technology for Treatment of Rare Genetic Diseases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estimated to be over 9,500 rare genetic diseases, which, collectively affect hundreds of millions of people worldwide. Of the hundreds of millions of individuals suffering from these rare genetic diseases, only approximately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transport therapeutic proteins across biological membranes has, to date, not been reproducibly achieved. The collective population of people with rare diseases stands to benefit from the emergence of a scalable treatment platform that can transport therapeutic proteins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therapeutics derived from proprietary gene expression data across several disease models supports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Nomlabofusp For the Treatment of Friedreich’s ataxia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Friedreich’s ataxia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Friedreich’s ataxia is a rare genetic disease that is the most commonly inherited ataxia in humans, with approximately 20,000 individuals living with Friedreich’s ataxia globally, and of these individuals, approximately 5,000 are in the United States and the majority of the remaining individuals are primarily in Europe. Friedreich’s ataxia results from a deficiency of the mitochondrial protein, FXN. FXN is an essential and phylogenetically conserved protein that is found in cells throughout the body, with the highest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Omaveloxolone, the first drug approved for the treatment of FA, was approved by the FDA and the European Commission in February 2023 and February 2024, respectively. </w:t>
      </w:r>
    </w:p>
    <w:p>
      <w:pPr>
        <w:pStyle w:val="TextBody"/>
        <w:bidi w:val="0"/>
        <w:spacing w:before="120" w:after="283"/>
        <w:jc w:val="left"/>
        <w:rPr>
          <w:rFonts w:ascii="Times New Roman" w:hAnsi="Times New Roman"/>
          <w:sz w:val="20"/>
        </w:rPr>
      </w:pPr>
      <w:r>
        <w:rPr>
          <w:rFonts w:ascii="Times New Roman" w:hAnsi="Times New Roman"/>
          <w:i/>
          <w:color w:val="000000"/>
          <w:sz w:val="20"/>
        </w:rPr>
        <w:t>Nomlabofusp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Nomlabofusp, an investigational biologic fusion protein that is administered subcutaneously, consists of a CPP genetically fused to human FXN, and includes a mitochondrial targeting sequence. Using our proprietary peptide delivery technology, nomlabofusp is designed to carry the molecule from the intravascular space across the cell membrane and into the mitochondria where the CPP and the mitochondrial targeting sequence are cleaved off to yield mature FXN. See Figure 1. </w:t>
      </w:r>
    </w:p>
    <w:p>
      <w:pPr>
        <w:pStyle w:val="TextBody"/>
        <w:bidi w:val="0"/>
        <w:spacing w:before="120" w:after="283"/>
        <w:jc w:val="left"/>
        <w:rPr>
          <w:rFonts w:ascii="Times New Roman" w:hAnsi="Times New Roman"/>
          <w:sz w:val="20"/>
        </w:rPr>
      </w:pPr>
      <w:r>
        <w:rPr>
          <w:rFonts w:ascii="Times New Roman" w:hAnsi="Times New Roman"/>
          <w:b/>
          <w:color w:val="000000"/>
          <w:sz w:val="20"/>
        </w:rPr>
        <w:t>Figure 1.</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4800600" cy="1790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00600" cy="179070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two Phase 1 nomlabofusp clinical trials, and a Phase 2 dose exploration trial and have initiated an OLE study in the U.S with patients to be dosed 25 mg of nomlabofusp daily. The nomlabofusp program remains under a partial clinical hold imposed by the FDA, and expansion of the OLE study above the 25 mg dose level as well as further clinical development of nomlabofusp is contingent upon FDA agreement based on its review of data from the 50 mg cohort of the Phase 2 dose exploration study and review of the available data from the OLE study at the current 25 mg dose level. Based on the results of our non-clinical development program as well as results from our Phase 2 clinical trials, we believe that administering nomlabofusp may increase FXN levels in the mitochondria of patients with Friedreich’s ataxia and patients could potentially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improved cellular function;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positive impact on Friedreich’s ataxia symptoms;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slowing of progression of the disease, potentially prolonging life.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Phase 1 clinical trials, nomlabofusp appeared to increase FXN levels in the peripheral tissues that were tested (buccal cells, skin biopsies and platelets) and data from our Phase 2 dose exploration study demonstrated dose dependent increases in FXN levels in all evaluated tissues (skin and buccal cells) after daily dosing of 14 days followed by every other day dosing until day 28 in the 25 mg and 50 mg cohorts. Based on this, we believe that our technology may allow us to address other rare genetic diseases that either require the replacement of molecules that need to target specific intracellular organelles, or that share similar clinical symptoms that overlap with Friedreich’s ataxia. Finally, the use of nomlabofusp to improve mitochondrial function in other rare diseases that demonstrate evidence of mitochondrial dysfunction is also being explored. </w:t>
      </w:r>
    </w:p>
    <w:p>
      <w:pPr>
        <w:pStyle w:val="TextBody"/>
        <w:bidi w:val="0"/>
        <w:spacing w:before="120" w:after="283"/>
        <w:jc w:val="left"/>
        <w:rPr>
          <w:rFonts w:ascii="Times New Roman" w:hAnsi="Times New Roman"/>
          <w:sz w:val="20"/>
        </w:rPr>
      </w:pPr>
      <w:r>
        <w:rPr>
          <w:rFonts w:ascii="Times New Roman" w:hAnsi="Times New Roman"/>
          <w:b/>
          <w:color w:val="000000"/>
          <w:sz w:val="20"/>
        </w:rPr>
        <w:t>Development of Nomlabofusp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Non-clinical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Knock-Out Mice and Other Non-clinical Studies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Nomlabofusp has been demonstrated to prolong the life of knock-out ("KO") mice whose heart and skeletal muscles were deficient in FXN. These mice, when untreated, develop a severe hypertrophic cardiomyopathy similar to patients with Friedreich’s ataxia and, like many Friedreich’s ataxia patients, die early in life. In non-clinical studies of nomlabofusp, the median survival in animals treated with vehicle of 98 days was extended to a median survival of 166 days in animals treated with nomlabofusp subcutaneously three times per week (p=0.0001). Furthermore, 87.5% of mice treated with nomlabofusp survived beyond the mean age of death in the vehicle treated group (107.5 days) whereas only 33% of vehicle treated animals survived. Results are reflected in Figure 2. </w:t>
      </w:r>
    </w:p>
    <w:p>
      <w:pPr>
        <w:pStyle w:val="TextBody"/>
        <w:bidi w:val="0"/>
        <w:spacing w:before="120" w:after="283"/>
        <w:jc w:val="left"/>
        <w:rPr>
          <w:rFonts w:ascii="Times New Roman" w:hAnsi="Times New Roman"/>
          <w:sz w:val="20"/>
        </w:rPr>
      </w:pPr>
      <w:r>
        <w:rPr>
          <w:rFonts w:ascii="Times New Roman" w:hAnsi="Times New Roman"/>
          <w:b/>
          <w:color w:val="000000"/>
          <w:sz w:val="20"/>
        </w:rPr>
        <w:t>Figure 2.</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2762250" cy="1924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62250" cy="192405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 separate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Figures 3 and 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Figure 3.</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2667000" cy="1743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67000" cy="1743075"/>
                    </a:xfrm>
                    <a:prstGeom prst="rect">
                      <a:avLst/>
                    </a:prstGeom>
                  </pic:spPr>
                </pic:pic>
              </a:graphicData>
            </a:graphic>
          </wp:inline>
        </w:drawing>
      </w: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Figure 4.</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2495550" cy="1619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95550" cy="161925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Another study, also performed at an independent laboratory, demonstrated the maintenance of cardiac function when the same KO mouse model was studied. These mice were treated with nomlabofusp at doses of 10 mg/kg every other day for 6 weeks. Echocardiograms were performed prior to initiating dosing and after 4 weeks of dosing. When compared to vehicle, mice treated with nomlabofusp maintained their left ventricular volume and ejection fraction while vehicle treated mice deteriorated over the same 4-week period. See Figures 5 and 6. </w:t>
      </w:r>
    </w:p>
    <w:p>
      <w:pPr>
        <w:pStyle w:val="TextBody"/>
        <w:bidi w:val="0"/>
        <w:spacing w:before="120" w:after="283"/>
        <w:jc w:val="left"/>
        <w:rPr>
          <w:rFonts w:ascii="Times New Roman" w:hAnsi="Times New Roman"/>
          <w:sz w:val="20"/>
        </w:rPr>
      </w:pPr>
      <w:r>
        <w:rPr>
          <w:rFonts w:ascii="Times New Roman" w:hAnsi="Times New Roman"/>
          <w:b/>
          <w:color w:val="000000"/>
          <w:sz w:val="20"/>
        </w:rPr>
        <w:t>Figure 5.</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4857750" cy="1838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57750" cy="183832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Figure 6.</w:t>
      </w:r>
      <w:r>
        <w:rPr>
          <w:rFonts w:ascii="Times New Roman" w:hAnsi="Times New Roman"/>
          <w:color w:val="000000"/>
          <w:sz w:val="20"/>
        </w:rPr>
        <w:t xml:space="preserve"> </w:t>
      </w:r>
    </w:p>
    <w:p>
      <w:pPr>
        <w:pStyle w:val="TextBody"/>
        <w:bidi w:val="0"/>
        <w:spacing w:before="120" w:after="283"/>
        <w:jc w:val="center"/>
        <w:rPr/>
      </w:pPr>
      <w:r>
        <w:rPr/>
        <w:drawing>
          <wp:inline distT="0" distB="0" distL="0" distR="0">
            <wp:extent cx="4714875" cy="1885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714875" cy="1885950"/>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Using a neurologic mouse model, treatment with nomlabofusp prevented the development of ataxia in mice whose nervous system was deficient in FXN compared to those treated with placebo.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multiple non-clinical studies in rodents and non-human primates ("NHPs"), human FXN was found to be distributed into all tissues tested following nomlabofusp dosing. See Figure 7. </w:t>
      </w:r>
    </w:p>
    <w:p>
      <w:pPr>
        <w:pStyle w:val="TextBody"/>
        <w:bidi w:val="0"/>
        <w:spacing w:before="120" w:after="283"/>
        <w:jc w:val="left"/>
        <w:rPr>
          <w:rFonts w:ascii="Times New Roman" w:hAnsi="Times New Roman"/>
          <w:sz w:val="20"/>
        </w:rPr>
      </w:pPr>
      <w:r>
        <w:rPr>
          <w:rFonts w:ascii="Times New Roman" w:hAnsi="Times New Roman"/>
          <w:b/>
          <w:color w:val="000000"/>
          <w:sz w:val="20"/>
        </w:rPr>
        <w:t>Figure 7.</w:t>
      </w:r>
      <w:r>
        <w:rPr>
          <w:rFonts w:ascii="Times New Roman" w:hAnsi="Times New Roman"/>
          <w:color w:val="000000"/>
          <w:sz w:val="20"/>
        </w:rPr>
        <w:t xml:space="preserve"> </w:t>
      </w:r>
    </w:p>
    <w:p>
      <w:pPr>
        <w:pStyle w:val="TextBody"/>
        <w:bidi w:val="0"/>
        <w:jc w:val="left"/>
        <w:rPr/>
      </w:pPr>
      <w:r>
        <w:rPr/>
        <w:t> </w:t>
      </w:r>
    </w:p>
    <w:tbl>
      <w:tblPr>
        <w:tblW w:w="6886" w:type="dxa"/>
        <w:jc w:val="left"/>
        <w:tblInd w:w="0" w:type="dxa"/>
        <w:tblLayout w:type="fixed"/>
        <w:tblCellMar>
          <w:top w:w="28" w:type="dxa"/>
          <w:left w:w="28" w:type="dxa"/>
          <w:bottom w:w="28" w:type="dxa"/>
          <w:right w:w="28" w:type="dxa"/>
        </w:tblCellMar>
      </w:tblPr>
      <w:tblGrid>
        <w:gridCol w:w="331"/>
        <w:gridCol w:w="146"/>
        <w:gridCol w:w="1771"/>
        <w:gridCol w:w="146"/>
        <w:gridCol w:w="316"/>
        <w:gridCol w:w="146"/>
        <w:gridCol w:w="2236"/>
        <w:gridCol w:w="146"/>
        <w:gridCol w:w="316"/>
        <w:gridCol w:w="146"/>
        <w:gridCol w:w="118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gridSpan w:val="11"/>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Observed hFXN across all tissue and cell types tested: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Spinal Cord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Skin</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Cardiac Mitochondria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Buccal Cells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Liver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CSF (Cerebrospinal Fluid)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Platelets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Dorsal Root Ganglia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Skeletal Muscle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Non-Human Primate and Rat Toxicology Studies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previously conducted 28-day and 13-week GLP toxicology studies of nomlabofusp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localized to the injection sites. The NHP 28-day study showed no systemic toxicity. The NHP 13-week study showed no systemic toxicity in the low and mid-dose groups, and minimal to mild histopathological findings in the high dose group. There were also several episodes of occasional transient muscle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support extended dosing of patients with nomlabofusp, we conducted a 26-week NHP toxicology study in 2021. In May 2021, we notified the FDA of certain mortalities which occurred at the two highest dose levels in the then-ongoing study. On May 25, 2021, the FDA placed a clinical hold on the nomlabofusp clinical program. In the clinical hold letter, the FDA stated that it needed to review a full study report from the then-ongoing NHP study and 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enrolled or enrolling.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2022, in response to the complete response to the clinical hold we submitted to the FDA, the FDA stated that it was maintaining the clinical hold and that additional data were needed to resolve the clinical hold.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subsequently submitted a request to the FDA for a Type C meeting, which was granted and held in July 2022. We submitted a complete response to clinical hold incorporating additional information requested by the FDA at the meeting as well as information on the proposed study in August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2022, following the Type C meeting and the submission of the Company's complete response to clinical hold, the FDA allowed the 25 mg cohort of a Phase 2, four-week, placebo-controlled, dose exploration trial of nomlabofusp in FA patients discussed above to proceed. In connection with this decision, the FDA lifted its full clinical hold on the nomlabofusp clinical development program and imposed a partial clinical hold.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met with the FDA. Following that meeting, we submitted a complete response to the FDA’s partial clinical hold that included unblinded safety, PK and frataxin data from the Phase 2 trial’s completed 25 mg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following the FDA’s review of our complete response to the partial clinical hold, the FDA cleared initiation of a second cohort at 50 mg of our four-week, placebo-controlled, Phase 2 dose exploration trial and initiation of our OLE trial with daily dosing of 25 mg.</w:t>
      </w:r>
    </w:p>
    <w:p>
      <w:pPr>
        <w:pStyle w:val="TextBody"/>
        <w:bidi w:val="0"/>
        <w:spacing w:before="120" w:after="283"/>
        <w:jc w:val="left"/>
        <w:rPr>
          <w:rFonts w:ascii="Times New Roman" w:hAnsi="Times New Roman"/>
          <w:sz w:val="20"/>
        </w:rPr>
      </w:pPr>
      <w:r>
        <w:rPr>
          <w:rFonts w:ascii="Times New Roman" w:hAnsi="Times New Roman"/>
          <w:i/>
          <w:color w:val="000000"/>
          <w:sz w:val="20"/>
        </w:rPr>
        <w:t>Clinical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Non-Interventional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non-interventional studies to examine the range of tissue FXN concentrations in individuals who are homozygous for the normal FXN gene. Tissue samples in these studies were collected using the same sampling techniques and proprietary assay used in the interventional studies. In a 2020 study we obtained data from 8 healthy adults, but the study was then terminated early by the study site due to competing priorities during the COVID-19 pandemic. In 2021 we initiated a second study that enrolled approximately 60 healthy adults. Enrollment in this study was completed in 2022 and data has been used for comparison purposes in the Phase 2 clinical study described below. See Figure 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8.</w:t>
      </w:r>
    </w:p>
    <w:p>
      <w:pPr>
        <w:pStyle w:val="TextBody"/>
        <w:bidi w:val="0"/>
        <w:spacing w:before="120" w:after="283"/>
        <w:jc w:val="left"/>
        <w:rPr/>
      </w:pPr>
      <w:r>
        <w:rPr/>
        <w:drawing>
          <wp:inline distT="0" distB="0" distL="0" distR="0">
            <wp:extent cx="5943600" cy="2886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886075"/>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FXN concentrations were measured in skin and buccal cells from 60 homozygous healthy volunteers utilizing the same sampling technique and assay as clinical trials of nomlabofusp; FXN levels measured via detection of peptide derived from mature FXN; FXN concentrations normalized to total cellular protein content in each sample. 1. E.C. Deutsch et al. Molecular Genetics and Metabolism 101 (2010) 238–245. 2. Friedreich’s Ataxia Research Alliance</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Completed Phase 1 Clinical Studies in Adults with Friedreich’s Ataxia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submitted our investigational New Drug application ("IND") application for nomlabofusp and began Phase 1 clinical trials in 2019 in patients with FA. We completed two clinical studies of nomlabofusp in adult subjects with FA, a SAD study (completed in 2020) and a MAD study (completed in 2021). The primary objective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SAD and MAD studies was to assess the tolerability of nomlabofusp at doses ranging from 25 mg to 100 mg administered via subcutaneous injection ("SC"). The secondary objectives were to establish the PK of nomlabofusp administration in humans and to explore the PD of nomlabofusp administration by measuring tissue FXN concentrations in accessible tissues, namely buccal and skin cells, and in platelets. Administration of nomlabofusp via SC injection appeared to be well tolerated up to doses of 100 mg administered daily for up to 13 days. No SAEs were reported in either study. The most common treatment emergent adverse events ("TEAEs") were injection site reactions ("ISRs") that were generally mild, self-limited, and usually resolved within approximately 1 hour. Patients in the 25 mg cohort were dosed once a day for the first 4 days followed by 1 dose every third day through day 13 for a total of 7 doses, while the patients in the 50 mg cohort were dosed once a day for the first 7 days followed by 1 dose every other day through day 13 for a total of 10 doses, and patients in the 100 mg cohort were dosed once a day for 13 days consecutively for a total of 13 doses (see Figures 9 and 10). The study was designed in this fashion to ensure that the PK of nomlabofusp in patients with FA were characterized at the lower doses before the dose was escalated. This is typical of first in human studies such as multiple-ascending dose trials that evaluate a study drug’s clinical safety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rapid uptake of nomlabofusp into the circulation following subcutaneous injection, and exposure appears to be proportional to dose.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9.</w:t>
      </w:r>
    </w:p>
    <w:p>
      <w:pPr>
        <w:pStyle w:val="TextBody"/>
        <w:bidi w:val="0"/>
        <w:spacing w:before="120" w:after="283"/>
        <w:jc w:val="center"/>
        <w:rPr/>
      </w:pPr>
      <w:r>
        <w:rPr/>
        <w:drawing>
          <wp:inline distT="0" distB="0" distL="0" distR="0">
            <wp:extent cx="5943600" cy="2867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867025"/>
                    </a:xfrm>
                    <a:prstGeom prst="rect">
                      <a:avLst/>
                    </a:prstGeom>
                  </pic:spPr>
                </pic:pic>
              </a:graphicData>
            </a:graphic>
          </wp:inline>
        </w:drawing>
      </w: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10.</w:t>
      </w:r>
    </w:p>
    <w:p>
      <w:pPr>
        <w:pStyle w:val="TextBody"/>
        <w:bidi w:val="0"/>
        <w:spacing w:before="120" w:after="283"/>
        <w:jc w:val="left"/>
        <w:rPr/>
      </w:pPr>
      <w:r>
        <w:rPr/>
        <w:drawing>
          <wp:inline distT="0" distB="0" distL="0" distR="0">
            <wp:extent cx="5943600" cy="2952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952750"/>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*FXN levels measured via detection of peptide derived from mature FXN; FXN concentrations are normalized to total cellular protein content in each sample; Data represent median and 25th and 75th percentiles; FXN levels from day 4, &amp; day 13 measurements are shown for data derived from the 25 mg cohort; FXN levels from day 7 &amp; day 13 measurements are shown for data derived from the 50 &amp; 100 mg cohorts.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Completed Phase 2 Dose Exploration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2 randomized, double-blind, placebo controlled dose exploration study evaluated the safety, tolerability, PK and PD of two doses of nomlabofusp. Cohort 1 evaluated 25 mg and Cohort 2 evaluated 50 mg. Participants in either the 25 mg or 50 mg cohorts were randomized 2:1 to receive daily subcutaneous injections of either nomlabofusp or placebo for 14 days, and then every other day for an additional 14 days for a total 28-day dosing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we reported preliminary unblinded top-line data from the 25 mg cohort of the Phase 2 trial. Data from the cohort indicated nomlabofusp was generally well tolerated and showed increases in FXN levels from baseline compared to placebo in all evaluated tissues (skin and buccal cells) at day 14.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met with the FDA. Following that meeting, we submitted a complete response to the FDA’s partial clinical hold that included unblinded safety, PK and frataxin data from the Phase 2 trial’s completed 25 mg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following the FDA’s review of our complete response to the partial clinical hold, the FDA cleared initiation of the second cohort (50 mg) of our four-week, placebo-controlled, Phase 2 dose exploration trial and the initiation of our OLE trial with daily dosing of 25 mg.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reported positive top-line data and successful completion of our four-week, placebo-controlled Phase 2 dose exploration study of nomlabofusp in participants with FA. Nomlabofusp was generally well tolerated and demonstrated dose response in FXN levels in all evaluated tissues (skin and buccal cells) after daily dosing of 14 days followed by every other day dosing until day 28 in the 25 mg and 50 mg cohorts.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safety in the Phase 2 dose exploration trial, there were a total of 28 participants (19 received nomlabofusp and 9 received placebo). There were no serious adverse events reported. There was one allergic reaction which was considered to be a severe adverse event in the 25 mg cohort that resolved with standard treatment. This participant withdrew from the trial. The most common adverse events reported were mild and moderate injection site reactions which resolved without any intervention and there were no study discontinuations due to injection site reactions. Consistent with findings in our Phase 1 study, nomlabofusp demonstrated quick absorption after subcutaneous administration and had dose proportional increases in exposure.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Participants treated with 50 mg for 14 days daily had frataxin levels in skin cells increase from less than 17% at baseline relative to healthy volunteers, to 33% to 59% of healthy volunteers after 14 days of treatment. Patients treated with placebo showed no increase in their frataxin levels during this period. Additionally, the majority of treated patients in both cohorts with quantifiable levels of frataxin at baseline and day 14 achieve at least a 100% increase in tissue frataxin in skin cells, and at least a 30% increase in tissue frataxin levels in buccal cells. Figures 11 and 14 show a clear dose response and increase from baseline in skin tissue and buccal tissue frataxin levels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graph on the left in both Figures 12 and 15 show a dose dependent increase in frataxin levels after 14 days of treatment. With both skin and buccal cells, when dosing is switched to every other day the magnitude of the increase in frataxin levels declines.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waterfall plots on the right in both Figures 12 and 15 depict the individual changes in frataxin levels from baseline in skin cells and buccal cells at day 14 respectively. Each bar represents an individual patient, with placebo treated participants in grey, the 25 mg cohort in aqua, and the 50 mg cohort in blue. The majority of patients treated with nomlabofusp had significant increases in frataxin levels while placebo patients were basically unchanged. Importantly, there also appears to be a dose response as frataxin levels are notably increased in most of the 50 mg cohort over the 25 mg cohort.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Figure 11.</w:t>
      </w:r>
      <w:r>
        <w:rPr>
          <w:rFonts w:ascii="Times New Roman" w:hAnsi="Times New Roman"/>
          <w:color w:val="000000"/>
          <w:sz w:val="20"/>
        </w:rPr>
        <w:t xml:space="preserve"> </w:t>
      </w:r>
    </w:p>
    <w:p>
      <w:pPr>
        <w:pStyle w:val="TextBody"/>
        <w:bidi w:val="0"/>
        <w:spacing w:before="120" w:after="283"/>
        <w:jc w:val="left"/>
        <w:rPr/>
      </w:pPr>
      <w:r>
        <w:rPr/>
        <w:drawing>
          <wp:inline distT="0" distB="0" distL="0" distR="0">
            <wp:extent cx="5943600" cy="2924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2924175"/>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Only participants with quantifiable levels at baseline and day 14 and day 28 are included in the tables.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12.</w:t>
      </w:r>
    </w:p>
    <w:p>
      <w:pPr>
        <w:pStyle w:val="TextBody"/>
        <w:bidi w:val="0"/>
        <w:spacing w:before="120" w:after="283"/>
        <w:jc w:val="left"/>
        <w:rPr/>
      </w:pPr>
      <w:r>
        <w:rPr/>
        <w:drawing>
          <wp:inline distT="0" distB="0" distL="0" distR="0">
            <wp:extent cx="5943600" cy="2990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990850"/>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w:t>
      </w:r>
    </w:p>
    <w:p>
      <w:pPr>
        <w:pStyle w:val="TextBody"/>
        <w:bidi w:val="0"/>
        <w:jc w:val="left"/>
        <w:rPr>
          <w:rFonts w:ascii="Times New Roman" w:hAnsi="Times New Roman"/>
          <w:color w:val="000000"/>
          <w:sz w:val="16"/>
        </w:rPr>
      </w:pPr>
      <w:r>
        <w:rPr>
          <w:rFonts w:ascii="Times New Roman" w:hAnsi="Times New Roman"/>
          <w:color w:val="000000"/>
          <w:sz w:val="16"/>
        </w:rPr>
        <w:t>**Median baseline FXN levels in patients were 3.5 pg/µg for the placebo, 3.7 pg/µg for the 25 mg cohort and 2.1 pg/µg for the 50 mg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Figures 13 and 16 depict how many people had a shift in frataxin levels in skin cells and buccal cells as a percentage of average healthy volunteers after 14 days of treatment. On the left is the 25 mg cohort and on the right is the 50 mg cohort. On the far left of each figure are categories of the percentage of average healthy volunteers. Figures in black to the left of the black vertical line represent patients at baseline. Figures to the right of the black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vertical line represent day 14 frataxin levels as a percentage of average healthy volunteers. In blue are individuals that increase by 25% to 50% and in green are individuals that exceeded 50% of average healthy volunteers.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13.</w:t>
      </w:r>
    </w:p>
    <w:p>
      <w:pPr>
        <w:pStyle w:val="TextBody"/>
        <w:bidi w:val="0"/>
        <w:spacing w:before="120" w:after="283"/>
        <w:jc w:val="left"/>
        <w:rPr/>
      </w:pPr>
      <w:r>
        <w:rPr/>
        <w:drawing>
          <wp:inline distT="0" distB="0" distL="0" distR="0">
            <wp:extent cx="5943600" cy="3086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086100"/>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Only participants with quantifiable levels at baseline and day 14 are included in the figures.</w:t>
      </w:r>
    </w:p>
    <w:p>
      <w:pPr>
        <w:pStyle w:val="TextBody"/>
        <w:bidi w:val="0"/>
        <w:jc w:val="left"/>
        <w:rPr>
          <w:rFonts w:ascii="Times New Roman" w:hAnsi="Times New Roman"/>
          <w:color w:val="000000"/>
          <w:sz w:val="16"/>
        </w:rPr>
      </w:pPr>
      <w:r>
        <w:rPr>
          <w:rFonts w:ascii="Times New Roman" w:hAnsi="Times New Roman"/>
          <w:color w:val="000000"/>
          <w:sz w:val="16"/>
        </w:rPr>
        <w:t>*% of healthy volunteer FXN level is calculated by dividing each participant's FXN level by the average FXN level (16.34 pg/µg) from the noninterventional healthy volunteer study (N=60).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14.</w:t>
      </w:r>
    </w:p>
    <w:p>
      <w:pPr>
        <w:pStyle w:val="TextBody"/>
        <w:bidi w:val="0"/>
        <w:spacing w:before="120" w:after="283"/>
        <w:jc w:val="left"/>
        <w:rPr/>
      </w:pPr>
      <w:r>
        <w:rPr/>
        <w:drawing>
          <wp:inline distT="0" distB="0" distL="0" distR="0">
            <wp:extent cx="5943600" cy="3057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43600" cy="3057525"/>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Only participants with quantifiable levels at baseline and day 14 and day 28 are included in the tables.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Figure 15.</w:t>
      </w:r>
      <w:r>
        <w:rPr>
          <w:rFonts w:ascii="Times New Roman" w:hAnsi="Times New Roman"/>
          <w:color w:val="000000"/>
          <w:sz w:val="20"/>
        </w:rPr>
        <w:t xml:space="preserve"> </w:t>
      </w:r>
    </w:p>
    <w:p>
      <w:pPr>
        <w:pStyle w:val="TextBody"/>
        <w:bidi w:val="0"/>
        <w:spacing w:before="120" w:after="283"/>
        <w:jc w:val="left"/>
        <w:rPr/>
      </w:pPr>
      <w:r>
        <w:rPr/>
        <w:drawing>
          <wp:inline distT="0" distB="0" distL="0" distR="0">
            <wp:extent cx="5943600" cy="2876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943600" cy="2876550"/>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*FXN levels measured via detection of peptide derived from mature FXN; FXN concentrations are normalized to total cellular protein content in each sample. Data represent median and 25th and 75th percentiles. Only participants with quantifiable levels at both baseline and Day 14 are included in the figures.</w:t>
      </w:r>
    </w:p>
    <w:p>
      <w:pPr>
        <w:pStyle w:val="TextBody"/>
        <w:bidi w:val="0"/>
        <w:jc w:val="left"/>
        <w:rPr>
          <w:rFonts w:ascii="Times New Roman" w:hAnsi="Times New Roman"/>
          <w:color w:val="000000"/>
          <w:sz w:val="16"/>
        </w:rPr>
      </w:pPr>
      <w:r>
        <w:rPr>
          <w:rFonts w:ascii="Times New Roman" w:hAnsi="Times New Roman"/>
          <w:color w:val="000000"/>
          <w:sz w:val="16"/>
        </w:rPr>
        <w:t>**Median baseline FXN level in patients were 2.1 pg/µg for the placebo, 1.8 pg/µg for the 25 mg cohort and 1.6 pg/µg for the 50 mg cohort.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Figure 16.</w:t>
      </w:r>
    </w:p>
    <w:p>
      <w:pPr>
        <w:pStyle w:val="TextBody"/>
        <w:bidi w:val="0"/>
        <w:spacing w:before="120" w:after="283"/>
        <w:jc w:val="left"/>
        <w:rPr/>
      </w:pPr>
      <w:r>
        <w:rPr/>
        <w:drawing>
          <wp:inline distT="0" distB="0" distL="0" distR="0">
            <wp:extent cx="5943600" cy="3171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943600" cy="3171825"/>
                    </a:xfrm>
                    <a:prstGeom prst="rect">
                      <a:avLst/>
                    </a:prstGeom>
                  </pic:spPr>
                </pic:pic>
              </a:graphicData>
            </a:graphic>
          </wp:inline>
        </w:drawing>
      </w:r>
      <w:r>
        <w:rPr/>
        <w:t> </w:t>
      </w:r>
    </w:p>
    <w:p>
      <w:pPr>
        <w:pStyle w:val="TextBody"/>
        <w:bidi w:val="0"/>
        <w:jc w:val="left"/>
        <w:rPr>
          <w:rFonts w:ascii="Times New Roman" w:hAnsi="Times New Roman"/>
          <w:color w:val="000000"/>
          <w:sz w:val="16"/>
        </w:rPr>
      </w:pPr>
      <w:r>
        <w:rPr>
          <w:rFonts w:ascii="Times New Roman" w:hAnsi="Times New Roman"/>
          <w:color w:val="000000"/>
          <w:sz w:val="16"/>
        </w:rPr>
        <w:t>Only participants with quantifiable levels at baseline and day 14 are included in the figures.</w:t>
      </w:r>
    </w:p>
    <w:p>
      <w:pPr>
        <w:pStyle w:val="TextBody"/>
        <w:bidi w:val="0"/>
        <w:jc w:val="left"/>
        <w:rPr>
          <w:rFonts w:ascii="Times New Roman" w:hAnsi="Times New Roman"/>
          <w:color w:val="000000"/>
          <w:sz w:val="16"/>
        </w:rPr>
      </w:pPr>
      <w:r>
        <w:rPr>
          <w:rFonts w:ascii="Times New Roman" w:hAnsi="Times New Roman"/>
          <w:color w:val="000000"/>
          <w:sz w:val="16"/>
        </w:rPr>
        <w:t>*% of healthy volunteer FXN level is calculated by dividing each participant's FXN level by the average FXN level (8.24 pg/µg) from the noninterventional healthy volunteer study (N=60).</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Open Label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initiated the OLE trial evaluating daily subcutaneous injections of 25 mg of nomlabofusp self-administered or administered by a caregiver, with the first patient dosed in March 2024. Participants who completed treatment in the Phase 2 dose exploration trial, or who previously completed a prior clinical trial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nomlabofusp are potentially eligible to screen for the OLE. The OLE will evaluate the safety, tolerability, PK, and measures of frataxin levels in peripheral tissues as well as other exploratory PD (lipid profiles and gene expression data) following long-term subcutaneous administration of nomlabofusp. Clinical measures collected during the trial will be compared to data from a matched control arm derived from participants in the Friedreich’s Ataxia Clinical Outcome Measures Study (FACOMS) database. Further dose expansion in the OLE trial will be considered based on safety, tolerability, PK, FXN levels from the 25 mg dose of nomlabofusp in the OLE trial, as well as data from the Phase 2 trial's 50 mg cohort and is contingent on FDA review as part of the partial clinical hold. Initial data from the OLE trial is expected in the fourth quarter of 2024. We also are planning to include in our clinical studies, individuals between the ages of 2 and 17 and are currently in discussions with FDA as to what additional clinical data in adults would inform inclusion of those pediatric individuals in our studies.</w:t>
      </w:r>
    </w:p>
    <w:p>
      <w:pPr>
        <w:pStyle w:val="TextBody"/>
        <w:bidi w:val="0"/>
        <w:spacing w:before="12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regulatory exclusivity (also called data package exclusivity),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require confidentiality or service agreements from third parties that receive our confidential information or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23, 2024, our intellectual property portfolio was composed of numerous international Patent Cooperation Treaty ("PCT"), foreign, and United States non-provisional patent applications, a United States patent and United States provisional patent applications that we own or co-own, and six issued United States patents and additional non-provisional patent applications in the United States and in certain foreign jurisdictions that we license from academic institutions. The issued patents in the United States licensed by us, which include issued patents covering the composition of matter for nomlabofusp and methods for treating FA, have expiration dates between 2024 and 2040 without taking potential patent term extension into consideration. The international and the United States non-provisional patent applications licensed by us relate to composition of matter and methods of use for nomlabofusp.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additional patent applications we own or co-own which include PCT, foreign and United States non-provisional patent applications a United States patent, and United States provisional patent applications are related to the development of nomlabofusp, including methods of use of nomlabofusp, and to our peptide-delivery platform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2044 or 2025, without taking potential patent term adjustment or patent term extension into consideration.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Nomlabofusp is covered by licensed issued patents (composition of matter and methods of use) in the United States which, if properly maintained, will expire in 2024, 2025 and 2040, excluding any patent term extensions that might be available following the grant of marketing authorizations. We also possess an exclusive license to non-provisional applications in the United States and certain countries outside the United States for nomlabofusp (composition of matter and methods of use). If these patent applications in the United States and other countries result in issued patents, those patents would be expected to expire in 2040. This estimated expiration excludes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use other forms of protection besides patent protection and regulatory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nomlabofusp, where available. </w:t>
      </w:r>
    </w:p>
    <w:p>
      <w:pPr>
        <w:pStyle w:val="TextBody"/>
        <w:bidi w:val="0"/>
        <w:spacing w:before="120" w:after="283"/>
        <w:jc w:val="left"/>
        <w:rPr>
          <w:rFonts w:ascii="Times New Roman" w:hAnsi="Times New Roman"/>
          <w:sz w:val="20"/>
        </w:rPr>
      </w:pPr>
      <w:r>
        <w:rPr>
          <w:rFonts w:ascii="Times New Roman" w:hAnsi="Times New Roman"/>
          <w:b/>
          <w:color w:val="000000"/>
          <w:sz w:val="20"/>
        </w:rPr>
        <w:t>In-License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a License Agreement dated November 30, 2016 with Wake Forest University Health Sciences ("WFUHS") and a License Agreement dated November 30, 2016, as amended, with Indiana University ("IU"). Such agreements provide for a transferable, worldwide license to certain patent rights regarding technology used by us with respect to the development of nomlabofusp.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partial consideration for the right and license granted under these agreements, we will pay each of WFUHS and IU a royalty of a low single digit percentage of net sales of licensed products depending on whether there is a valid patent covering such products. As additional consideration for these agreements, we are obligated to pay each of WFUHS and IU certain milestone payments of up to $2.6 million in the aggregate upon the achievement of certain developmental milestones, commencing on the enrollment of the first patient in a Phase 1 clinical trial. We will also pay each of WFUHS and IU sublicensing fees ranging up to a low double-digit percentage of sublicense consideration depending on our achievement of certain regulatory milestones as of the time of receipt of the sublicense consideration. We are also obligated to reimburse WFUHS and IU for patent-related expenses. In the event that we dispute the validity of any of the licensed patents, the royalty rate would be tripled during such dispute. We are also obligated to pay to IU a minimum annual royalty of less than $0.1 million per annum starting in the 2020 calendar year for the term of the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we are required to pay IU consideration, then we may deduct 20% of such IU consideration on a dollar-for-dollar basis from the consideration due to WFUHS. In the event that we are required to pay WFUHS consideration, then we may deduct 60% of such WFUHS consideration on a dollar-for-dollar basis from the consideration due to IU.</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sz w:val="20"/>
        </w:rPr>
      </w:pPr>
      <w:r>
        <w:rPr>
          <w:rFonts w:ascii="Times New Roman" w:hAnsi="Times New Roman"/>
          <w:color w:val="000000"/>
          <w:sz w:val="20"/>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platform technology, product candidates and scientific expertise in the field of rare diseases provide competitive advantages, we face competition from various sources, including larger and better-funded pharmaceutical companies, specialty pharmaceutical companies and biotechnology companies, as well as from academic institutions, governmental agencies and public and private research institutions. We expect to compete with Biogen’s SKYCLARYS</w:t>
      </w:r>
      <w:r>
        <w:rPr>
          <w:rFonts w:ascii="Times New Roman" w:hAnsi="Times New Roman"/>
          <w:color w:val="000000"/>
          <w:sz w:val="13"/>
        </w:rPr>
        <w:t>TM</w:t>
      </w:r>
      <w:r>
        <w:rPr>
          <w:rFonts w:ascii="Times New Roman" w:hAnsi="Times New Roman"/>
          <w:color w:val="000000"/>
          <w:sz w:val="20"/>
        </w:rPr>
        <w:t xml:space="preserve"> (omaveloxolone), which was approved for the treatment of FA in adults and adolescents aged 16 and older by the FDA and the European Commission in February 2023 and February 2024, respectively. Other competitors currently developing therapeutics to treat FA include, but are not limited to Design Therapeutics, Lexeo Therapeutics, Neurocrine Biosciences/Voyager Therapeutics and PTC Therapeutics. Many of our competitors have significantly greater financial, technical and human resources than we do. Mergers and acquisitions in the pharmaceutical and biotechnology industries may result in even more resources being concentrated amongst a smaller number of our competitors. Our commercial opportunity could be reduced or eliminated if our competitors develop or market products or other novel therapies that are more effective, safer or less costly than our product candidates or obtain regulatory approval for their products more rapidly than we may obtain approval for our product candidates.</w:t>
      </w:r>
    </w:p>
    <w:p>
      <w:pPr>
        <w:pStyle w:val="TextBody"/>
        <w:bidi w:val="0"/>
        <w:spacing w:before="120" w:after="283"/>
        <w:jc w:val="left"/>
        <w:rPr>
          <w:rFonts w:ascii="Times New Roman" w:hAnsi="Times New Roman"/>
          <w:sz w:val="20"/>
        </w:rPr>
      </w:pPr>
      <w:r>
        <w:rPr>
          <w:rFonts w:ascii="Times New Roman" w:hAnsi="Times New Roman"/>
          <w:b/>
          <w:color w:val="000000"/>
          <w:sz w:val="20"/>
        </w:rPr>
        <w:t>Manufacturing and Supply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Nomlabofusp is a biologic fusion protein that is produced in E. coli. We have worked with contract manufacturers to develop, in accordance with cGMPs a manufacturing process and analytical methods for drug substance to support clinical trials. We also use third party manufacturers for the clinical packaging, storage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distribution of nomlabofusp. We rely on third parties to store the nomlabofusp master cell bank and working cell bank, each stored at a different location. We continue to advance the manufacturing of nomlabofusp, obtain stability data, and produce drug product for future clinical trials. We are continually trying to optimize our manufacturing process to increase yields, decrease costs and increase reliability in supply chains. The final process will need to be successfully scaled up to support commercial manufacturing.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substance which is in frozen liquid form for nomlabofusp is currently manufactured for us by KBI Biopharma, Inc. ("KBI"). We are party to a Master Services Agreement, as amended, with KBI, pursuant to which KBI provides biological development and clinical manufacturing services with respect to nomlabofusp. We currently produce a frozen liquid form of drug product at another manufacturer. We have also begun a program with a third-party manufacturer to produce a lyophilized version of the drug product from the same KBI drug substance, that, once available, we intend to use in certain of our future planned clinical trials and ultimately, commercial use, assuming nomlabofusp receives required regulatory approvals.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Employees and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paid time-off and health and wellness programs, including programs that build connections between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employed 42 full-time employees in the United States, of which 32 are directly engaged in research and development with the rest providing administrative, business and operations support. None of our employees are represented by a labor organization or under any collective-bargaining arrangements. We consider our employee relations to be good.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Diversity and Inclusion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value the diversity of our employees and take pride in our commitment to diversity and inclusion across all levels of our organizational structure and with respect to our board of directors. We are committed to developing strategies for building diverse teams and promoting the advancement of employees from diverse backgrounds.</w:t>
      </w:r>
    </w:p>
    <w:p>
      <w:pPr>
        <w:pStyle w:val="TextBody"/>
        <w:bidi w:val="0"/>
        <w:spacing w:before="120" w:after="283"/>
        <w:jc w:val="left"/>
        <w:rPr>
          <w:rFonts w:ascii="Times New Roman" w:hAnsi="Times New Roman"/>
          <w:sz w:val="20"/>
        </w:rPr>
      </w:pPr>
      <w:r>
        <w:rPr>
          <w:rFonts w:ascii="Times New Roman" w:hAnsi="Times New Roman"/>
          <w:b/>
          <w:color w:val="000000"/>
          <w:sz w:val="20"/>
        </w:rPr>
        <w:t>Scientific Advisors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 We intend to continue to leverage the broad expertise of our advisors by seeking their counsel on important topics relating to our 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scientific advisors are set forth in the table below:</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15"/>
        <w:gridCol w:w="146"/>
        <w:gridCol w:w="8252"/>
        <w:gridCol w:w="392"/>
      </w:tblGrid>
      <w:tr>
        <w:trPr/>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415"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Marni Joy Falk, MD</w:t>
            </w:r>
          </w:p>
        </w:tc>
        <w:tc>
          <w:tcPr>
            <w:tcW w:w="146" w:type="dxa"/>
            <w:tcBorders/>
            <w:vAlign w:val="center"/>
          </w:tcPr>
          <w:p>
            <w:pPr>
              <w:pStyle w:val="TableContents"/>
              <w:bidi w:val="0"/>
              <w:spacing w:before="0" w:after="283"/>
              <w:jc w:val="left"/>
              <w:rPr/>
            </w:pPr>
            <w:r>
              <w:rPr/>
              <w:t> </w:t>
            </w:r>
          </w:p>
        </w:tc>
        <w:tc>
          <w:tcPr>
            <w:tcW w:w="82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Director, Mitochondrial Medicine Frontier Program at Children’s Hospital of Philadelphia; Professor, Department of Human Genetics and Department of Pediatrics, University of Pennsylvania Perelman School of Medicine</w:t>
            </w:r>
          </w:p>
        </w:tc>
        <w:tc>
          <w:tcPr>
            <w:tcW w:w="392" w:type="dxa"/>
            <w:tcBorders/>
            <w:vAlign w:val="center"/>
          </w:tcPr>
          <w:p>
            <w:pPr>
              <w:pStyle w:val="TableContents"/>
              <w:bidi w:val="0"/>
              <w:spacing w:before="0" w:after="283"/>
              <w:ind w:left="0" w:right="0" w:firstLine="200"/>
              <w:jc w:val="left"/>
              <w:rPr/>
            </w:pPr>
            <w:r>
              <w:rPr/>
              <w:t> </w:t>
            </w:r>
          </w:p>
        </w:tc>
      </w:tr>
      <w:tr>
        <w:trPr/>
        <w:tc>
          <w:tcPr>
            <w:tcW w:w="1415" w:type="dxa"/>
            <w:tcBorders/>
            <w:shd w:fill="CCEEFF" w:val="cle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Giovanni Manfredi, MD, PhD</w:t>
            </w:r>
          </w:p>
        </w:tc>
        <w:tc>
          <w:tcPr>
            <w:tcW w:w="146" w:type="dxa"/>
            <w:tcBorders/>
            <w:shd w:fill="CCEEFF" w:val="clear"/>
            <w:vAlign w:val="center"/>
          </w:tcPr>
          <w:p>
            <w:pPr>
              <w:pStyle w:val="TableContents"/>
              <w:bidi w:val="0"/>
              <w:spacing w:before="0" w:after="283"/>
              <w:jc w:val="left"/>
              <w:rPr/>
            </w:pPr>
            <w:r>
              <w:rPr/>
              <w:t> </w:t>
            </w:r>
          </w:p>
        </w:tc>
        <w:tc>
          <w:tcPr>
            <w:tcW w:w="825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Finbar and Marianne Kenny Professor of Clinical and Research Neurology, Weill Cornell Medicine; Professor of Neuroscience, Weil Cornell Medicine</w:t>
            </w:r>
          </w:p>
        </w:tc>
        <w:tc>
          <w:tcPr>
            <w:tcW w:w="392" w:type="dxa"/>
            <w:tcBorders/>
            <w:shd w:fill="CCEEFF" w:val="clear"/>
            <w:vAlign w:val="center"/>
          </w:tcPr>
          <w:p>
            <w:pPr>
              <w:pStyle w:val="TableContents"/>
              <w:bidi w:val="0"/>
              <w:spacing w:before="0" w:after="283"/>
              <w:ind w:left="0" w:right="0" w:firstLine="200"/>
              <w:jc w:val="left"/>
              <w:rPr/>
            </w:pPr>
            <w:r>
              <w:rPr/>
              <w:t> </w:t>
            </w:r>
          </w:p>
        </w:tc>
      </w:tr>
      <w:tr>
        <w:trPr/>
        <w:tc>
          <w:tcPr>
            <w:tcW w:w="1415" w:type="dxa"/>
            <w:tcBorders/>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Jill Ostrem, MD</w:t>
            </w:r>
          </w:p>
        </w:tc>
        <w:tc>
          <w:tcPr>
            <w:tcW w:w="146" w:type="dxa"/>
            <w:tcBorders/>
            <w:vAlign w:val="center"/>
          </w:tcPr>
          <w:p>
            <w:pPr>
              <w:pStyle w:val="TableContents"/>
              <w:bidi w:val="0"/>
              <w:spacing w:before="0" w:after="283"/>
              <w:jc w:val="left"/>
              <w:rPr/>
            </w:pPr>
            <w:r>
              <w:rPr/>
              <w:t> </w:t>
            </w:r>
          </w:p>
        </w:tc>
        <w:tc>
          <w:tcPr>
            <w:tcW w:w="82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director and division chief of University of California San Francisco (UCSF) Movement Disorders and Neuromodulation Center. Carlin and Ellen Wiegner Endowed Professor of Neurology.</w:t>
            </w:r>
          </w:p>
        </w:tc>
        <w:tc>
          <w:tcPr>
            <w:tcW w:w="392" w:type="dxa"/>
            <w:tcBorders/>
            <w:vAlign w:val="center"/>
          </w:tcPr>
          <w:p>
            <w:pPr>
              <w:pStyle w:val="TableContents"/>
              <w:bidi w:val="0"/>
              <w:spacing w:before="0" w:after="283"/>
              <w:ind w:left="0" w:right="0" w:firstLine="200"/>
              <w:jc w:val="left"/>
              <w:rPr/>
            </w:pPr>
            <w:r>
              <w:rPr/>
              <w:t> </w:t>
            </w:r>
          </w:p>
        </w:tc>
      </w:tr>
      <w:tr>
        <w:trPr/>
        <w:tc>
          <w:tcPr>
            <w:tcW w:w="1415" w:type="dxa"/>
            <w:tcBorders/>
            <w:shd w:fill="CCEEFF" w:val="clear"/>
            <w:vAlign w:val="center"/>
          </w:tcPr>
          <w:p>
            <w:pPr>
              <w:pStyle w:val="TableContents"/>
              <w:pBdr/>
              <w:bidi w:val="0"/>
              <w:spacing w:before="0" w:after="283"/>
              <w:ind w:left="0" w:right="0" w:hanging="200"/>
              <w:jc w:val="left"/>
              <w:rPr>
                <w:rFonts w:ascii="Times New Roman" w:hAnsi="Times New Roman"/>
                <w:color w:val="000000"/>
                <w:sz w:val="20"/>
              </w:rPr>
            </w:pPr>
            <w:r>
              <w:rPr>
                <w:rFonts w:ascii="Times New Roman" w:hAnsi="Times New Roman"/>
                <w:color w:val="000000"/>
                <w:sz w:val="20"/>
              </w:rPr>
              <w:t>Mark Payne, MD</w:t>
            </w:r>
          </w:p>
        </w:tc>
        <w:tc>
          <w:tcPr>
            <w:tcW w:w="146" w:type="dxa"/>
            <w:tcBorders/>
            <w:shd w:fill="CCEEFF" w:val="clear"/>
            <w:vAlign w:val="center"/>
          </w:tcPr>
          <w:p>
            <w:pPr>
              <w:pStyle w:val="TableContents"/>
              <w:bidi w:val="0"/>
              <w:spacing w:before="0" w:after="283"/>
              <w:jc w:val="left"/>
              <w:rPr/>
            </w:pPr>
            <w:r>
              <w:rPr/>
              <w:t> </w:t>
            </w:r>
          </w:p>
        </w:tc>
        <w:tc>
          <w:tcPr>
            <w:tcW w:w="8252" w:type="dxa"/>
            <w:tcBorders/>
            <w:shd w:fill="CCEE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of Pediatrics, Indiana University School of Medicine</w:t>
            </w:r>
          </w:p>
        </w:tc>
        <w:tc>
          <w:tcPr>
            <w:tcW w:w="392" w:type="dxa"/>
            <w:tcBorders/>
            <w:shd w:fill="CCEE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lease office and laboratory space, which consists of approximately 8,000 square feet and 1,750 square feet located in Bala Cynwyd, PA and Philadelphia, PA, respectively. We are currently on a month-to-month lease on this Philadelphia lab space. We, as well as our landlord, can terminate the lease with four months notice.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lease for 3,927 square feet of new laboratory space in King of Prussia, PA to replace the Philadelphia lab space, but this lease has not yet commenced with expected occupancy in the second quarter of 2024.As part of the Merger (as defined below) with Zafgen, Inc ("Zafgen"), we acquired a non-cancellable operating lease for approximately 17,705 square feet of office space at 3 Center Plaza, Boston, Massachusetts (the "Boston Lease"). The Boston Lease expires on October 30, 2029. On October 27, 2020, we entered into a sublease agreement whereby we subleased all 17,705 square feet of office space leased under the Boston Lease until October 30, 2029.</w:t>
      </w:r>
    </w:p>
    <w:p>
      <w:pPr>
        <w:pStyle w:val="TextBody"/>
        <w:bidi w:val="0"/>
        <w:spacing w:before="12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arising in the ordinary course of our business. We are not presently a party to any legal proceedings that, if determined adversely to us, would individually or taken together have a material adverse effect on us. </w:t>
      </w:r>
    </w:p>
    <w:p>
      <w:pPr>
        <w:pStyle w:val="TextBody"/>
        <w:bidi w:val="0"/>
        <w:spacing w:before="120" w:after="283"/>
        <w:jc w:val="left"/>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2005 as a Delaware corporation under the name Zafgen, Inc. ("Zafgen"). On May 28, 2020, Zafgen completed a reverse merger with Chondrial Therapeutics, Inc.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our wholly owned subsidiary. Following completion of the merger, Zafgen, Inc. changed its name to Larimar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executive offices are located at Three Bala Plaza East, Suite 506, Bala Cynwyd, PA 19004, and our telephone number is (844) 511-9056. Our website address is www.larimartx.com. The information on, or that can be accessed through, our website is not part of this Annual Report on Form 10-K and is not incorporated by reference herein. We have included our website address as an inactive textual reference only.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file annual, quarterly, and current reports, proxy statements, and other documents with the Securities and Exchange Commission ("the SEC") under the Securities Exchange Act of 1934, as amended ("the Exchange Act"). The SEC maintains an internet website, www.sec.gov, that contains reports, proxy and information statements, and other information regarding issuers, including us, that file electronically with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code of ethics, other corporate policies and procedures, and the charters of our Audit Committee, Compensation Committee and Nominating and Corporate Governance Committee are available through our website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at </w:t>
      </w:r>
      <w:r>
        <w:rPr>
          <w:rFonts w:ascii="Times New Roman" w:hAnsi="Times New Roman"/>
          <w:sz w:val="20"/>
        </w:rPr>
        <w:t>www.larimartx.com</w:t>
      </w:r>
      <w:r>
        <w:rPr>
          <w:rFonts w:ascii="Times New Roman" w:hAnsi="Times New Roman"/>
          <w:color w:val="000000"/>
          <w:sz w:val="20"/>
        </w:rPr>
        <w:t>. We intend to post information regarding any amendments to, or waivers from, our code of ethics on our website.</w:t>
      </w:r>
    </w:p>
    <w:p>
      <w:pPr>
        <w:pStyle w:val="TextBody"/>
        <w:bidi w:val="0"/>
        <w:spacing w:before="12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drug and biologic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FDCA, with the exception that the section of the FDCA that governs the approval of drugs via new drug applications (“NDAs”), does not apply to the approval of biologics. In contrast, biologics are approved for marketing under provisions of the Public Health Service Act (“PHS Act”), via a Biologics License Application (“BLA”). However, the application process and requirements for approval of BLAs are very similar to those for NDAs. FDA approval or licensure also must be obtained before the marketing of drug and biological products. The process of obtaining regulatory approvals and the subsequent compliance with appropriate federal, state, local and foreign statutes and regulations require the expenditure of substantial time and financial resources. </w:t>
      </w:r>
    </w:p>
    <w:p>
      <w:pPr>
        <w:pStyle w:val="TextBody"/>
        <w:bidi w:val="0"/>
        <w:spacing w:before="120" w:after="283"/>
        <w:jc w:val="left"/>
        <w:rPr>
          <w:rFonts w:ascii="Times New Roman" w:hAnsi="Times New Roman"/>
          <w:sz w:val="20"/>
        </w:rPr>
      </w:pPr>
      <w:r>
        <w:rPr>
          <w:rFonts w:ascii="Times New Roman" w:hAnsi="Times New Roman"/>
          <w:i/>
          <w:color w:val="000000"/>
          <w:sz w:val="20"/>
        </w:rPr>
        <w:t>U.S. Development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required by the FDA before a drug or biologic product may be marketed in the United States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non-clinical laboratory tests and animal studies according to Good Laboratory Practices ("GLPs"), and applicable requirements for the humane use of laboratory animals or other applicable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preparation of clinical trial material in accordance with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institutional review board ("IRB") reviewing each clinical site before each clinical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according to Good Clinical Practices ("GCPs") and any additional requirements for the protection of human research subjects and their health information, to establish the safety, purity, potency, and efficacy, of the proposed drug or biological product for its intended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NDA or BLA for marketing approval that includes substantive evidence of safety, purity, potency, and efficacy from results of non-clinical testing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 FDA inspection prior to NDA or BLA approval of the manufacturing facility or facilities where the drug or biological product is produced to assess compliance with cGMPs, to assure that the facilities, methods and controls are adequate to preserve the biological product’s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audit of the non-clinical and clinical study sites that generated the data in support of the NDA or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Advisory Committee meeting to elicit expert input on critical issues and including a vote by external committee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review and approval, or licensure, of the NDA or BLA, and payment of associated user fees, when applicable;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any post approval requirements, including the potential requirement to implement a Risk Evaluation and Mitigation Strategies ("REMS") and the potential requirement to conduct post approval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testing any drug or biological product candidate in humans, the product candidate enters the non-clinical testing stage. Non-clinical tests include laboratory evaluations of product chemistry, pharmacology, toxicity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formulation, as well as animal studies to assess the potential safety and activity of the product candidate. The conduct of the non-clinical tests must comply with federal regulations and requirements including GLPs.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places the clinical trial on a clinical hold within that 30-day time period. In such a case, the IND sponsor must resolve any deficiencies to the satisfaction of the FDA, and the FDA must lift the clinical hold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application.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monitoring committee. The data monitoring committee may review safety data and/or efficacy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that may overlap or be combined: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Phase 1</w:t>
      </w:r>
      <w:r>
        <w:rPr>
          <w:rFonts w:ascii="Times New Roman" w:hAnsi="Times New Roman"/>
          <w:color w:val="000000"/>
          <w:sz w:val="20"/>
        </w:rPr>
        <w:t xml:space="preserve">. The drug or biological product is initially introduced into healthy human subjects and tested for safety. In the case of some products for rare diseases, the initial human testing is often conducted in patients.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Phase 2</w:t>
      </w:r>
      <w:r>
        <w:rPr>
          <w:rFonts w:ascii="Times New Roman" w:hAnsi="Times New Roman"/>
          <w:color w:val="000000"/>
          <w:sz w:val="20"/>
        </w:rPr>
        <w:t xml:space="preserve">. The drug or biological product is evaluated in a limited patient population to identify possible adverse effects and safety risks, to preliminarily evaluate the efficacy of the product for specific targeted diseases and to determine dosage tolerance, optimal dosage and dosing schedule.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Phase 3</w:t>
      </w:r>
      <w:r>
        <w:rPr>
          <w:rFonts w:ascii="Times New Roman" w:hAnsi="Times New Roman"/>
          <w:color w:val="000000"/>
          <w:sz w:val="20"/>
        </w:rPr>
        <w:t xml:space="preserve">. Clinical trials are undertaken to further evaluate dosage, clinical efficacy, potency and safety in an expanded patient population at geographically dispersed clinical trial sites. These clinical trials are intended to establish the overall risk/benefit ratio of the product and provide an adequate basis for product labeling. In most cases, the FDA requires two adequate and well-controlled Phase 3 clinical trials to demonstrate the safety and efficacy of the drug or biologic.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other confirmatory evidence. In drugs and biologics for rare diseases where patient populations are small, Phase 3 trials might not be required if substantial evidence of effectiveness and an acceptable risk/benefit profile can be demonstrated from Phase 2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OLE study may also be conducted. An OLE study typically enrolls participants from previous clinical trials and is designed to gather the long-term safety and tolerability data on a potential new medicine beyond the time period of the original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clinical trials, sometimes referred to as Phase 4 clinical trials, may be conducted after initial marketing approval. These clinical trials are used to gain additional experience from the treatment of patients in the intended therapeutic indication in real-world scenarios. They provide additional information regarding risks, benefits and best use, including longer term safety data. In certain instances, the FDA may mandate the performance of Phase 4 clinical trials as a condition of approval of an NDA or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 </w:t>
      </w:r>
    </w:p>
    <w:p>
      <w:pPr>
        <w:pStyle w:val="TextBody"/>
        <w:bidi w:val="0"/>
        <w:spacing w:before="120" w:after="283"/>
        <w:jc w:val="left"/>
        <w:rPr>
          <w:rFonts w:ascii="Times New Roman" w:hAnsi="Times New Roman"/>
          <w:sz w:val="20"/>
        </w:rPr>
      </w:pPr>
      <w:r>
        <w:rPr>
          <w:rFonts w:ascii="Times New Roman" w:hAnsi="Times New Roman"/>
          <w:i/>
          <w:color w:val="000000"/>
          <w:sz w:val="20"/>
        </w:rPr>
        <w:t>U.S. Review and Approval Processes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Prescription Drug User Fee Act, as amended, ("PDUFA") each NDA or BLA may be accompanied by a significant application fee. The applicant for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Within 60 days following submission of the application, the FDA reviews an NDA or BLA submitted to determine if it is substantially complete before the agency files it. The FDA may refuse to file any NDA or BLA that it deems incomplete or not properly reviewable at the time of submission and may request additional information. In this event, the NDA or BLA must be resubmitted with the additional information. The resubmitted application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subject to review before the FDA files it. Once the submission is filed, the FDA begins an in-depth substantive review of the NDA or BLA. The FDA reviews the NDA or BLA to determine, among other things, whether the proposed product is safe and effective (for drugs) or safe, potent, and effective (for biologics), for its intended use, and has an acceptable purity profile, and whether the product is being manufactured in accordance with cGMPs to assure and preserve the product’s identity, safety, strength, quality, potency and purity. One of the performance goals agreed to by the FDA under the PDUFA is to review standard NDAs or BLAs in ten months from filing and priority NDAs or BLAs in six months from filing, whereupon a review decision is to be made. The review process may be extended by three months if the FDA classifies a response to an FDA request for additional information or clarification as a major amendment.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review, the FDA will also determine whether a REMS is necessary to assure the safe use of the biological product. If the FDA concludes a REMS is needed, the sponsor of the NDA or BLA must submit a proposed REMS; the FDA will not approve the NDA or BLA without a REMS, if required.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an NDA or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approval, the manufacturing facilities are subject to periodic inspections by the FDA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FDA expectations, the FDA may restrict supply and may take further action. Annual product reports are required to be submitted annually. Other post-approval requirements applicable to drug and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an NDA or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must also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and biologic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Orphan Drug Designation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Drug Designation ("ODD")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 product available in the United States for this type of disease or condition will be recovered from sales of the product.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that has ODD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showing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for a different indication but that could be used off-label in the orphan indication. Orphan drug exclusivity also could block the approval of our products for seven years if a competitor obtains approval before we do for the same product as defined by the FDA for the same indication we are seeking approval, or if our product is determined to be contained within the competitor’s scope of product for the same indication or disease. If we pursue marketing approval for an indication broader than the orphan drug designation we have received, we may not be entitled to orphan drug exclusivity.</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Expedited Review and Approval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give a priority review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drug and biological products studied for their safety and effectiveness in treating serious or life-threatening illnesses and that provide meaningful therapeutic benefit over existing treatments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with due diligence to verify and describe the predicted effect on irreversible morbidity or mortality or other clinical endpoint, and the drug or biological product may be subject to accelerated withdrawal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Food and Drug Omnibus Reform Act (“FDORA”) was recently enacted,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also provides the FDA increased authority for expedited procedures to withdraw approval of a drug or biologic or indication approved under accelerated approval if, for example, the confirmatory trial fails to verify the predicted clinical benefit of the product. FDORA also enables the FDA to initiate enforcement actions for the failure to conduct with due diligence a required post-approval study, including a failure to meet any required conditions specified by the FDA or to submit timely reports. In addition, the FDA generally requires, unless otherwise informed by the agency, pre-approval of promotional materials, which could adversely impact the timing of the commercial launch of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 sponsor can request designation of a product candidate as a “breakthrough therapy.” A breakthrough therapy is defined as a drug or biologic product that is intended, alone or in combination with one or more other drugs, to treat a serious or life-threatening disease or condition, and preliminary clinical evidence indicates that the drug or biologic product may demonstrate substantial improvement over existing therapies on one or more clinically significant endpoints, such as substantial treatment effects observed early in clinical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must take certain actions, such as holding timely meetings and providing advice, intended to expedite the development and review of an application for approval of a breakthrough therapy.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qualifies for one or more of these programs, the FDA may later decide that the product no longer meets the conditions for qualification or decide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Rare Pediatric Disease Vouchers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Rare Pediatric Disease Voucher Program is intended to encourage development of new drug and biological products for prevention and treatment of certain rare pediatric diseases. Although there are existing incentive programs to encourage the development and study of drugs and biologics for rare diseases, pediatric populations, and unmet medical needs, this program provides an additional incentive for the development of drugs and biologics for rare pediatric diseases, which may be used alone or in combination with other incentive programs. A rare pediatric disease is defined as a disease that is a serious or life-threatening disease in which the serious or life-threatening manifestations primarily affect individuals aged from birth to 18 years, including age groups often called neonates, infants, children, and adolescents; and is a rare disease or condition as defined in the FDCA, which includes diseases and conditions that affect fewer than 200,000 persons in the United States and diseases and conditions that affect a larger number of persons and for which there is no reasonable expectation that the costs of developing and making available the product in the United States can be recovered from sales of the product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 of an application for a drug product that obtains rare pediatric disease designation may be eligible for a voucher that can be used or sold to obtain a priority review for a subsequent application submitted under section 505(b)(1) of the FDCA or section 351 of the PHS Act. A rare pediatric disease drug product must meet certain eligibility requirements for a priority voucher at the time the sponsor seeks approval. The rare pediatric disease priority review voucher program was most recently re-authorized by Congress through September 30, 2024, with the potential for priority review vouchers to be granted through September 30, 2026.</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Pediatric Information and Pediatric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A sponsor who is planning to submit a marketing application for a drug that includes a new active ingredient, new indication, new dosage form, new dosing regimen or new route of administration must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Best Pharmaceuticals for Children Act (“BPCA”), a drug or biologic product can also obtain pediatric market exclusivity in the United States. Pediatric exclusivity, if granted, adds six months to existing exclusivity periods for all formulations, dosage forms, and indications of the active moiety and patent terms for drugs and six months to exclusivity periods for all formulations, dosage forms, and indications for biologic products.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remaining.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Biosimilars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("BPCIA")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the U.S. Department of Health and Human Services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or BLA approval, of the reference product, and no application for a biosimilar can be submitted for four years from the date of licensure of the reference product. 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 is approved if a patent lawsuit is ongoing within the 42-month period.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Regulation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Clinical Trials Regulation (EU) No 536/2014, which replaced the Clinical Trials Directive 2001/20/EC on January 31, 2022, a single application is now made through the Clinical Trials Information System (“CTIS”), for clinical trial authorization in up to 30 European Union/European Economic Area ("EU/EEA") countries at the same time and with a single set of documentation.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will continue to be governed by the national law of the Member State concerned, however overall related timelines are defined by the Clinical Trials Regulation. The new Clinical Trials Regulation also provides for simplified reporting procedures for clinical trial sponsors.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regulatory approval of a product under the European Union's regulatory system, we submit a Marketing Authorization Application ("MAA"), to be assessed in the centralized procedure. The centralized procedure allows applicants to obtain a marketing authorization ("MA") that is valid throughout the European Union and the additional Member States of the European Area (Iceland, Liechtenstein and Norway) ("EEA"). It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compulsory for medicinal products manufactured using biotechnological processes, for orphan medicinal products, for advance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in the European Union. When a company wishes to place on the market a medicinal product that is eligible for the centralized procedure, it sends an application directly to the EMA, to be assessed by the Committee for Medicinal Products for Human Use ("CHMP"). The CHMP is responsible for conducting the assessment of whether a medicine meets the required quality, safety and efficacy requirements, and whether the product has a positive risk/benefit/risk profile. Full copies of the MAA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European Commission has fifteen days to prepare a draft decision. The medicinal product is assigned an EU registration number, which will be placed on its packaging if the MA is granted. During this period, various European Commission directorates-general are consulted on the draft MA decision. There are two other procedures in the European Union for the grant of an MAA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 Where a product has already received an MA in one Member State, another Member State can recognize that MA under the mutual recognition procedure.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(EC) No. 141/2000, as amended, provides that a product may be designated as an orphan medicinal product if its sponsor can establish that it is intended for the diagnosis, prevention, or treatment of life-threatening or chronically debilitating conditions that affect not more than 5 in 10,000 persons in the European Union when the application is made. In addition, orphan designation can be granted if the product is intended for a life threatening, seriously debilitating, or serious and chronic condition in the European Union where without incentives derived from orphan designation.it is unlikely that sales of the product in the European Union would be sufficient to justify the necessary investment in its development. Orphan designation is only available if there is no other satisfactory method approved in the European Union of diagnosing, preventing, or treating the condition, or if such a method exists, the proposed orphan product will be of significant benefit to patients over the existing options. We have obtained orphan drug in the European Union for nomlabofusp.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designation provides opportunities for fee reductions, protocol assistance and access to the centralized procedure in the European Union. Fee reductions are not limited to the first year after an MA for small and medium enterprises. In addition, if a product which has an orphan designation subsequently receives a centralized MA for the indication for which it has such designation, the product is entitled to orphan market exclusivity, which means the regulatory authorities in the European Union may not approve any other application to market a "similar medicinal product" similar drug for the same indication for a period of 10 years. A “similar medicinal product” is defined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Additionally, an MA may be granted to a similar medicinal product for the same indication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applicant can establish that its product, although similar to the authorized orphan product, is safer, more effective or otherwise clinically superior;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 holder of the authorized orphan product consents to a second orphan medicinal product application;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 holder of the authorized orphan product cannot supply enough orphan medicinal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EMA offers a scheme to facilitate development of product candidates in indications, often rare, for which few or no therapies currently exist. The PRIority MEdicines, or PRIME, scheme is intended to encourage drug development in areas of unmet medical need and is intended to reinforce early dialogue with, and regulatory support from, EMA in order to stimulate innovation, optimize development and enable accelerated assessment of such product candidates. It is intended to build upon the scientific advice scheme and accelerated assessment procedure offered by the EMA. The scheme is voluntary and eligibility criteria must be met for a medicine to qualify for PRIME.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PRIME scheme is open to medicines under development and for which the applicant intends to apply for an MA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to establish proof of principle, and first in man studies indicate adequate exposure for the desired pharmacotherapeutic effects and tolerability.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medicine is selected for the PRIME scheme,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Appoints a rapporteur from the CHMP or from the Committee for Advanced Therapies ("CAT") to provide continuous support and to build up knowledge of the medicine in advance of the filing of an MAA;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guidance on the applicant’s overall development plan and regulatory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Organizes a kick-off meeting with the rapporteur and experts from relevant EMA committees and working groups; Provides a dedicated EMA contact person;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Provides scientific advice at key development milestones, involving additional stakeholders, such as health technology assessment bodies and patients, as needed.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study results are deferred, or the medicine is exempt because of a waiver. This requirement also applies when a marketing-authorization holder wants to add a new indication, pharmaceutical form, or route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Agency are free of charge for questions relating to the development of pediatric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aforementioned European Union rules are generally applicable in the EEA.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UK left the European Union on January 31, 2020 and the UK and the European Union concluded a trade and cooperation agreement (“TCA”), which was provisionally applicable since January 1, 2021 and has been formally applicable since May 1, 2021. The TCA includes specific provisions concerning pharmaceuticals, which include the mutual recognition of cGMP, inspections of manufacturing facilities for medicinal products and cGMP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continues to apply in Northern Ireland). Except in respect of the new European Union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UK and European Union pharmaceutical legislation. However, notwithstanding that there is no wholesale recognition of European Union pharmaceutical legislation under the TCA, under the new framework mentioned below which will be put in place by the Medicines and Healthcare products Regulatory Agency (“MHRA”), the UK’s medicines regulator, from January 1, 2024, the MHRA has stated that it will take into account decisions on the approval of MAs from the EMA (and certain other regulators) when considering an application for a Great Britain MA. 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Once the Windsor Framework is approved by the EU-UK Joint Committee, the UK Government and the European Union will enact legislative measures to enact it into law. 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 MAs for centrally authorized products were automatically converted (grand fathered) into UK MAs free-of-charge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now no pre-marketing authorization orphan designation in Great Britain. Instead, the MHRA will review applications for orphan designation in parallel to the corresponding MA application. The criteria are essentially the same, but have been tailored for the GB market, i.e. the prevalence of the condition in GB (rather than the EU) must not be more than 5 in 10,000. Should an orphan designation be granted, the period or market exclusivity will be set from the date of first approval of the product in GB or EU/European Economic Area, wherever is earliest.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apply for access to the UK’s Innovative Licensing and Access Pathway (“ILAP”) which aims to accelerate the time to market and facilitate patient access to certain types of medicinal products in development which target a life-threatening or seriously debilitating condition, or where there is a significant patient or public health need in the UK. To access the ILAP, an applicant applies for an Innovation Passport designation. Once an Innovation Passport designation is granted, the MHRA and its partner agencies (including The All Wales Therapeutics and Toxicology Centre, National Institute for Health and Care Excellence and the Scottish Medicines Consortium) will work with the Innovation Passport designee to define a Target Development Profile, (“TDP”).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TDP sets out a unique product-specific roadmap towards patient access in the UK and provides access to a toolkit to support all stages of the design, development and approvals process, including continuous benefit-risk assessment, increased support for novel development approaches and enhanced patient engagement. However, although the goal of the ILAP is to reduce the time to market and enable earlier patient access, access does not accelerate conduct of clinical trials or mean that the regulatory requirements are less stringent, nor does it ensure that a marketing authorization application will be approved or that any approval will be granted within a particular timeframe or at all.</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Healthcare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tend to follow CMS to a substantial degree. Factors payors consider in determining reimbursement are based on whether the product is a covered benefit under its health plan; safe, effective and medically necessary; appropriate for the specific patient; cost-effective; and neither experimental nor investigational. Increasingly, third-party payors are requiring that drug companies provide them with predetermined discounts from list prices and are challenging the prices charged for medical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We cannot be sure that reimbursement will be available for any of our product candidates that we commercialize and, if reimbursement is available, the level of reimbursement.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Healthcare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knowingly and willfully, directly or indirectly, soliciting, receiving, offering, or paying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 The ACA amended the federal Anti-Kickback Statute such that a violation of that statute can serve as a basis for liability under the federal civil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their implementing regulations, impose obligations on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enacted as part of the ACA, and its implementing regulations requires certain manufacturers of approved drugs, devices, biologics and medical supplies for which payment is available under Medicare, Medicaid or the Children’s Health Insurance Program, with specific exceptions, to collect and report annually to the Centers for Medicare and Medicaid Services, the agency that administers the Medicare and Medicaid programs ("CMS") information related to payments or other transfers of value made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Certain states and local jurisdictions also require the registration of pharmaceutical sales representatives. Further, certain states require the posting of information relating to clinical studies and their outcomes. A growing number of states require the reporting of certain drug pricing information, including information pertaining to and justifying price increases and the price set for newly launched drugs, or to prohibit prescription drug price gouging. We may also be subject to state and foreign laws governing the privacy and security of health information, many of which differ from each other in significant ways and often are not preempted by HIPAA.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At the state level, numerous states have or are in the process of enacting or considering comprehensive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state-level data privacy and security laws, rules and regulations while other states have focused on more narrow aspects of privacy. In the state of Washington, for example, the My Health My Data Act will require regulated entities to obtain consent to collect health information, grant consumers certain rights, including to request deletion of their information, and provide for robust enforcement mechanisms, including enforcement by the Washington state attorney-general and a private right of action for consumer claims. Other states have also enacted, proposed, or are considering proposing, data privacy laws, which could further complicate compliance efforts, increase our potential liability and adversely affect our business. Additionally, to the extent that our product is sold in a foreign country, we may be subject to similar foreign laws. </w:t>
      </w:r>
    </w:p>
    <w:p>
      <w:pPr>
        <w:pStyle w:val="TextBody"/>
        <w:bidi w:val="0"/>
        <w:spacing w:before="120" w:after="283"/>
        <w:jc w:val="left"/>
        <w:rPr>
          <w:rFonts w:ascii="Times New Roman" w:hAnsi="Times New Roman"/>
          <w:sz w:val="20"/>
        </w:rPr>
      </w:pPr>
      <w:r>
        <w:rPr>
          <w:rFonts w:ascii="Times New Roman" w:hAnsi="Times New Roman"/>
          <w:i/>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CMS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although private payors have their own methods and approval process apart from Medicare determinations, any reduction in reimbursement that results from federal legislation or regulation may result in a similar reduction in payments from private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Affordable Care Act substantially changed the way healthcare is financed by both governmental and private insurers, included provisions that affected the pharmaceutical industry. Among other things, the Affordable Care Act expanded manufacturers’ rebate liability under the Medicaid Drug Rebate Program, expanded the 340B program, and increased the amount of Medicaid drug rebates manufacturers are required to pay to states. Since that time, several healthcare reform proposals recently culminated in the enactment of the Inflation Reduction Act (“IRA”) in August 2022, which, among other things, allows HHS to directly negotiate the selling price of a statutorily specified number of drugs and biologics each year that CMS reimburses under Medicare Part B and Part D. Only high-expenditure single-source biologics that have been approved for at least 11 years (7 years for drugs) can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The IRA also extends enhanced subsidies for individuals 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biopharmaceutical industry and the pricing of prescription drug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5" w:name="item1ariskfactors_798482"/>
      <w:bookmarkEnd w:id="5"/>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consider carefully the following risks and uncertainties when reading this Annual Report on Form 10-K, as well as the other information contained herein, including our audited consolidated financial statements and the related notes and the section titled “Management’s Discussion and Analysis of Financial Condition and Results of Operation.” If any of the following risks occur, our business, financial condition and results of operations</w:t>
      </w:r>
      <w:r>
        <w:rPr>
          <w:rFonts w:ascii="Times New Roman" w:hAnsi="Times New Roman"/>
          <w:color w:val="000000"/>
          <w:sz w:val="20"/>
        </w:rPr>
        <w:t xml:space="preserve"> </w:t>
      </w:r>
      <w:r>
        <w:rPr>
          <w:rFonts w:ascii="Times New Roman" w:hAnsi="Times New Roman"/>
          <w:i/>
          <w:color w:val="000000"/>
          <w:sz w:val="20"/>
        </w:rPr>
        <w:t>could be materially and adversely affected.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In that event, the trading price of our common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incur continued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the development of nomlabofusp. We have incurred significant losses in each year of operation since our inception in 2016. For the years ended December 31, 2023 and 2022, we had net losses of $36.9 million and $35.4 million, respectively, and, as of December 31, 2023, we had an accumulated deficit of $188.6 million and we expect to continue to incur significant expenses and net operating losses ("NOLs")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 nomlabofusp.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clinical development efforts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in the United States and in foreign jurisdictions for our product candidates that successfully complete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sales, marketing, distribution and other commercial infrastructure to commercialize various products for which we may obtain marketing approval,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for the manufacture of larger quantities of product candidates for clinical development and potentially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personnel, such as clinical, manufacturing, quality control, regulatory and finance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any delays or encounter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sales, marketing or medical affairs infrastructure and have no experience in the sales, marketing, or distribution of pharmaceutical products. Assuming nomlabofusp ultimately is approved for marketing in the US and elsewhere, we will need to establish commercial capabilities as well as customer service and support, logistics, and other related functions, or make arrangements with third parties to perform these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losses and negative cash flows have had, and will continue to have, an adverse effect on our liquidity and potentially the ability for us to raise capital due to our unfavorable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no commercial revenue and may never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commercial revenue. Our ability to generate revenue and become profitable depends upon our ability to obtain regulatory approval for, and to successfully commercialize, nomlabofusp or other product candidates that we may develop, in-license or acquire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will require success in a range of challenging activities, including completing numerous clinical trials of nomlabofusp or any future product candidates, obtaining marketing approval for nomlabofusp and any future product candidates, manufacturing, marketing and selling those products for which we, or any future collaborators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partners, may obtain marketing approval, satisfying any post-marketing requirements and obtaining reimbursement for our products from private insurance and/or government payors. Even if we are able to successfully achieve the above, we do not know what the reimbursement status of nomlabofusp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nomlabofusp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nomlabofusp or any future product candidates also depends on a number of additional factors, including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complete development activities, including the remaining non-clinical studies and planned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and submit BLAs to the FDA and MAAs to the EMA and obtain regulatory approval for indications for which there is a commercial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and submit applications to, and obtain regulatory approval from, other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or have manufactured any approved products in commercial quantities and on commercially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 commercial organization, or find suitable partners, to market, sell and distribute approved products in the markets in which we have retained commercialization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achieve acceptance among patients, clinicians and advocacy groups for any products we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coverage and adequate reimbursement from third parties, including government payors;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set a commercially viable price for any products for which we may receive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nomlabofusp or any of our future product candidates. Even if we achieve profitability in the future, we may not be able to sustain profitability in subsequent periods. Our failure to become and remain profitable could decrease the value of our business and could impair our ability to raise capital, maintain our discovery and 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need to raise additional funding to complete the development and commercialization of nomlabofusp. This funding may not be available on acceptable terms, or at all. Failure to obtain this necessary capital when needed would force us to delay, limit or terminate our product development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our existing cash, cash equivalents and marketable securities were $86.8 million, excluding restricted cash of $1.3 million. In February 2024, we completed an underwritten public offering of 19,736,842 shares of our common stock at an offering price of $8.74 per share with net proceeds, after deducting underwriting commissions and offering costs, of approximately $161.6 million. Together with our existing cash, cash equivalents and marketable securities, we have adequate resources to fund our operations into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spend substantial and increasing amounts to conduct clinical trials of nomlabofusp and further research and development activities for nomlabofusp, and for any additional product candidates that we may develop, in-license or acquire in the future. In addition, raising funds in the current economic environment may present substantial challenges, and our expenses will increase as we expand, through development, in-license or acquisition, 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 collaborator. Accordingly, we will need to obtain additional funding in connection with our continuing operations. Our current cash, cash equivalents and marketable securities may not be sufficient to fund all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that we plan to undertake or to fund the completion of the development and commercialization of nomlabofusp. Accordingly, we may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additional capital is needed to complete the development and commercialization of nomlabofusp, 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financial condition and prospects. In addition, geopolitical tension including, for example, the broader impact of the ongoing conflict between Russia and Ukraine and the current conflict in Israel and Gaza (including any escalation or expansion), and the impact of a future pandemic, epidemic or outbreak of an infectious disease, such as COVID-19, or recent liquidity constraints, failures and instability in U.S. and international financial banking systems on the global financial markets may reduce our ability to access capital, which could negatively affect our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additional capital is needed to complete the development and commercialization of nomlabofusp, and 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nomlabofusp or other product candidates that we may develop, in-license or acquire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raise additional funds through strategic partnerships and alliances and licensing arrangements with third parties, we may have to relinquish valuable rights, including future revenue streams, to nomlabofusp or other product candidates that we may develop, in-license or acquire in the future, or grant licenses on terms that are not favorable to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use our NOLs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NOL carryforwards that expire for U.S. federal income tax purposes of $179.0 million, a portion of which begin to expire in 2026. Our NOLs could expire unused and be unavailable to offset future income tax liabilities because of their limited duration or because of restrictions under U.S. tax law. NOLs generated in taxable years beginning before January 1, 2018 are permitted to be carried forward for 20 taxable years under applicable U.S. federal income tax law. Under current U.S. federal income tax law, NOLs arising in tax years beginning after December 31, 2020 may not be carried back. Moreover, NOLs generated in taxable years beginning after December 31, 2017 may be carried forward indefinitely. As of December 31, 2023, the Company had federal net operating loss carryforwards that were generated after December 31, 2017 of $140.3 million that do not expire, however these carryforwards are limited to 80% of the taxable income in any one tax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general, under Section 382 of the Internal Revenue Code (the "Code") if a corporation undergoes an “ownership change,” generally defined as a greater than 50% change (by value) in its equity ownership over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three-year period, the corporation’s ability to use its pre-change NOLs and other pre-change tax attributes (such as capitalized research and development costs and research tax credits) to offset its post-change income may be limited. We believe that as a result of our merger with Zafgen, our ability to utilize NOLs acquired in the transaction and our other NOLs is expected to be severely limited by Section 382 of the Code. Additionally, our July 2021, September 2022 and February 2024 equity transactions could also limit our ability to utilize NOLs in the future.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and would adversely affect our business, financial condition and results of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and regulations may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under Section 174 of the code, in taxable years beginning after December 31, 2021, expenses that are incurred for research and development in the U.S. are capitalized and amortized, which may have an adverse effect on our cash flow. In addition, it is unclear how these U.S. federal income tax changes will affect state and local taxation. Generally, future changes in applicable U.S. tax laws and regulations, or their interpretation and application could have an adverse effect on our business, financial conditions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Product Development and Regulatory Approvals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has placed a partial clinical hold on nomlabofusp and there is uncertainty as to when, or if, the FDA will lift the partial clinical hold on our nomlabofusp program, or if it will ever allow further clinical development of nomlabofusp beyond our currently ongoing OLE study at the 25 mg dose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extended dosing of patients with nomlabofusp, we conducted a 26-week NHP toxicology study. In May 2021, we notified the FDA of certain mortalities which occurred at the two highest dose levels in the then ongoing study. On May 25, 2021, the FDA placed a clinical hold on the nomlabofusp clinical program. In the clinical hold letter, the FDA stated that it needed to review a full study report from the then-ongoing NHP study and 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enrolling or enrolled.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2022, in response to the complete response to clinical hold, we submitted to the FDA, the FDA stated that it was maintaining the clinical hold and that additional data were needed to resolve the clinical hold. We subsequently submitted a request to the FDA for a Type C meeting, which was granted and held in July 2022. We submitted a complete response to clinical hold incorporating additional information requested by the FDA at the meeting as well as information on the proposed study in August 2022.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2022, following the Type C meeting and the submission of the complete response to clinical hold, the FDA allowed the 25 mg cohort of a Phase 2, four-week, placebo-controlled, dose exploration trial of nomlabofusp in FA patients discussed above to proceed. In connection with this decision, the FDA lifted its full clinical hold on the nomlabofusp clinical development program and imposed a partial clinical hold.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met with the FDA. Following that meeting, we submitted a complete response to the FDA’s partial clinical hold that included unblinded safety, PK and frataxin data from the Phase 2 trial’s completed 25 mg cohort.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following the FDA’s review of our complete response to the partial clinical hold, the FDA cleared initiation of a second cohort (50 mg) in our four-week, placebo-controlled, Phase 2 dose exploration trial and the initiation of our OLE trial with daily dosing of 25 mg.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we initiated the OLE trial evaluating daily subcutaneous injections of 25 mg of nomlabofusp self-administered or administered by a caregiver, with the first patient dosed in March 2024. Dose escalation in the OLE trial will be considered based on safety, tolerability, PK, and tissue FXN levels from the Phase 2 trial’s 50 mg cohort as well as available data from the 25 mg dose of nomlabofusp in the OLE trial, and is contingent on FDA review as part of the partial clinical hold. Initial data from the OLE trial is expected in the fourth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reported positive top-line data and successful completion of both the 25 mg cohort and the 50 mg cohort of our four-week, placebo-controlled Phase 2 dose exploration study of nomlabofusp in participants with FA. Nomlabofusp was generally well tolerated and demonstrated dose dependent increases in FXN levels in all evaluated tissues (skin and buccal cells) after daily dosing of 14 days followed by every other day dosing until day 28 in the 25 mg and 50 mg cohorts.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may be adversely affected if the FDA partial clinical hold does not enable the development program to proceed as planned, if the FDA places a full clinical hold on the development of nomlabofusp, or, if additional non-clinical or clinical studies are required. This may cause significant delays or expense in developing nomlabofusp.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success is currently dependent upon the success of our lead product candidate, nomlabofusp. We cannot be certain that data from both cohorts of our Phase 2 dose exploration study augmented by data from the OLE trial will provide the FDA with adequate data to remove the partial clinical hold on nomlabofusp, allow the nomlabofusp development program to proceed as planned in part or in full, or that we will ultimately be successful with our clinical development or that we will be ever able to obtain regulatory approval for nomlabofusp.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drug products for sale and our business is currently wholly dependent on our successful clinical development, regulatory approval and commercialization of nomlabofusp, our lead product candidate and our only product candidate in clinical development, for which we have completed two Phase 1 studies and a four-week, placebo-controlled Phase 2 dose exploration study in patients with FA. In January 2024, as permitted by the FDA, we initiated the OLE trial evaluating daily subcutaneous injections of 25 mg of nomlabofusp self-administered or administered by a caregiver, with the first patient dosed in March 2024. Participants who completed treatment in the Phase 2 dose exploration trial, or who previously completed a prior clinical trial of nomlabofusp are potentially eligible for the OLE. Dose escalation in the OLE trial will be considered based on safety, PK, and tissue FXN levels from the 25 mg dose of nomlabofusp in the OLE trial, as well as other data from the Phase 2 trial’s 50 mg cohort, and is contingent on FDA review as part of the partial clinical hold. We cannot provide any assurance that the data from our Phase 1 and Phase 2 trials augmented by data from the OLE trial will prove the FDA with adequate data to remove the partial clinical hold, allow us to continue our development of nomlabofusp, or that we will ultimately be successful in our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regulatory and manufacturing hurdles faced by our product candidate, the administration of a protein such as nomlabofusp, may cause an immune response, resulting in the creation of antibodies directed against the protein. These anti-drug antibodies can have no effect or can neutralize the effectiveness of the protein or require that higher doses be used to obtain a therapeutic effect. Neutralizing antibodies may be detected at a later date or upon longer exposure periods and there can be no assurance that neutralizing antibodies will not be detected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efforts to develop and commercialize nomlabofusp for the treatment of FA are unsuccessful, or we experience significant delays in doing so, our business could also be substantially harmed. The success of nomlabofusp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our IND with the FDA in order to continue to conduct clinical trials in the United States, including our ability to expand to higher doses or have the partial clinical hold lifted by the FDA on a timely basis,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submitting a BLA for accelerated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recruiting, enrolling and retaining patients in and completing any clinical trials, if allowed to continue, including trials in pediatric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long-term chronic daily dosing safety, tolerability and efficacy profiles that are satisfactory to the FDA, EMA and other comparable regulatory authorities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completing all necessary toxicology studies to support clinical development and regulatory approval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receiving timely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the extent and cost of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third-party manufacturers for nomlabofusp, including developing, validating and maintaining a commercially viable manufacturing process that is compliant with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scientists and business people who can develop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protecting our patents, trade secrets and regulatory exclusivity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launching commercial sales following any marketing approval, including establishing a specialty sales organization, or successfully partnering with another organization,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commercial acceptance of our product candidates, if approved, by patients, the medical community and third-party payors and obtaining and maintaining healthcare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following any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with other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nomlabofusp for sale and marketing, and even if nomlabofusp is ultimately approved, regulatory approval may be delayed or limited in the United States or in other jurisdictions. Even if we are authorized to sell and market nomlabofusp in one or more markets, there is no assurance that we will be able to successfully market nomlabofusp or that nomlabofusp will achieve market acceptance sufficient to generate profits. If we are unable to successfully develop and commercialize nomlabofusp due to failure to obtain regulatory approval for nomlabofusp, to successfully market nomlabofusp, to generate profits from the sale of nomlabofusp, or due to other risk factors outlined in this report, it would have material adverse effects on our business, financial condition, and results of operations as nomlabofusp is currently our sole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have a program of toxicology studies in animals for nomlabofusp and cannot provide assurance that the findings from such studies or any ongoing or future clinical trials will not adversely affect the clinical development of nomlabofusp. For the foregoing reasons, we cannot be certain that our non-clinical studies and clinical trials will be successful. If non-clinical studies or clinical trials for nomlabofusp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any ongoing or future clinical trials for nomlabofusp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IRBs or ethics committees, an independent data monitoring committee, or safety review committee, overseeing the clinical trial at issue or other regulatory authorities due to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conduct the clinical trial in accordance with regulatory requirements or our clinical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safety issues, including any that could be identified in our prior or future toxicology studies, adverse events or lack of effectiveness;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government regulations or administrative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with clinical supply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FDA-approved therapeutics for FA, other clinical trial programs for similar indications, and the resurgence of vaccine resistant, more deadly or more contagious variants of COVID-19</w:t>
      </w:r>
      <w:r>
        <w:rPr>
          <w:color w:val="FF0000"/>
        </w:rPr>
        <w:t xml:space="preserve"> </w:t>
      </w:r>
      <w:r>
        <w:rPr>
          <w:rFonts w:ascii="Times New Roman" w:hAnsi="Times New Roman"/>
          <w:color w:val="000000"/>
          <w:sz w:val="20"/>
        </w:rPr>
        <w:t>and the efforts to mitigate those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retaining or recruiting clinical investigators in our ongoing or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retaining patients who have enrolled in a clinical trial but may be prone to withdraw due to rigors of the clinical trial, perceived lack of efficacy, side effects, screening and monitoring measures, personal issues or loss of interest;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severe, serious or unexpected drug-related adverse events experienced by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negative effects of chronic long-term daily patient dosing;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and subjects may deviate from trial protocol or drop out of a trial;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from non-clinical studies or clinical testing of other therapies that raise safety or efficacy concerns.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Failures or delays in the completion of our clinical trials could result in increased costs and could delay, prevent or limit our ability to generate revenue and continue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lead product candidate nomlabofusp, we have completed two Phase 1 clinical trials in patients with FA and our four-week, placebo-controlled Phase 2 dose exploration study of nomlabofusp in FA patients. The FDA has agreed that we may commence our OLE study in patients who previously participated in one of our previous nomlabofusp clinical trials at the 25 mg level. We cannot be certain that data from both cohorts of our Phase 2 dose exploration study augmented by data from the OLE study will provide the FDA with adequate data to remove the current partial clinical hold on nomlabofusp.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also be delayed or terminated as a result of safety issues in non-clinical or clinical trials, ambiguous or negative interim results or events outside of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future clinical trials of nomlabofusp fail or further delays occur in the United States and or other countries, we may not be able to develop and commercialize nomlabofusp and could fail to realize the potential advantages of doing so, and it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disruptions caused by future pandemic, epidemic or outbreak of an infectious disease, such as the COVID-19 pandemic may increase the likelihood that we encounter such difficulties or delays in initiating, enrolling, conducting or completing our planned and ongoing clinical trials. Further, FA is a rare disease, there are a limited number of patients in close proximity to clinical trial sites and clinical trial patients may need to travel from other countries to the clinical trial sites in order to participate. In addition, given the limited number of FA patients, the recent approval of a competing therapy for the treatment of FA may make patients less likely to enroll in our clinical trials or less likely to be eligible for our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our efforts to identify, discover or acquire additional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only have one product candidate nomlabofusp in clinical development, although we have other product candidates in pre-clinical development.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no marketed proprietary products and have not yet advanced a product candidate beyond Phase 2 clinical trials, which makes it difficult to assess our ability to develop nomlabofusp or any future product candidates and commercialize any resulting products independently.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little experience in later stage clinical development, and related regulatory requirements or the commercialization of products. As a result, we have not yet demonstrated our ability to independently and repeatedly conduct clinical development after Phase 1, successfully conduct an international multi-center clinical trial, conduct a pivotal clinical trial, obtain regulatory approval, manufacture drug product on a commercial scale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arrange for a third party to do so on our behalf,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the FDA's permission to continue with the clinical development of nomlabofusp beyond our currently ongoing OLE study at the 25 mg dose level;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execute our clinical development plans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required regulatory approvals in each jurisdiction in which we will seek to commercialize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and maintain appropriate sales, distribution and marketing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market acceptance, including reimbursement, for our future products, if 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our spending as costs and expenses increase due to clinical trials, regulatory approvals and commercialization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cannot be certain that we will be able to successfully complete clinical trials for nomlabofusp or any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advanced only one product candidate into clinical development, nomlabofusp. Our business currently depends primarily on nomlabofusp’s successful clinical development, regulatory approval and commercialization. We submitted our IND and it was accepted, permitting the conduct of clinical trials. We completed two Phase 1 and our four-week, placebo-controlled Phase 2 dose exploration study. As a result of certain mortalities in a non-clinical study of NHPs, the FDA issued a clinical hold in May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2022, following a Type C meeting and the submission of our complete response to the partial clinical hold, the FDA allowed the 25 mg cohort of a Phase 2, four-week, placebo-controlled, dose exploration trial of nomlabofusp in FA patients to proceed. In connection with this decision, the FDA lifted its full clinical hold on the nomlabofusp clinical development program and imposed a partial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met with the FDA. Following that meeting, we submitted a complete response to the FDA’s partial clinical hold that included unblinded safety, PK and frataxin data from the Phase 2 trial’s completed 25 mg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2023, following the FDA’s review of our complete response to the partial clinical hold, the FDA cleared initiation of a second cohort at 50 mg of our four-week, placebo-controlled, Phase 2 dose exploration trial and to initiate our OLE trial with daily dosing of 25 mg.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reported positive top-line data and successful completion of our four-week, placebo-controlled Phase 2 dose exploration study of nomlabofusp in participants with FA.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The initiation of additional U.S. clinical trials evaluating nomlabofusp are contingent on FDA review of data under the partial clinical hold.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agreed that we may commence our OLE study in patients who previously participated in one of our previous nomlabofusp clinical trials at the 25 mg level dosed daily. We cannot be certain that data from both cohorts of our Phase 2 dose exploration study augmented by data from the OLE study will provide the FDA with adequate data to remove the current partial clinical hold on nomlabofusp, allow the nomlabofusp development program to proceed as planned in part or in full, or that we will ultimately be successful with our clinical development or that we will be ever able to obtain regulatory approval for.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clinical development of any product candidate, the outcome of toxicology studies and early clinical trials may not be positive and may not be predictive of the success of later non-clinical studies or clinical trials. Adverse toxicology or safety results could lead to clinical holds or other developmental delays. Interim results of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trials do not necessarily predict success in those or future clinical trials. Success in adult clinical trials may not predict the outcome of pediatric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Published clinical data or case reports from third parties or early clinical trial data of nomlabofusp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nomlabofusp is the only protein replacement therapy being developed for the treatment of FA and therefore non-clinical studies may not be adequate to predict efficacy in a clinical trial due to our novel protein replacement therapy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nomlabofusp, the development timeline and regulatory approval and commercialization prospects for nomlabofusp, and, correspondingly, our business, financial prospects and results of operation would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nomlabofusp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FDA, EMA or foreign regulatory authorities may disagree with the extent of population exposure to assess clinical safety.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nomlabofusp or any future product candidates for a narrower indication than we may request or may grant approval contingent on the performance of costly post-marketing clinical trials.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difficulties identifying and enrolling patients in our clinical trials given the limited number of patients who have the disease for which nomlabofusp is being studied or for any other product candidate we may study in the future. Difficulty in enrolling patients could delay or prevent clinical trials of nomlabofusp or any future product candidate. There are also competing FA therapeutics, other competing studies and potentially other FA therapeutics that could be approved</w:t>
      </w:r>
      <w:r>
        <w:rPr>
          <w:rFonts w:ascii="Times New Roman" w:hAnsi="Times New Roman"/>
          <w:color w:val="FF0000"/>
          <w:sz w:val="20"/>
        </w:rPr>
        <w:t xml:space="preserve"> </w:t>
      </w:r>
      <w:r>
        <w:rPr>
          <w:rFonts w:ascii="Times New Roman" w:hAnsi="Times New Roman"/>
          <w:b/>
          <w:i/>
          <w:color w:val="000000"/>
          <w:sz w:val="20"/>
        </w:rPr>
        <w:t>that may also limit the availability of prospective participants in nomlabofusp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and qualifying patients to participate in clinical trials of nomlabofusp is critical to our success. The timing of our clinical trials depends in part on the speed at which we can recruit patients to participate in testing nomlabofusp, and we may experience delays in our clinical trials if we encounter difficulties in enrollment, such as difficulties with enrollment in pediatric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conditions for which we are planning to evaluate nomlabofusp and any product candidates we may evaluate in the future, are rare genetic diseases. Accordingly, there are limited patient pools from which to draw for clinical trials. Arranging for investigative sites and recruiting patients for clinical trials in this disease may be very difficult. The recent FDA approval of a product for the treatment of FA may impact our ability to enroll patients in our clinical trials as patients using other FA treatments may be excluded from participation in our nomlabofusp studies or may be less likely to participate in our nomlabofusp clinical trials due to the availability of another FA therapy. If other companies are studying their investigational products in Friedreich’s ataxia and/or if other companies have their products approved for the treatment of FA, it may be more difficult to enroll eligible patients into our clinical trials. Competing priorities at sites and participation of subjects in other studies may limit our ability to execute clinical trials in a timely fashion, if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rarity of FA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approved and competing therapies and clinical trials can also adversely impact enrollment. Furthermore, our inability to enroll 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nomlabofusp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nomlabofusp, which could cause the value of our company to decline and limit our ability to obtain additional financing, if needed. Any of these occurrences may harm our business, financial condition,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 has no FDA-approved therapies that address frataxin deficiency, which is the underlying cause of the disease, and clinical endpoints required to obtain approval are not well defined.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currently no FDA-approved products to treat FA that are designed to increase frataxin levels. We have concentrated our research and development efforts on developing a novel, FA therapy designed to address frataxin deficiency, which is the underlying cause of the disease, and our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we had discussions with the FDA regarding the use of tissue FXN levels as a novel surrogate endpoint. The FDA has acknowledged that frataxin deficiency appears to be critical to the pathogenic mechanism of FA, and that there continues to be an unmet need for treatments for FA patients that address the underlying disease pathophysiology. We intend to pursue an accelerated approval using FXN levels, supportive PD and clinical information, and safety data from the OLE study, along with additional non-clinical pharmacology information needed to support the novel surrogate endpoint approach. We are beginning to plan for a confirmatory study and are targeting a BLA submission in the second half of 2025. The FDA or other regulatory authorities may not agree with this approach.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the United States, the United Kingdom and the European Union have not issued definitive guidance as to how to measure and achieve efficacy in treatments for FA. As a result, the design and conduct of clinical trials of nomlabofusp may take longer, be more costly or be less effective as part of the novelty of development in FA. The FDA may not accept that the supportive PD and clinical information, and safety data from the OLE study, along with additional non-clinical pharmacology data we ultimately submit in our BLA, adequately supports the use of FXN levels as a novel surrogate endpoint. Even if the FDA supports the use of FXN levels as a novel surrogate endpoint, the FDA may not agree with the adequacy of the design of clinical trials intended to assess this novel surrogate endpoint.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applicable regulatory authorities do not object to our proposed endpoints in an earlier stage clinical trial, such regulatory authorities may require evaluation of additional or different clinical endpoints in later-stage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Nomlabofusp, including the effects of long-term daily patient dosing, may cause adverse events or undesirable side effects in clinical trials that could delay or prevent its regulatory approval, limit the commercial profile of approved labeling, or result in significant negative consequences following regulatory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adverse events or undesirable side effects caused by, or other unexpected properties of, nomlabofusp in non-clinical or clinical studies could cause us, any future collaborators, an IRB or ethics committee or regulatory authorities to interrupt, delay or halt clinical trials of our product candidate and could result in a more restrictive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label or the delay or denial of regulatory approval by the FDA or other regulatory authorities. Should the FDA permit us to continue with the clinical development of nomlabofusp, it is possible that as we progress nomlabofusp through clinical trials and toxicology studies, or as the use of nomlabofusp becomes more widespread if it receives regulatory approval, illnesses, injuries, discomforts and other adverse events that were not observed in earlier trials, as well as conditions that did not occur or went undetected in previous trials, may be reported by patients. If such side effects become known later in development or after approval, such findings may harm our business, financial condition and prospects significantly. Further, if a serious safety issue is identified in connection with the use of nomlabofusp commercially or in third-party clinical trials elsewhere, such issues may adversely affect the development potential of nomlabofusp elsewhere or result in regulatory authorities restricting our ability to develop or commercialize nomlabofusp,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nomlabofusp were to receive marketing approval and we or others identify undesirable side effects caused by the product (or any other product) after the approval,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request that we recall or withdraw the product from the market or may limit the approval of the product through labeling or other means;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“boxed” warning or a contraindication or a precaution, or labeling restrictions based on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distributed or administered, conduct additional clinical trials or change the labeling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decide to recall or remove the product from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or held liable for injury caused to individuals exposed to or taking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required to conduct expensive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lose our commercial market opportunity and our revenues could decrease substantially;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the public perception of the safety of nomlabofusp;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 and physicians or patients might be less likely to use our product or may refer patients to products produced by our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 In addition, the patient populations under investigation with nomlabofusp have many co-morbidities that may cause severe illness or death unrelated to our product candidate, which may be attributed to nomlabofusp in a manner that negatively affects the safety profile of our product candidate.</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preliminary or “top-line”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interim, preliminary or “top-line” data and final data could significantly harm our business, financial condition, results of operations and prospects.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approach to discover and develop fusion proteins for delivering proteins is novel and may never lead to marketable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Nomlabofusp uses a novel and unproven approach and mechanism to treat FA and therefore its efficacy and safety are difficult to predict, and there is no guarantee that nomlabofusp will be approved by the FDA, the EMA, or any other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nomlabofusp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fusion proteins, such as nomlabofusp and any fusion protein candidates, is technically complex and necessitates substantial expertise and capital investment. Production difficulties caused by unforeseen events may delay the availability of material for clinical trials and commercial products for nomlabofusp or any 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Fast track designation by the FDA or any future expedited program designations may not lead to a faster development, regulatory review or approval process and it does not increase the likelihood that any of our product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fast track therapy designation for nomlabofusp for the treatment of FA. We may, in the future, apply for other expedited program designations from the FDA (such as breakthrough therapy) for nomlabofusp or future product candidates. Designation for these programs is within the discretion of the FDA. Accordingly, even if we believe nomlabofusp or a future product candidate meets the criteria for designation,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may disagree. The receipt of a designation may not result in a faster development process, review or approval compared to products considered for approval without these expedited program designations and, in any event, does not assure ultimate approval by the FDA. In addition, even though nomlabofusp has obtained fast track designation, the FDA may later decide that it no longer meets the criteria for designation and revoke it. Approval of other therapies for the treatment Friedreich’s ataxia could negatively impact our continued fast track therapy designation for nomlabofusp for the treatment of FA. In addition, if we apply to the FDA for other designations for nomlabofusp or future product candidates, the FDA might not grant such designations. If we apply for any similar programs in foreign countries for nomlabofusp or future product candidates, those designations also might not be granted by the regulatory authorities of those countries. Any of the above could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intend to pursue accelerated approval from FDA for nomlabofusp for the treatment of Friedreich’s ataxia, however this may not lead to a faster development or regulatory review or approval process and does not increase the likelihood that we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pursue an accelerated approval from FDA for nomlabofusp for the treatment of FA using FXN levels, supportive pharmacodynamic and clinical information and safety data from the OLE study, along with additional non-clinical pharmacology information needed to support our surrogate biomarker approach.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Although we have initiated discussions with FDA concerning our surrogate biomarker approach, there can be no assurance that data we intend to generate will be successful in establishing that increases in FXN levels are reasonably likely to predict clinical benefit. In addition, future nonclinical pharmacology and clinical studies may not provide adequate information or may fail to support the predictive value of increases in FXN and, therefore, its ability to serve as a surrogate endpoint. Even if these evidentiary requirements are met, we may not be able to accrue adequate exposures to assess clinical safety or expedite the scale up of manufacturing or meet other CMC requirements in a timeframe commensurate with the expedited assessment of clinical efficacy.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other therapies for the treatment of FA, including the approval of omaveloxolone for the treatment of FA, could negatively impact our ability to utilize the accelerated approval pathway, and/or get approval for nomlabofusp.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FDA may withdraw approval of any product candidate approved under the accelerated approval pathway if, for example: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trial or trials required to verify the predicted clinical benefit of the product candidate fail to verify such benefit or do not demonstrate sufficient clinical benefit to justify the risks associated with such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evidence demonstrates that the product candidate is not shown to be safe or effective under the conditions of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fail to conduct any required post-approval trial of our product candidate with due diligence;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disseminate false or misleading promotional materials relating to the relevant product candidate.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approval pathway has come under scrutiny within the FDA and by Congress. The FDA has put increased focus on ensuring that confirmatory studies are conducted with diligence and, ultimately, that such studies confirm the benefit. In addition, the Food and Drug Omnibus Reform Act (“FDORA”), included provisions related to the accelerated approval pathway. Pursuant to FDORA, the FDA is authorized to require, as appropriate, that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also gives the FDA increased authority to withdraw approval of a drug or biologic granted accelerated approval on an expedited basis if the sponsor fails to verify the drug or biologic’s predicted clinical benefit. FDORA enables the FDA to initiate enforcement action for a sponsor's failure to conduct with due diligence a required post-approval study, including a failure to meet any required conditions specified by the FDA or to submit timely reports.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orphan drug designation or other regulatory exclusivity for nomlabofusp or obtain such exclusivity for any of our other product candidates in the future, our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received orphan drug designation from the FDA for nomlabofusp for the treatment of FA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or BLA,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In the case of a biological product, whether a drug is the same drug is based on the principal molecular structural features of the product. Orphan drug designation neither shortens the development time or regulatory review time of a drug nor gives the drug any advantage in the regulatory review or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 Further, even after an orphan drug is approved, the FDA or comparable foreign regulatory authority can subsequently approve another drug for the same condition if such regulatory authority concludes that the later drug is clinically superior, if it is shown to be safer, more effective or makes a major contribution to patient care.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received orphan drug designation for nomlabofusp in the European Union. In the European Union, the European Medicines Agency, or EMA’s Committee for Orphan Medicinal Products grants orphan drug designation to promote the development of products that are intended for the diagnosis, prevention or treatment of life threatening or chronically debilitating conditions affecting not more than five in 10,000 persons in the European Union.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also entitles a party to financial incentives such as reduction of fees or fee waivers and ten years of market exclusivity following drug approval. This period may be reduced to six years if the orphan drug designation criteria are no longer met, including where it is shown that the product is sufficiently profitable so that market exclusivity is no longer justified. Loss of orphan drug designation for nomlabofusp or the failure to obtain such designation in other countries or for any future product candidates could adversely affect our business, financial condition and results of operation.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another product has received approval in the indications for which we have received orphan drug designation, we may still receive approval in that indication if we can demonstrate that our product candidate is clinically superior to the existing orphan product. This demonstration of clinical superiority may be done at the time of initial approval or in post-approval studies, depending on the type of marketing authorization granted. Having to comply with these additional requirements to obtain orphan drug exclusivity could adversely affect our business, financial condition and results of operation.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Although we have obtained rare pediatric disease designation for nomlabofusp, we may not be eligible to receive a priority review voucher in the event the FDA determines we no longer meet the criteria for designation, revokes the designation or FDA approval does not occur prior to September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sponsor of an application for a rare pediatric disease drug product may be eligible for a voucher that can be used or sold to obtain a priority review for a subsequent application submitted under section 505(b)(1) of the FDCA or section 351 of the PHS Act. The rare pediatric disease priority review voucher program was most recently reauthorized by Congress through September 30, 2024, with the potential for priority review vouchers to be granted through September 30, 2026. We received rare pediatric disease designation from the FDA for nomlabofusp in 2019. We may, in the future, apply for rare pediatric disease designation from the FDA for future product candidates that may qualify for designation. Vouchers for rare pediatric disease drugs are awarded for qualifying applications when the drug receives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nomlabofusp has received rare pediatric disease designation, nomlabofusp may not receive a priority review voucher for a number of reasons: nomlabofusp may not receive approval; nomlabofusp may receive approval in adults, but not pediatric patients; nomlabofusp may not meet the eligibility requirements for a priority voucher at the time we seek approval for nomlabofusp; or we may not meet the current deadline for receiving a priority review voucher (September 30, 2026), in which case we would not be able to obtain a voucher unless Congress further reauthorizes the program. Finally, a rare pediatric disease designation does not necessarily lead to faster development or regulatory review of the product or increase the likelihood that it will receive marketing approval. If we apply for designation for future product candidates as drugs for rare pediatric diseases, the FDA may not grant the designation. The failure to maintain rare pediatric disease designation for nomlabofusp or if FDA approval does not occur prior to September 30, 2026 could result in the inability to receive a priority review voucher which could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PRIME designation in the European Union for nomlabofusp, our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PRIME scheme is open to medicines under development and for which the applicant intends to apply for an initial MAA through the centralized procedure. Eligible products must target conditions for which where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may submit an eligibility request at an earlier stage of development if compelling non-clinical data in a relevant model provide early evidence of promising activity to establish proof of principle, and first in man studies indicate adequate exposure for the desired pharmacotherapeutic effects and tolerability.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medicine is selected for the PRIME scheme, the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appoints a rapporteur from the CHMP or from the CAT to provide continuous support and to build up knowledge of the medicine in advance of the filing of an MMA;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guidance on the applicant’s overall development plan and regulatory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organizes a kick-off meeting with the rapporteur and experts from relevant EMA committees and working groups;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provides a dedicated EMA contact person;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provides scientific advice at key development milestones, involving additional stakeholders, such as health technology assessment bodies and patients, as needed.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Medicines that are selected for the PRIME scheme are also expected to benefit from EMA’s accelerated assessment procedure at the time of application for marketing authorization. Where, during the course of development, a medicine no longer meets the eligibility criteria, or if a medicine granted early access to the PRIME scheme cannot later demonstrate proof of concept, support under the PRIME scheme may be withdrawn. Approval of other therapies for the treatment Friedreich’s ataxia, including the recent approval of omaveloxolone could negatively impact our continued access to this and similar programs. Loss of PRIME designation for nomlabofusp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such designation for any future product candidates could adversely affect our business, financial condition and results of operation.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regulatory requirements, FDA guidance, guidance from other regulatory authorities or unanticipated events during our non-clinical or clinical trials of nomlabofusp or future product candidates may result in changes to clinical trial protocols or additional non-clinical or clinical trial requirements, which could result in increased costs to us and could delay our development timeline.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requirements, FDA guidance or guidance from EMA or unanticipated events during our non-clinical or clinical trials may force us to terminate or adjust our clinical programs. The FDA, or other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or non-clinical studies and/or post-market studies, the commercial prospects for nomlabofusp or any other potential product candidates may be harmed and our ability to generate product revenue will be delayed or eliminated, and it would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any product outside of the United States, we must comply with numerous and varying regulatory requirements of other countries regarding drug development and commercialization. The approval processes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Even if we receive marketing approval for nomlabofusp in the United States, we may never receive regulatory approval to market nomlabofusp outside of the United States.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drugs to be reviewed and/or approved by necessary government agencies, which would adversely affect our business. Furthermore, government shutdowns could also impact the ability of regulatory authorities and government agencies to function normally and support our operations. For example, the U.S. federal government has shut down repeatedly since 1980, including for a period of 35 days beginning on December 22, 2018. During a shutdown, certain regulatory authorities and agencies, such as the FDA, have had to furlough key personnel and stop critical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requirements governing biologic drug products are evolving and may continue to change in the future. As a result, it is difficult to determine how long it will take or how much it will cost to obtain regulatory approvals for nomlabofusp for the treatment of FA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development costs, lead to changes in regulatory positions and interpretations, delay or prevent approval and commercialization of our product candidates or lead to significant post-approval studies, limitations or restrictions.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failure or unexpected costs in obtaining, the regulatory approval necessary to bring our product candidates to market could have a material adverse effect on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clinical trials of nomlabofusp and any future product candidates are, and the manufacturing and marketing of nomlabofusp and any future product candidates, will be subject to extensive and rigorous review and regulation by numerous government authorities in the United States and in other countries, such as within the European Union, where we intend to seek regulatory approval of, and market, any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In addition, approval policies, regulations, or the type and amount of clinical data necessary to gain approval may change during the course of a product candidate’s clinical development and may vary among jurisdictions, which may cause delays in the approval of or may result in the decision not to approve our product candidates. We have not obtained regulatory approval for nomlabofusp, and it is possible that this product candidate or any product candidates we may seek to develop in the future will never obtain regulatory approval. If marketing approval is obtained, it will likely include post-marketing studies, and other post-marketing requirements, and surveillance such as REMS which will require the expenditure of substantial resources beyond the proceeds we currently have on hand.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are not permitted to market nomlabofusp in the United States, or the European Union until we receive approval of a BLA from the FDA or a MAA from the EMA, or in any other foreign countries until we receive the requisite marketing approval from such countries. The development of drugs for FA or other rare diseases may require initial non-clinical studies, early and usually smaller, clinical trials and randomized, double-blind placebo controlled long-term safety and efficacy trials in order to test the safety and efficacy of the drug.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Nomlabofusp requires substantial further clinical development before we can submit a BLA to the FDA. Development and/or regulatory programs for nomlabofusp in any countries other than the United States (such as a MAA to the EMA) are only in very preliminary stages and may require substantial further development in those countries prior to regulatory submissions seeking regulatory approval for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after successful completion of clinical trials, there is a risk that the FDA or other regulatory agencies may request further information from us, disagree with our findings or otherwise undertake a lengthy review of our submission.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certain European regulatory authorities may delay, limit or deny testing or approval of nomlabofusp for many reasons,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demonstrate that nomlabofusp is safe and effective to the satisfaction of the FDA or the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clinical trials may not meet the level of statistical or clinical significance required by the FDA or the EMA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disagree with the number, design, size, duration, conduct or implementation of our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require that we conduct additional non-clinical studies and/or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not approve the formulation, manufacturing, labeling or specifications of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CROs that we retain to conduct our clinical trials may take actions outside of our control that materially adversely impact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find the data from non-clinical studies and clinical trials insufficient to demonstrate that nomlabofusp’s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disagree with our interpretation of data from our non-clinical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not accept data generated at our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could require development of a REMS as a condition of approval or post-approval, or may not agree with our proposed REMS, or may impose additional requirements, including requirements that limit the promotion, advertising, distribution, or sales of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find deficiencies with or not approve the manufacturing processes or facilities of third-party manufacturers with which we contract;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the EMA may change their approval policies or adopt new regulations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factors, many of which are beyond our control, could jeopardize our ability to obtain and/or maintain regulatory approval for and successfully market nomlabofusp.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ensure that nomlabofusp, or any other of our potential product candidates will be successfully developed or commercialized.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healthcare laws and regulations, and health information privacy and security laws, which could expose us to criminal sanctions, civil penalties, contractual damages, reputational harm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others will play a primary role in the recommendation and prescription of nomlabofusp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nomlabofusp or potential product candidates, if we obtain marketing approval. In addition, we may be subject to patient privacy regulation by both the federal government and the states or other countries in which we conduct our business. For more information, see the section of this report titled “Business – Healthcare Laws and Regulations – Other Healthcare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which could have a material adverse effect on our business, results of operations, financial condition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Healthcare legislation, including potentially unfavorable pricing regulations or other healthcare reform initiatives may increase the difficulty and cost for us to obtain marketing approval of and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The pharmaceutical industry has been a particular focus of these efforts and has been significantly affected by major legislative initiatives. Previously, in March 2010, the ACA was enacted, which was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Healthcare reform initiatives recently culminated in the enactment of the IRA Inflation Reduction Act of 2022 or IRA, which, among other things, allow allows HHS to directly negotiate the ceiling price of a statutorily specified number of drugs and biologic each year that CMS reimburses under Medicare Part B and Part D, requires the payment of rebates on Medicare Part B and Part D drugs whose prices have increased at a rate faster than the rate of inflation, and redesign the Medicare Part D cost sharing structure, including revising manufacturer financial liability for covered products. For more information, see the section of this report titled “Business – Healthcare Laws and Regulations – 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approved, reimbursement policies could limit our ability to sell product candidates that we elect to sell on our own.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nomlabofusp, if approved, or future product candidates that we elect to sell on our own and, if reimbursement is available, the level of such reimbursement. Reimbursement may impact the demand for, or the price of, product candidates that we elect to sell. If reimbursement is not available or is available only at limited levels, we may not be able to successfully commercialize product candidates that we elect to sell. For more information, see the section of this report titled “Business – Healthcare Laws and Regulations – 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marketing approval for a product candidate, our product candidates will remain subject to regulatory oversight.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receive marketing approval for nomlabofusp or a future product candidate, regulatory authorities may still impose significant restrictions on the indicated uses or marketing or impose ongoing requirements for potentially costly post-approval studies. Nomlabofusp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 unsuccessful post-marketing study or failure to complete such a study could result in the withdrawal of marketing approval. Any regulatory approvals that we receive for nomlabofusp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contractors fail to comply with applicable regulatory requirements following approval of nomlabofusp, a regulatory authority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a warning letter, or untitled letter asserting that we are in violation of the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request voluntary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administrative,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a pending BLA or NDA or comparable foreign marketing application (or any supplements thereto) submitted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the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the product or otherwise require the withdrawal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permit the import or export of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allow us to enter into supply contracts, including government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nomlabofusp, if approved, and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FDA’s policies, and those of equivalent foreign regulatory agencies, may change and additional government regulations may be enacted that could prevent, limit or delay regulatory approval of nomlabofusp.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nomlabofusp in the United States, we may never receive regulatory approval to market nomlabofusp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pursue marketing approval for nomlabofusp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growth depends, in part, on our ability to penetrate foreign markets, where we would be subject to additional regulatory burdens and other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of FA is estimated to be approximately three times greater in the European Union than in the United States, and, therefore, represents our largest potential market for nomlabofusp. Our future profitability will depend, in part, on our ability to commercialize nomlabofusp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ability to obtain reimbursement for a product candidate in foreign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FCPA;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directly control commercial activities because we may need to rely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of complying with complex and changing foreign regulatory, tax, accounting and legal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medical practices and customs in foreign countries affecting acceptance in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or export licensing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accounts receivable collection times;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lead times for shipping;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language barriers for technical training;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protection of intellectual property rights in some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exchange rate fluctuations;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interpretation of contractual provisions governed by foreign laws in the event of a contract dispute.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in the European Union and other foreign markets of a product candidate could also be adversely affected by the imposition of governmental controls, political and economic instability, trade restrictions and changes in tariffs.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nomlabofusp, if approved, we may not be able to generate any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receive marketing approval for nomlabofusp, we may not achieve broad market acceptance, which would limit the revenue that we generate from our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nomlabofusp, if developed and approved for marketing by the FDA or EMA or other applicable regulatory authorities, will depend upon the market size for, and the awareness and acceptance of nomlabofusp among the medical community, including physicians, patients, advocacy groups and healthcare payors. Market acceptance of nomlabofusp, if approved, will depend on a number of factors,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actual number of patients with FA is lower than we believe;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relative convenience and ease of subcutaneous injections as the necessary method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adverse side effects associated with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for nomlabofusp by the FDA, EMA, or other regulatory authorities, such as a “boxed” warning or if any approval that we obtain is based on a narrower definition of possible patient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alternative treatments, including any competitive FA therapies approved or in development that have been or could be approved or commercially launched prior to approval of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 and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publicity concerning our products or competing products and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acceptance of the cost and inconvenience associated with refrigerated storage for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payor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political pressure on pharmaceutical pricing;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pressure on orphan drug pricing for affected patient groups;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future changes in U.S. healthcare, including medical financial assistance or a transition to a single-payor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awareness of nomlabofusp through marketing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sufficient third-party coverage 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or ability of patients to pay out-of-pocket in the absence of third-party coverage;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nomlabofusp is approved but does not achieve an adequate level of acceptance by patients, advocacy groups, physicians and payors, we may not generate sufficient revenue from nomlabofusp to become or remain profitable and our business, financial condition and results of operations could be materially adversely affected. Our efforts to educate the medical community and third-party payors about the benefits of nomlabofusp may require significant resources and may never be successful.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 If we are found to have improperly promoted off-label uses, we may become subject to significant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other regulatory agencies strictly regulate the promotional claims that may be made about prescription products, such as nomlabofusp or any potential product candidates, if approved. If we receive marketing approval for nomlabofusp,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nomlabofusp or any potential product candidates, if approved, we could become subject to significant liability, which would materially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Additional competing technologies could emerge, adversely affecting our opportunity to generate revenue from the sale of nomlabofusp,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intensely competitive and subject to rapid and significant technological change. For example, omaveloxolone, was approved for the treatment of FA in adults and adolescents aged 16 and older by the FDA and the European Commission in February 2023 and February 2024, respectively. We expect nomlabofusp, if approved, will compete with omaveloxolone and other new, future approved products and may need to demonstrate compelling advantages in efficacy, convenience, tolerability and safety to be commercially successful. Other competitive factors, including biosimilar and gene therapy competition, could force us to lower prices or could result in reduced sales. Many of our current or potential competitors, either alone or with strategic partners, have significantly greater financial resources and expertise in research and development, manufacturing, non-clinical testing, conducting clinical trials, obtaining regulatory approvals, and marketing approved products than we do. New products developed by others could emerge as competitors to nomlabofusp or any other potential product candidates, resulting in nomlabofusp or other product candidates being obsolete before we are able to recover expenses incurred in connection with their development or realize revenues from any commercialized product. The pricing of our current product candidate, if and when approved for marketing, will depend, in part, on the pricing strategies adopted by our competitors. If these or other companies enact pricing strategies that impact the price we can charge for our product candidate, if approved, we may reduce our prices and our revenue and results of operations could be affected. Any new product could also affect our ability to recruit and retain clinical trial patients, to obtain and maintain designations or eligibility for expedited regulatory pathways, and to commercialize current and future product candidates. Given that we are still in a relatively early phase of development for nomlabofusp, the recent approval and commercialization of omaveloxolone and the approval of any future competing technologies could provide competitors with a significant competitive advantage and may create an additional barrier to market acceptance of nomlabofusp. If we are not able to compete effectively against our current and future competitors, our business will not grow and our financial condition and results of operations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competition from biosimilars and may face increasing competition over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European Union,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countries in the European Union have adopted biosimilar uptake measures such as requiring physician prescribing quotas or promoting switching or pharmacy substitution of biosimilars for the corresponding reference products, and other countries may adopt similar measures. Some countries in the European Union may impose automatic price reductions upon market entry of the second or third biosimilar competitor.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our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These biosimilars or generics may affect the tier designation by third party payors and may require prior authorization for use of nomlabofusp, thereby adding barriers to access. This additional competition could have a material adverse effect on our business, financial condition and results of operations.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manage expected growth in the scale and complexity of our operations, including attracting and hiring additional qualified management, our performance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Competition for qualified personnel in the biopharmaceutical field is intense due to the limited number of individuals who possess the skills and experience required by our industry. We will need to continue to hire additional personnel as we expand our clinical development and if we initiate commercial activities. We may not be able to attract and retain quality personnel on acceptable terms, or at all. In addition, to the extent we hire personnel from competitors, we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allegations that they have been improperly solicited or that they have divulged proprietary or other confidential information, or that their former employers own their research output.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In addition, a possible future pandemic, epidemic or outbreak of an infectious disease may pose a risk to our ability to retain and rely on our executive officers and key employees, including the potential that one or more of such employees or members of their families may contract the virus, which could impact the ability of such employees to perform as expected, which in turn would adversely impact our current and planned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we fail to expand and enhance our operational, financial, management and compliance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acquire businesses or products, or form strategic alliances, in the future, and we may not realize the benefits of such acquisitions or alliances.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 or expand our internal efforts and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programs and the potential commercialization of our product candidates will require substantial additional cash to fund expenses. For nomlabofusp, and any future product candidates, we may decide to collaborate with pharmaceutical and/or biotechnology companies for the development and potential commercialization of those product candidates in some or all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for nomlabofusp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if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risks related to health epidemics, and/or other outbreaks of communicable diseases, which could significantly disrupt our operations and may materially and adversely affect our business and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adversely impacted by the effects of a global pandemic, epidemic or outbreak of an infectious disease, such as, for example, a possible resurgence of vaccine resistant or more highly contagious or deadly variants of COVID-19 and the efforts to mitigate such outbreaks. Such global outbreaks of communicable diseases globally could materially and adversely impact our operations, including without limitation, our manufacturing and supply chain for nomlabofusp and our planned clinical trials, which could continue to face, enrollment difficulties as hospitals or clinical trials sites experience closures. Because FA is a rare disease, there are a limited number of patients in close proximity to clinical trial sites and clinical trial patients travel from throughout the United States to clinical trial sites to participate. Any travel advisories or infection risks could present increased risks to patients traveling to a clinical trial site for dosing if clinical trials are allowed to continue. These events could delay our clinical trials, increase the cost of completing our clinical trials and negatively impact the integrity, reliability or robustness of the data from our clinical trials. In addition, employee health and availability could be impacted, which may have a material and adverse effect on our business, financial condition and results of operations. Future pandemics could adversely affect global economies and financial markets resulting in an economic downturn that could have a material adverse effect on our business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sensitive third-party data, business plans, transactions, financial information and medical information collected by our patient access management team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Additionally,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requires businesses to provide specific disclosures in privacy notices and honor requests of California residents to exercise certain privacy rights. The CCPA provides for fines of up to $7,500 per intentional violation and allows private litigants affected by certain data breaches to recover significant statutory damages. Although some U.S. comprehensive privacy laws exempt some data processed in the context of clinical trials, these laws may increase compliance costs and potential liability with respect to other personal data we may maintain about California residents. Similar laws are being considered in several other states, as well as at the federal and local levels, and we expect more jurisdictions to pass similar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For example, the European Union’s General Data Protection Regulation (EU GDPR), United Kingdom’s GDPR (UK GDPR) (collectively, the GDPR), Brazil’s General Data Protection Law (Lei Geral de Proteção de Dados Pessoais, or LGPD) (Law No. 13,709/2018),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 17.5 million pounds sterling under the UK GDPR or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Swiss Federal Act on Data Protection, or the FADP, also applies to the collection and processing of personal data, including health-related information, by companies located in Switzerland, or in certain circumstances, by companies located outside of Switzerland. The FADP has been revised and adopted by the Swiss Parliament. Companies must comply with the revised version of the FADP and its revised ordinances from September 1, 2023, which may result in an increase of costs of compliance, risks of noncompliance and penalties for noncompliance.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by limiting our ability to conduct clinical trial activities in Europe and elsewhere,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Europe for allegedly violating the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may be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on whom we rely on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internal computer systems, as well as those of CROs, CMOs, vendors, contractors, and consultants, and potential collaborators may experience failures, unauthorized access, or security breaches, potentially causing a material disruption in our product development programs, operations, harm to our brand, significant liabilities, loss of revenue, and additional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implementing comprehensive security measures, both our internal computer systems and those of our contracted third party service providers are susceptible to various threats, including cyber-attacks, computer viruses,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unauthorized access, natural disasters, terrorism, war, and telecommunication and electrical failures. The extensive use of mobile devices accessing confidential information further heightens the risks, leading to potential device loss, security incidents, and data breaches that could result in the loss of confidential information and intellectual property. Any system failure, accident, or security breach causing interruptions in our operations may lead to a material disruption in our product development programs and business operations, potentially requiring substantial resources for recovery. For instance, the loss of clinical trial data from completed trials could lead to delays in regulatory approval efforts and significantly increase costs for data recovery or reproduction.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risks stemming from misappropriation, misuse, leakage, falsification, or intentional or accidental release or loss of information maintained in our information systems and networks, including personal information of our employees. External parties may attempt to penetrate our systems or induce our employees or those of our vendors to disclose sensitive information. As with other companies, we face threats to our data and systems, including malicious codes, viruses, and cyber-attacks. The increasing number and complexity of these threats over time pose a challenge. A material breach in our security or that of our vendors, contractors, or consultants could harm the market perception of our security measures, resulting in business loss and damage to our reputation and credibility. This could significantly adversely affect our business, financial condition, and results of operations, necessitating substantial amounts of money and resources to repair or replace information systems or networks. Despite our continuous efforts, the possibility of such events occurring cannot be entirely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endeavor to protect systems storing critical information, we have implemented security measures. However, given their size and complexity and the increasing amounts of information maintained, these systems, including our internal information technology systems and those of third-party entities like Contract Research Organizations, Contract Manufacturing Organizations, contractors, and consultants, remain potentially vulnerable to breakdowns, interruptions, and security breaches. Incidents such as service interruptions, system malfunctions, natural disasters, terrorism, war, telecommunication, and electrical failures, as well as security breaches from inadvertent or intentional actions by employees, contractors, consultants, and other third parties, including cyber-attacks by malicious entities, may compromise our system infrastructure. This could lead to the loss, destruction, alteration, or unauthorized access to our data, including trade secrets, confidential information, intellectual property, proprietary business information, and personal information, or data processed or maintained on our behalf. Such incidents could result in financial, legal, business, and reputational harm.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rise in phishing and social engineering attacks and the increase in remote working further elevate security threats. Any disruption or security incident could lead to loss, damage, or unauthorized access to data, potentially exposing us to litigation and governmental investigations, delaying the development and commercialization of our product candidates, and subjecting us to fines or penalties for noncompliance with privacy and security laws. Notifications and actions following a security incident could impact our reputation and incur significant costs, including legal expenses and remediation. Significant efforts and costs are expected for detection and prevention. Our reliance on third parties for manufacturing introduces an additional layer of risk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Insurance policies, including a specific policy related to cybersecurity losses, may be insufficient, with potential availability issues in the future, high deductibles, and limitations in coverage, posing challenges in mitigating losses from disruptions, failures, or security breaches.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and/or those of third parties upon which we rely, are or were compromised, we could experience adverse consequences resulting from such compromise, including but not limited to regulatory investigations or actions, interruptions to operations or clinical trials, reputational harm, litigation, fines and penalties, disruptions of our business operations, and a loss of customers or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or the third parties upon which we rely, process proprietary, confidential, and sensitive data, including personal data (such as health-related data), intellectual property, and trade secrets.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data and information technology systems, and those of the third parties upon which we rely. These threats are prevalent, continue to rise, and are becoming increasingly difficult to detect. These threats come from a variety of sources, including traditional computer “hackers,” hacktivists, threat actors, personnel misconduct or error (such as through theft or misuse), organized criminal threat actors, sophisticated nation-states, and nation-state-supported actors. Some actors now engage and are expected to continue to engage in cyber-attacks, including without limitation nation-state actors for geopolitical reasons and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upon which we rely are subject to a variety of evolving threats, including but not limited to, social 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 software or hardware failures, loss of data or other information technology assets, adware, attacks enhanced or facilitated by AI, telecommunications failures, earthquakes, fire, flood, and other similar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Ransomware attacks, including by organized criminal threat actors, nation-states, and nation-state-supported actors, are becoming increasingly prevalent and severe and can lead to significant interruptions, delays, or outages in our operations, disruption of clinical trials or otherwise affecting our ability to provide our products or product candidates, loss of sensitive data (including data related to clinical trials) and income, significant extra expenses to restore data or systems, reputational harm and the diversion of funds. Extortion payments may alleviate the negative impact of a ransomware attack, but we may be unwilling or unable to make such payments (including, for example, if applicable laws or regulations prohibit such payments). Remote work has become more common and has increased risks to our information technology systems and data, as more of our employees work from home, utilizing network connections, computers and devices outside our premises, including at home, while in transit or in public locations. 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service providers and technologies to operate critical business systems to process sensitive data in a variety of contexts, including, without limitation, cloud-based infrastructure, drug suppliers, data center facilities, encryption and authentication technology, employee email, content delivery to customers, and other functions. Our ability to monitor these third parties’ information security practices and posture (including whether any unremediated vulnerabilities exist or have been exploited) is limited, and these third parties may not have adequate information security measures in place. In addition, supply-chain attacks have increased in frequency and severity, and we cannot guarantee that third parties’ infrastructure in our supply chain or our third-party partners’ supply chains have not been compromised.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security systems (such as our hardware and/or software, including that of third parties upon which we rely). We and the third parties upon which may rely may not, however, detect and remediate all such vulnerabilities including on a timely basis. For example, we have identified certain vulnerabilities in our information systems, and we have taken steps to mitigate the risks associated with known vulnerabilities. These steps include implementing compensating controls and other protective measures. Further, we and the third parties upon which we rely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expend significant resources or fundamentally change our business activities and practices (including our clinical trials) to try to protect against security incidents. Certain data privacy and security obligations may require us to implement and maintain specific security measures or industry-standard or reasonable security measures to protect our information technology systems and sensitive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the use of generative AI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insurance coverage may not be adequate or sufficient in type or amount to protect us from or to mitigate liabilities arising out of our privacy and security practices.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potential product liability exposure, and, if claims are brought against us, we may incur substantial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nomlabofusp and other potential product candidates in clinical trials, if any, and the sale of nomlabofusp and other potential product candidates, if developed and approved, exposes us to the risk of product liability claims. Product liability claims might be brought against us by patients, healthcare providers or others selling or otherwise coming into contact with nomlabofusp or other potential product candidates. For example, we may be sued if any product we develop allegedly causes injury or death or is found to be otherwise unsuitable during product testing, manufacturing, marketing or sale.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patients or clinical investigators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nomlabofusp or our other potential product candidates following marketing approval, if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our reputation and exposure to adverse publicity;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FDA warnings on product labels;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regulators or ethics committees;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product liability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successfully commercialize nomlabofusp or other potential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nomlabofusp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limited experience in conducting or supervising clinical trials and must outsource all clinical trials. As a result, many important aspects of our drug development programs are outside of our direct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trial sites, clinical data management organizations and consultants to design, conduct, supervise and monitor our non-clinical studies and clinical trials. We, our CROs, and contractors are required to comply with various regulations, including the FDA’s regulations regarding current Good Clinical Practices ("cGCPs")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Our expected reliance on third parties that we do not control does not relieve us of these responsibilities and requirements. If we or any of our CROs, contractors, or clinical trial sites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ensure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and contractors are not our employees, and except for remedies available to us under our agreements with such CROs and contractors, we cannot control whether or not they devote sufficient time and resources to our ongoing clinical and non-clinical programs. If our CROs and contractors do not successfully carry out their contractual duties or obligations or meet expected deadlines or if the quality or accuracy of the clinical data they obtain is compromised due to the failure to adhere to our clinical protocols, regulatory requirements or for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and contractors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and contractors does not relieve us of our regulatory responsibilities.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must, at times, share confidential information with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intellectual property, data from clinical studies and future development plans. Despite the contractual provisions employed when working with third parties, the need to share confidential information increases the risk that such confidential information become known by our competitors, are inadvertently incorporated into the technology of others, or are disclosed or used in violation of these agreements. Given that our proprietary position is based, in part, on our confidential information, a competitor’s discovery of our confidential information or other unauthorized use or disclosure would impair our competitive position and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and contractors there can be no assurance that we will not encounter similar challenges or delays in the future or that these delays or challenges will not have a material adverse impact on our business, financial condition, results of operation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third-party supply and manufacturing partners for drug supplies for our research and development, non-clinical activities, and clinical activities, and may do the same for any commercial supplies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third-party supply and manufacturing partners to supply the materials and components for, and manufacture, our research and development, non-clinical and clinical study drug substance and drug product. We have not yet manufactured or formulated nomlabofusp or any other product candidate on a commercial scale and may not be able to do so for any of our product candidates. We will work to develop and optimize our manufacturing process; however, we cannot be sure that the process will result in therapies that are safe, potent or effective. Given our reliance on third parties and the risk of manufacturing commercial scale quantities, our ability to adequately commercially launch and/or supply nomlabofusp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we may engage could require significant effort and expertise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there may be a limited number of qualified replacements. For example, we rely and expect to continue to rely on a small number of manufacturers to supply us with our requirements for drug substance and formulated drug product related to our nomlabofusp clinical program. The drug substance which is in frozen liquid form for nomlabofusp is currently manufactured for us by a third-party manufacturer, and the frozen liquid form of drug product is made at another manufacturer. We are undertaking a program with a third party manufacturer to begin to produce a lyophilized version of the drug product from the same drug substance, that, once available, we intend to use in certain of our future planned clinical trials. Our research and development programs could be adversely affected by a significant interruption in these manufacturing services or in the supply of drug substance and formulated drugs. In addition, because we rely on multiple manufacturers for our nomlabofusp clinical program, termination of our agreements with any of these manufacturers could significantly adversely impact our current and planned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any of our suppliers or manufacturers fails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on third parties to store master and working cell banks. We currently have one master cell bank and one working cell bank for nomlabofusp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financial condition and results of operations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initiate or continue clinical trials of product candidates under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in submitting regulatory applications, or receiving regulatory approvals, for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the cooperation of a collaborator, including termination or nonrenewal of the agreement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manufacturing associated with having to change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subjecting our product candidates to additional inspections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cease distribution or to recall batches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approval to market and commercialize a product candidate, an inability to meet commercial demands for our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our contract manufacturers are subject to significant regulation with respect to manufacturing our products. The manufacturing facilities on which we rely may not continue to meet regulatory requirements and have limited capacity.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entities involved in the preparation of therapeutics for clinical trials or commercial sale, including our existing contract manufacturers for nomlabofusp,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GLPs and cGMP regulations enforced by the FDA or other regulators through facilities inspection programs. The facilities and quality systems of some or all of our third party contractors must pass a pre-approval inspection for compliance with the applicable regulations as a condition of regulatory approval of nomlabofusp or any of our other potential products. In addition, the regulatory authorities may, at any time, audit or inspect a manufacturing facility involved with the preparation of nomlabofusp or our other potential products or the associated quality systems for compliance with the regulations applicable to the activities being conducted. If these facilities do not pass a pre-approval plant inspection, the FDA or other regulatory approval of the products will not be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authorities also may, at any time following approval of a product for sale, audit the manufacturing facilities of our third 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any of our third 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factors could also cause the delay of manufacturing development, clinical trials, regulatory submissions, required approvals or commercialization of nomlabofusp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methods of product candidate manufacturing may result in additional costs and/or delays.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progress through 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typically indemnify our collaborators from any third party product liability claims that could result from the production, use or consumption of the product, as well as for alleged infringements of any patent or other intellectual property right by a third party. With respect to consulting agreements, we typically indemnify consultants from claims arising from the good faith performance of their consulting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their applicable insurance coverage, and if the collaborator does not have other assets available to indemnify us, our business, financial condition and results of operations could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To the extent we are able to enter into collaborative arrangements or strategic alliances, we may be exposed to risks related to those collaborations and alliances.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Biotechnology companies sometimes become dependent upon collaborative arrangements or strategic alliances to complete the development and commercialization of product candidates. In seeking collaborative arrangements and strategic partners, we face significant competition from other companies as well as public and private research institutions. There can be no assurance that we will be able to enter into or maintain strategic alliances on terms favorable to us, or at all.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collaborative arrangements or strategic alliances would subject us to a number of risks, including the risk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control the amount and timing of resources that our collaborators may devote to the relevant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may experience financial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relinquish important rights, such as marketing and distribution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combinations or significant changes in a collaborator’s business strategy may also adversely affect a collaborator’s willingness or ability to complete its obligations under any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could independently move forward with a competing drug candidate developed either independently or in collaboration with others, including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collaborative arrangements are often terminated or allowed to expire, which would delay the development and may increase the cost of developing our drug candidates.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 Rights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in the United States and other countries, we are unable to adequately protect our proprietary technology or maintain issued patents which are sufficient to protect nomlabofusp or potential product candidates, third parties could compete against us more directly, which would have a material adverse impact on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technologies and erode or negate any competitive advantage we may have, which could harm our business and ability to achieve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our patent portfolio, we in-license from WFUHS certain issued U.S. patents that relate to nomlabofusp and its use for treating FA. We also in-license from IU a United States patent and pending non-provisional applications in the United States and certain foreign countries that relate to the composition of nomlabofusp and methods of use, and certain U.S. patents relating to materials and methods of use relating to the development of nomlabofusp. We also own or co-own pending international PCT, foreign and United States non-provisional applications, a United States Patent, and United States provisional applications relating to the development of nomlabofusp, including methods of use of nomlabofusp, biomarkers and to our peptide delivery platform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provide any assurances that any of our pending patent applications that mature into issued patents will include claims with a scope sufficient to protect nomlabofusp,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nomlabofusp, and other potential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nomlabofusp are invalidated or found unenforceable, our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position and results of operations would be materially and adversely impacted. In addition, if a court found that valid, enforceable patents held by third parties covered nomlabofusp, our financial position and results of operations would also be materially and adversely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and we cannot ensure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nomlabofusp or any other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pending patent applications will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be able to successfully develop and, if approved, commercialize nomlabofusp before our relevant patents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will not develop similar or alternative technologies that do not infringe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patents will be found to ultimately be valid and enforceable;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issued to us will provide a basis for an exclusive market for our commercially viable products, will provide us with any competitive advantages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develop additional proprietary technologies or product candidates that are separately patentable;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our commercial activities or products will not infringe upon the patents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nomlabofusp or potential future product candidates, third parties could compete against us more directly, which would have a material adverse impact on our business, results of operations, financial condition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key patent, which we license relates to nomlabofusp will expire in 2040 and we will lose our ability to rely upon this patent to prevent competing products from entering the market, which may impair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in-licensed certain patents relating to nomlabofusp from WFUHS. The U.S. patents relating to nomlabofusp and its use for the treatment of FA expire in 2024 and 2025, respectively. When these patents expire, we will be unable to use these patents to try to block others from marketing nomlabofusp in the United States We have also in-licensed an issued United States patent and pending non-provisional patent applications in the United States and certain foreign countries relating to the composition of nomlabofusp and methods of use from IU. This United States patent will expire in 2040 at the earliest. Pending applications if issued as patents, would also expire in 2040 at the earliest.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nomlabofusp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own a certain United States provisional application and certain United States and foreign non-provisional applications and a United States patent relating to our platform technology. The United States Patent will expire in 2041 at the earliest, and the pending applications, if issued as patents, would be expected to expire in 2041-2044. The provisional application may not be timely converted into a non-provisional application, and we cannot predict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these provisional applications and non-provisional patent applications will issue as patents in any particular jurisdiction, or whether the claims of any issued patents will provide sufficient protection from competitors or third parties for potential product candidates. When these various patents expire, we will be unable to use the patents to try to block others from marketing products pertaining to our platform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may increase the costs of commercializing nomlabofusp or other potential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pharmaceutical industry is characterized by extensive litigation regarding patents and other intellectual property rights. Third parties may allege that nomlabofusp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we may also be required to indemnify certain of our licensors, vendors or suppliers from any damages they incur related to any infringement of any third party intellectual property by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any such claim were successfully asserted against us and we could not obtain such a license, we may be forced to stop or delay developing, manufacturing, selling or otherwise commercializing nomlabofusp.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developing, selling or otherwise commercializing nomlabofusp;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preparations or development of our other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substantial damages for past use of the asserted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from the holder of the asserted intellectual property, which license may not be available on reasonable terms, if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risks coming to fruition could have a material adverse effect on our business, results of operations, financial condition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 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dependent on licensed intellectual property for nomlabofusp. If we were to lose our rights to licensed intellectual property, we may not be able to continue developing or commercializing nomlabofusp,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exclusive license with WFUHS, pursuant to which we exclusively license certain patent rights relating to the TAT-frataxin fusion protein and its use, on a worldwide basis. We have an exclusive license with IU, pursuant to which we exclusively license certain patent rights relating to nomlabofusp and its use for the treatment of mitochondrial diseases, on a worldwide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nomlabofusp. Any of the foregoing could have a material adverse effect on our competitive position, business, financial conditions,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disputes may arise regarding intellectual property subject to a licensing agreement,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 under our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inventors are able to contest the assignment of their rights to our licensors;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nomlabofusp, which could have a material adverse effect on our business, financial conditions,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in-licensed patent rights from WFUHS and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not yet registered trademarks for a commercial trade name for nomlabofusp or other potential product candidates and failure to secure such registrations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yet registered trademarks for a commercial trade name for nomlabofusp or other potential product candidates. Any future trademark applications may be rejected during trademark registration proceedings. Although we would be given an opportunity to respond to those rejections, we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and similarly in many foreign jurisdictions regardless of whether we have registered it, or applied to register it, as a trademark. The FDA typically conducts a review of proposed product names, including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evaluation of potential for confusion with other product names. If the FDA or a foreign regulatory authority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trademarks we have obtained or may obtain may be infringed or successfully challenged, resulting in harm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additional protection under the Hatch-Waxman Amendments and similar foreign legislation by extending the patent terms and obtaining data exclusivity for nomlabofusp,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development and FDA marketing approval of nomlabofusp or our other potential product candidates, one or more of our U.S. patents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proprietary rights may not adequately protect our technologies, which may adversely affect our position in the market,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secrets against them and our business, financial condition and results of operations could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("the Leahy Smith Act") enacted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September 2011, brought significant changes to the U.S. patent law system. These include provisions that affect the 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 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have wrongfully used or disclosed alleged trade secrets of our employees’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develop and commercialize nomlabofusp or our other potential product candidates, which would materially adversely affect our business,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could be highly volatile, and purchasers of our common stock could incur substantial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regulatory approvals for product candidates, and delays or failures to obtain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and delays in, current, and any future, non-clinical or clinical trials of nomlabofusp or any of our future product candidates, including any delays related to a future pandemic, epidemic or outbreak of an infectious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 including the potential impact of ongoing conflict between Russia and Ukraine and the current conflict in Israel and Gaza (including any escalation or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entry into, or termination of, key agreements, including key licensing or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nomlabofusp or any of our future product candidates, if approved for marketing and commercialization, to achieve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in manufacturing our approved products, if any,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of material developments in, or conclusion of, disputes or litigation to enforce or defend any of our intellectual property rights or defend against the intellectual property rights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commercial partners or competitors of new commercial products, clinical progress (or the lack thereof), significant contracts, commercial relationships, or capital commitments;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relating to our markets, including with respect to other products and potential products in such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introduction of technological innovations or new therapies competing with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industry-specific economic conditions potentially affecting our research and development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conditions in the United States and abroad (including the potential failure of the United States Congress to raise the debt ceiling);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guarantee that our common stock will appreciate or even maintain the price at which our holders have purchased it. Therefore, there is a risk that investors may lose all or part of their investment in our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may not be able to effectively and timely implement controls and procedures which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prevent material weaknesses in internal control over financial reporting, our business and reputation may be harmed and our stock price may decline. Furthermore, investor perceptions of us may be adversely affected, which could cause a decline in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highly concentrated, and it may prevent other stockholders from influencing significant corporate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Entities affiliated with Deerfield Management Company beneficially own or control approximately 38.6% of our outstanding common stock (assuming full exercise of our outstanding pre-funded warrants and no exercise of outstanding options) as of December 31, 2023, on a fully-diluted basis. Accordingly, such entities have substantial influence over the outcome of a corporate action by us requiring stockholder approval, including the election of directors, any merger, consolidation or sale of all or substantially all of our assets or any other significant corporate transaction. These stockholders also may exert influence in delaying or preventing a change in control of the combined company, even if such change in control would benefit our other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a “smaller reporting company” as defined in the Exchange Act of 1934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more difficult and may prevent attempts by our stockholders to replace or remove our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anticipate that we will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expectation is that we will retain our future earnings to fund the development and growth of our business. As a result, capital appreciation, if any, of our common stock will be stockholders’ sole source of gain, if any, for the foreseeable future.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failure to meet the continued listing requirements of The Nasdaq Stock Market LLC could result in a delisting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satisfy the continued listing requirements of The Nasdaq Stock Market LLC ("Nasdaq")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shares of common stock when they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Financial reporting obligations of being a public company in the United States are expensive and time-consuming, and our management will be required to devote substantial time to new compliance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obligations of being a public company in the United States require significant expenditures and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 Street Reform and Consumer Protection Act of 2010 (the "Dodd-Frank Act") and the listing requirements of Nasdaq on which our securities are listed. These rules require the maintenance of effective disclosure and financial controls and procedures, internal control over financial reporting and strong corporate governance practices, among many other complex rules that are often difficult to implement, monitor and maintain compliance with. Our management and other personnel devote a substantial amount of time to ensure that we comply with all of these requirements and to keep pace with new regulations, otherwise we may fall out of compliance and risk becoming subject to litigation or being delisted, among other potential problems.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may engage in misconduct or other improper activities, including violating applicable regulatory standards and requirements or engaging in insider trading, which could significantly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employee fraud or other misconduct. Misconduct by employees could include intentional, reckless or negligent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In addition,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geopolitical events and general conditions in the global financial markets. A severe or prolonged economic downturn due to geopolitical tension resulting from ongoing conflict between Russia and Ukraine and the current conflict in Israel and Gaza (including any escalation or expansion) or other factors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into receivership by the Federal Deposit Insurance Corporation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(“FDIC”).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6" w:name="item1bunresolvedstaffcomments_265117"/>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7" w:name="item1ccybersecurity"/>
      <w:bookmarkEnd w:id="7"/>
      <w:r>
        <w:rPr>
          <w:rFonts w:ascii="Times New Roman" w:hAnsi="Times New Roman"/>
          <w:b/>
          <w:color w:val="000000"/>
          <w:sz w:val="20"/>
        </w:rPr>
        <w:t>ITEM 1C. CYBERSECURITY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Cyber 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and maintain various information security processes designed to manage cybersecurity risks relating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products (Information Systems and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 of Information Technology, assisted by our managed information technology service provider and other third party service providers, lead the Company’s cybersecurity risk management processes. This group works to identify and assess risks from cybersecurity threats by monitoring and evaluating our threat environment and the Company’s risk profile using various methods in certain contexts, including, manual tools, subscribing to reports and services that identify cybersecurity threats, analyzing threat intelligence reports and feeds, conducting scans of certain environments, and other tests.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implement and maintain various technical, physical, and organizational measures, processes, standards and policies designed to manage risks from cybersecurity threats to our Information Systems and Data, as applicable depending on the environment, including incident detection and response, disaster recovery/business continuity policies, network security controls and data segmentation, access controls, physical security, asset management and tracking, systems monitoring, and employee training.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assessment and management of risks from cybersecurity threats are part of the Company’s overall risk management processes. Our Director of Information Technology works with management to prioritize our risk management processes and mitigate cybersecurity threats that are more likely to lead to a material impact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third-party service providers to assist us to identify, assess, and manage risks from cybersecurity threats. These third-party service providers may include threat intelligence service providers, cybersecurity consultants, cybersecurity software providers, managed cybersecurity service providers, and dark web monitoring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have established a process to conduct diligence on certain third parties before engaging with those third parties, such as those that support our GxP processes, which may include a security assessment.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and infrastructure. For more information, please see our risk factors under Part 1 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holds oversight responsibility over the Company’s cybersecurity risk management as part of its general oversight function. The audit committee of the board of directors is responsible for overseeing the Company’s cybersecurity risk management processes, including oversight of the Company’s processes for monitoring and controlling cybersecurity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our Director of Information Technology, who has over 10 years of information technology management experience.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Director of Information Technology, along with management, is responsible for helping to integrate cybersecurity risk considerations into the Company’s overall risk management strategy and communicating key priorities to relevant personnel. Management is responsible for approving budgets, helping prepare for cybersecurity incidents, approving cybersecurity processes, and reviewing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processes designed to escalate certain cybersecurity incidents to members of management depending on the circumstances, including our Vice President Legal and Compliance, Vice President Finance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Administration, Chief Financial Officer and Director of Information Technology. In addition, the Company’s incident response policy includes a process for reporting to the audit committee of the board of directors for certain cybersecurity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receives reports from members of the Company’s management concerning the Company’s significant cybersecurity threats and risk and the processes the Company has implemented to address them, as applicable. </w:t>
      </w:r>
    </w:p>
    <w:p>
      <w:pPr>
        <w:pStyle w:val="TextBody"/>
        <w:bidi w:val="0"/>
        <w:spacing w:before="120" w:after="283"/>
        <w:jc w:val="left"/>
        <w:rPr>
          <w:rFonts w:ascii="Times New Roman" w:hAnsi="Times New Roman"/>
          <w:b/>
          <w:color w:val="000000"/>
          <w:sz w:val="20"/>
        </w:rPr>
      </w:pPr>
      <w:bookmarkStart w:id="8" w:name="item2properties_264380"/>
      <w:bookmarkEnd w:id="8"/>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lease 1,750 square feet of laboratory space in Philadelphia, PA. We are currently on a month-to-month lease on this Philadelphia lab space. We, as well as our landlord, can terminate the lease with four months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lease for 3,927 square feet of new laboratory space in King of Prussia, PA to replace the Philadelphia lab space, but this lease has not yet commenced with expected occupancy in the second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an operating lease for approximately 17,705 square feet of office space in Boston, Massachusetts, which we refer to as the Boston Lease. The Boston Lease expires in October 2029. On October 27, 2020, we entered into a sublease agreement whereby we subleased all 17,705 square feet of office space leased under the Boston Lease until October 2029.</w:t>
      </w:r>
    </w:p>
    <w:p>
      <w:pPr>
        <w:pStyle w:val="TextBody"/>
        <w:bidi w:val="0"/>
        <w:spacing w:before="120" w:after="283"/>
        <w:jc w:val="left"/>
        <w:rPr>
          <w:rFonts w:ascii="Times New Roman" w:hAnsi="Times New Roman"/>
          <w:sz w:val="20"/>
        </w:rPr>
      </w:pPr>
      <w:r>
        <w:rPr>
          <w:rFonts w:ascii="Times New Roman" w:hAnsi="Times New Roman"/>
          <w:color w:val="000000"/>
          <w:sz w:val="20"/>
        </w:rPr>
        <w:t>We believe that we will need to increase our lease space</w:t>
      </w:r>
      <w:r>
        <w:rPr>
          <w:rFonts w:ascii="Times New Roman" w:hAnsi="Times New Roman"/>
          <w:color w:val="0000FF"/>
          <w:sz w:val="20"/>
        </w:rPr>
        <w:t xml:space="preserve"> </w:t>
      </w:r>
      <w:r>
        <w:rPr>
          <w:rFonts w:ascii="Times New Roman" w:hAnsi="Times New Roman"/>
          <w:color w:val="000000"/>
          <w:sz w:val="20"/>
        </w:rPr>
        <w:t>in the near and intermediate term. We believe that both appropriate office and laboratory space will be readily available on commercially reasonable terms.</w:t>
      </w:r>
    </w:p>
    <w:p>
      <w:pPr>
        <w:pStyle w:val="TextBody"/>
        <w:bidi w:val="0"/>
        <w:spacing w:before="120" w:after="283"/>
        <w:jc w:val="left"/>
        <w:rPr>
          <w:rFonts w:ascii="Times New Roman" w:hAnsi="Times New Roman"/>
          <w:b/>
          <w:color w:val="000000"/>
          <w:sz w:val="20"/>
        </w:rPr>
      </w:pPr>
      <w:bookmarkStart w:id="9" w:name="item3legalproceedings_49550"/>
      <w:bookmarkEnd w:id="9"/>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pStyle w:val="TextBody"/>
        <w:bidi w:val="0"/>
        <w:spacing w:before="120" w:after="283"/>
        <w:jc w:val="left"/>
        <w:rPr>
          <w:rFonts w:ascii="Times New Roman" w:hAnsi="Times New Roman"/>
          <w:sz w:val="20"/>
        </w:rPr>
      </w:pPr>
      <w:bookmarkStart w:id="10" w:name="item4minesafetydisclosures_57184"/>
      <w:bookmarkEnd w:id="1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1" w:name="partii_672268"/>
      <w:bookmarkEnd w:id="11"/>
      <w:r>
        <w:rPr>
          <w:rFonts w:ascii="Times New Roman" w:hAnsi="Times New Roman"/>
          <w:b/>
          <w:color w:val="000000"/>
          <w:sz w:val="20"/>
        </w:rPr>
        <w:t>PART II</w:t>
      </w:r>
    </w:p>
    <w:p>
      <w:pPr>
        <w:pStyle w:val="TextBody"/>
        <w:bidi w:val="0"/>
        <w:jc w:val="left"/>
        <w:rPr>
          <w:rFonts w:ascii="Times New Roman" w:hAnsi="Times New Roman"/>
          <w:sz w:val="20"/>
        </w:rPr>
      </w:pPr>
      <w:bookmarkStart w:id="12" w:name="item5marketforregistrantsscommonequity_9"/>
      <w:bookmarkEnd w:id="12"/>
      <w:r>
        <w:rPr>
          <w:rFonts w:ascii="Times New Roman" w:hAnsi="Times New Roman"/>
          <w:b/>
          <w:color w:val="000000"/>
          <w:sz w:val="20"/>
        </w:rPr>
        <w:t>ITEM 5. MARKET FOR REGISTRANT’S COMMON EQUITY, RELATED STOCKHOLDER</w:t>
      </w:r>
      <w:r>
        <w:rPr>
          <w:rFonts w:ascii="Times New Roman" w:hAnsi="Times New Roman"/>
          <w:color w:val="000000"/>
          <w:sz w:val="20"/>
        </w:rPr>
        <w:t xml:space="preserve"> </w:t>
      </w:r>
      <w:r>
        <w:rPr>
          <w:rFonts w:ascii="Times New Roman" w:hAnsi="Times New Roman"/>
          <w:b/>
          <w:color w:val="000000"/>
          <w:sz w:val="20"/>
        </w:rPr>
        <w:t>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publicly traded on the Nasdaq Global Market under the symbol “LRMR.”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14, 2024, we had approximately 62 record holders of our common stock.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declared or paid any dividends since our inception nor do we expect to pay dividends in the foreseeable future.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sales of unregistered securities other than as previously disclosed by us in our Current Reports on Form 8-K as filed with the SEC.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3" w:name="item6selectedconsolidatedfinancialdata_6"/>
      <w:bookmarkEnd w:id="13"/>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7managementsdiscussionandanalysis_41"/>
      <w:bookmarkEnd w:id="14"/>
      <w:r>
        <w:rPr>
          <w:rFonts w:ascii="Times New Roman" w:hAnsi="Times New Roman"/>
          <w:b/>
          <w:color w:val="000000"/>
          <w:sz w:val="20"/>
        </w:rPr>
        <w:t>ITEM 7. MANAGEMENT’S DISCUSSION AND ANALYSIS OF FINANCIAL CONDITION AND</w:t>
      </w:r>
      <w:r>
        <w:rPr>
          <w:rFonts w:ascii="Times New Roman" w:hAnsi="Times New Roman"/>
          <w:color w:val="000000"/>
          <w:sz w:val="20"/>
        </w:rPr>
        <w:t xml:space="preserve"> </w:t>
      </w:r>
      <w:r>
        <w:rPr>
          <w:rFonts w:ascii="Times New Roman" w:hAnsi="Times New Roman"/>
          <w:b/>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audited consolidated financial statements and the related notes included elsewhere in this Annual Report on Form 10-K.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 "INN") and the United States Adopted Name ("USAN")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Nomlabofusp Program Update</w:t>
      </w:r>
    </w:p>
    <w:p>
      <w:pPr>
        <w:pStyle w:val="TextBody"/>
        <w:bidi w:val="0"/>
        <w:spacing w:before="120" w:after="120"/>
        <w:jc w:val="left"/>
        <w:rPr>
          <w:rFonts w:ascii="Times New Roman" w:hAnsi="Times New Roman"/>
          <w:sz w:val="20"/>
        </w:rPr>
      </w:pPr>
      <w:r>
        <w:rPr>
          <w:rFonts w:ascii="Times New Roman" w:hAnsi="Times New Roman"/>
          <w:i/>
          <w:color w:val="000000"/>
          <w:sz w:val="20"/>
        </w:rPr>
        <w:t>Clinical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two Phase 1 clinical trials and a Phase 2 dose exploration trial in patients with FA.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reported positive top-line data from our Phase 1 FA program after completing dosing of the single ascending dose ("SAD") trial in December 2020 and of the multiple ascending dose ("MAD") trial in March 2021. Data from these trials demonstrated proof-of-concept by showing that daily subcutaneous injections of nomlabofusp for up to 13 days resulted in dose-dependent increases in FXN levels from baseline compared to placebo in all evaluated tissues (buccal cells, skin, and platelets). There were no serious adverse events associated with either the MAD or SAD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we reported preliminary unblinded top-line data from the 25 mg cohort of our Phase 2 four-week, placebo-controlled, dose exploration trial of nomlabofusp in FA patients. Data from the cohort indicated nomlabofusp was generally well tolerated and showed increases in FXN levels from baseline compared to placebo in all evaluated tissues (skin and buccal cells) at day 14.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2023, we met with the FDA. Following that meeting, we submitted a complete response to the FDA’s partial clinical hold that included unblinded safety, PK and frataxin data from the Phase 2 trial’s completed 25 mg cohort.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following the FDA’s review of our complete response to the partial clinical hold, the FDA cleared initiation of a second cohort (50 mg) of our four-week, placebo-controlled, Phase 2 dose exploration trial and to initiate our OLE trial with daily dosing of 25 mg.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initiated the OLE trial evaluating daily subcutaneous injections of 25 mg of nomlabofusp self-administered or administered by a caregiver, with the first patient dosed in March 2024. Participants who complete treatment in the Phase 2 dose exploration trial, or who previously completed a prior clinical trial of nomlabofusp are potentially eligible to screen for the OLE. The OLE will evaluate the safety and tolerability and PK and measures of frataxin levels in peripheral tissues as well as other exploratory PD (lipid profiles and gene expression data) following long-term subcutaneous administration of nomlabofusp. Clinical measures collected during the trial will be compared to data from a synthetic control arm derived from participants in the Friedreich’s Ataxia Clinical Outcome Measures Study ("FACOMS") database. Dose escalation in the OLE trial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considered based on safety, tolerability, PK, and tissue FXN levels from the Phase 2 trial’s 50 mg cohort as well as available data from the 25 mg dose of nomlabofusp in the OLE trial and is contingent on FDA review as part of the partial clinical hold. Initial data from the OLE trial is expected in the fourth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reported positive top-line data and successful completion of the two cohorts (25 mg and 50 mg groups) of our four-week, placebo-controlled Phase 2 dose exploration study of nomlabofusp in participants with FA.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we had discussions with the FDA regarding the use of tissue FXN levels as a novel surrogate endpoint. The FDA has acknowledged that frataxin deficiency appears to be critical to the pathogenic mechanism of FA, and that there continues to be an unmet need for treatments for FA patients that address the underlying disease pathophysiology. We intend to pursue an accelerated approval using FXN levels, supportive PD and clinical information, and safety data from the OLE study, along with additional non-clinical pharmacology information needed to support the novel surrogate endpoint approach. We are beginning to plan for a confirmatory study and are targeting a BLA submission in the second half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Nomlabofusp has been granted Orphan Drug (U.S. and Europe), Rare Pediatric Disease (U.S.), Fast Track (U.S.), and PRIME (Europe) designations for FA. We have also begun to engage with regulators and investigators outside the U.S. as we prepare to expand our clinical program to additional geographies. With approximately 75% of individuals with FA living outside the U.S., establishing global clinical trial capabilities is important for addressing the pressing unmet needs of the FA community.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Financing Activities, Including Recent Material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2022, we sold 25,558,750 shares of common stock in an underwritten offering for net proceeds of $75.2 million, after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we sold 19,736,842 shares of common stock in an underwritten public offering, for net proceeds of approximately $161.6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are prepared in accordance with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increase in the foreseeable future as we pursue clinical development of nomlabofusp and/or any other product candidates we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 characteristics including enterprise value, risk profiles and position within the industry. Beginning on January 1, 2023, the Company began blending its historical data starting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classify stock-based compensation expense in our consolidated statements of operations and comprehensive loss in the same manner in which the award recipient’s payroll costs are classified or in which the award recipient’s service payments are classified.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operating expenses since inception have consisted primarily of research and development activities, and general and administrative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which consist primarily of costs associated with our product research and development efforts, are expensed as incurred. Research and development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formulation, manufacturing, non-clinical studies and clinical trial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related costs, including salaries, benefits and stock-based compensation expenses for employees engaged in scientific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costs of outside consultants and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under our third-party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sponsored research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consumables;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facility-related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and expense of clinical trials and other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uncertainties in clinical trial enrollment rate or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receipt of any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influence of the FDA or other regulatory authorities on our clinical trial design and timing;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patent and trade secret protection and regulatory exclusivity for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and retain key research and development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commentary is a discussion and analysis of our financial condition as of December 31, 2023 and results of operations and cash flows for the year ended December 31, 2023 compared to the year ended December 31, 2022 and should be read in conjunction with the consolidated financial statements and accompanying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discussion and analysis of our financial condition as of December 31, 2022, and results of operations and cash flows for the year ended December 31, 2022, compared to the year ended December 31, 2021, is included in item 7, Management’s Discussion and Analysis of Financial and Results of Operations of our Annual Report on Form 10-K for the year ended December 31,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years ended December 31, 2023 and 2022:</w:t>
      </w:r>
    </w:p>
    <w:p>
      <w:pPr>
        <w:pStyle w:val="TextBody"/>
        <w:bidi w:val="0"/>
        <w:jc w:val="left"/>
        <w:rPr/>
      </w:pPr>
      <w:r>
        <w:rPr/>
        <w:t> </w:t>
      </w:r>
    </w:p>
    <w:tbl>
      <w:tblPr>
        <w:tblW w:w="6616" w:type="dxa"/>
        <w:jc w:val="left"/>
        <w:tblInd w:w="0" w:type="dxa"/>
        <w:tblLayout w:type="fixed"/>
        <w:tblCellMar>
          <w:top w:w="28" w:type="dxa"/>
          <w:left w:w="28" w:type="dxa"/>
          <w:bottom w:w="28" w:type="dxa"/>
          <w:right w:w="28" w:type="dxa"/>
        </w:tblCellMar>
      </w:tblPr>
      <w:tblGrid>
        <w:gridCol w:w="2671"/>
        <w:gridCol w:w="146"/>
        <w:gridCol w:w="211"/>
        <w:gridCol w:w="736"/>
        <w:gridCol w:w="166"/>
        <w:gridCol w:w="146"/>
        <w:gridCol w:w="211"/>
        <w:gridCol w:w="736"/>
        <w:gridCol w:w="166"/>
        <w:gridCol w:w="146"/>
        <w:gridCol w:w="218"/>
        <w:gridCol w:w="652"/>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411" w:type="dxa"/>
            <w:tcBorders/>
            <w:shd w:fill="FFFFFF" w:val="cle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88"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0"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6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6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twelve months ended December 31, 2023 increased $3.4 million compared to the twelve months ended December 31, 2022 due to continued and increased clinical development of nomlabofusp and related regulatory and bioanalysis. The increase in research and development expenses compared to the prior year period was primarily driven by an increase of $1.9 million in personnel expense, an increase of $1.3 million in clinical expense, an increase of $1.1 million in regulatory and statistical consulting expenditures, an increase of $0.5 million in assay development costs, and an increase of $0.3 million in stock-based compensation expense associated with stock option grants made in 2022 and 2023, partially offset by a decrease of $2.0 million in drug manufacturing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twelve months ended December 31, 2023 increased $1.8 million compared to the twelve months ended December 31, 2022. The increase in general and administrative expense was primarily driven by an increase of $0.7 million in stock-based compensation expense associated with stock option grants made in 2022 and 2023, an increase of $0.5 million in personnel expense, an increase of $0.5 million in operational costs primarily related to technology and an increase of $0.4 million in professional fees primarily related to legal, accounting and consulting services, partially offset by a decrease of $0.3 million in insurance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$4.8 million of income in the twelve months ended December 31, 2023 compared to $1.2 million in the twelve months ended December 31, 2022. The increase primarily relates to interest income on a higher investment base and higher investment yields on that base during the current period.</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 below:</w:t>
      </w:r>
    </w:p>
    <w:tbl>
      <w:tblPr>
        <w:tblW w:w="73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net operating activities used $33.5 million of cash, resulting from our net loss of $36.9 million, adjusted for noncash expenses of $6.0 million, and changes in our operating assets and liabilities of resulting in a use of cash of $2.5 million. Our net loss was attributed to operating expenses of $41.8 million offset by other income (net) of $4.8 million. The change in operating assets and liabilities was primarily due to a decrease in accounts payable and accrued expenses and an increase in prepaid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2022, operating activities used $27.6 million of cash, resulting from our net loss of $35.4 million, adjusted for noncash expenses of $6.1 million, and changes in our operating assets and liabilities resulting in a use of cash of $1.7 million. Our loss was primarily attributed to operating expenses of $36.5 million. The change in operating assets and liabilities was primarily due to an increase in accrued expenses due to the growth in our operating activities following the partial release of the clinical hold in late 2022.</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cash provided by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investing activities provided $33.4 million of net cash, resulting from $134.8 million of maturities and sales of marketable securities, which was offset by purchases of $101.2 million in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2022, investing activities used $91.0 million of net cash, resulting from purchases of $133.6 million in marketable securities, which was offset by $42.8 million of maturities and sales of marketable securities.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financing activities provided less than $0.1 million of cash from the exercise of stock options and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2022, financing activities provided $75.3 million of cash from sale of common stock in an underwritten public offering, net of issuance costs.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commercialized any products and do not expect to generate revenue from the commercial sale of any products for several years,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to date incurred net losses. We incurred net losses of approximately $36.9 million and $35.4 million for the twelve months ended December 31, 2023 and 2022, respectively. As of December 31, 2023, we had an accumulated deficit of $188.6 million and a cash, cash equivalents and marketable securities balance of $86.8 million, excluding restricted cash of $1.3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the development of nomlabofusp through additional clinical trials, including related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identify and advance development of additional product candidates into clinical development and identify additional indications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obtain regulatory approvals for nomlabofusp and other potential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leverage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operational, financial, commercial and management systems and personnel, including personnel to support our clinical development and future commercialization efforts and our operations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we sold 19,736,842 shares of common stock in an underwritten public offering, net of underwriting discounts and commissions and offering costs of approximately $161.6 million. We anticipate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net proceeds, together with our current cash, cash equivalents and marketable securities will fund operations into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Please read Note 2 to our audited consolidated financial statements included in Part IV, Item 15, of this Annual Report for a description of recent accounting pronouncements applicable to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Company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7aquantitativeandqualitativedisclosu"/>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w:t>
        <w:br/>
        <w:t>required to provide the information required under this item.</w:t>
      </w:r>
    </w:p>
    <w:p>
      <w:pPr>
        <w:pStyle w:val="TextBody"/>
        <w:bidi w:val="0"/>
        <w:spacing w:before="120" w:after="283"/>
        <w:jc w:val="left"/>
        <w:rPr>
          <w:rFonts w:ascii="Times New Roman" w:hAnsi="Times New Roman"/>
          <w:b/>
          <w:color w:val="000000"/>
          <w:sz w:val="20"/>
        </w:rPr>
      </w:pPr>
      <w:bookmarkStart w:id="16" w:name="item8financialstatementsandsupplementary"/>
      <w:bookmarkEnd w:id="16"/>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audited consolidated financial statements and the report of our independent registered public accounting firm are included in this Annual Report on Form 10-K on the pages indicated in Part IV, Item 15.</w:t>
      </w:r>
    </w:p>
    <w:p>
      <w:pPr>
        <w:pStyle w:val="TextBody"/>
        <w:bidi w:val="0"/>
        <w:spacing w:before="120" w:after="283"/>
        <w:jc w:val="left"/>
        <w:rPr>
          <w:rFonts w:ascii="Times New Roman" w:hAnsi="Times New Roman"/>
          <w:b/>
          <w:color w:val="000000"/>
          <w:sz w:val="20"/>
        </w:rPr>
      </w:pPr>
      <w:bookmarkStart w:id="17" w:name="item9changesinanddisagreementswithaccoun"/>
      <w:bookmarkEnd w:id="17"/>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item9acontrolsandprocedures_737107"/>
      <w:bookmarkEnd w:id="18"/>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the year ended December 31, 2023,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2023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our evaluation under that framework, our management concluded that our internal control over financial reporting was effective as of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that occurred during the quarter ended December 31, 2023,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9" w:name="item9botherinformation_654168"/>
      <w:bookmarkEnd w:id="19"/>
      <w:r>
        <w:rPr>
          <w:rFonts w:ascii="Times New Roman" w:hAnsi="Times New Roman"/>
          <w:b/>
          <w:color w:val="000000"/>
          <w:sz w:val="20"/>
        </w:rPr>
        <w:t>ITEM 9B.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During the fourth quarter of the fiscal year ended December 31, 2023, no director or “officer” as defined in Rule 16a-1(f) under the Exchange Act adopted or terminated any Rule 10b5-1 trading plan or arrangements or any non-Rule 10b5-1 trading plan or arrangements, in both cases as defined in Item 408(a) of Regulation S-K.</w:t>
      </w:r>
    </w:p>
    <w:p>
      <w:pPr>
        <w:pStyle w:val="TextBody"/>
        <w:bidi w:val="0"/>
        <w:spacing w:before="120" w:after="283"/>
        <w:jc w:val="left"/>
        <w:rPr>
          <w:rFonts w:ascii="Times New Roman" w:hAnsi="Times New Roman"/>
          <w:b/>
          <w:color w:val="000000"/>
          <w:sz w:val="20"/>
        </w:rPr>
      </w:pPr>
      <w:bookmarkStart w:id="20" w:name="item9cforeignjurisdictions"/>
      <w:bookmarkEnd w:id="20"/>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partiii_936646"/>
      <w:bookmarkEnd w:id="21"/>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2" w:name="item10directorsexecutiveofficersandcorpo"/>
      <w:bookmarkEnd w:id="22"/>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color w:val="000000"/>
          <w:sz w:val="20"/>
        </w:rPr>
        <w:t>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10 of Form 10-K is incorporated by reference to the information contained in our definitive proxy statement for the 2024 annual meeting of stockholders.</w:t>
      </w:r>
    </w:p>
    <w:p>
      <w:pPr>
        <w:pStyle w:val="TextBody"/>
        <w:bidi w:val="0"/>
        <w:spacing w:before="120" w:after="283"/>
        <w:jc w:val="left"/>
        <w:rPr>
          <w:rFonts w:ascii="Times New Roman" w:hAnsi="Times New Roman"/>
          <w:sz w:val="20"/>
        </w:rPr>
      </w:pPr>
      <w:bookmarkStart w:id="23" w:name="item11executivecompensation_214372"/>
      <w:bookmarkEnd w:id="23"/>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color w:val="000000"/>
          <w:sz w:val="20"/>
        </w:rPr>
        <w:t>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11 of Form 10-K is incorporated by reference to the information contained in our definitive proxy statement for the 2024 annual meeting of stockholders.</w:t>
      </w:r>
    </w:p>
    <w:p>
      <w:pPr>
        <w:pStyle w:val="TextBody"/>
        <w:bidi w:val="0"/>
        <w:spacing w:before="120" w:after="283"/>
        <w:jc w:val="left"/>
        <w:rPr>
          <w:rFonts w:ascii="Times New Roman" w:hAnsi="Times New Roman"/>
          <w:sz w:val="20"/>
        </w:rPr>
      </w:pPr>
      <w:bookmarkStart w:id="24" w:name="item12securityownershipofcertainbenefici"/>
      <w:bookmarkEnd w:id="24"/>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12 of Form 10-K is incorporated by reference to the information contained in our definitive proxy statement for the 2024 annual meeting of stockholders.</w:t>
      </w:r>
    </w:p>
    <w:p>
      <w:pPr>
        <w:pStyle w:val="TextBody"/>
        <w:bidi w:val="0"/>
        <w:spacing w:before="120" w:after="283"/>
        <w:jc w:val="left"/>
        <w:rPr>
          <w:rFonts w:ascii="Times New Roman" w:hAnsi="Times New Roman"/>
          <w:b/>
          <w:color w:val="000000"/>
          <w:sz w:val="20"/>
        </w:rPr>
      </w:pPr>
      <w:bookmarkStart w:id="25" w:name="item13certainrelationshipsandrelatedtran"/>
      <w:bookmarkEnd w:id="25"/>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13 of Form 10-K is incorporated by reference to the information contained in our definitive proxy statement for the 2024 annual meeting of stockholders.</w:t>
      </w:r>
    </w:p>
    <w:p>
      <w:pPr>
        <w:pStyle w:val="TextBody"/>
        <w:bidi w:val="0"/>
        <w:spacing w:before="120" w:after="283"/>
        <w:jc w:val="left"/>
        <w:rPr>
          <w:rFonts w:ascii="Times New Roman" w:hAnsi="Times New Roman"/>
          <w:sz w:val="20"/>
        </w:rPr>
      </w:pPr>
      <w:bookmarkStart w:id="26" w:name="item14principalaccountingfeesandservices"/>
      <w:bookmarkEnd w:id="26"/>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color w:val="000000"/>
          <w:sz w:val="20"/>
        </w:rPr>
        <w:t>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accounting firm is PricewaterhouseCoopers LLP, Philadelphia, Pennsylvania, USA, PCAOB Auditor ID: 238.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14 of Form 10-K is incorporated by reference to the information contained in our definitive proxy statement for the 2024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partiv_994849"/>
      <w:bookmarkEnd w:id="27"/>
      <w:r>
        <w:rPr>
          <w:rFonts w:ascii="Times New Roman" w:hAnsi="Times New Roman"/>
          <w:b/>
          <w:color w:val="000000"/>
          <w:sz w:val="20"/>
        </w:rPr>
        <w:t>PART IV</w:t>
      </w:r>
    </w:p>
    <w:p>
      <w:pPr>
        <w:pStyle w:val="TextBody"/>
        <w:bidi w:val="0"/>
        <w:spacing w:before="240" w:after="283"/>
        <w:jc w:val="left"/>
        <w:rPr>
          <w:rFonts w:ascii="Times New Roman" w:hAnsi="Times New Roman"/>
          <w:sz w:val="20"/>
        </w:rPr>
      </w:pPr>
      <w:bookmarkStart w:id="28" w:name="item15exhibitsfinancialstatementschedule"/>
      <w:bookmarkEnd w:id="28"/>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color w:val="000000"/>
          <w:sz w:val="20"/>
        </w:rPr>
        <w:t>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Index to the Consolidated Financial Statements on page F-1 of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as all information required in these schedules is included in the Notes to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is made to the Exhibit Index below for a list of exhibits required by Item 601 of Regulation S-K to be filed as part of this Annual Report.</w:t>
      </w:r>
    </w:p>
    <w:p>
      <w:pPr>
        <w:pStyle w:val="TextBody"/>
        <w:bidi w:val="0"/>
        <w:spacing w:before="120" w:after="283"/>
        <w:jc w:val="left"/>
        <w:rPr>
          <w:rFonts w:ascii="Times New Roman" w:hAnsi="Times New Roman"/>
          <w:color w:val="000000"/>
          <w:sz w:val="20"/>
        </w:rPr>
      </w:pPr>
      <w:bookmarkStart w:id="29" w:name="item6_exhibits"/>
      <w:bookmarkEnd w:id="29"/>
      <w:r>
        <w:rPr>
          <w:rFonts w:ascii="Times New Roman" w:hAnsi="Times New Roman"/>
          <w:color w:val="000000"/>
          <w:sz w:val="20"/>
        </w:rPr>
        <w:t>The following exhibits are being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exhibit_index"/>
      <w:bookmarkEnd w:id="30"/>
      <w:r>
        <w:rPr>
          <w:rFonts w:ascii="Times New Roman" w:hAnsi="Times New Roman"/>
          <w:b/>
          <w:color w:val="000000"/>
          <w:sz w:val="20"/>
          <w:u w:val="single"/>
        </w:rPr>
        <w:t>EXHIBIT</w:t>
      </w:r>
      <w:r>
        <w:rPr>
          <w:rFonts w:ascii="Times New Roman" w:hAnsi="Times New Roman"/>
          <w:color w:val="000000"/>
          <w:sz w:val="20"/>
          <w:u w:val="single"/>
        </w:rPr>
        <w:t xml:space="preserve"> </w:t>
      </w:r>
      <w:r>
        <w:rPr>
          <w:rFonts w:ascii="Times New Roman" w:hAnsi="Times New Roman"/>
          <w:b/>
          <w:color w:val="000000"/>
          <w:sz w:val="20"/>
          <w:u w:val="single"/>
        </w:rPr>
        <w:t>INDEX</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Certain confidential portions (indicated by brackets and asterisks) have been omitted from this exhibit</w:t>
      </w:r>
    </w:p>
    <w:p>
      <w:pPr>
        <w:pStyle w:val="TextBody"/>
        <w:bidi w:val="0"/>
        <w:jc w:val="left"/>
        <w:rPr>
          <w:rFonts w:ascii="Times New Roman" w:hAnsi="Times New Roman"/>
          <w:color w:val="000000"/>
          <w:sz w:val="20"/>
        </w:rPr>
      </w:pPr>
      <w:r>
        <w:rPr>
          <w:rFonts w:ascii="Times New Roman" w:hAnsi="Times New Roman"/>
          <w:color w:val="000000"/>
          <w:sz w:val="20"/>
        </w:rPr>
        <w:t>** Furnished herewith.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
        <w:gridCol w:w="146"/>
        <w:gridCol w:w="9358"/>
      </w:tblGrid>
      <w:tr>
        <w:trPr/>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8"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701" w:type="dxa"/>
            <w:tcBorders>
              <w:bottom w:val="single" w:sz="8" w:space="0" w:color="000000"/>
            </w:tcBorders>
            <w:tcMar>
              <w:top w:w="0" w:type="dxa"/>
              <w:left w:w="0" w:type="dxa"/>
              <w:right w:w="0" w:type="dxa"/>
            </w:tcMar>
            <w:vAlign w:val="center"/>
          </w:tcPr>
          <w:p>
            <w:pPr>
              <w:pStyle w:val="TableContents"/>
              <w:pBdr/>
              <w:bidi w:val="0"/>
              <w:spacing w:before="0" w:after="283"/>
              <w:ind w:left="0" w:right="0" w:hanging="144"/>
              <w:jc w:val="righ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35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r>
      <w:tr>
        <w:trPr/>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Agreement and Plan of Merger, dated as of December 17, 2019, by and among Zafgen, Inc., Chondrial Therapeutics, Inc., Chondrial Therapeutics Holdings, LLC, and Zordich Merger Sub, Inc. (incorporated by reference to Exhibit 2.1 of the Company’s Current Report on Form 8-K filed on December 18, 2019).</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Amendment No. 1 to Agreement and Plan of Merger, dated as of March 6, 2020, by and among Zafgen, Inc., Chondrial Therapeutics, Inc., Chondrial Therapeutics Holdings, LLC, and Zordich Merger Sub, Inc. (incorporated by reference to Exhibit 2.1 of the Company’s Current Report on Form 8-K filed on March 6,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Ninth Amend</w:t>
              </w:r>
            </w:hyperlink>
            <w:hyperlink r:id="rId20">
              <w:r>
                <w:rPr>
                  <w:rStyle w:val="InternetLink"/>
                  <w:rFonts w:ascii="Times New Roman" w:hAnsi="Times New Roman"/>
                  <w:color w:val="0000CC"/>
                  <w:sz w:val="20"/>
                  <w:u w:val="single"/>
                </w:rPr>
                <w:t xml:space="preserve">ed </w:t>
              </w:r>
            </w:hyperlink>
            <w:hyperlink r:id="rId21">
              <w:r>
                <w:rPr>
                  <w:rStyle w:val="InternetLink"/>
                  <w:rFonts w:ascii="Times New Roman" w:hAnsi="Times New Roman"/>
                  <w:color w:val="0000FF"/>
                  <w:sz w:val="20"/>
                  <w:u w:val="single"/>
                </w:rPr>
                <w:t>and Restated Certificate of Incorporation of Larimar Therapeutics, Inc. (formerly known as Zafgen, Inc.) (incorporated by reference to Exhibit 3.1 of the Company’s Current Report on Form 8-K filed on June 24, 2014).</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Certificate of Amendment of Ninth Amended and Restated Certificate of Incorporation of Zafgen, Inc. related to the Reverse Stock Split, dated May 28, 2020 (incorporated by reference to Exhibit 3.1 of the Company’s Current Report on Form 8-K filed on June 2,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Certificate of Amendment of Ninth Amended and Restated Certificate of Incorporation of Zafgen, Inc. related to the Name Change, dated May 28, 2020 (incorporated by reference to Exhibit 3.1 of the Company’s Current Report on Form 8-K filed on June 2,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80"/>
                  <w:sz w:val="20"/>
                  <w:u w:val="single"/>
                </w:rPr>
                <w:t>Amended and Restated By-laws of Larimar Therapeutics, Inc. (formerly known as Zafgen, Inc.) (incorporated by reference to Exhibit 3.2 of the Company’s Current Report on Form 8-K filed on June 24, 2014)</w:t>
              </w:r>
            </w:hyperlink>
            <w:r>
              <w:rPr>
                <w:rFonts w:ascii="Times New Roman" w:hAnsi="Times New Roman"/>
                <w:color w:val="0000CC"/>
                <w:sz w:val="20"/>
                <w:u w:val="single"/>
              </w:rPr>
              <w:t>.</w:t>
            </w:r>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Description of the Company’s Securities Registered Pursuant to Section 12 of the Securities Exchange Act of 1934 (incorporated by reference to Exhibit 4.2 of the Company’s Annual Report on Form 10-K filed March 4, 2021).</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Larimar Therapeutics, Inc. 2020 Equity Incentive Plan (incorporated by reference to Exhibit 10.1 of the Company’s Current Report on Form 8-K filed on September 29,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Larimar Therapeutics, Inc. Form of Stock Option Grant Notice and Award Agreement under its 2020 Equity Incentive Plan (incorporated by reference to Exhibit 10.2 of the Company’s Current Report on Form 8-K filed on September 29,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w:anchor="lrmr-ex10_3.htm">
              <w:r>
                <w:rPr>
                  <w:rStyle w:val="InternetLink"/>
                  <w:rFonts w:ascii="Times New Roman" w:hAnsi="Times New Roman"/>
                  <w:color w:val="0000FF"/>
                  <w:sz w:val="20"/>
                  <w:u w:val="single"/>
                </w:rPr>
                <w:t>Restricted Stock Award Agreement for Company Employees under the Larimar Therapeutics, Inc. 2020 Equity Incentive Plan.</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w:anchor="lrmr-ex10_4.htm">
              <w:r>
                <w:rPr>
                  <w:rStyle w:val="InternetLink"/>
                  <w:rFonts w:ascii="Times New Roman" w:hAnsi="Times New Roman"/>
                  <w:color w:val="0000FF"/>
                  <w:sz w:val="20"/>
                  <w:u w:val="single"/>
                </w:rPr>
                <w:t>Non-Qualified Stock Option Grant Notice and Award Agreement.</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EE"/>
                  <w:sz w:val="20"/>
                  <w:u w:val="single"/>
                </w:rPr>
                <w:t>Registration Rights Agreement, dated as of June 1, 2020, by and among the Company and certain Investors (incorporated by reference to Exhibit 10.2 of the Company’s Current Report on Form 8-K filed on June 2,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EE"/>
                  <w:sz w:val="20"/>
                  <w:u w:val="single"/>
                </w:rPr>
                <w:t>Registration Rights Agreement, dated as of June 8, 2020, by and among the Company and certain Investors (incorporated by reference to Exhibit 10.3 of the Company’s Registration Statement on Form S-3 filed on June 26,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EE"/>
                  <w:sz w:val="20"/>
                  <w:u w:val="single"/>
                </w:rPr>
                <w:t>Form of Indemnification Agreement between the Company and its directors (incorporated by reference to Exhibit 10.3 of the Company’s Current Report on Form 8-K filed on June 2,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Employment Agreement, dated July 31, 2020, by and between the Company and Carole Ben-Maimon (incorporated by reference to Exhibit 10.1 of the Company’s Current Report on Form 8-K filed on August 6,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EE"/>
                  <w:sz w:val="20"/>
                  <w:u w:val="single"/>
                </w:rPr>
                <w:t>Employment Agreement, dated June 1, 2020, by and between the Company and Michael Celano (incorporated by reference to Exhibit 10.4 of the Company’s Current Report on Form 8-K filed on June 2, 2020).</w:t>
              </w:r>
            </w:hyperlink>
          </w:p>
        </w:tc>
      </w:tr>
      <w:tr>
        <w:trPr/>
        <w:tc>
          <w:tcPr>
            <w:tcW w:w="7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Employment Agreement, dated February 7, 2023, by and between the Company and Gopi Shankar (incorporated by reference to Exhibit 10.10 of the Company’s Annual Report on Form 10-K filed on March 14, 2023).</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
        <w:gridCol w:w="146"/>
        <w:gridCol w:w="9374"/>
      </w:tblGrid>
      <w:tr>
        <w:trPr/>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4" w:type="dxa"/>
            <w:tcBorders/>
            <w:vAlign w:val="center"/>
          </w:tcPr>
          <w:p>
            <w:pPr>
              <w:pStyle w:val="TableContents"/>
              <w:bidi w:val="0"/>
              <w:spacing w:before="0" w:after="283"/>
              <w:jc w:val="left"/>
              <w:rPr>
                <w:sz w:val="4"/>
                <w:szCs w:val="4"/>
              </w:rPr>
            </w:pPr>
            <w:r>
              <w:rPr>
                <w:sz w:val="4"/>
                <w:szCs w:val="4"/>
              </w:rPr>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Employment Agreement dated May 23, 2023, by and between the Company and Russell Clayton (incorporated by reference to Exhibit 10.1 of the Company’s Quarterly Report on Form 10-Q filed on August 10, 2023).</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License Agreement, by and between the Company and Wake Forest University Health Sciences, effective as of November 30, 2016. (incorporated by reference to Exhibit 10.6 of the Company’s Quarterly Report on Form 10-Q filed on August 14, 2020).</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Amendment 1 to License Agreement, by and between the Company and Wake Forest University Health Sciences, effective as of November 28, 2017 (incorporated by reference to Exhibit 10.7 of the Company’s Quarterly Report on Form 10-Q filed on August 14, 2020).</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Amendment 2 to License Agreement, by and between the Company and Wake Forest University Health Sciences, effective as of March 29, 2019 (incorporated by reference to Exhibit 10.8 of the Company’s Quarterly Report on Form 10-Q filed on August 14, 2020).</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License Agreement, by and between the Company and Indiana University Research and Technology Corporation, effective as of November 30, 2016 (incorporated by reference to Exhibit 10.9 of the Company’s Quarterly Report on Form 10-Q filed on August 14, 2020).</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First Amendment to License Agreement, by and between the Company, the Trustee of Indiana University and Indiana University Research and Technology Corporation, effective as of August 16, 2019 (incorporated by reference to Exhibit 10.10 of the Company’s Quarterly Report on Form 10-Q filed on August 14, 2020).</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Second Amendment to License Agreement, by and between the Company and The Trustees of Indiana University, effective as of May 28, 2020 (incorporated by reference to Exhibit 10.1 to the Company’s Quarterly Report on Form 10-Q filed on August 11, 2022).</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Third Amendment to License Agreement, by and between the Company and The Trustees of Indiana University, effective as of June 9, 2022 (incorporated by reference to Exhibit 10.2 to the Company’s Quarterly Report on Form 10-Q filed on August 11, 2022).</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EE"/>
                  <w:sz w:val="20"/>
                  <w:u w:val="single"/>
                </w:rPr>
                <w:t>Notice of Substitute Option Grant between the Company and a certain Optionee (incorporated by reference to Exhibit 4.5 of the Company’s Registration Statement on Form S-8 filed on June 26, 2020).</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w:anchor="lrmr-ex10_20.htm">
              <w:r>
                <w:rPr>
                  <w:rStyle w:val="InternetLink"/>
                  <w:rFonts w:ascii="Times New Roman" w:hAnsi="Times New Roman"/>
                  <w:color w:val="0000FF"/>
                  <w:sz w:val="20"/>
                  <w:u w:val="single"/>
                </w:rPr>
                <w:t>Lease, dated as of August 8, 2019, by and between Larimar Therapeutics, Inc. and Bala Plaza Property, Inc.</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w:anchor="lrmr-ex10_21.htm">
              <w:r>
                <w:rPr>
                  <w:rStyle w:val="InternetLink"/>
                  <w:rFonts w:ascii="Times New Roman" w:hAnsi="Times New Roman"/>
                  <w:color w:val="0000FF"/>
                  <w:sz w:val="20"/>
                  <w:u w:val="single"/>
                </w:rPr>
                <w:t>First Amendment to Lease, dated as of March 9, 2023, by and between the Company and Bala Plaza Property, Inc.</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9"/>
              </w:rPr>
              <w:t>10.22</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80"/>
                  <w:sz w:val="20"/>
                  <w:u w:val="single"/>
                </w:rPr>
                <w:t>Commercial Lease by and between the Company and Shigo Center Plaza Owner, LLC dated as of February 12, 2019 (incorporated herein by reference to Exhibit 10.4 of the Registrant’s Form 10-Q filed on May 9, 2019)</w:t>
              </w:r>
            </w:hyperlink>
            <w:r>
              <w:rPr>
                <w:rFonts w:ascii="Times New Roman" w:hAnsi="Times New Roman"/>
                <w:color w:val="0000FF"/>
                <w:sz w:val="20"/>
                <w:u w:val="single"/>
              </w:rPr>
              <w:t>.</w:t>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9"/>
              </w:rPr>
              <w:t>10.23</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Sublease, dated October 27, 2020 by and between the Company and Massachusetts Municipal Association, Inc. (incorporated by reference to Exhibit 10.1 to the Company’s Current Report on Form 8-K filed on October 30, 2020).</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9"/>
              </w:rPr>
              <w:t>10.24</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Master Services Agreement, dated as of September 20, 2017, by and between the Company and KBI Biopharma, Inc. (incorporated by reference to Exhibit 10.1 to the Company’s Quarterly Report on Form 10-Q filed on May 10, 2021).</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9"/>
              </w:rPr>
              <w:t>10.25</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First Amendment to Master Services Agreement, dated as of November 9, 2018, by and between the Company and KBI Biopharma, Inc. (incorporated by reference to Exhibit 10.2 to the Company’s Quarterly Report on Form 10-Q filed on May 10, 2021).</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9"/>
              </w:rPr>
              <w:t>10.26</w:t>
            </w: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Second Amendment to Master Services Agreement, dated as of September 20, 2022, by and between the Company and KBI Biopharma, Inc. (incorporated by reference to Exhibit 10.23 to the Company’s Form 10-K filed on March 14, 2023)</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w:anchor="lrmr-ex21_1.htm">
              <w:r>
                <w:rPr>
                  <w:rStyle w:val="InternetLink"/>
                  <w:rFonts w:ascii="Times New Roman" w:hAnsi="Times New Roman"/>
                  <w:color w:val="0000FF"/>
                  <w:sz w:val="20"/>
                  <w:u w:val="single"/>
                </w:rPr>
                <w:t>Subsidiaries of Larimar Therapeutics, Inc.</w:t>
              </w:r>
            </w:hyperlink>
            <w:hyperlink w:anchor="lrmr-ex21_1.htm">
              <w:r>
                <w:rPr>
                  <w:rStyle w:val="InternetLink"/>
                  <w:rFonts w:ascii="Times New Roman" w:hAnsi="Times New Roman"/>
                  <w:color w:val="0000FF"/>
                  <w:sz w:val="20"/>
                </w:rPr>
                <w:t xml:space="preserve"> </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w:anchor="lrmr-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w:anchor="lrmr-ex31_1.htm">
              <w:r>
                <w:rPr>
                  <w:rStyle w:val="InternetLink"/>
                  <w:rFonts w:ascii="Times New Roman" w:hAnsi="Times New Roman"/>
                  <w:color w:val="0000FF"/>
                  <w:sz w:val="20"/>
                  <w:u w:val="single"/>
                </w:rPr>
                <w:t>Rule 13a-14(a)/15d-14(a) certification of Principal Executive Officer.</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w:anchor="lrmr-ex31_2.htm">
              <w:r>
                <w:rPr>
                  <w:rStyle w:val="InternetLink"/>
                  <w:rFonts w:ascii="Times New Roman" w:hAnsi="Times New Roman"/>
                  <w:color w:val="0000FF"/>
                  <w:sz w:val="20"/>
                  <w:u w:val="single"/>
                </w:rPr>
                <w:t>Rule 13a-14(a)/15d-14(a) certification of Principal Financial Officer.</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both"/>
              <w:rPr/>
            </w:pPr>
            <w:hyperlink w:anchor="lrmr-ex32_1.htm">
              <w:r>
                <w:rPr>
                  <w:rStyle w:val="InternetLink"/>
                  <w:rFonts w:ascii="Times New Roman" w:hAnsi="Times New Roman"/>
                  <w:color w:val="0000FF"/>
                  <w:sz w:val="20"/>
                  <w:u w:val="single"/>
                </w:rPr>
                <w:t>Section 1350 certification of the Principal Executive Officer and Principal Financial Officer, as adopted pursuant to Section 906 of the Sarbanes-Oxley Act of 2002 (furnished herewith).</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pPr>
            <w:hyperlink w:anchor="lrmr-ex97_1.htm">
              <w:r>
                <w:rPr>
                  <w:rStyle w:val="InternetLink"/>
                  <w:rFonts w:ascii="Times New Roman" w:hAnsi="Times New Roman"/>
                  <w:color w:val="0000FF"/>
                  <w:sz w:val="20"/>
                  <w:u w:val="single"/>
                </w:rPr>
                <w:t>Larimar Therapeutics. Inc.’s Compensation Recovery Policy</w:t>
              </w:r>
            </w:hyperlink>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101.INS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w:t>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101.SCH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Document </w:t>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101.CAL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Calculation Linkbase Document </w:t>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101.DEF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Definition Linkbase Document </w:t>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101.LAB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Label Linkbase Document </w:t>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101.PRE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Presentation Linkbase Document </w:t>
            </w:r>
          </w:p>
        </w:tc>
      </w:tr>
      <w:tr>
        <w:trPr/>
        <w:tc>
          <w:tcPr>
            <w:tcW w:w="68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1" w:name="item_16_form_10k_summary"/>
      <w:bookmarkEnd w:id="31"/>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bookmarkStart w:id="33" w:name="signatures_181481"/>
      <w:bookmarkEnd w:id="33"/>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273" w:type="dxa"/>
        <w:jc w:val="left"/>
        <w:tblInd w:w="0" w:type="dxa"/>
        <w:tblLayout w:type="fixed"/>
        <w:tblCellMar>
          <w:top w:w="28" w:type="dxa"/>
          <w:left w:w="28" w:type="dxa"/>
          <w:bottom w:w="28" w:type="dxa"/>
          <w:right w:w="28" w:type="dxa"/>
        </w:tblCellMar>
      </w:tblPr>
      <w:tblGrid>
        <w:gridCol w:w="161"/>
        <w:gridCol w:w="406"/>
        <w:gridCol w:w="3706"/>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LARIMAR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Carole S. Ben-Maimon,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behalf of the registrant and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8"/>
        <w:gridCol w:w="146"/>
        <w:gridCol w:w="5726"/>
        <w:gridCol w:w="146"/>
        <w:gridCol w:w="1369"/>
      </w:tblGrid>
      <w:tr>
        <w:trPr/>
        <w:tc>
          <w:tcPr>
            <w:tcW w:w="2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both"/>
              <w:rPr/>
            </w:pPr>
            <w:r>
              <w:rPr/>
              <w:t> </w:t>
            </w:r>
          </w:p>
        </w:tc>
        <w:tc>
          <w:tcPr>
            <w:tcW w:w="136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Carole S. Ben-Maimon, M.D.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vMerge w:val="restart"/>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2024</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Carole S. Ben-Maimon,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continue"/>
            <w:tcBorders/>
            <w:tcMar>
              <w:top w:w="0" w:type="dxa"/>
              <w:left w:w="0" w:type="dxa"/>
              <w:bottom w:w="0" w:type="dxa"/>
              <w:right w:w="0" w:type="dxa"/>
            </w:tcMar>
            <w:vAlign w:val="center"/>
          </w:tcPr>
          <w:p>
            <w:pPr>
              <w:pStyle w:val="Normal"/>
              <w:bidi w:val="0"/>
              <w:jc w:val="left"/>
              <w:rPr/>
            </w:pPr>
            <w:r>
              <w:rPr/>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Celano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vMerge w:val="restart"/>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b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2024</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Celano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continue"/>
            <w:tcBorders/>
            <w:tcMar>
              <w:top w:w="0" w:type="dxa"/>
              <w:left w:w="0" w:type="dxa"/>
              <w:bottom w:w="0" w:type="dxa"/>
              <w:right w:w="0" w:type="dxa"/>
            </w:tcMar>
            <w:vAlign w:val="center"/>
          </w:tcPr>
          <w:p>
            <w:pPr>
              <w:pStyle w:val="Normal"/>
              <w:bidi w:val="0"/>
              <w:jc w:val="left"/>
              <w:rPr/>
            </w:pPr>
            <w:r>
              <w:rPr/>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Truitt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vMerge w:val="restart"/>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Board of Directors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2024</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Truitt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continue"/>
            <w:tcBorders/>
            <w:tcMar>
              <w:top w:w="0" w:type="dxa"/>
              <w:left w:w="0" w:type="dxa"/>
              <w:bottom w:w="0" w:type="dxa"/>
              <w:right w:w="0" w:type="dxa"/>
            </w:tcMar>
            <w:vAlign w:val="center"/>
          </w:tcPr>
          <w:p>
            <w:pPr>
              <w:pStyle w:val="Normal"/>
              <w:bidi w:val="0"/>
              <w:jc w:val="left"/>
              <w:rPr/>
            </w:pPr>
            <w:r>
              <w:rPr/>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E. Hamilton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vMerge w:val="restart"/>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2024</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E. Hamilton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continue"/>
            <w:tcBorders/>
            <w:tcMar>
              <w:top w:w="0" w:type="dxa"/>
              <w:left w:w="0" w:type="dxa"/>
              <w:bottom w:w="0" w:type="dxa"/>
              <w:right w:w="0" w:type="dxa"/>
            </w:tcMar>
            <w:vAlign w:val="center"/>
          </w:tcPr>
          <w:p>
            <w:pPr>
              <w:pStyle w:val="Normal"/>
              <w:bidi w:val="0"/>
              <w:jc w:val="left"/>
              <w:rPr/>
            </w:pPr>
            <w:r>
              <w:rPr/>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Leff</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vMerge w:val="restart"/>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2024</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Leff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continue"/>
            <w:tcBorders/>
            <w:tcMar>
              <w:top w:w="0" w:type="dxa"/>
              <w:left w:w="0" w:type="dxa"/>
              <w:bottom w:w="0" w:type="dxa"/>
              <w:right w:w="0" w:type="dxa"/>
            </w:tcMar>
            <w:vAlign w:val="center"/>
          </w:tcPr>
          <w:p>
            <w:pPr>
              <w:pStyle w:val="Normal"/>
              <w:bidi w:val="0"/>
              <w:jc w:val="left"/>
              <w:rPr/>
            </w:pPr>
            <w:r>
              <w:rPr/>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W. Sherman, M.D., FACP</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vMerge w:val="restart"/>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2024</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Jeffrey W. Sherman, M.D., FACP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continue"/>
            <w:tcBorders/>
            <w:tcMar>
              <w:top w:w="0" w:type="dxa"/>
              <w:left w:w="0" w:type="dxa"/>
              <w:bottom w:w="0" w:type="dxa"/>
              <w:right w:w="0" w:type="dxa"/>
            </w:tcMar>
            <w:vAlign w:val="center"/>
          </w:tcPr>
          <w:p>
            <w:pPr>
              <w:pStyle w:val="Normal"/>
              <w:bidi w:val="0"/>
              <w:jc w:val="left"/>
              <w:rPr/>
            </w:pPr>
            <w:r>
              <w:rPr/>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Frank E. Thomas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726" w:type="dxa"/>
            <w:vMerge w:val="restart"/>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2024</w:t>
            </w:r>
          </w:p>
        </w:tc>
      </w:tr>
      <w:tr>
        <w:trPr/>
        <w:tc>
          <w:tcPr>
            <w:tcW w:w="28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Frank E. Thomas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vMerge w:val="continue"/>
            <w:tcBorders/>
            <w:tcMar>
              <w:top w:w="0" w:type="dxa"/>
              <w:left w:w="0" w:type="dxa"/>
              <w:bottom w:w="0" w:type="dxa"/>
              <w:right w:w="0" w:type="dxa"/>
            </w:tcMar>
            <w:vAlign w:val="center"/>
          </w:tcPr>
          <w:p>
            <w:pPr>
              <w:pStyle w:val="Normal"/>
              <w:bidi w:val="0"/>
              <w:jc w:val="left"/>
              <w:rPr/>
            </w:pPr>
            <w:r>
              <w:rPr/>
            </w:r>
          </w:p>
        </w:tc>
      </w:tr>
      <w:tr>
        <w:trPr/>
        <w:tc>
          <w:tcPr>
            <w:tcW w:w="28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INDEX</w:t>
      </w:r>
      <w:r>
        <w:rPr>
          <w:rFonts w:ascii="Times New Roman" w:hAnsi="Times New Roman"/>
          <w:color w:val="000000"/>
          <w:sz w:val="20"/>
        </w:rPr>
        <w:t xml:space="preserve"> </w:t>
      </w:r>
    </w:p>
    <w:p>
      <w:pPr>
        <w:pStyle w:val="TextBody"/>
        <w:bidi w:val="0"/>
        <w:spacing w:before="40" w:after="283"/>
        <w:jc w:val="left"/>
        <w:rPr/>
      </w:pPr>
      <w:r>
        <w:rPr/>
        <w:t> </w:t>
      </w:r>
    </w:p>
    <w:tbl>
      <w:tblPr>
        <w:tblW w:w="9887" w:type="dxa"/>
        <w:jc w:val="left"/>
        <w:tblInd w:w="0" w:type="dxa"/>
        <w:tblLayout w:type="fixed"/>
        <w:tblCellMar>
          <w:top w:w="28" w:type="dxa"/>
          <w:left w:w="28" w:type="dxa"/>
          <w:bottom w:w="28" w:type="dxa"/>
          <w:right w:w="28" w:type="dxa"/>
        </w:tblCellMar>
      </w:tblPr>
      <w:tblGrid>
        <w:gridCol w:w="9376"/>
        <w:gridCol w:w="511"/>
      </w:tblGrid>
      <w:tr>
        <w:trPr/>
        <w:tc>
          <w:tcPr>
            <w:tcW w:w="937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7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376"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(PCAOB ID 238)</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r>
        <w:trPr/>
        <w:tc>
          <w:tcPr>
            <w:tcW w:w="937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376"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r>
      <w:tr>
        <w:trPr/>
        <w:tc>
          <w:tcPr>
            <w:tcW w:w="937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376" w:type="dxa"/>
            <w:tcBorders/>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Consolidated Statements of Operations and Comprehensive Loss for the years ended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37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376" w:type="dxa"/>
            <w:tcBorders/>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Consolidated Statements of Changes in Stockholders Equity for the years ended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37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376"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Consolidated Statements of Cash Flows for the years ended December 31, 2023 and 2022</w:t>
              </w:r>
            </w:hyperlink>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37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right"/>
              <w:rPr/>
            </w:pPr>
            <w:r>
              <w:rPr/>
              <w:t> </w:t>
            </w:r>
          </w:p>
        </w:tc>
      </w:tr>
      <w:tr>
        <w:trPr/>
        <w:tc>
          <w:tcPr>
            <w:tcW w:w="9376" w:type="dxa"/>
            <w:tcBorders/>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Consolidated Financial Statements</w:t>
              </w:r>
            </w:hyperlink>
            <w:r>
              <w:rPr>
                <w:rFonts w:ascii="Times New Roman" w:hAnsi="Times New Roman"/>
                <w:color w:val="000000"/>
                <w:sz w:val="20"/>
              </w:rPr>
              <w:t xml:space="preserve"> </w:t>
            </w:r>
          </w:p>
        </w:tc>
        <w:tc>
          <w:tcPr>
            <w:tcW w:w="5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report_independent_registered_public_acc"/>
      <w:bookmarkEnd w:id="34"/>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Board of Directors and Stockholders of Larimar Therapeutics, Inc. </w:t>
      </w:r>
    </w:p>
    <w:p>
      <w:pPr>
        <w:pStyle w:val="TextBody"/>
        <w:bidi w:val="0"/>
        <w:spacing w:before="120" w:after="283"/>
        <w:jc w:val="left"/>
        <w:rPr>
          <w:rFonts w:ascii="Times New Roman" w:hAnsi="Times New Roman"/>
          <w:sz w:val="20"/>
        </w:rPr>
      </w:pPr>
      <w:r>
        <w:rPr>
          <w:rFonts w:ascii="Times New Roman" w:hAnsi="Times New Roman"/>
          <w:b/>
          <w:i/>
          <w:color w:val="000000"/>
          <w:sz w:val="20"/>
        </w:rPr>
        <w:t>Opinion on the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Larimar Therapeutics, Inc. and its subsidiary (the “Company”) as of December 31, 2023 and 2022,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for Opinion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120" w:after="283"/>
        <w:jc w:val="left"/>
        <w:rPr>
          <w:rFonts w:ascii="Times New Roman" w:hAnsi="Times New Roman"/>
          <w:sz w:val="20"/>
        </w:rPr>
      </w:pPr>
      <w:r>
        <w:rPr>
          <w:rFonts w:ascii="Times New Roman" w:hAnsi="Times New Roman"/>
          <w:b/>
          <w:i/>
          <w:color w:val="000000"/>
          <w:sz w:val="20"/>
        </w:rPr>
        <w:t>Critical Audit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120" w:after="283"/>
        <w:jc w:val="left"/>
        <w:rPr>
          <w:rFonts w:ascii="Times New Roman" w:hAnsi="Times New Roman"/>
          <w:sz w:val="20"/>
        </w:rPr>
      </w:pPr>
      <w:r>
        <w:rPr>
          <w:rFonts w:ascii="Times New Roman" w:hAnsi="Times New Roman"/>
          <w:i/>
          <w:color w:val="000000"/>
          <w:sz w:val="20"/>
        </w:rPr>
        <w:t>Accrued 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Notes 2 and 6 to the consolidated financial statements, the Company recognizes external research and development costs based on an evaluation of the progress to completion of specific tasks using information provided to the Company by its key service providers. Within accrued expenses, total accrued research and development expenses amounted to $4.6 million as of December 31, 2023. Management’s process involves reviewing open contracts and purchase orders, communicating with personnel and outside vendors to identify services that have been performed, and estimating the level of service performed and the associated costs incurred for the services when invoices or other notification of actual costs have not been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accrued research and development expenses is a critical audit matter are (i) the significant judgment by management in developing the estimates of accrued research and development expenses and (ii) a high degree of auditor judgment, subjectivity and effort in performing procedures and evaluating audit evidence for these accrued research and development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 to management’s estimates of the level of service performed and the associated costs incurred for the services when invoices or other notification of actual costs have not yet been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the matter involved performing procedures and evaluating audit evidence in connection with forming our overall opinion on the financial statements. These procedures also included, among others; (i) testing management’s process for estimating accrued research and development expenses; (ii) evaluating the appropriateness of the method used by management to develop the estimate; (iii) testing the completeness and accuracy of the data used by management to develop the estimates related to the level of service performed and the associated costs incurred for the services when invoices or other notification of actual costs have not yet been received; (iv) evaluating the reasonableness of the estimated costs incurred for the services which have not been invoiced or other notification of actual costs have not yet been received, on a sample basis, by tracing to underlying supporting documentation, such as underlying contracts, invoices and information received from certain third party service vendors, where applicable, and; (v) testing a selection of invoices received by the Company subsequent to December 31, 2023.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r>
        <w:rPr>
          <w:rFonts w:ascii="Times New Roman" w:hAnsi="Times New Roman"/>
          <w:color w:val="000000"/>
          <w:sz w:val="20"/>
        </w:rPr>
        <w:t xml:space="preserve">Philadelphia, Pennsylvania </w:t>
      </w:r>
    </w:p>
    <w:p>
      <w:pPr>
        <w:pStyle w:val="TextBody"/>
        <w:bidi w:val="0"/>
        <w:jc w:val="left"/>
        <w:rPr>
          <w:rFonts w:ascii="Times New Roman" w:hAnsi="Times New Roman"/>
          <w:color w:val="000000"/>
          <w:sz w:val="20"/>
        </w:rPr>
      </w:pPr>
      <w:r>
        <w:rPr>
          <w:rFonts w:ascii="Times New Roman" w:hAnsi="Times New Roman"/>
          <w:color w:val="000000"/>
          <w:sz w:val="20"/>
        </w:rPr>
        <w:t xml:space="preserve">March 14, 2024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2020.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5" w:name="condensed_consolidated_balance_sheets"/>
      <w:bookmarkEnd w:id="3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9410" w:type="dxa"/>
        <w:jc w:val="left"/>
        <w:tblInd w:w="0" w:type="dxa"/>
        <w:tblLayout w:type="fixed"/>
        <w:tblCellMar>
          <w:top w:w="28" w:type="dxa"/>
          <w:left w:w="28" w:type="dxa"/>
          <w:bottom w:w="28" w:type="dxa"/>
          <w:right w:w="28" w:type="dxa"/>
        </w:tblCellMar>
      </w:tblPr>
      <w:tblGrid>
        <w:gridCol w:w="6171"/>
        <w:gridCol w:w="146"/>
        <w:gridCol w:w="219"/>
        <w:gridCol w:w="876"/>
        <w:gridCol w:w="166"/>
        <w:gridCol w:w="146"/>
        <w:gridCol w:w="219"/>
        <w:gridCol w:w="876"/>
        <w:gridCol w:w="59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vAlign w:val="center"/>
          </w:tcPr>
          <w:p>
            <w:pPr>
              <w:pStyle w:val="TableContents"/>
              <w:bidi w:val="0"/>
              <w:spacing w:before="0" w:after="283"/>
              <w:jc w:val="center"/>
              <w:rPr/>
            </w:pPr>
            <w:r>
              <w:rPr/>
              <w:t> </w:t>
            </w:r>
          </w:p>
        </w:tc>
      </w:tr>
      <w:tr>
        <w:trPr/>
        <w:tc>
          <w:tcPr>
            <w:tcW w:w="6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120,739</w:t>
            </w:r>
          </w:p>
        </w:tc>
        <w:tc>
          <w:tcPr>
            <w:tcW w:w="591" w:type="dxa"/>
            <w:tcBorders/>
            <w:shd w:fill="FFFFFF" w:val="cle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591" w:type="dxa"/>
            <w:tcBorders/>
            <w:shd w:fill="CFF0FC" w:val="cle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591" w:type="dxa"/>
            <w:tcBorders/>
            <w:shd w:fill="FFFFFF" w:val="cle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w:t>
            </w:r>
          </w:p>
        </w:tc>
        <w:tc>
          <w:tcPr>
            <w:tcW w:w="591" w:type="dxa"/>
            <w:tcBorders/>
            <w:shd w:fill="CFF0FC" w:val="cle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8)</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per share; 5,000,000 shares authorized</w:t>
              <w:br/>
              <w:t>   as of December 31, 2023 and December 31, 2022; no shares issued and</w:t>
              <w:br/>
              <w:t>   outstanding as of December 31, 2023 and December 31, 2022</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per share; 115,000,000 shares</w:t>
              <w:br/>
              <w:t xml:space="preserve">   authorized as of December 31, 2023 and December 31, 2022; </w:t>
              <w:br/>
              <w:t xml:space="preserve">  43,909,069 and 43,269,200 shares issued and outstanding as of </w:t>
              <w:br/>
              <w:t>   December 31,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91" w:type="dxa"/>
            <w:tcBorders/>
            <w:shd w:fill="CFF0FC" w:val="clear"/>
            <w:vAlign w:val="center"/>
          </w:tcPr>
          <w:p>
            <w:pPr>
              <w:pStyle w:val="TableContents"/>
              <w:bidi w:val="0"/>
              <w:spacing w:before="0" w:after="283"/>
              <w:jc w:val="lef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262,496</w:t>
            </w:r>
          </w:p>
        </w:tc>
        <w:tc>
          <w:tcPr>
            <w:tcW w:w="591" w:type="dxa"/>
            <w:tcBorders/>
            <w:shd w:fill="FFFFFF" w:val="cle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(151,605</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 (loss)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1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6" w:name="condensed_consolidated_statements_operat"/>
      <w:bookmarkEnd w:id="36"/>
      <w:r>
        <w:rPr>
          <w:rFonts w:ascii="Times New Roman" w:hAnsi="Times New Roman"/>
          <w:b/>
          <w:color w:val="000000"/>
          <w:sz w:val="20"/>
        </w:rPr>
        <w:t>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949" w:type="dxa"/>
        <w:jc w:val="left"/>
        <w:tblInd w:w="0" w:type="dxa"/>
        <w:tblLayout w:type="fixed"/>
        <w:tblCellMar>
          <w:top w:w="28" w:type="dxa"/>
          <w:left w:w="28" w:type="dxa"/>
          <w:bottom w:w="28" w:type="dxa"/>
          <w:right w:w="28" w:type="dxa"/>
        </w:tblCellMar>
      </w:tblPr>
      <w:tblGrid>
        <w:gridCol w:w="5386"/>
        <w:gridCol w:w="146"/>
        <w:gridCol w:w="211"/>
        <w:gridCol w:w="1036"/>
        <w:gridCol w:w="166"/>
        <w:gridCol w:w="146"/>
        <w:gridCol w:w="211"/>
        <w:gridCol w:w="1036"/>
        <w:gridCol w:w="6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43,901,241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25,761,394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3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gain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7" w:name="condensed_consolidated_statements_change"/>
      <w:bookmarkEnd w:id="37"/>
      <w:r>
        <w:rPr>
          <w:rFonts w:ascii="Times New Roman" w:hAnsi="Times New Roman"/>
          <w:b/>
          <w:color w:val="000000"/>
          <w:sz w:val="20"/>
        </w:rPr>
        <w:t>CONSOLIDATED STATEMENTS OF CHANGES IN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77"/>
        <w:gridCol w:w="146"/>
        <w:gridCol w:w="146"/>
        <w:gridCol w:w="1036"/>
        <w:gridCol w:w="146"/>
        <w:gridCol w:w="146"/>
        <w:gridCol w:w="248"/>
        <w:gridCol w:w="408"/>
        <w:gridCol w:w="146"/>
        <w:gridCol w:w="146"/>
        <w:gridCol w:w="211"/>
        <w:gridCol w:w="781"/>
        <w:gridCol w:w="146"/>
        <w:gridCol w:w="146"/>
        <w:gridCol w:w="211"/>
        <w:gridCol w:w="841"/>
        <w:gridCol w:w="166"/>
        <w:gridCol w:w="146"/>
        <w:gridCol w:w="364"/>
        <w:gridCol w:w="732"/>
        <w:gridCol w:w="166"/>
        <w:gridCol w:w="146"/>
        <w:gridCol w:w="211"/>
        <w:gridCol w:w="781"/>
        <w:gridCol w:w="212"/>
      </w:tblGrid>
      <w:tr>
        <w:trPr/>
        <w:tc>
          <w:tcPr>
            <w:tcW w:w="2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3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2" w:type="dxa"/>
            <w:tcBorders/>
            <w:shd w:fill="FFFFFF" w:val="clear"/>
            <w:vAlign w:val="center"/>
          </w:tcPr>
          <w:p>
            <w:pPr>
              <w:pStyle w:val="TableContents"/>
              <w:bidi w:val="0"/>
              <w:spacing w:before="0" w:after="283"/>
              <w:jc w:val="center"/>
              <w:rPr/>
            </w:pPr>
            <w:r>
              <w:rPr/>
              <w:t> </w:t>
            </w:r>
          </w:p>
        </w:tc>
      </w:tr>
      <w:tr>
        <w:trPr/>
        <w:tc>
          <w:tcPr>
            <w:tcW w:w="23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23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7"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Balances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43,269,200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08"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(151,605</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110,903</w:t>
            </w:r>
          </w:p>
        </w:tc>
        <w:tc>
          <w:tcPr>
            <w:tcW w:w="212" w:type="dxa"/>
            <w:tcBorders/>
            <w:shd w:fill="CFF0FC" w:val="clear"/>
            <w:vAlign w:val="center"/>
          </w:tcPr>
          <w:p>
            <w:pPr>
              <w:pStyle w:val="TableContents"/>
              <w:bidi w:val="0"/>
              <w:spacing w:before="0" w:after="283"/>
              <w:jc w:val="left"/>
              <w:rPr/>
            </w:pPr>
            <w:r>
              <w:rPr/>
              <w:t> </w:t>
            </w:r>
          </w:p>
        </w:tc>
      </w:tr>
      <w:tr>
        <w:trPr/>
        <w:tc>
          <w:tcPr>
            <w:tcW w:w="2377"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7,615</w:t>
            </w:r>
          </w:p>
        </w:tc>
        <w:tc>
          <w:tcPr>
            <w:tcW w:w="212" w:type="dxa"/>
            <w:tcBorders/>
            <w:shd w:fill="FFFFFF" w:val="clear"/>
            <w:vAlign w:val="center"/>
          </w:tcPr>
          <w:p>
            <w:pPr>
              <w:pStyle w:val="TableContents"/>
              <w:bidi w:val="0"/>
              <w:spacing w:before="0" w:after="283"/>
              <w:jc w:val="left"/>
              <w:rPr/>
            </w:pPr>
            <w:r>
              <w:rPr/>
              <w:t> </w:t>
            </w:r>
          </w:p>
        </w:tc>
      </w:tr>
      <w:tr>
        <w:trPr/>
        <w:tc>
          <w:tcPr>
            <w:tcW w:w="2377"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w:t>
            </w:r>
          </w:p>
        </w:tc>
        <w:tc>
          <w:tcPr>
            <w:tcW w:w="212" w:type="dxa"/>
            <w:tcBorders/>
            <w:shd w:fill="CFF0FC" w:val="clear"/>
            <w:vAlign w:val="center"/>
          </w:tcPr>
          <w:p>
            <w:pPr>
              <w:pStyle w:val="TableContents"/>
              <w:bidi w:val="0"/>
              <w:spacing w:before="0" w:after="283"/>
              <w:jc w:val="left"/>
              <w:rPr/>
            </w:pPr>
            <w:r>
              <w:rPr/>
              <w:t> </w:t>
            </w:r>
          </w:p>
        </w:tc>
      </w:tr>
      <w:tr>
        <w:trPr/>
        <w:tc>
          <w:tcPr>
            <w:tcW w:w="2377"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Exercise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628,403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212" w:type="dxa"/>
            <w:tcBorders/>
            <w:shd w:fill="FFFFFF" w:val="clear"/>
            <w:vAlign w:val="center"/>
          </w:tcPr>
          <w:p>
            <w:pPr>
              <w:pStyle w:val="TableContents"/>
              <w:bidi w:val="0"/>
              <w:spacing w:before="0" w:after="283"/>
              <w:jc w:val="left"/>
              <w:rPr/>
            </w:pPr>
            <w:r>
              <w:rPr/>
              <w:t> </w:t>
            </w:r>
          </w:p>
        </w:tc>
      </w:tr>
      <w:tr>
        <w:trPr/>
        <w:tc>
          <w:tcPr>
            <w:tcW w:w="2377"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w:t>
            </w:r>
          </w:p>
        </w:tc>
        <w:tc>
          <w:tcPr>
            <w:tcW w:w="212" w:type="dxa"/>
            <w:tcBorders/>
            <w:shd w:fill="CFF0FC" w:val="clear"/>
            <w:vAlign w:val="center"/>
          </w:tcPr>
          <w:p>
            <w:pPr>
              <w:pStyle w:val="TableContents"/>
              <w:bidi w:val="0"/>
              <w:spacing w:before="0" w:after="283"/>
              <w:jc w:val="left"/>
              <w:rPr/>
            </w:pPr>
            <w:r>
              <w:rPr/>
              <w:t> </w:t>
            </w:r>
          </w:p>
        </w:tc>
      </w:tr>
      <w:tr>
        <w:trPr/>
        <w:tc>
          <w:tcPr>
            <w:tcW w:w="2377"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(36,949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77"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Balances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43,909,069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(188,554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81,720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5"/>
        <w:gridCol w:w="146"/>
        <w:gridCol w:w="146"/>
        <w:gridCol w:w="1036"/>
        <w:gridCol w:w="146"/>
        <w:gridCol w:w="146"/>
        <w:gridCol w:w="249"/>
        <w:gridCol w:w="409"/>
        <w:gridCol w:w="146"/>
        <w:gridCol w:w="146"/>
        <w:gridCol w:w="211"/>
        <w:gridCol w:w="781"/>
        <w:gridCol w:w="146"/>
        <w:gridCol w:w="146"/>
        <w:gridCol w:w="211"/>
        <w:gridCol w:w="841"/>
        <w:gridCol w:w="166"/>
        <w:gridCol w:w="146"/>
        <w:gridCol w:w="393"/>
        <w:gridCol w:w="703"/>
        <w:gridCol w:w="166"/>
        <w:gridCol w:w="146"/>
        <w:gridCol w:w="211"/>
        <w:gridCol w:w="781"/>
        <w:gridCol w:w="212"/>
      </w:tblGrid>
      <w:tr>
        <w:trPr/>
        <w:tc>
          <w:tcPr>
            <w:tcW w:w="2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3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2" w:type="dxa"/>
            <w:tcBorders/>
            <w:shd w:fill="FFFFFF" w:val="clear"/>
            <w:vAlign w:val="center"/>
          </w:tcPr>
          <w:p>
            <w:pPr>
              <w:pStyle w:val="TableContents"/>
              <w:bidi w:val="0"/>
              <w:spacing w:before="0" w:after="283"/>
              <w:jc w:val="center"/>
              <w:rPr/>
            </w:pPr>
            <w:r>
              <w:rPr/>
              <w:t> </w:t>
            </w:r>
          </w:p>
        </w:tc>
      </w:tr>
      <w:tr>
        <w:trPr/>
        <w:tc>
          <w:tcPr>
            <w:tcW w:w="23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23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5"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Balances as of December 31, 2021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17,710,450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09"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(116,250</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64,413</w:t>
            </w:r>
          </w:p>
        </w:tc>
        <w:tc>
          <w:tcPr>
            <w:tcW w:w="212" w:type="dxa"/>
            <w:tcBorders/>
            <w:shd w:fill="FFFFFF" w:val="clear"/>
            <w:vAlign w:val="center"/>
          </w:tcPr>
          <w:p>
            <w:pPr>
              <w:pStyle w:val="TableContents"/>
              <w:bidi w:val="0"/>
              <w:spacing w:before="0" w:after="283"/>
              <w:jc w:val="left"/>
              <w:rPr/>
            </w:pPr>
            <w:r>
              <w:rPr/>
              <w:t> </w:t>
            </w:r>
          </w:p>
        </w:tc>
      </w:tr>
      <w:tr>
        <w:trPr/>
        <w:tc>
          <w:tcPr>
            <w:tcW w:w="237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25,558,750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75,232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75,257</w:t>
            </w:r>
          </w:p>
        </w:tc>
        <w:tc>
          <w:tcPr>
            <w:tcW w:w="212" w:type="dxa"/>
            <w:tcBorders/>
            <w:shd w:fill="CFF0FC"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6,619</w:t>
            </w:r>
          </w:p>
        </w:tc>
        <w:tc>
          <w:tcPr>
            <w:tcW w:w="212" w:type="dxa"/>
            <w:tcBorders/>
            <w:shd w:fill="FFFFFF" w:val="clear"/>
            <w:vAlign w:val="center"/>
          </w:tcPr>
          <w:p>
            <w:pPr>
              <w:pStyle w:val="TableContents"/>
              <w:bidi w:val="0"/>
              <w:spacing w:before="0" w:after="283"/>
              <w:jc w:val="left"/>
              <w:rPr/>
            </w:pPr>
            <w:r>
              <w:rPr/>
              <w:t> </w:t>
            </w:r>
          </w:p>
        </w:tc>
      </w:tr>
      <w:tr>
        <w:trPr/>
        <w:tc>
          <w:tcPr>
            <w:tcW w:w="2375"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loss on marketable securities</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6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212"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75"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(35,355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375"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Balances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43,269,200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8" w:name="condensed_consolidated_statements_cash_f"/>
      <w:bookmarkEnd w:id="38"/>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32"/>
        <w:gridCol w:w="546"/>
        <w:gridCol w:w="211"/>
        <w:gridCol w:w="841"/>
        <w:gridCol w:w="566"/>
        <w:gridCol w:w="546"/>
        <w:gridCol w:w="211"/>
        <w:gridCol w:w="841"/>
        <w:gridCol w:w="611"/>
      </w:tblGrid>
      <w:tr>
        <w:trPr/>
        <w:tc>
          <w:tcPr>
            <w:tcW w:w="583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32"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sz w:val="4"/>
                <w:szCs w:val="4"/>
              </w:rPr>
            </w:pPr>
            <w:r>
              <w:rPr>
                <w:sz w:val="4"/>
                <w:szCs w:val="4"/>
              </w:rPr>
            </w:r>
          </w:p>
        </w:tc>
        <w:tc>
          <w:tcPr>
            <w:tcW w:w="3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2"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5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sz w:val="4"/>
                <w:szCs w:val="4"/>
              </w:rPr>
            </w:pPr>
            <w:r>
              <w:rPr>
                <w:sz w:val="4"/>
                <w:szCs w:val="4"/>
              </w:rPr>
            </w:r>
          </w:p>
        </w:tc>
        <w:tc>
          <w:tcPr>
            <w:tcW w:w="56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jc w:val="right"/>
              <w:rPr/>
            </w:pPr>
            <w:r>
              <w:rPr/>
              <w:t> </w:t>
            </w:r>
          </w:p>
        </w:tc>
      </w:tr>
      <w:tr>
        <w:trPr/>
        <w:tc>
          <w:tcPr>
            <w:tcW w:w="58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(36,949</w:t>
            </w:r>
          </w:p>
        </w:tc>
        <w:tc>
          <w:tcPr>
            <w:tcW w:w="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(35,355</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546" w:type="dxa"/>
            <w:tcBorders/>
            <w:shd w:fill="CFF0FC" w:val="cle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3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54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w:t>
            </w:r>
          </w:p>
        </w:tc>
        <w:tc>
          <w:tcPr>
            <w:tcW w:w="56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3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expense</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54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56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3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discount on marketable securities</w:t>
            </w:r>
          </w:p>
        </w:tc>
        <w:tc>
          <w:tcPr>
            <w:tcW w:w="54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5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54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1052" w:type="dxa"/>
            <w:gridSpan w:val="2"/>
            <w:tcBorders/>
            <w:shd w:fill="FFFFFF" w:val="clear"/>
            <w:vAlign w:val="center"/>
          </w:tcPr>
          <w:p>
            <w:pPr>
              <w:pStyle w:val="TableContents"/>
              <w:bidi w:val="0"/>
              <w:spacing w:before="0" w:after="283"/>
              <w:ind w:left="200" w:right="0" w:firstLine="200"/>
              <w:jc w:val="left"/>
              <w:rPr/>
            </w:pPr>
            <w:r>
              <w:rPr/>
              <w:t> </w:t>
            </w:r>
          </w:p>
        </w:tc>
        <w:tc>
          <w:tcPr>
            <w:tcW w:w="56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1052" w:type="dxa"/>
            <w:gridSpan w:val="2"/>
            <w:tcBorders/>
            <w:shd w:fill="FFFFFF" w:val="clear"/>
            <w:vAlign w:val="center"/>
          </w:tcPr>
          <w:p>
            <w:pPr>
              <w:pStyle w:val="TableContents"/>
              <w:bidi w:val="0"/>
              <w:spacing w:before="0" w:after="283"/>
              <w:ind w:left="200" w:right="0" w:firstLine="200"/>
              <w:jc w:val="left"/>
              <w:rPr/>
            </w:pPr>
            <w:r>
              <w:rPr/>
              <w:t> </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3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CFF0FC" w:val="clear"/>
            <w:vAlign w:val="center"/>
          </w:tcPr>
          <w:p>
            <w:pPr>
              <w:pStyle w:val="TableContents"/>
              <w:bidi w:val="0"/>
              <w:spacing w:before="0" w:after="283"/>
              <w:ind w:left="0" w:right="0" w:firstLine="400"/>
              <w:jc w:val="left"/>
              <w:rPr>
                <w:sz w:val="4"/>
                <w:szCs w:val="4"/>
              </w:rPr>
            </w:pPr>
            <w:r>
              <w:rPr>
                <w:sz w:val="4"/>
                <w:szCs w:val="4"/>
              </w:rPr>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56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56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3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56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3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3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5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5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sz w:val="4"/>
                <w:szCs w:val="4"/>
              </w:rPr>
            </w:pPr>
            <w:r>
              <w:rPr>
                <w:sz w:val="4"/>
                <w:szCs w:val="4"/>
              </w:rPr>
            </w:r>
          </w:p>
        </w:tc>
        <w:tc>
          <w:tcPr>
            <w:tcW w:w="611" w:type="dxa"/>
            <w:tcBorders/>
            <w:shd w:fill="FFFFFF" w:val="clear"/>
            <w:vAlign w:val="center"/>
          </w:tcPr>
          <w:p>
            <w:pPr>
              <w:pStyle w:val="TableContents"/>
              <w:bidi w:val="0"/>
              <w:spacing w:before="0" w:after="283"/>
              <w:jc w:val="left"/>
              <w:rPr/>
            </w:pPr>
            <w:r>
              <w:rPr/>
              <w:t> </w:t>
            </w:r>
          </w:p>
        </w:tc>
      </w:tr>
      <w:tr>
        <w:trPr/>
        <w:tc>
          <w:tcPr>
            <w:tcW w:w="5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marketable securities</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(101,233</w:t>
            </w:r>
          </w:p>
        </w:tc>
        <w:tc>
          <w:tcPr>
            <w:tcW w:w="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(133,610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and sales of marketable securities</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134,750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3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5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5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sz w:val="4"/>
                <w:szCs w:val="4"/>
              </w:rPr>
            </w:pPr>
            <w:r>
              <w:rPr>
                <w:sz w:val="4"/>
                <w:szCs w:val="4"/>
              </w:rPr>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sz w:val="4"/>
                <w:szCs w:val="4"/>
              </w:rPr>
            </w:pPr>
            <w:r>
              <w:rPr>
                <w:sz w:val="4"/>
                <w:szCs w:val="4"/>
              </w:rPr>
            </w:r>
          </w:p>
        </w:tc>
        <w:tc>
          <w:tcPr>
            <w:tcW w:w="611" w:type="dxa"/>
            <w:tcBorders/>
            <w:shd w:fill="CFF0FC" w:val="clear"/>
            <w:vAlign w:val="center"/>
          </w:tcPr>
          <w:p>
            <w:pPr>
              <w:pStyle w:val="TableContents"/>
              <w:bidi w:val="0"/>
              <w:spacing w:before="0" w:after="283"/>
              <w:jc w:val="left"/>
              <w:rPr/>
            </w:pPr>
            <w:r>
              <w:rPr/>
              <w:t> </w:t>
            </w:r>
          </w:p>
        </w:tc>
      </w:tr>
      <w:tr>
        <w:trPr/>
        <w:tc>
          <w:tcPr>
            <w:tcW w:w="58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common stock, net of issuance costs</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75,257</w:t>
            </w:r>
          </w:p>
        </w:tc>
        <w:tc>
          <w:tcPr>
            <w:tcW w:w="611" w:type="dxa"/>
            <w:tcBorders/>
            <w:shd w:fill="FFFFFF" w:val="clear"/>
            <w:vAlign w:val="center"/>
          </w:tcPr>
          <w:p>
            <w:pPr>
              <w:pStyle w:val="TableContents"/>
              <w:bidi w:val="0"/>
              <w:spacing w:before="0" w:after="283"/>
              <w:jc w:val="left"/>
              <w:rPr/>
            </w:pPr>
            <w:r>
              <w:rPr/>
              <w:t> </w:t>
            </w:r>
          </w:p>
        </w:tc>
      </w:tr>
      <w:tr>
        <w:trPr/>
        <w:tc>
          <w:tcPr>
            <w:tcW w:w="5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warrants</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3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5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28,088</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5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66" w:type="dxa"/>
            <w:tcBorders/>
            <w:shd w:fill="FFFFFF" w:val="clear"/>
            <w:vAlign w:val="center"/>
          </w:tcPr>
          <w:p>
            <w:pPr>
              <w:pStyle w:val="TableContents"/>
              <w:bidi w:val="0"/>
              <w:spacing w:before="0" w:after="283"/>
              <w:jc w:val="right"/>
              <w:rPr/>
            </w:pPr>
            <w:r>
              <w:rPr/>
              <w:t> </w:t>
            </w:r>
          </w:p>
        </w:tc>
        <w:tc>
          <w:tcPr>
            <w:tcW w:w="5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8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Leased assets obtained in exchange for new operating lease liabilities</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6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8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included in other current assets</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6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LARIMAR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9" w:name="notes_to_condensed_consolidated_financia"/>
      <w:bookmarkEnd w:id="39"/>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and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("INN") and the United States Adopted Name ("USAN") for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completed two phase 1 studies of nomlabofusp and a Phase 2 dose exploration study in patients with FA.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2021, after reporting positive top-line data from the Company’s Phase 1 FA program, the U.S. Food and Drug Administration (“FDA”) placed a clinical hold on the Company’s nomlabofusp clinical program after the Company notified the FDA of mortalities at the highest dose levels of a 26-week non-human primate toxicology study that was designed to support extended dosing of patients with nomlabofusp. In August 2022, the Company submitted a complete response to the clinical hold following a Type C Meeting with the FDA, and proposed as nomlabofusp's next clinical trial a Phase 2, four-week, dose exploration study in FA patients starting at the lower dose levels tested in the Company’s Phase 1 multiple-ascending dose clinical trial. In September 2022, the FDA lifted its full clinical hold on the nomlabofusp program and imposed a partial clinical hold.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announced top-line data from its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 Data from the completed 25 mg cohort (n = 13) indicated that nomlabofusp was generally well tolerated and showed increases in FXN levels from baseline compared to placebo in all evaluated tissues (skin and buccal cells) at day 14 (the final day of daily dosing in the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Company met with the FDA. Following that meeting, the Company submitted a complete response to the FDA’s partial clinical hold that included unblinded safety, PK and frataxin data from the Phase 2 trial’s completed 25 mg cohort.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following the FDA’s review of the Company's complete response to the partial clinical hold, the FDA cleared initiation of a second cohort at 50 mg of our four-week, placebo-controlled, Phase 2 dose exploration trial and initiation of the OLE trial with daily dosing of 25 mg.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reported positive top-line data and successful completion of their four-week, placebo-controlled Phase 2 dose exploration study of nomlabofusp in participants with FA. Nomlabofusp was generally well tolerated and demonstrated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The initiation of additional U.S. clinical trials evaluating nomlabofusp are contingent on FDA review of data under the partial clinical hold.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the Company initiated an OLE trial evaluating daily subcutaneous injections of 25 mg of nomlabofusp self-administered or administered by a caregiver, with the first patient dosed in March 2024. Participants who complete treatment in the Phase 2 dose exploration trial, or who previously completed a prior clinical trial of nomlabofusp are potentially eligible to screen for the OLE. The OLE will evaluate the safety, tolerability and PK and measures of frataxin levels in peripheral tissues as well as other exploratory PD (lipid profiles and gene expression data) following long-term subcutaneous administration of nomlabofusp. Clinical measures collected during the trial will be compared to data from a synthetic control arm derived from participants in the Friedreich’s Ataxia Clinical Outcome Measures Study (FACOMS) database. Dose escalation in the OLE trial will be considered based on safety, tolerability, PK, and tissue FXN levels from the Phase 2 trial’s 50 mg cohort as well as available data from the 25 mg dose of nomlabofusp in the OLE trial and is contingent on FDA review as part of the partial clinical hold. Initial data from the OLE trial is expected in the fourth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include the accounts of Larimar and its wholly owned subsidiary. All intercompany balances and transactions have been eliminated. The accompanying consolidated financial statements have been prepared in conformity with GAAP.</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consolidated financial statements have been presented on the basis that it will continue as a going concern, which contemplates the realization of assets and satisfaction of liabilities in the normal course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its inception, the Company has incurred significant recurring operating losses and negative cash flows from operations. The Company has incurred net losses of $36.9 million and $35.4 million for the years ended December 31, 2023, and 2022, respectively. In addition, as of December 31, 2023, the Company had an accumulated deficit of $188.6 million. The Company expects to continue to generate operating losses for the foreseeable future. As of December 31, 2023, the Company had approximately $86.8 million of cash, cash equivalents and marketable securities available for use to fund its operations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sold 19,736,842 shares of its common stock in an underwritten public offering at a price of $8.74 per share and received net proceeds of approximately $161.6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consolidated financial statements are issued. As of the issuance date of these consolidated financial statements, the Company expects its cash, cash equivalents and marketable securities, including its net proceeds from the February 2024 public offering, will be sufficient to fund its forecasted operating expenses and capital expenditure requirements into 2026. If the timing of the Company's clinical assumptions are delayed or if there are other forecasted assumption changes that negatively impact its operating plan, the Company would reduce expenditures in order to further extend cash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pre commercialization efforts and/or commercial operations, which could adversely affect its business prospects, or the Company may be unable to continue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Concentrations of Credit Risk and Significant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principally of cash, cash equivalents and marketable securities. Cash balances may be held in financial institutions which may exceed federally insured limits. The Company has not experienced realized losses related to its cash, cash equivalents or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 substance which is in frozen liquid form for nomlabofusp is currently manufactured for the Company by a third-party manufacturer, and the frozen liquid form of drug product is made at another manufacturer. The Company is undertaking a program with a third manufacturer to begin to produce a lyophilized version of the drug product from the same drug substance, that, once available, the Company intends to use in certain of its future planned clinical trials. The Company’s research and development programs could be adversely affected by a significant interruption in these manufacturing services or in the supply of drug substance and formulated drugs.</w:t>
      </w:r>
    </w:p>
    <w:p>
      <w:pPr>
        <w:pStyle w:val="TextBody"/>
        <w:bidi w:val="0"/>
        <w:spacing w:before="12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maturities of three months or less at the date of purchase to be cash equivalents. Cash equivalents consisted of money market funds as of December 31, 2023 and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Marketable securities consist of debt investments with original maturities greater than ninety days. The Company classifies its marketable securities as available-for-sale. Accordingly, these investments are recorded at fair value, which is based on quoted market prices. When the fair value is below the amortized cost the amount of the expected credit loss is estimated. The credit-related impairment amount, if any, would be recognized in net income; the remaining impairment amount and unrealized gains are reported as a component of accumulated other comprehensive income in stockholders’ equity. Credit losses, if any,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would be required to sell the security prior to recovery of its amortized cost basis, the allowance for credit loss would be written off and the excess of the amortized cost basis of the asset over its fair value is recorded in net income.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 retirement or sale, the cost and related accumulated depreciation of assets disposed of are removed from the accounts and any resulting gain or loss is included in loss from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consist of property and equipment, net¸ and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Upfront payments, milestone payments and annual maintenance fees under license agreements are currently expensed in the period in which they are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b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Gain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gain (loss) includes net loss as well as other changes in stockholders’ equity that result from transactions and economic events other than those with stockholders. For the years ended December 31, 2023 and 2022, the Company’s only element of other comprehensive loss was unrealized loss on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the net loss attributable to common stockholders by the weighted average number of common shares outstanding for the period. Prior to August 11, 2023, basic shares outstanding includes the weighted average effect of the Company’s prefunded warrants issued in June 2020, the exercise of which requires little or no consideration for the delivery of shares of common stock. These prefunded warrants were exercised on August 11, 2023 and the Company received cash proceeds of less than $0.1 million. Accordingly, the 628,403 shares were issued upon the exercise of these warrants and are included in issued and outstanding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excluded 4,888,502 and 3,071,528 options to purchase common stock, outstanding as of December 31, 2023 and 2022 respectively, from the computation of diluted net loss per share for the twelve months ended December 31, 2023 and 2022, respectively, because they had an anti-dilutive impact due to the net loss incurred for the periods.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 and Cash Equivalents/Marketable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assets and liabilities that are measured at fair value on a recurring basis as of December 31, 2023 and December 31, 2022 are measured in accordance with the standards of ASC 820, </w:t>
      </w:r>
      <w:r>
        <w:rPr>
          <w:rFonts w:ascii="Times New Roman" w:hAnsi="Times New Roman"/>
          <w:i/>
          <w:color w:val="000000"/>
          <w:sz w:val="20"/>
        </w:rPr>
        <w:t>Fair Value Measurements and Disclosures</w:t>
      </w:r>
      <w:r>
        <w:rPr>
          <w:rFonts w:ascii="Times New Roman" w:hAnsi="Times New Roman"/>
          <w:color w:val="000000"/>
          <w:sz w:val="20"/>
        </w:rPr>
        <w:t xml:space="preserve">,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9490"/>
      </w:tblGrid>
      <w:tr>
        <w:trPr/>
        <w:tc>
          <w:tcPr>
            <w:tcW w:w="715" w:type="dxa"/>
            <w:tcBorders/>
            <w:vAlign w:val="center"/>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Level – 1</w:t>
            </w:r>
          </w:p>
        </w:tc>
        <w:tc>
          <w:tcPr>
            <w:tcW w:w="9490"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Inputs to the valuation methodology are quoted prices (unadjusted) for identical assets or liabilities in active markets.</w:t>
            </w:r>
          </w:p>
        </w:tc>
      </w:tr>
      <w:tr>
        <w:trPr/>
        <w:tc>
          <w:tcPr>
            <w:tcW w:w="715" w:type="dxa"/>
            <w:tcBorders/>
            <w:vAlign w:val="center"/>
          </w:tcPr>
          <w:p>
            <w:pPr>
              <w:pStyle w:val="TableContents"/>
              <w:bidi w:val="0"/>
              <w:spacing w:before="120" w:after="283"/>
              <w:jc w:val="left"/>
              <w:rPr/>
            </w:pPr>
            <w:r>
              <w:rPr/>
              <w:t> </w:t>
            </w:r>
          </w:p>
        </w:tc>
        <w:tc>
          <w:tcPr>
            <w:tcW w:w="9490" w:type="dxa"/>
            <w:tcBorders/>
            <w:vAlign w:val="center"/>
          </w:tcPr>
          <w:p>
            <w:pPr>
              <w:pStyle w:val="TableContents"/>
              <w:bidi w:val="0"/>
              <w:spacing w:before="120" w:after="283"/>
              <w:jc w:val="left"/>
              <w:rPr/>
            </w:pPr>
            <w:r>
              <w:rPr/>
              <w:t> </w:t>
            </w:r>
          </w:p>
        </w:tc>
      </w:tr>
      <w:tr>
        <w:trPr/>
        <w:tc>
          <w:tcPr>
            <w:tcW w:w="715"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Level – 2</w:t>
            </w:r>
          </w:p>
        </w:tc>
        <w:tc>
          <w:tcPr>
            <w:tcW w:w="9490"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Inputs to the valuation methodology include quoted prices for similar assets and liabilities in active markets, and inputs that are observable for the asset or liability, either directly or indirectly, for substantially the full term of the financial instrument.</w:t>
            </w:r>
          </w:p>
        </w:tc>
      </w:tr>
      <w:tr>
        <w:trPr/>
        <w:tc>
          <w:tcPr>
            <w:tcW w:w="715" w:type="dxa"/>
            <w:tcBorders/>
            <w:vAlign w:val="center"/>
          </w:tcPr>
          <w:p>
            <w:pPr>
              <w:pStyle w:val="TableContents"/>
              <w:bidi w:val="0"/>
              <w:spacing w:before="0" w:after="283"/>
              <w:jc w:val="left"/>
              <w:rPr/>
            </w:pPr>
            <w:r>
              <w:rPr/>
              <w:t> </w:t>
            </w:r>
          </w:p>
        </w:tc>
        <w:tc>
          <w:tcPr>
            <w:tcW w:w="9490" w:type="dxa"/>
            <w:tcBorders/>
            <w:vAlign w:val="center"/>
          </w:tcPr>
          <w:p>
            <w:pPr>
              <w:pStyle w:val="TableContents"/>
              <w:bidi w:val="0"/>
              <w:spacing w:before="0" w:after="283"/>
              <w:jc w:val="left"/>
              <w:rPr/>
            </w:pPr>
            <w:r>
              <w:rPr/>
              <w:t> </w:t>
            </w:r>
          </w:p>
        </w:tc>
      </w:tr>
      <w:tr>
        <w:trPr/>
        <w:tc>
          <w:tcPr>
            <w:tcW w:w="715"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Level – 3</w:t>
            </w:r>
          </w:p>
        </w:tc>
        <w:tc>
          <w:tcPr>
            <w:tcW w:w="9490"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Inputs to the valuation methodology are unobservable and significant to the fair value measurement.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consist primarily of cash and cash equivalents, marketable securities, accounts payable and accrued liabilities. For accounts payable and accrued liabilities, the carrying amounts of these financial instruments as of December 31, 2023 and 2022 were considered representative of their fair values due to their short term to maturity.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cash equivalents and marketable securities as of December 31, 2023 and 2022:</w:t>
      </w:r>
    </w:p>
    <w:p>
      <w:pPr>
        <w:pStyle w:val="TextBody"/>
        <w:bidi w:val="0"/>
        <w:jc w:val="left"/>
        <w:rPr/>
      </w:pPr>
      <w:r>
        <w:rPr/>
        <w:t> </w:t>
      </w:r>
    </w:p>
    <w:tbl>
      <w:tblPr>
        <w:tblW w:w="10095" w:type="dxa"/>
        <w:jc w:val="left"/>
        <w:tblInd w:w="0" w:type="dxa"/>
        <w:tblLayout w:type="fixed"/>
        <w:tblCellMar>
          <w:top w:w="28" w:type="dxa"/>
          <w:left w:w="28" w:type="dxa"/>
          <w:bottom w:w="28" w:type="dxa"/>
          <w:right w:w="28" w:type="dxa"/>
        </w:tblCellMar>
      </w:tblPr>
      <w:tblGrid>
        <w:gridCol w:w="4776"/>
        <w:gridCol w:w="146"/>
        <w:gridCol w:w="211"/>
        <w:gridCol w:w="781"/>
        <w:gridCol w:w="146"/>
        <w:gridCol w:w="146"/>
        <w:gridCol w:w="211"/>
        <w:gridCol w:w="676"/>
        <w:gridCol w:w="146"/>
        <w:gridCol w:w="146"/>
        <w:gridCol w:w="221"/>
        <w:gridCol w:w="710"/>
        <w:gridCol w:w="146"/>
        <w:gridCol w:w="146"/>
        <w:gridCol w:w="415"/>
        <w:gridCol w:w="681"/>
        <w:gridCol w:w="391"/>
      </w:tblGrid>
      <w:tr>
        <w:trPr/>
        <w:tc>
          <w:tcPr>
            <w:tcW w:w="4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 xml:space="preserve">Markets </w:t>
              <w:br/>
              <w:t>(Level 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 xml:space="preserve">Inputs </w:t>
              <w:br/>
              <w:t>(Level 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 xml:space="preserve">Inputs </w:t>
              <w:br/>
              <w:t>(Level 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8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7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7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7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cash equivalents and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7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 invested in government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7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7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7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77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77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cash equivalents and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accrued interest receivable related to the Company’s investments was $0.3 million and $0.1 million as of December 31, 2023 and 2022, respectively, and is included in prepaid expenses and other current assets on the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its money market funds and U.S. treasury bills, which are valued based on quoted market prices in active markets with no valuation adjustment, as Level 1 assets within the fair value hierarchy.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2022, the unrealized loss for available-for-sale investments were non-credit related, and the Company does not intend to sell the investments that were in an unrealized loss position, nor will it be required to sell those investments before recovery of their amortized cost basis, which may be maturity. As of December 31, 2023 and 2022, no allowances for credit losses for the Company’s investments were recorded. During the twelve months ended December 31, 2023 and 2022, the Company did not recognize any impairment losses related to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Company's cash equivalents and marketable securities consisted of a U.S. government money market fund, U.S. Treasury Bills, U.S. government and agency securities and corporate bonds, all held in our name in a separate custody account with U.S. Bank. The U.S. government money market fund has same-day liquidity access and the U.S. government and agency securities all have maturities of 90 days or less.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Company’s marketable securities as of December 31, 2023 and 2022:</w:t>
      </w:r>
    </w:p>
    <w:p>
      <w:pPr>
        <w:pStyle w:val="TextBody"/>
        <w:bidi w:val="0"/>
        <w:jc w:val="left"/>
        <w:rPr/>
      </w:pPr>
      <w:r>
        <w:rPr/>
        <w:t> </w:t>
      </w:r>
    </w:p>
    <w:tbl>
      <w:tblPr>
        <w:tblW w:w="9109" w:type="dxa"/>
        <w:jc w:val="left"/>
        <w:tblInd w:w="0" w:type="dxa"/>
        <w:tblLayout w:type="fixed"/>
        <w:tblCellMar>
          <w:top w:w="28" w:type="dxa"/>
          <w:left w:w="28" w:type="dxa"/>
          <w:bottom w:w="28" w:type="dxa"/>
          <w:right w:w="28" w:type="dxa"/>
        </w:tblCellMar>
      </w:tblPr>
      <w:tblGrid>
        <w:gridCol w:w="4086"/>
        <w:gridCol w:w="146"/>
        <w:gridCol w:w="211"/>
        <w:gridCol w:w="676"/>
        <w:gridCol w:w="146"/>
        <w:gridCol w:w="146"/>
        <w:gridCol w:w="354"/>
        <w:gridCol w:w="532"/>
        <w:gridCol w:w="146"/>
        <w:gridCol w:w="146"/>
        <w:gridCol w:w="334"/>
        <w:gridCol w:w="596"/>
        <w:gridCol w:w="166"/>
        <w:gridCol w:w="146"/>
        <w:gridCol w:w="211"/>
        <w:gridCol w:w="676"/>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 xml:space="preserve">Unrealized </w:t>
              <w:br/>
              <w:t>Losses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48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0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2023</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0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securities (due within 1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 (due within 1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0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securities (due within 1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391" w:type="dxa"/>
            <w:tcBorders/>
            <w:shd w:fill="CFF0FC"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91,603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w:t>
      </w:r>
    </w:p>
    <w:p>
      <w:pPr>
        <w:pStyle w:val="TextBody"/>
        <w:bidi w:val="0"/>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w:t>
      </w:r>
    </w:p>
    <w:p>
      <w:pPr>
        <w:pStyle w:val="TextBody"/>
        <w:bidi w:val="0"/>
        <w:jc w:val="left"/>
        <w:rPr/>
      </w:pPr>
      <w:r>
        <w:rPr/>
        <w:t> </w:t>
      </w:r>
    </w:p>
    <w:tbl>
      <w:tblPr>
        <w:tblW w:w="6695" w:type="dxa"/>
        <w:jc w:val="left"/>
        <w:tblInd w:w="0" w:type="dxa"/>
        <w:tblLayout w:type="fixed"/>
        <w:tblCellMar>
          <w:top w:w="28" w:type="dxa"/>
          <w:left w:w="28" w:type="dxa"/>
          <w:bottom w:w="28" w:type="dxa"/>
          <w:right w:w="28" w:type="dxa"/>
        </w:tblCellMar>
      </w:tblPr>
      <w:tblGrid>
        <w:gridCol w:w="3676"/>
        <w:gridCol w:w="146"/>
        <w:gridCol w:w="294"/>
        <w:gridCol w:w="801"/>
        <w:gridCol w:w="146"/>
        <w:gridCol w:w="146"/>
        <w:gridCol w:w="294"/>
        <w:gridCol w:w="801"/>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3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3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prepaid expenses and other assets</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Fixed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Fixed assets, net consisted of the following:</w:t>
      </w:r>
    </w:p>
    <w:p>
      <w:pPr>
        <w:pStyle w:val="TextBody"/>
        <w:bidi w:val="0"/>
        <w:jc w:val="left"/>
        <w:rPr/>
      </w:pPr>
      <w:r>
        <w:rPr/>
        <w:t> </w:t>
      </w:r>
    </w:p>
    <w:tbl>
      <w:tblPr>
        <w:tblW w:w="7042" w:type="dxa"/>
        <w:jc w:val="left"/>
        <w:tblInd w:w="0" w:type="dxa"/>
        <w:tblLayout w:type="fixed"/>
        <w:tblCellMar>
          <w:top w:w="28" w:type="dxa"/>
          <w:left w:w="28" w:type="dxa"/>
          <w:bottom w:w="28" w:type="dxa"/>
          <w:right w:w="28" w:type="dxa"/>
        </w:tblCellMar>
      </w:tblPr>
      <w:tblGrid>
        <w:gridCol w:w="3121"/>
        <w:gridCol w:w="146"/>
        <w:gridCol w:w="916"/>
        <w:gridCol w:w="146"/>
        <w:gridCol w:w="274"/>
        <w:gridCol w:w="821"/>
        <w:gridCol w:w="166"/>
        <w:gridCol w:w="146"/>
        <w:gridCol w:w="294"/>
        <w:gridCol w:w="80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211" w:type="dxa"/>
            <w:tcBorders/>
            <w:shd w:fill="FFFFFF" w:val="cle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21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 term</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plant and equipment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211" w:type="dxa"/>
            <w:tcBorders/>
            <w:shd w:fill="CFF0FC" w:val="clear"/>
            <w:vAlign w:val="center"/>
          </w:tcPr>
          <w:p>
            <w:pPr>
              <w:pStyle w:val="TableContents"/>
              <w:bidi w:val="0"/>
              <w:spacing w:before="0" w:after="283"/>
              <w:jc w:val="left"/>
              <w:rPr/>
            </w:pPr>
            <w:r>
              <w:rPr/>
              <w:t> </w:t>
            </w:r>
          </w:p>
        </w:tc>
      </w:tr>
      <w:tr>
        <w:trPr/>
        <w:tc>
          <w:tcPr>
            <w:tcW w:w="31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Property, plant and equipment, net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$0.2 million for the years ended December 31, 2023 and 2022, respectively. In addition, for the years ended December 31, 2023 and 2022, there was $0.1 million of depreciation related to sublet assets recorded as other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consisted of the following: </w:t>
      </w:r>
    </w:p>
    <w:p>
      <w:pPr>
        <w:pStyle w:val="TextBody"/>
        <w:bidi w:val="0"/>
        <w:jc w:val="left"/>
        <w:rPr/>
      </w:pPr>
      <w:r>
        <w:rPr/>
        <w:t> </w:t>
      </w:r>
    </w:p>
    <w:tbl>
      <w:tblPr>
        <w:tblW w:w="7140" w:type="dxa"/>
        <w:jc w:val="left"/>
        <w:tblInd w:w="0" w:type="dxa"/>
        <w:tblLayout w:type="fixed"/>
        <w:tblCellMar>
          <w:top w:w="28" w:type="dxa"/>
          <w:left w:w="28" w:type="dxa"/>
          <w:bottom w:w="28" w:type="dxa"/>
          <w:right w:w="28" w:type="dxa"/>
        </w:tblCellMar>
      </w:tblPr>
      <w:tblGrid>
        <w:gridCol w:w="4321"/>
        <w:gridCol w:w="146"/>
        <w:gridCol w:w="294"/>
        <w:gridCol w:w="801"/>
        <w:gridCol w:w="146"/>
        <w:gridCol w:w="146"/>
        <w:gridCol w:w="294"/>
        <w:gridCol w:w="80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91" w:type="dxa"/>
            <w:tcBorders/>
            <w:shd w:fill="CFF0FC" w:val="cle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91" w:type="dxa"/>
            <w:tcBorders/>
            <w:shd w:fill="FFFFFF" w:val="clear"/>
            <w:vAlign w:val="center"/>
          </w:tcPr>
          <w:p>
            <w:pPr>
              <w:pStyle w:val="TableContents"/>
              <w:bidi w:val="0"/>
              <w:spacing w:before="0" w:after="283"/>
              <w:jc w:val="left"/>
              <w:rPr/>
            </w:pPr>
            <w:r>
              <w:rPr/>
              <w:t> </w:t>
            </w:r>
          </w:p>
        </w:tc>
      </w:tr>
      <w:tr>
        <w:trPr/>
        <w:tc>
          <w:tcPr>
            <w:tcW w:w="4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w:t>
      </w:r>
    </w:p>
    <w:p>
      <w:pPr>
        <w:pStyle w:val="TextBody"/>
        <w:bidi w:val="0"/>
        <w:jc w:val="left"/>
        <w:rPr>
          <w:rFonts w:ascii="Times New Roman" w:hAnsi="Times New Roman"/>
          <w:b/>
          <w:color w:val="000000"/>
          <w:sz w:val="20"/>
        </w:rPr>
      </w:pPr>
      <w:r>
        <w:rPr>
          <w:rFonts w:ascii="Times New Roman" w:hAnsi="Times New Roman"/>
          <w:b/>
          <w:color w:val="000000"/>
          <w:sz w:val="20"/>
        </w:rPr>
        <w:t>Stockholders’ Equity and Stock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Company’s Amended and Restated Certificate of Incorporation, authorized the Company to issue up to 115,000,000 shares of $0.001 par value common stock, of which 43,909,069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2022, the Company sold 25,558,750 shares of common stock in an underwritten public offering price of $3.15 per share and received net proceeds, net of underwriting discounts and commissions and offering costs of $75.2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sold 19,736,842 shares of its common stock in an underwritten public offering price of $8.74 per share and received net proceeds of approximately $161.6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2022 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the Company entered into a sales agreement (the "ATM Agreement") with a Guggenheim Securities, LLC in connection with the establishment of an “at-the-market” offering program under which the Company could sell up to an aggregate of $50.0 million of shares of common stock (the “ATM Shares”) from time to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in connection with the underwritten public offering described above, the Company terminated the ATM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ATM Shares were ever sold pursuant to the ATM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adopted the 2020 Equity Incentive Plan (the "2020 Plan") on July 16, 2020 and the stockholders of the Company approved the 2020 Plan on September 29, 2020. The 2020 Plan replaced the predecessor plans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by the 2020 Plan, the Company added 1,756,363 and 1,730,768 shares available for grant to the 2020 Plan on January 1, 2024 and January 1, 2023, respectively, increasing the maximum number of shares of the Company’s common stock that may be issued under the 2020 Plan as of January 1, 2024 to 3,042,968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twelve months ended December 31, 2023 and 2022, respectively, options to purchase 224,437 and 148,623 shares issued under the Prior Plans were canceled and became available for grant under the 2020 Plan. In addition, as of December 31, 2023, 1,286,605 shares of common stock were available for grant under the 2020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Valuation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on a weighted average basis, the assumptions used in the Black-Scholes option-pricing model to determine the grant-date fair value of stock options granted to employees:</w:t>
      </w:r>
    </w:p>
    <w:p>
      <w:pPr>
        <w:pStyle w:val="TextBody"/>
        <w:bidi w:val="0"/>
        <w:jc w:val="left"/>
        <w:rPr/>
      </w:pPr>
      <w:r>
        <w:rPr/>
        <w:t> </w:t>
      </w:r>
    </w:p>
    <w:tbl>
      <w:tblPr>
        <w:tblW w:w="3975" w:type="dxa"/>
        <w:jc w:val="left"/>
        <w:tblInd w:w="0" w:type="dxa"/>
        <w:tblLayout w:type="fixed"/>
        <w:tblCellMar>
          <w:top w:w="28" w:type="dxa"/>
          <w:left w:w="28" w:type="dxa"/>
          <w:bottom w:w="28" w:type="dxa"/>
          <w:right w:w="28" w:type="dxa"/>
        </w:tblCellMar>
      </w:tblPr>
      <w:tblGrid>
        <w:gridCol w:w="2086"/>
        <w:gridCol w:w="146"/>
        <w:gridCol w:w="150"/>
        <w:gridCol w:w="480"/>
        <w:gridCol w:w="146"/>
        <w:gridCol w:w="146"/>
        <w:gridCol w:w="150"/>
        <w:gridCol w:w="480"/>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3.72%</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2.15%</w:t>
            </w:r>
          </w:p>
        </w:tc>
        <w:tc>
          <w:tcPr>
            <w:tcW w:w="191" w:type="dxa"/>
            <w:tcBorders/>
            <w:shd w:fill="CFF0FC"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91" w:type="dxa"/>
            <w:tcBorders/>
            <w:shd w:fill="FFFFFF" w:val="clear"/>
            <w:vAlign w:val="center"/>
          </w:tcPr>
          <w:p>
            <w:pPr>
              <w:pStyle w:val="TableContents"/>
              <w:bidi w:val="0"/>
              <w:spacing w:before="0" w:after="283"/>
              <w:jc w:val="left"/>
              <w:rPr/>
            </w:pPr>
            <w:r>
              <w:rPr/>
              <w:t> </w:t>
            </w:r>
          </w:p>
        </w:tc>
      </w:tr>
      <w:tr>
        <w:trPr/>
        <w:tc>
          <w:tcPr>
            <w:tcW w:w="20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0" w:type="dxa"/>
            <w:gridSpan w:val="2"/>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w:t>
            </w:r>
          </w:p>
        </w:tc>
        <w:tc>
          <w:tcPr>
            <w:tcW w:w="191" w:type="dxa"/>
            <w:tcBorders/>
            <w:shd w:fill="CFF0FC" w:val="cle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91" w:type="dxa"/>
            <w:tcBorders/>
            <w:shd w:fill="FFFFFF" w:val="clear"/>
            <w:vAlign w:val="center"/>
          </w:tcPr>
          <w:p>
            <w:pPr>
              <w:pStyle w:val="TableContents"/>
              <w:bidi w:val="0"/>
              <w:spacing w:before="0" w:after="283"/>
              <w:jc w:val="center"/>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stock option activity for the twelve months ended December 31, 2023 (amounts in millions, except for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16"/>
        <w:gridCol w:w="146"/>
        <w:gridCol w:w="146"/>
        <w:gridCol w:w="931"/>
        <w:gridCol w:w="166"/>
        <w:gridCol w:w="146"/>
        <w:gridCol w:w="214"/>
        <w:gridCol w:w="582"/>
        <w:gridCol w:w="146"/>
        <w:gridCol w:w="146"/>
        <w:gridCol w:w="418"/>
        <w:gridCol w:w="1010"/>
        <w:gridCol w:w="146"/>
        <w:gridCol w:w="146"/>
        <w:gridCol w:w="352"/>
        <w:gridCol w:w="602"/>
        <w:gridCol w:w="592"/>
      </w:tblGrid>
      <w:tr>
        <w:trPr/>
        <w:tc>
          <w:tcPr>
            <w:tcW w:w="4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4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2" w:type="dxa"/>
            <w:tcBorders/>
            <w:shd w:fill="FFFFFF" w:val="clear"/>
            <w:vAlign w:val="center"/>
          </w:tcPr>
          <w:p>
            <w:pPr>
              <w:pStyle w:val="TableContents"/>
              <w:bidi w:val="0"/>
              <w:spacing w:before="0" w:after="283"/>
              <w:jc w:val="center"/>
              <w:rPr/>
            </w:pPr>
            <w:r>
              <w:rPr/>
              <w:t> </w:t>
            </w:r>
          </w:p>
        </w:tc>
      </w:tr>
      <w:tr>
        <w:trPr/>
        <w:tc>
          <w:tcPr>
            <w:tcW w:w="4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2" w:type="dxa"/>
            <w:tcBorders/>
            <w:shd w:fill="FFFFFF" w:val="clear"/>
            <w:vAlign w:val="center"/>
          </w:tcPr>
          <w:p>
            <w:pPr>
              <w:pStyle w:val="TableContents"/>
              <w:bidi w:val="0"/>
              <w:spacing w:before="0" w:after="283"/>
              <w:jc w:val="center"/>
              <w:rPr/>
            </w:pPr>
            <w:r>
              <w:rPr/>
              <w:t> </w:t>
            </w:r>
          </w:p>
        </w:tc>
      </w:tr>
      <w:tr>
        <w:trPr/>
        <w:tc>
          <w:tcPr>
            <w:tcW w:w="4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2" w:type="dxa"/>
            <w:tcBorders/>
            <w:shd w:fill="FFFFFF" w:val="clear"/>
            <w:vAlign w:val="center"/>
          </w:tcPr>
          <w:p>
            <w:pPr>
              <w:pStyle w:val="TableContents"/>
              <w:bidi w:val="0"/>
              <w:spacing w:before="0" w:after="283"/>
              <w:jc w:val="center"/>
              <w:rPr/>
            </w:pPr>
            <w:r>
              <w:rPr/>
              <w:t> </w:t>
            </w:r>
          </w:p>
        </w:tc>
      </w:tr>
      <w:tr>
        <w:trPr/>
        <w:tc>
          <w:tcPr>
            <w:tcW w:w="43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gridSpan w:val="2"/>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ind w:left="0" w:right="0" w:firstLine="400"/>
              <w:jc w:val="right"/>
              <w:rPr/>
            </w:pPr>
            <w:r>
              <w:rPr/>
              <w:t> </w:t>
            </w:r>
          </w:p>
        </w:tc>
      </w:tr>
      <w:tr>
        <w:trPr/>
        <w:tc>
          <w:tcPr>
            <w:tcW w:w="43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ind w:left="0" w:right="0" w:firstLine="400"/>
              <w:jc w:val="right"/>
              <w:rPr/>
            </w:pPr>
            <w:r>
              <w:rPr/>
              <w:t> </w:t>
            </w:r>
          </w:p>
        </w:tc>
      </w:tr>
      <w:tr>
        <w:trPr/>
        <w:tc>
          <w:tcPr>
            <w:tcW w:w="43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4" w:type="dxa"/>
            <w:gridSpan w:val="2"/>
            <w:tcBorders/>
            <w:shd w:fill="CFF0FC" w:val="clear"/>
            <w:vAlign w:val="center"/>
          </w:tcPr>
          <w:p>
            <w:pPr>
              <w:pStyle w:val="TableContents"/>
              <w:bidi w:val="0"/>
              <w:spacing w:before="0" w:after="283"/>
              <w:jc w:val="right"/>
              <w:rPr/>
            </w:pPr>
            <w:r>
              <w:rPr/>
              <w:t> </w:t>
            </w:r>
          </w:p>
        </w:tc>
        <w:tc>
          <w:tcPr>
            <w:tcW w:w="592" w:type="dxa"/>
            <w:tcBorders/>
            <w:shd w:fill="CFF0FC" w:val="clear"/>
            <w:vAlign w:val="center"/>
          </w:tcPr>
          <w:p>
            <w:pPr>
              <w:pStyle w:val="TableContents"/>
              <w:bidi w:val="0"/>
              <w:spacing w:before="0" w:after="283"/>
              <w:ind w:left="0" w:right="0" w:firstLine="400"/>
              <w:jc w:val="right"/>
              <w:rPr/>
            </w:pPr>
            <w:r>
              <w:rPr/>
              <w:t> </w:t>
            </w:r>
          </w:p>
        </w:tc>
      </w:tr>
      <w:tr>
        <w:trPr/>
        <w:tc>
          <w:tcPr>
            <w:tcW w:w="43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shd w:fill="FFFFFF" w:val="clear"/>
            <w:vAlign w:val="center"/>
          </w:tcPr>
          <w:p>
            <w:pPr>
              <w:pStyle w:val="TableContents"/>
              <w:bidi w:val="0"/>
              <w:spacing w:before="0" w:after="283"/>
              <w:jc w:val="right"/>
              <w:rPr/>
            </w:pPr>
            <w:r>
              <w:rPr/>
              <w:t> </w:t>
            </w:r>
          </w:p>
        </w:tc>
        <w:tc>
          <w:tcPr>
            <w:tcW w:w="592" w:type="dxa"/>
            <w:tcBorders/>
            <w:shd w:fill="FFFFFF" w:val="clear"/>
            <w:vAlign w:val="center"/>
          </w:tcPr>
          <w:p>
            <w:pPr>
              <w:pStyle w:val="TableContents"/>
              <w:bidi w:val="0"/>
              <w:spacing w:before="0" w:after="283"/>
              <w:jc w:val="right"/>
              <w:rPr/>
            </w:pPr>
            <w:r>
              <w:rPr/>
              <w:t> </w:t>
            </w:r>
          </w:p>
        </w:tc>
      </w:tr>
      <w:tr>
        <w:trPr/>
        <w:tc>
          <w:tcPr>
            <w:tcW w:w="43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92" w:type="dxa"/>
            <w:tcBorders/>
            <w:shd w:fill="CFF0FC" w:val="clear"/>
            <w:vAlign w:val="center"/>
          </w:tcPr>
          <w:p>
            <w:pPr>
              <w:pStyle w:val="TableContents"/>
              <w:bidi w:val="0"/>
              <w:spacing w:before="0" w:after="283"/>
              <w:jc w:val="left"/>
              <w:rPr/>
            </w:pPr>
            <w:r>
              <w:rPr/>
              <w:t> </w:t>
            </w:r>
          </w:p>
        </w:tc>
      </w:tr>
      <w:tr>
        <w:trPr/>
        <w:tc>
          <w:tcPr>
            <w:tcW w:w="43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Exercisable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2" w:type="dxa"/>
            <w:tcBorders/>
            <w:shd w:fill="FFFFFF" w:val="clear"/>
            <w:vAlign w:val="center"/>
          </w:tcPr>
          <w:p>
            <w:pPr>
              <w:pStyle w:val="TableContents"/>
              <w:bidi w:val="0"/>
              <w:spacing w:before="0" w:after="283"/>
              <w:jc w:val="left"/>
              <w:rPr/>
            </w:pPr>
            <w:r>
              <w:rPr/>
              <w:t> </w:t>
            </w:r>
          </w:p>
        </w:tc>
      </w:tr>
      <w:tr>
        <w:trPr/>
        <w:tc>
          <w:tcPr>
            <w:tcW w:w="43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92"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options and the fair value of the common stock for the options that were in the money at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2023 Option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twelve months ended December 31, 2023, the Company granted options to purchase 1,388,200 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the 2020 Plan during the twelve months ended December 31, 2023 and 2022 was $3.70 and $5.21,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total unrecognized compensation expense related to unvested stock options granted under the 2020 Plan was $8.8 million, which is expected to be recognized over a weighted average period of 1.91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Inducement Stock Option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twelve months ended December 31, 2023, the Company granted options to purchase 360,000 shares of common stock granted outside of the 2020 Plan. These grants were made pursuant to the Nasdaq inducement grant exception in accordance with Nasdaq listing rule 5635(c)(4). The options issued under this inducement grant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this inducement grant during the twelve months ended December 31, 2023 was $3.59. There were no inducement grants in twelve months ended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total unrecognized compensation expense related to unvested inducement options granted under the 2020 Plan was $1.1 million, which is expected to be recognized over a weighted average period of 3.28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2023, RSUs were granted under the 2020 Plan to the Company's employees in order to maintain retention of key employees. The value of an RSU award is based on the Company's stock price on the date of the grant. The shares underlying the RSUs are not issued until the RSUs vest.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Activity with respect to the Company's RSUs during the twelve months ended December 31, 2023 was as follows (in millions, except share, contractual term, and per share data):</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358"/>
        <w:gridCol w:w="146"/>
        <w:gridCol w:w="146"/>
        <w:gridCol w:w="781"/>
        <w:gridCol w:w="166"/>
        <w:gridCol w:w="146"/>
        <w:gridCol w:w="289"/>
        <w:gridCol w:w="640"/>
        <w:gridCol w:w="146"/>
        <w:gridCol w:w="146"/>
        <w:gridCol w:w="418"/>
        <w:gridCol w:w="988"/>
        <w:gridCol w:w="146"/>
        <w:gridCol w:w="146"/>
        <w:gridCol w:w="350"/>
        <w:gridCol w:w="600"/>
        <w:gridCol w:w="593"/>
      </w:tblGrid>
      <w:tr>
        <w:trPr/>
        <w:tc>
          <w:tcPr>
            <w:tcW w:w="4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3" w:type="dxa"/>
            <w:tcBorders/>
            <w:shd w:fill="FFFFFF" w:val="clear"/>
            <w:vAlign w:val="center"/>
          </w:tcPr>
          <w:p>
            <w:pPr>
              <w:pStyle w:val="TableContents"/>
              <w:bidi w:val="0"/>
              <w:spacing w:before="0" w:after="283"/>
              <w:jc w:val="center"/>
              <w:rPr/>
            </w:pPr>
            <w:r>
              <w:rPr/>
              <w:t> </w:t>
            </w:r>
          </w:p>
        </w:tc>
      </w:tr>
      <w:tr>
        <w:trPr/>
        <w:tc>
          <w:tcPr>
            <w:tcW w:w="43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593" w:type="dxa"/>
            <w:tcBorders/>
            <w:shd w:fill="FFFFFF" w:val="clear"/>
            <w:vAlign w:val="center"/>
          </w:tcPr>
          <w:p>
            <w:pPr>
              <w:pStyle w:val="TableContents"/>
              <w:bidi w:val="0"/>
              <w:spacing w:before="0" w:after="283"/>
              <w:jc w:val="center"/>
              <w:rPr/>
            </w:pPr>
            <w:r>
              <w:rPr/>
              <w:t> </w:t>
            </w:r>
          </w:p>
        </w:tc>
      </w:tr>
      <w:tr>
        <w:trPr/>
        <w:tc>
          <w:tcPr>
            <w:tcW w:w="43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 (a)</w:t>
            </w:r>
          </w:p>
        </w:tc>
        <w:tc>
          <w:tcPr>
            <w:tcW w:w="593" w:type="dxa"/>
            <w:tcBorders/>
            <w:shd w:fill="FFFFFF" w:val="clear"/>
            <w:vAlign w:val="center"/>
          </w:tcPr>
          <w:p>
            <w:pPr>
              <w:pStyle w:val="TableContents"/>
              <w:bidi w:val="0"/>
              <w:spacing w:before="0" w:after="283"/>
              <w:jc w:val="center"/>
              <w:rPr/>
            </w:pPr>
            <w:r>
              <w:rPr/>
              <w:t> </w:t>
            </w:r>
          </w:p>
        </w:tc>
      </w:tr>
      <w:tr>
        <w:trPr/>
        <w:tc>
          <w:tcPr>
            <w:tcW w:w="435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400"/>
              <w:jc w:val="right"/>
              <w:rPr/>
            </w:pPr>
            <w:r>
              <w:rPr/>
              <w:t> </w:t>
            </w:r>
          </w:p>
        </w:tc>
      </w:tr>
      <w:tr>
        <w:trPr/>
        <w:tc>
          <w:tcPr>
            <w:tcW w:w="435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0"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400"/>
              <w:jc w:val="right"/>
              <w:rPr/>
            </w:pPr>
            <w:r>
              <w:rPr/>
              <w:t> </w:t>
            </w:r>
          </w:p>
        </w:tc>
      </w:tr>
      <w:tr>
        <w:trPr/>
        <w:tc>
          <w:tcPr>
            <w:tcW w:w="435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435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8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CFF0FC" w:val="clear"/>
            <w:vAlign w:val="center"/>
          </w:tcPr>
          <w:p>
            <w:pPr>
              <w:pStyle w:val="TableContents"/>
              <w:bidi w:val="0"/>
              <w:spacing w:before="0" w:after="283"/>
              <w:jc w:val="left"/>
              <w:rPr/>
            </w:pPr>
            <w:r>
              <w:rPr/>
              <w:t> </w:t>
            </w:r>
          </w:p>
        </w:tc>
      </w:tr>
      <w:tr>
        <w:trPr/>
        <w:tc>
          <w:tcPr>
            <w:tcW w:w="435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and expected to vest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RSUs vest annually over four years and have a weighted-average grant date fair value of $4.94 per unit.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total unrecognized compensation expense for RSUs was $2.3 million, which is expected to be recognized over a weighted-average period of 3.09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January 2024 Option and Restricted Stock Unit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2024, the Company granted options to purchase 1,472,175 shares of common stock and 245,363 shares of restricted stock to employees under the 2020 Plan. The options have an exercise price equal to the closing stock price as of the grant date, and vest over four years, with 25% vesting on the first anniversary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and the remainder vesting in equal monthly installments thereafter. The shares of restricted stock will vest annually over four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expense was classified in the consolidated statements of operations as follows:</w:t>
      </w:r>
    </w:p>
    <w:p>
      <w:pPr>
        <w:pStyle w:val="TextBody"/>
        <w:bidi w:val="0"/>
        <w:jc w:val="left"/>
        <w:rPr/>
      </w:pPr>
      <w:r>
        <w:rPr/>
        <w:t> </w:t>
      </w:r>
    </w:p>
    <w:tbl>
      <w:tblPr>
        <w:tblW w:w="4788" w:type="dxa"/>
        <w:jc w:val="left"/>
        <w:tblInd w:w="0" w:type="dxa"/>
        <w:tblLayout w:type="fixed"/>
        <w:tblCellMar>
          <w:top w:w="28" w:type="dxa"/>
          <w:left w:w="28" w:type="dxa"/>
          <w:bottom w:w="28" w:type="dxa"/>
          <w:right w:w="28" w:type="dxa"/>
        </w:tblCellMar>
      </w:tblPr>
      <w:tblGrid>
        <w:gridCol w:w="2311"/>
        <w:gridCol w:w="146"/>
        <w:gridCol w:w="226"/>
        <w:gridCol w:w="614"/>
        <w:gridCol w:w="157"/>
        <w:gridCol w:w="157"/>
        <w:gridCol w:w="226"/>
        <w:gridCol w:w="614"/>
        <w:gridCol w:w="14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14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7,615</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Intellectual Property Licenses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 initiated dosing of a Phase 2 study. Pursuant to the terms of both the WFUHS License and the IU License, the company recognized milestone expense of $0.3 million within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agreements continue from their effective date through the last date of expiration of the licensed patents, unless earlier terminated by either party in accordance with their terms.</w:t>
      </w:r>
    </w:p>
    <w:p>
      <w:pPr>
        <w:pStyle w:val="TextBody"/>
        <w:bidi w:val="0"/>
        <w:spacing w:before="12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Bala Cynwyd Office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extension on the original 4,642 square footage commenced on September 1, 2023 and the Company recorded a right of use asset and lease liability of $0.5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lease on 3,462 additional square footage commenced on October 1, 2023 and the Company recorded a right of use asset and lease liability of $0.3 million as of that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 of use assets and lease liabilities with both these leases are reflected in the financial statements for the year ended December 31, 2023 as are the right of use asset and lease liability of the Company's Boston office space discussed below.</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Boston Office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Company's 2020 merger with Zafgen described in footnote 1, 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Lab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January 2023, the Company executed an extension of this lease for an additional year, expiring on December 31, 2023. The Company has determined this lease extension qualifies as a short-term lease and have applied the accounting policy election to not record the related right-of-use asset and lease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and the lease term is expected to commence in the second quarter of 2024, no right of use asset or lease liability will be recorded until the lease commencement date.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Lease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 arising from operating leases was $0.4 million and $0.3 million during the twelve months ended December 31, 2023 and 2022, respectively. For operating leases, the weighted-average remaining lease term for leases at December 31, 2023 and 2022 was 5.5 and 6.8 years, respectively. For operating leases, the weighted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average discount rate for leases at December 31, 2023 and 2022 was 11.0%. The Company has not entered into any financing 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lease liabilities due under these lease agreements as of December 31, 2023 are as follows: </w:t>
      </w:r>
    </w:p>
    <w:p>
      <w:pPr>
        <w:pStyle w:val="TextBody"/>
        <w:bidi w:val="0"/>
        <w:jc w:val="left"/>
        <w:rPr/>
      </w:pPr>
      <w:r>
        <w:rPr/>
        <w:t> </w:t>
      </w:r>
    </w:p>
    <w:tbl>
      <w:tblPr>
        <w:tblW w:w="4299" w:type="dxa"/>
        <w:jc w:val="left"/>
        <w:tblInd w:w="0" w:type="dxa"/>
        <w:tblLayout w:type="fixed"/>
        <w:tblCellMar>
          <w:top w:w="28" w:type="dxa"/>
          <w:left w:w="28" w:type="dxa"/>
          <w:bottom w:w="28" w:type="dxa"/>
          <w:right w:w="28" w:type="dxa"/>
        </w:tblCellMar>
      </w:tblPr>
      <w:tblGrid>
        <w:gridCol w:w="2886"/>
        <w:gridCol w:w="146"/>
        <w:gridCol w:w="214"/>
        <w:gridCol w:w="642"/>
        <w:gridCol w:w="41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 December 31,</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411" w:type="dxa"/>
            <w:tcBorders/>
            <w:shd w:fill="FFFFFF" w:val="clear"/>
            <w:vAlign w:val="center"/>
          </w:tcPr>
          <w:p>
            <w:pPr>
              <w:pStyle w:val="TableContents"/>
              <w:bidi w:val="0"/>
              <w:spacing w:before="0" w:after="283"/>
              <w:jc w:val="center"/>
              <w:rPr/>
            </w:pPr>
            <w:r>
              <w:rPr/>
              <w:t> </w:t>
            </w:r>
          </w:p>
        </w:tc>
      </w:tr>
      <w:tr>
        <w:trPr/>
        <w:tc>
          <w:tcPr>
            <w:tcW w:w="3032" w:type="dxa"/>
            <w:gridSpan w:val="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Leases</w:t>
            </w:r>
          </w:p>
        </w:tc>
        <w:tc>
          <w:tcPr>
            <w:tcW w:w="411" w:type="dxa"/>
            <w:tcBorders/>
            <w:shd w:fill="FFFFFF" w:val="clear"/>
            <w:vAlign w:val="center"/>
          </w:tcPr>
          <w:p>
            <w:pPr>
              <w:pStyle w:val="TableContents"/>
              <w:bidi w:val="0"/>
              <w:spacing w:before="0" w:after="283"/>
              <w:jc w:val="center"/>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41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411" w:type="dxa"/>
            <w:tcBorders/>
            <w:shd w:fill="FFFFFF" w:val="clear"/>
            <w:vAlign w:val="center"/>
          </w:tcPr>
          <w:p>
            <w:pPr>
              <w:pStyle w:val="TableContents"/>
              <w:bidi w:val="0"/>
              <w:spacing w:before="0" w:after="283"/>
              <w:jc w:val="left"/>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41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411" w:type="dxa"/>
            <w:tcBorders/>
            <w:shd w:fill="FFFFFF" w:val="clear"/>
            <w:vAlign w:val="center"/>
          </w:tcPr>
          <w:p>
            <w:pPr>
              <w:pStyle w:val="TableContents"/>
              <w:bidi w:val="0"/>
              <w:spacing w:before="0" w:after="283"/>
              <w:jc w:val="left"/>
              <w:rPr/>
            </w:pPr>
            <w:r>
              <w:rPr/>
              <w:t> </w:t>
            </w:r>
          </w:p>
        </w:tc>
      </w:tr>
      <w:tr>
        <w:trPr/>
        <w:tc>
          <w:tcPr>
            <w:tcW w:w="2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41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411" w:type="dxa"/>
            <w:tcBorders/>
            <w:shd w:fill="CFF0FC" w:val="clear"/>
            <w:vAlign w:val="center"/>
          </w:tcPr>
          <w:p>
            <w:pPr>
              <w:pStyle w:val="TableContents"/>
              <w:bidi w:val="0"/>
              <w:spacing w:before="0" w:after="283"/>
              <w:jc w:val="left"/>
              <w:rPr/>
            </w:pPr>
            <w:r>
              <w:rPr/>
              <w:t> </w:t>
            </w:r>
          </w:p>
        </w:tc>
      </w:tr>
      <w:tr>
        <w:trPr/>
        <w:tc>
          <w:tcPr>
            <w:tcW w:w="2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center"/>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The Company is not currently a party to any litigation, nor is management aware of any pending or threatened litigation against the Company, that it believes would materially affect the Company’s business, operating results, financial condition or cash flows.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During the years ended December 31, 2023, and 2022, the Company recorded no income tax benefits for the net operating losses incurred in each year due to its uncertainty of realizing a benefit from those items.</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The domestic and foreign components of loss before income taxes are as follows.</w:t>
      </w:r>
    </w:p>
    <w:p>
      <w:pPr>
        <w:pStyle w:val="TextBody"/>
        <w:bidi w:val="0"/>
        <w:jc w:val="left"/>
        <w:rPr/>
      </w:pPr>
      <w:r>
        <w:rPr/>
        <w:t> </w:t>
      </w:r>
    </w:p>
    <w:tbl>
      <w:tblPr>
        <w:tblW w:w="3449" w:type="dxa"/>
        <w:jc w:val="left"/>
        <w:tblInd w:w="0" w:type="dxa"/>
        <w:tblLayout w:type="fixed"/>
        <w:tblCellMar>
          <w:top w:w="28" w:type="dxa"/>
          <w:left w:w="28" w:type="dxa"/>
          <w:bottom w:w="28" w:type="dxa"/>
          <w:right w:w="28" w:type="dxa"/>
        </w:tblCellMar>
      </w:tblPr>
      <w:tblGrid>
        <w:gridCol w:w="886"/>
        <w:gridCol w:w="146"/>
        <w:gridCol w:w="211"/>
        <w:gridCol w:w="736"/>
        <w:gridCol w:w="166"/>
        <w:gridCol w:w="146"/>
        <w:gridCol w:w="211"/>
        <w:gridCol w:w="736"/>
        <w:gridCol w:w="21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333333"/>
          <w:sz w:val="20"/>
        </w:rPr>
      </w:pPr>
      <w:r>
        <w:rPr>
          <w:rFonts w:ascii="Times New Roman" w:hAnsi="Times New Roman"/>
          <w:color w:val="333333"/>
          <w:sz w:val="20"/>
        </w:rPr>
        <w:t>A reconciliation of the U.S. federal statutory income tax rate to the Company’s effective income tax rate is as follows:</w:t>
      </w:r>
    </w:p>
    <w:p>
      <w:pPr>
        <w:pStyle w:val="TextBody"/>
        <w:bidi w:val="0"/>
        <w:jc w:val="left"/>
        <w:rPr/>
      </w:pPr>
      <w:r>
        <w:rPr/>
        <w:t> </w:t>
      </w:r>
    </w:p>
    <w:tbl>
      <w:tblPr>
        <w:tblW w:w="7312" w:type="dxa"/>
        <w:jc w:val="left"/>
        <w:tblInd w:w="0" w:type="dxa"/>
        <w:tblLayout w:type="fixed"/>
        <w:tblCellMar>
          <w:top w:w="28" w:type="dxa"/>
          <w:left w:w="28" w:type="dxa"/>
          <w:bottom w:w="28" w:type="dxa"/>
          <w:right w:w="28" w:type="dxa"/>
        </w:tblCellMar>
      </w:tblPr>
      <w:tblGrid>
        <w:gridCol w:w="4656"/>
        <w:gridCol w:w="146"/>
        <w:gridCol w:w="165"/>
        <w:gridCol w:w="596"/>
        <w:gridCol w:w="307"/>
        <w:gridCol w:w="165"/>
        <w:gridCol w:w="165"/>
        <w:gridCol w:w="596"/>
        <w:gridCol w:w="516"/>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statutory income tax rate</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0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state tax rate</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and state research and development tax credit</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07"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Nondeductible permanent differences</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 forfeitures - DTA Write Off</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0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deferred tax asset valuation allowance</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Net deferred tax assets as of December 31, 2023 and 2022 consisted of the following:</w:t>
      </w:r>
    </w:p>
    <w:p>
      <w:pPr>
        <w:pStyle w:val="TextBody"/>
        <w:bidi w:val="0"/>
        <w:jc w:val="left"/>
        <w:rPr/>
      </w:pPr>
      <w:r>
        <w:rPr/>
        <w:t> </w:t>
      </w:r>
    </w:p>
    <w:tbl>
      <w:tblPr>
        <w:tblW w:w="7569" w:type="dxa"/>
        <w:jc w:val="left"/>
        <w:tblInd w:w="0" w:type="dxa"/>
        <w:tblLayout w:type="fixed"/>
        <w:tblCellMar>
          <w:top w:w="28" w:type="dxa"/>
          <w:left w:w="28" w:type="dxa"/>
          <w:bottom w:w="28" w:type="dxa"/>
          <w:right w:w="28" w:type="dxa"/>
        </w:tblCellMar>
      </w:tblPr>
      <w:tblGrid>
        <w:gridCol w:w="4416"/>
        <w:gridCol w:w="146"/>
        <w:gridCol w:w="211"/>
        <w:gridCol w:w="841"/>
        <w:gridCol w:w="166"/>
        <w:gridCol w:w="146"/>
        <w:gridCol w:w="211"/>
        <w:gridCol w:w="841"/>
        <w:gridCol w:w="5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R&amp;D - acquired in merger with Zafgen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R&amp;D - Section 174 Costs post 2021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temporary differences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Accruals &amp; reserves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 &amp; 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131,632</w:t>
            </w:r>
          </w:p>
        </w:tc>
        <w:tc>
          <w:tcPr>
            <w:tcW w:w="591" w:type="dxa"/>
            <w:tcBorders/>
            <w:shd w:fill="CFF0FC" w:val="cle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right of use asset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deferred tax assets /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Changes in the valuation allowance for deferred tax assets during the year ended December 31, 2023 and 2022 related primarily to the increase in net operating loss carryforwards and tax credit carryforwards and a decrease other deferred tax assets associated with a reduction in the Company’s effective state rate. Changes to the valuation allowance were as follows:</w:t>
      </w:r>
    </w:p>
    <w:p>
      <w:pPr>
        <w:pStyle w:val="TextBody"/>
        <w:bidi w:val="0"/>
        <w:jc w:val="left"/>
        <w:rPr/>
      </w:pPr>
      <w:r>
        <w:rPr/>
        <w:t> </w:t>
      </w:r>
    </w:p>
    <w:tbl>
      <w:tblPr>
        <w:tblW w:w="6919" w:type="dxa"/>
        <w:jc w:val="left"/>
        <w:tblInd w:w="0" w:type="dxa"/>
        <w:tblLayout w:type="fixed"/>
        <w:tblCellMar>
          <w:top w:w="28" w:type="dxa"/>
          <w:left w:w="28" w:type="dxa"/>
          <w:bottom w:w="28" w:type="dxa"/>
          <w:right w:w="28" w:type="dxa"/>
        </w:tblCellMar>
      </w:tblPr>
      <w:tblGrid>
        <w:gridCol w:w="4306"/>
        <w:gridCol w:w="146"/>
        <w:gridCol w:w="211"/>
        <w:gridCol w:w="781"/>
        <w:gridCol w:w="146"/>
        <w:gridCol w:w="146"/>
        <w:gridCol w:w="211"/>
        <w:gridCol w:w="781"/>
        <w:gridCol w:w="1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as of the beginning of the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124,016</w:t>
            </w:r>
          </w:p>
        </w:tc>
        <w:tc>
          <w:tcPr>
            <w:tcW w:w="191" w:type="dxa"/>
            <w:tcBorders/>
            <w:shd w:fill="CFF0FC" w:val="clear"/>
            <w:vAlign w:val="center"/>
          </w:tcPr>
          <w:p>
            <w:pPr>
              <w:pStyle w:val="TableContents"/>
              <w:bidi w:val="0"/>
              <w:spacing w:before="0" w:after="283"/>
              <w:jc w:val="left"/>
              <w:rPr/>
            </w:pPr>
            <w:r>
              <w:rPr/>
              <w:t> </w:t>
            </w:r>
          </w:p>
        </w:tc>
      </w:tr>
      <w:tr>
        <w:trPr/>
        <w:tc>
          <w:tcPr>
            <w:tcW w:w="4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recorded to income tax provision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at end of year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333333"/>
          <w:sz w:val="20"/>
        </w:rPr>
      </w:pPr>
      <w:r>
        <w:rPr>
          <w:rFonts w:ascii="Times New Roman" w:hAnsi="Times New Roman"/>
          <w:color w:val="333333"/>
          <w:sz w:val="20"/>
        </w:rPr>
        <w:t xml:space="preserve">As of December 31, 2023, the Company had net operating loss carryforwards that expire for federal, foreign and state income tax purposes of $179.0 million, $1.2 million and $148.1 million, respectively. The federal and state operating losses begin to expire in 2026 and 2030, while the foreign net loss carryforward can be carried forward indefinitely. As of December 31, 2023, the Company had federal net operating loss carryforwards that were generated after December 31, 2017 of $140.3 million that do not expire, however these carryforwards are limited to 80% of the taxable income in any one tax period. As of December 31, 2023, the Company also had available tax credit carryforwards for federal and state income tax purposes of $16.3 million which begin to expire in 2039. Utilization of the pre-Merger net operating loss carryforwards attributable to Zafgen, of approximately $33.5 million, are subject to a substantial annual limitation under Section 382 of the Internal Revenue Code of 1986 due to ownership changes occurred during the tax year associated with the Merger. In addition to the limitation of the pre-Merger NOL’s of Zafgen, the net capitalized R&amp;D deferred tax assets in the amount of $66.9 million is subject to the built-in loss rules under Section 382 and may not be realized if the underlying asset associated with the R&amp;D is disposed within five years of the Merger, or May 28, 2025. In general, an ownership change, as defined by Section 382, results from transactions increasing the ownership of certain stockholders or public groups in the stock of a corporation by more than 50% over a three-year period. The ownership changes will limit the amount of pre-merger Zafgen carryforwards that can be utilized annually to offset future taxable income with an annual limitation of approximately $35 thousand per year. The Company has reduced their NOL and R&amp;D tax credit deferred tax assets associated with the pre-Merger Zafgen operations as a result of the 382 analysis.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333333"/>
          <w:sz w:val="20"/>
        </w:rPr>
        <w:t xml:space="preserve">The Company believes that as a result of its merger with Zafgen, its ability to utilize NOLs acquired in the transaction and our other NOLs is expected to be severely limited by Section 382 of the Code. Additionally, the Company’s July 2021, September 2022 and February 2023 equity transactions could also limit its ability to utilize NOLs in the future. The Company has not conducted a study to assess whether a change of control has occurred or whether there have been multiple changes of control since inception. If the Company experienced a change of control, as defined by Section 382, at any time since inception, utilization of its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w:t>
      </w:r>
      <w:r>
        <w:rPr>
          <w:rFonts w:ascii="Times New Roman" w:hAnsi="Times New Roman"/>
          <w:color w:val="000000"/>
          <w:sz w:val="20"/>
        </w:rPr>
        <w:t xml:space="preserve">Additionally, our July 2021, September 2022 and February 2024 equity transactions could also limit our ability to utilize NOLs in the future. </w:t>
      </w:r>
      <w:r>
        <w:rPr>
          <w:rFonts w:ascii="Times New Roman" w:hAnsi="Times New Roman"/>
          <w:color w:val="333333"/>
          <w:sz w:val="20"/>
        </w:rPr>
        <w:t>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in both 2023 and 2022. The Company is amortizing these costs for tax purposes over five years if the research and development was performed in the U.S. and over 15 years if the research and development was performed outside the U.S.</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As of December 31, 2023 and 2022, the Company’s net deferred tax asset balance before the valuation allowance was $141.8 million and $130.8 million, respectively, and was comprised principally of net operating loss carryforwards, capitalized research and development expenses and tax credit carryforwards. During the years ended December 31, 2023 and 2022, gross deferred tax assets increased due to deferred tax assets acquired as a result of additional net operating loss carryforwards and research and development tax credits generated.</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2023 and 2022. Management reevaluates the positive and negative evidence at each reporting period.</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The Company has not recorded any amounts for unrecognized tax benefits as of December 31, 2023 and 2022.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2019 to the present. Earlier years may be examined to the extent that tax credit or net operating loss carryforwards are used in future periods. The Company’s policy is to record interest and penalties related to income taxes as part of its income tax provision.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0" w:name="lrmr-ex10_3.htm"/>
      <w:bookmarkStart w:id="41" w:name="kslrmrex10_3"/>
      <w:bookmarkEnd w:id="40"/>
      <w:bookmarkEnd w:id="41"/>
      <w:r>
        <w:rPr>
          <w:rFonts w:ascii="Times New Roman" w:hAnsi="Times New Roman"/>
          <w:color w:val="000000"/>
          <w:sz w:val="24"/>
        </w:rPr>
        <w:t>GOODWIN PROCTER DRAFT: 2/15/2023</w:t>
      </w:r>
      <w:r>
        <w:br w:type="page"/>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RESTRICTED STOCK UNIT AWARD AGREEMENT</w:t>
        <w:br/>
        <w:t>FOR COMPANY EMPLOYEES</w:t>
        <w:br/>
        <w:t>UNDER the larimar therapeutics, inc.</w:t>
        <w:br/>
        <w:t>2020 equity INCENTIVE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Name of Grantee: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of Restricted Stock Units: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Grant Date: </w:t>
      </w:r>
    </w:p>
    <w:p>
      <w:pPr>
        <w:pStyle w:val="TextBody"/>
        <w:bidi w:val="0"/>
        <w:spacing w:before="480" w:after="240"/>
        <w:jc w:val="left"/>
        <w:rPr>
          <w:rFonts w:ascii="Times New Roman" w:hAnsi="Times New Roman"/>
          <w:color w:val="000000"/>
          <w:sz w:val="24"/>
        </w:rPr>
      </w:pPr>
      <w:r>
        <w:rPr>
          <w:rFonts w:ascii="Times New Roman" w:hAnsi="Times New Roman"/>
          <w:color w:val="000000"/>
          <w:sz w:val="24"/>
        </w:rPr>
        <w:t>Pursuant to the Larimar Therapeutics, Inc. 2020 Equity Incentive Plan as amended through the date hereof (the “Plan”), Larimar Therapeutics, Inc. (the “Company”) hereby grants an award of the number of Restricted Stock Units listed above (an “Award”) to the Grantee named above. Each Restricted Stock Unit shall relate to one share of common stock, par value $0.001 per share (a “Share” or “Shares”)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Restrictions on Transfer of Award</w:t>
      </w:r>
      <w:r>
        <w:rPr>
          <w:rFonts w:ascii="Times New Roman" w:hAnsi="Times New Roman"/>
          <w:color w:val="000000"/>
          <w:sz w:val="24"/>
        </w:rPr>
        <w:t>. This Award may not be sold, transferred, pledged, assigned or otherwise encumbered or disposed of by the Grantee, and any Shares issuable with respect to the Award may not be sold, transferred, pledged, assigned or otherwise encumbered or disposed of until (i) the Restricted Stock Units have vested as provided in Paragraph 2 of this Agreement and (ii) Shares have been issued to the Grantee in accordance with the terms of the Plan and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Vesting of Restricted Stock Units</w:t>
      </w:r>
      <w:r>
        <w:rPr>
          <w:rFonts w:ascii="Times New Roman" w:hAnsi="Times New Roman"/>
          <w:color w:val="000000"/>
          <w:sz w:val="24"/>
        </w:rPr>
        <w:t>. The restrictions and conditions of Paragraph 1 of this Agreement shall lapse on the Vesting Date or Dates specified in the following schedule so long as the Grantee remains an employee of the Company or a Subsidiary on such Dates. If a series of Vesting Dates is specified, then the restrictions and conditions in Paragraph 1 shall lapse only with respect to the number of Restricted Stock Units specified as vested on such date.</w:t>
      </w:r>
    </w:p>
    <w:tbl>
      <w:tblPr>
        <w:tblW w:w="4919" w:type="dxa"/>
        <w:jc w:val="left"/>
        <w:tblInd w:w="0" w:type="dxa"/>
        <w:tblLayout w:type="fixed"/>
        <w:tblCellMar>
          <w:top w:w="28" w:type="dxa"/>
          <w:left w:w="28" w:type="dxa"/>
          <w:bottom w:w="28" w:type="dxa"/>
          <w:right w:w="28" w:type="dxa"/>
        </w:tblCellMar>
      </w:tblPr>
      <w:tblGrid>
        <w:gridCol w:w="2956"/>
        <w:gridCol w:w="1963"/>
      </w:tblGrid>
      <w:tr>
        <w:trPr/>
        <w:tc>
          <w:tcPr>
            <w:tcW w:w="2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40"/>
              <w:jc w:val="center"/>
              <w:rPr>
                <w:rFonts w:ascii="Times New Roman" w:hAnsi="Times New Roman"/>
                <w:sz w:val="24"/>
              </w:rPr>
            </w:pPr>
            <w:r>
              <w:rPr>
                <w:rFonts w:ascii="Times New Roman" w:hAnsi="Times New Roman"/>
                <w:color w:val="000000"/>
                <w:sz w:val="24"/>
              </w:rPr>
              <w:t>Incremental Number of</w:t>
              <w:br/>
            </w:r>
            <w:r>
              <w:rPr>
                <w:rFonts w:ascii="Times New Roman" w:hAnsi="Times New Roman"/>
                <w:color w:val="000000"/>
                <w:sz w:val="24"/>
                <w:u w:val="single"/>
              </w:rPr>
              <w:t>Restricted Stock Units Vested</w:t>
            </w:r>
          </w:p>
        </w:tc>
        <w:tc>
          <w:tcPr>
            <w:tcW w:w="1963" w:type="dxa"/>
            <w:tcBorders/>
            <w:vAlign w:val="center"/>
          </w:tcPr>
          <w:p>
            <w:pPr>
              <w:pStyle w:val="TableContents"/>
              <w:bidi w:val="0"/>
              <w:spacing w:before="0" w:after="240"/>
              <w:ind w:left="0" w:right="0" w:firstLine="12"/>
              <w:jc w:val="center"/>
              <w:rPr>
                <w:rFonts w:ascii="Times New Roman" w:hAnsi="Times New Roman"/>
                <w:color w:val="000000"/>
                <w:sz w:val="24"/>
                <w:u w:val="single"/>
              </w:rPr>
            </w:pPr>
            <w:r>
              <w:rPr>
                <w:rFonts w:ascii="Times New Roman" w:hAnsi="Times New Roman"/>
                <w:color w:val="000000"/>
                <w:sz w:val="24"/>
                <w:u w:val="single"/>
              </w:rPr>
              <w:t>Vesting Date</w:t>
            </w:r>
          </w:p>
        </w:tc>
      </w:tr>
      <w:tr>
        <w:trPr/>
        <w:tc>
          <w:tcPr>
            <w:tcW w:w="2956" w:type="dxa"/>
            <w:tcBorders/>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vAlign w:val="center"/>
          </w:tcPr>
          <w:p>
            <w:pPr>
              <w:pStyle w:val="TableContents"/>
              <w:bidi w:val="0"/>
              <w:spacing w:before="0" w:after="283"/>
              <w:ind w:left="0" w:right="0" w:firstLine="12"/>
              <w:jc w:val="center"/>
              <w:rPr>
                <w:rFonts w:ascii="Times New Roman" w:hAnsi="Times New Roman"/>
                <w:b/>
                <w:color w:val="000000"/>
                <w:sz w:val="24"/>
              </w:rPr>
            </w:pPr>
            <w:r>
              <w:rPr>
                <w:rFonts w:ascii="Times New Roman" w:hAnsi="Times New Roman"/>
                <w:b/>
                <w:color w:val="000000"/>
                <w:sz w:val="24"/>
              </w:rPr>
              <w:t>_______________</w:t>
            </w:r>
          </w:p>
        </w:tc>
      </w:tr>
      <w:tr>
        <w:trPr/>
        <w:tc>
          <w:tcPr>
            <w:tcW w:w="2956" w:type="dxa"/>
            <w:tcBorders/>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vAlign w:val="center"/>
          </w:tcPr>
          <w:p>
            <w:pPr>
              <w:pStyle w:val="TableContents"/>
              <w:bidi w:val="0"/>
              <w:spacing w:before="0" w:after="283"/>
              <w:ind w:left="0" w:right="0" w:firstLine="12"/>
              <w:jc w:val="center"/>
              <w:rPr>
                <w:rFonts w:ascii="Times New Roman" w:hAnsi="Times New Roman"/>
                <w:b/>
                <w:color w:val="000000"/>
                <w:sz w:val="24"/>
              </w:rPr>
            </w:pPr>
            <w:r>
              <w:rPr>
                <w:rFonts w:ascii="Times New Roman" w:hAnsi="Times New Roman"/>
                <w:b/>
                <w:color w:val="000000"/>
                <w:sz w:val="24"/>
              </w:rPr>
              <w:t>_______________</w:t>
            </w:r>
          </w:p>
        </w:tc>
      </w:tr>
      <w:tr>
        <w:trPr/>
        <w:tc>
          <w:tcPr>
            <w:tcW w:w="2956" w:type="dxa"/>
            <w:tcBorders/>
            <w:vAlign w:val="center"/>
          </w:tcPr>
          <w:p>
            <w:pPr>
              <w:pStyle w:val="TableContents"/>
              <w:bidi w:val="0"/>
              <w:spacing w:before="0" w:after="283"/>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vAlign w:val="center"/>
          </w:tcPr>
          <w:p>
            <w:pPr>
              <w:pStyle w:val="TableContents"/>
              <w:bidi w:val="0"/>
              <w:spacing w:before="0" w:after="283"/>
              <w:ind w:left="0" w:right="0" w:firstLine="12"/>
              <w:jc w:val="center"/>
              <w:rPr>
                <w:rFonts w:ascii="Times New Roman" w:hAnsi="Times New Roman"/>
                <w:b/>
                <w:color w:val="000000"/>
                <w:sz w:val="24"/>
              </w:rPr>
            </w:pPr>
            <w:r>
              <w:rPr>
                <w:rFonts w:ascii="Times New Roman" w:hAnsi="Times New Roman"/>
                <w:b/>
                <w:color w:val="000000"/>
                <w:sz w:val="24"/>
              </w:rPr>
              <w:t>_______________</w:t>
            </w:r>
          </w:p>
        </w:tc>
      </w:tr>
      <w:tr>
        <w:trPr/>
        <w:tc>
          <w:tcPr>
            <w:tcW w:w="2956" w:type="dxa"/>
            <w:tcBorders/>
            <w:vAlign w:val="center"/>
          </w:tcPr>
          <w:p>
            <w:pPr>
              <w:pStyle w:val="TableContents"/>
              <w:bidi w:val="0"/>
              <w:spacing w:before="0" w:after="240"/>
              <w:ind w:left="12" w:right="0" w:firstLine="12"/>
              <w:jc w:val="center"/>
              <w:rPr>
                <w:rFonts w:ascii="Times New Roman" w:hAnsi="Times New Roman"/>
                <w:color w:val="000000"/>
                <w:sz w:val="24"/>
              </w:rPr>
            </w:pPr>
            <w:r>
              <w:rPr>
                <w:rFonts w:ascii="Times New Roman" w:hAnsi="Times New Roman"/>
                <w:color w:val="000000"/>
                <w:sz w:val="24"/>
              </w:rPr>
              <w:t>_____________ (___%)</w:t>
            </w:r>
          </w:p>
        </w:tc>
        <w:tc>
          <w:tcPr>
            <w:tcW w:w="1963" w:type="dxa"/>
            <w:tcBorders/>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_______________</w:t>
            </w:r>
          </w:p>
        </w:tc>
      </w:tr>
    </w:tbl>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Administrator may at any time accelerate the vesting schedule specified in this Paragraph 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Termination of Employment</w:t>
      </w:r>
      <w:r>
        <w:rPr>
          <w:rFonts w:ascii="Times New Roman" w:hAnsi="Times New Roman"/>
          <w:color w:val="000000"/>
          <w:sz w:val="24"/>
        </w:rPr>
        <w:t xml:space="preserve">. If the Grantee’s employment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ACTIVE/121521257.3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representatives will thereafter have any further rights or interests in such unvested Restricted Stock Units.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Issuance of Shares</w:t>
      </w:r>
      <w:r>
        <w:rPr>
          <w:rFonts w:ascii="Times New Roman" w:hAnsi="Times New Roman"/>
          <w:color w:val="000000"/>
          <w:sz w:val="24"/>
        </w:rPr>
        <w:t xml:space="preserve">. As soon as practicable following each Vesting Date (but in no event later than two and one-half months after the end of the year in which the Vesting Date occurs), the Company shall issue to the Grantee the number of Shares equal to the aggregate number of Restricted Stock Units that have vested pursuant to Paragraph 2 of this Agreement on such date and the Grantee shall thereafter have all the rights of a stockholder of the Company with respect to such shares.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Incorporation of Plan</w:t>
      </w:r>
      <w:r>
        <w:rPr>
          <w:rFonts w:ascii="Times New Roman" w:hAnsi="Times New Roman"/>
          <w:color w:val="000000"/>
          <w:sz w:val="24"/>
        </w:rPr>
        <w:t>. Notwithstanding anything herein to the contrary, this Agreement shall be subject to and governed by all the terms and conditions of the Plan, including the powers of the Committee set forth in Section 2 of the Plan. Capitalized terms in this Agreement shall have the meaning specified in the Plan, unless a different meaning is specified 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Tax Withholding</w:t>
      </w:r>
      <w:r>
        <w:rPr>
          <w:rFonts w:ascii="Times New Roman" w:hAnsi="Times New Roman"/>
          <w:color w:val="000000"/>
          <w:sz w:val="24"/>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To the extent authorized by the Committee, the required tax withholding obligation may be satisfied, in whole or in part, by withholding from Shares to be issued to the Grantee a number of Shares with an aggregate Fair Market Value that would satisfy the withholding amount due. The Company has the right to deduct any such taxes from payment of any kind otherwise due to the Grantee.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Tax Consequences</w:t>
      </w:r>
      <w:r>
        <w:rPr>
          <w:rFonts w:ascii="Times New Roman" w:hAnsi="Times New Roman"/>
          <w:color w:val="000000"/>
          <w:sz w:val="24"/>
        </w:rPr>
        <w:t>. The Grantee acknowledges that the Company has not advised the Grantee regarding the Grantee’s tax liability in connection with this Award. The Grantee acknowledges that the Grantee has reviewed with the Grantee’s own tax advisors the tax treatment of this Award (including the issuance of any Shares in settlement of the Restricted Stock Units hereunder) and is relying solely on those advisors in that regard. The Grantee understands that the Grantee (and not the Company) will be responsible for the Grantee’s own tax liabilities arising in connection with this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Section 409A of the Code.</w:t>
      </w:r>
      <w:r>
        <w:rPr>
          <w:color w:val="000000"/>
        </w:rPr>
        <w:t xml:space="preserve"> </w:t>
      </w:r>
      <w:r>
        <w:rPr>
          <w:rFonts w:ascii="Times New Roman" w:hAnsi="Times New Roman"/>
          <w:color w:val="000000"/>
          <w:sz w:val="24"/>
        </w:rPr>
        <w:t>This Agreement shall be interpreted in such a manner that all provisions relating to the settlement of the Award are exempt from the requirements of Section 409A of the Code as “short-term deferrals” as described in Section 409A of the Code.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No Continuation of Service</w:t>
      </w:r>
      <w:r>
        <w:rPr>
          <w:rFonts w:ascii="Times New Roman" w:hAnsi="Times New Roman"/>
          <w:color w:val="000000"/>
          <w:sz w:val="24"/>
        </w:rPr>
        <w:t>. This Agreement will not confer upon the Grantee any right to continue in the employment or service of the Company or any of its Affiliates, or limit in any respect the right of the Company or its Affiliates to discharge the Grantee at any time, for any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Entire Agreement</w:t>
      </w:r>
      <w:r>
        <w:rPr>
          <w:rFonts w:ascii="Times New Roman" w:hAnsi="Times New Roman"/>
          <w:color w:val="000000"/>
          <w:sz w:val="24"/>
        </w:rPr>
        <w:t>. This Agreement represents the entire agreement between the parties with respect to the subject matter hereof and supersedes any prior agreement, written or otherwise, relating to the subject matter hereof.</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ACTIVE/121521257.3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Data Privacy Consent</w:t>
      </w:r>
      <w:r>
        <w:rPr>
          <w:rFonts w:ascii="Times New Roman" w:hAnsi="Times New Roman"/>
          <w:color w:val="000000"/>
          <w:sz w:val="24"/>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Electronic Delivery of Documents</w:t>
      </w:r>
      <w:r>
        <w:rPr>
          <w:rFonts w:ascii="Times New Roman" w:hAnsi="Times New Roman"/>
          <w:color w:val="000000"/>
          <w:sz w:val="24"/>
        </w:rPr>
        <w:t>. The Grantee authorizes the Company to deliver electronically any prospectuses or other documentation related to this Award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Grantee a paper copy of any document also delivered to the Grantee electronically. The authorization described in this Paragraph may be revoked by the Grantee at any time by written notice to the Company.</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ACTIVE/121521257.3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Larimar Therapeutics, Inc.</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Grantee’s Signature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Grantee’s name and address:</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ACTIVE/121521257.3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lrmr-ex10_4.htm"/>
      <w:bookmarkStart w:id="43" w:name="kslrmrex10_4"/>
      <w:bookmarkEnd w:id="42"/>
      <w:bookmarkEnd w:id="43"/>
      <w:r>
        <w:rPr/>
        <w:t> </w:t>
      </w:r>
      <w:r>
        <w:br w:type="page"/>
      </w:r>
    </w:p>
    <w:p>
      <w:pPr>
        <w:pStyle w:val="TextBody"/>
        <w:bidi w:val="0"/>
        <w:jc w:val="center"/>
        <w:rPr>
          <w:rFonts w:ascii="Times New Roman" w:hAnsi="Times New Roman"/>
          <w:sz w:val="20"/>
        </w:rPr>
      </w:pPr>
      <w:r>
        <w:rPr>
          <w:rFonts w:ascii="Times New Roman" w:hAnsi="Times New Roman"/>
          <w:b/>
          <w:caps/>
          <w:color w:val="000000"/>
          <w:sz w:val="28"/>
        </w:rPr>
        <w:t>larimar therapeutics, inc.</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8"/>
        </w:rPr>
        <w:br/>
        <w:t>NON-QUALIFIED stock option grant notice</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8"/>
        </w:rPr>
      </w:pPr>
      <w:r>
        <w:rPr>
          <w:rFonts w:ascii="Times New Roman" w:hAnsi="Times New Roman"/>
          <w:b/>
          <w:caps/>
          <w:color w:val="000000"/>
          <w:sz w:val="28"/>
        </w:rPr>
        <w:t>and award agreement</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NON-PLAN INDUCEMENT AWARD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Larimar Therapeutics, Inc., a Delaware corporation (the “Company”), hereby grants to the individual listed below (“Participant”) an non-qualified stock option to purchase the number of Shares set forth below (the “Option”). The Option is subject to the terms and conditions set forth in this Non-Qualified Stock Option Grant Notice (the “Grant Notice”) and the Award Agreement attached hereto as Exhibit A (the “Agreement”), which is incorporated herein by reference. This Option has been granted as an employment inducement grant pursuant to Rule 5635(c)(4) of the Marketplace Rules of NASDAQ Stock Market, Inc., is not issued under the Company’s 2020 Equity Incentive Plan, as amended through the date hereof (the “Plan”), and does not reduce the share reserve under the Plan. However, for purposes of interpreting the applicable provisions of this Option, the terms and conditions of the Plan (other than those applicable to the share reserve) shall govern and apply to this Option as if this Option had actually been issued under the Plan. This Option is not intended to be an “incentive stock option” under Section 422 of the Internal Revenue Code of 1986, as amended. Unless otherwise defined herein, the terms defined in the Plan shall have the same defined meanings in this Grant Notice and the Agreement.</w:t>
      </w:r>
    </w:p>
    <w:p>
      <w:pPr>
        <w:pStyle w:val="TextBody"/>
        <w:bidi w:val="0"/>
        <w:spacing w:before="121" w:after="240"/>
        <w:jc w:val="left"/>
        <w:rPr>
          <w:rFonts w:ascii="Times New Roman" w:hAnsi="Times New Roman"/>
          <w:sz w:val="20"/>
        </w:rPr>
      </w:pPr>
      <w:r>
        <w:rPr>
          <w:rFonts w:ascii="Times New Roman" w:hAnsi="Times New Roman"/>
          <w:b/>
          <w:color w:val="000000"/>
          <w:sz w:val="24"/>
        </w:rPr>
        <w:t xml:space="preserve">Participant: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117" w:after="240"/>
        <w:jc w:val="left"/>
        <w:rPr>
          <w:rFonts w:ascii="Times New Roman" w:hAnsi="Times New Roman"/>
          <w:sz w:val="20"/>
        </w:rPr>
      </w:pPr>
      <w:r>
        <w:rPr>
          <w:rFonts w:ascii="Times New Roman" w:hAnsi="Times New Roman"/>
          <w:b/>
          <w:color w:val="000000"/>
          <w:sz w:val="24"/>
        </w:rPr>
        <w:t xml:space="preserve">Grant Date: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116" w:after="240"/>
        <w:jc w:val="left"/>
        <w:rPr>
          <w:rFonts w:ascii="Times New Roman" w:hAnsi="Times New Roman"/>
          <w:sz w:val="20"/>
        </w:rPr>
      </w:pPr>
      <w:r>
        <w:rPr>
          <w:rFonts w:ascii="Times New Roman" w:hAnsi="Times New Roman"/>
          <w:b/>
          <w:color w:val="000000"/>
          <w:sz w:val="24"/>
        </w:rPr>
        <w:t xml:space="preserve">Exercise Price Per Share: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116" w:after="240"/>
        <w:jc w:val="left"/>
        <w:rPr>
          <w:rFonts w:ascii="Times New Roman" w:hAnsi="Times New Roman"/>
          <w:sz w:val="20"/>
        </w:rPr>
      </w:pPr>
      <w:r>
        <w:rPr>
          <w:rFonts w:ascii="Times New Roman" w:hAnsi="Times New Roman"/>
          <w:b/>
          <w:color w:val="000000"/>
          <w:sz w:val="24"/>
        </w:rPr>
        <w:t xml:space="preserve">Total Number of Shares Subject to Option: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116" w:after="240"/>
        <w:jc w:val="left"/>
        <w:rPr>
          <w:rFonts w:ascii="Times New Roman" w:hAnsi="Times New Roman"/>
          <w:sz w:val="20"/>
        </w:rPr>
      </w:pPr>
      <w:r>
        <w:rPr>
          <w:rFonts w:ascii="Times New Roman" w:hAnsi="Times New Roman"/>
          <w:b/>
          <w:color w:val="000000"/>
          <w:sz w:val="24"/>
        </w:rPr>
        <w:t xml:space="preserve">Expiration Date: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124" w:after="240"/>
        <w:jc w:val="left"/>
        <w:rPr>
          <w:rFonts w:ascii="Times New Roman" w:hAnsi="Times New Roman"/>
          <w:sz w:val="20"/>
        </w:rPr>
      </w:pPr>
      <w:r>
        <w:rPr>
          <w:rFonts w:ascii="Times New Roman" w:hAnsi="Times New Roman"/>
          <w:b/>
          <w:color w:val="000000"/>
          <w:sz w:val="24"/>
        </w:rPr>
        <w:t xml:space="preserve">Vesting Schedule: </w:t>
      </w:r>
      <w:r>
        <w:rPr>
          <w:rFonts w:ascii="Times New Roman" w:hAnsi="Times New Roman"/>
          <w:color w:val="000000"/>
          <w:sz w:val="24"/>
        </w:rPr>
        <w:t>[</w:t>
      </w:r>
      <w:r>
        <w:rPr>
          <w:rFonts w:ascii="Times New Roman" w:hAnsi="Times New Roman"/>
          <w:color w:val="000000"/>
          <w:sz w:val="20"/>
          <w:u w:val="single"/>
        </w:rPr>
        <w:t xml:space="preserve"> </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Participant’s signature below, Participant agrees to be bound by the terms and conditions of the Agreement and the Grant Notice, and, for purposes of interpreting the provisions of the Option, the terms and conditions of the Plan (other than those applicable to the share reserve) shall govern and apply to this Option as if this Option had actually been issued under the Plan. Participant has reviewed the Agreement, the Plan and the Grant Notice in their entirety, has had an opportunity to obtain the advice of counsel prior to executing the Grant Notice and fully understands all provisions of the Grant Notice, the Agreement and the Plan. This document may be executed, including by electronic means, in multiple counterparts, each of which will be deemed an original, and all of which together will be deemed a single instrument.</w:t>
      </w:r>
    </w:p>
    <w:p>
      <w:pPr>
        <w:pStyle w:val="TextBody"/>
        <w:bidi w:val="0"/>
        <w:spacing w:before="124" w:after="240"/>
        <w:jc w:val="left"/>
        <w:rPr>
          <w:rFonts w:ascii="Times New Roman" w:hAnsi="Times New Roman"/>
          <w:sz w:val="20"/>
        </w:rPr>
      </w:pPr>
      <w:r>
        <w:rPr>
          <w:rFonts w:ascii="Times New Roman" w:hAnsi="Times New Roman"/>
          <w:b/>
          <w:color w:val="000000"/>
          <w:sz w:val="24"/>
        </w:rPr>
        <w:t>LARIMAR THERAPEUTICS, INC.</w:t>
      </w:r>
      <w:r>
        <w:rPr>
          <w:rFonts w:ascii="Times New Roman" w:hAnsi="Times New Roman"/>
          <w:color w:val="000000"/>
          <w:sz w:val="20"/>
        </w:rPr>
        <w:t xml:space="preserve"> </w:t>
      </w:r>
      <w:r>
        <w:rPr>
          <w:rFonts w:ascii="Times New Roman" w:hAnsi="Times New Roman"/>
          <w:b/>
          <w:color w:val="000000"/>
          <w:sz w:val="24"/>
        </w:rPr>
        <w:t>PARTICIPANT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ACTIVE/121518754.3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4" w:after="240"/>
        <w:jc w:val="left"/>
        <w:rPr/>
      </w:pPr>
      <w:r>
        <w:rPr/>
        <w:t> </w:t>
      </w:r>
    </w:p>
    <w:p>
      <w:pPr>
        <w:pStyle w:val="TextBody"/>
        <w:bidi w:val="0"/>
        <w:spacing w:before="124" w:after="240"/>
        <w:jc w:val="left"/>
        <w:rPr>
          <w:rFonts w:ascii="Times New Roman" w:hAnsi="Times New Roman"/>
          <w:color w:val="000000"/>
          <w:sz w:val="24"/>
        </w:rPr>
      </w:pPr>
      <w:r>
        <w:rPr>
          <w:rFonts w:ascii="Times New Roman" w:hAnsi="Times New Roman"/>
          <w:color w:val="000000"/>
          <w:sz w:val="24"/>
        </w:rPr>
        <w:t>_____________________________________ ________________________________</w:t>
        <w:br/>
        <w:t>Name: Name:</w:t>
      </w:r>
    </w:p>
    <w:p>
      <w:pPr>
        <w:pStyle w:val="TextBody"/>
        <w:bidi w:val="0"/>
        <w:spacing w:before="124" w:after="240"/>
        <w:jc w:val="left"/>
        <w:rPr>
          <w:rFonts w:ascii="Times New Roman" w:hAnsi="Times New Roman"/>
          <w:color w:val="000000"/>
          <w:sz w:val="24"/>
        </w:rPr>
      </w:pPr>
      <w:r>
        <w:rPr>
          <w:rFonts w:ascii="Times New Roman" w:hAnsi="Times New Roman"/>
          <w:color w:val="000000"/>
          <w:sz w:val="24"/>
        </w:rPr>
        <w:t>Title: Title: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ACTIVE/121518754.3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aps/>
          <w:color w:val="000000"/>
          <w:sz w:val="28"/>
        </w:rPr>
      </w:pPr>
      <w:r>
        <w:rPr>
          <w:rFonts w:ascii="Times New Roman" w:hAnsi="Times New Roman"/>
          <w:b/>
          <w:caps/>
          <w:color w:val="000000"/>
          <w:sz w:val="28"/>
        </w:rPr>
        <w:t>exhibit a</w:t>
        <w:br/>
        <w:t>to NON-QUALIFIED stock option grant</w:t>
        <w:br/>
        <w:br/>
        <w:t>Notice Award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Pursuant to the Grant Notice to which this Agreement is attached, the Company has granted to Participant an Option under the Plan to purchase the number of Shares set forth in the Grant Notice.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pPr>
      <w:r>
        <w:rPr>
          <w:rFonts w:ascii="Times New Roman" w:hAnsi="Times New Roman"/>
          <w:color w:val="000000"/>
          <w:sz w:val="24"/>
          <w:u w:val="single"/>
        </w:rPr>
        <w:t>Award of Option</w:t>
      </w:r>
      <w:r>
        <w:rPr>
          <w:rFonts w:ascii="Times New Roman" w:hAnsi="Times New Roman"/>
          <w:color w:val="000000"/>
          <w:sz w:val="24"/>
        </w:rPr>
        <w:t>. In consideration of Participant’s employment with or service to the Company and for other good and valuable consideration, effective as of the Grant Date set forth in the Grant Notice, the Company has granted to Participant the Option to purchase part or all of the aggregate number of Shares set forth in the Grant Notice, subject to the terms and conditions set forth in the Grant Notice and this Agreement, and, as set forth above, for purposes of interpreting the provisions of the Option, the terms and conditions of the Plan (other than those applicable to the share reserve) shall govern and apply to this Option as if this Option had actually been issued under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pPr>
      <w:r>
        <w:rPr>
          <w:rFonts w:ascii="Times New Roman" w:hAnsi="Times New Roman"/>
          <w:color w:val="000000"/>
          <w:sz w:val="24"/>
          <w:u w:val="single"/>
        </w:rPr>
        <w:t>Date of Grant; Term of Option</w:t>
      </w:r>
      <w:r>
        <w:rPr>
          <w:rFonts w:ascii="Times New Roman" w:hAnsi="Times New Roman"/>
          <w:color w:val="000000"/>
          <w:sz w:val="24"/>
        </w:rPr>
        <w:t>. The Option is granted on the Grant Date and may not be exercised later than the Expiration Date, subject to earlier termination in accordance with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pPr>
      <w:r>
        <w:rPr>
          <w:rFonts w:ascii="Times New Roman" w:hAnsi="Times New Roman"/>
          <w:color w:val="000000"/>
          <w:sz w:val="24"/>
          <w:u w:val="single"/>
        </w:rPr>
        <w:t>Option Exercise Price</w:t>
      </w:r>
      <w:r>
        <w:rPr>
          <w:rFonts w:ascii="Times New Roman" w:hAnsi="Times New Roman"/>
          <w:color w:val="000000"/>
          <w:sz w:val="24"/>
        </w:rPr>
        <w:t>. The exercise price per Share of the Option (the “Exercise Price”) is set forth in the Grant Notice.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pPr>
      <w:r>
        <w:rPr>
          <w:rFonts w:ascii="Times New Roman" w:hAnsi="Times New Roman"/>
          <w:color w:val="000000"/>
          <w:sz w:val="24"/>
          <w:u w:val="single"/>
        </w:rPr>
        <w:t>Vesting and Exercise of Option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u w:val="single"/>
        </w:rPr>
        <w:t>Vesting</w:t>
      </w:r>
      <w:r>
        <w:rPr>
          <w:rFonts w:ascii="Times New Roman" w:hAnsi="Times New Roman"/>
          <w:color w:val="000000"/>
          <w:sz w:val="24"/>
        </w:rPr>
        <w:t>. Subject to the continued service of the Participant with the Company through the relevant vesting dates, the Option shall become vested and exercisable in such amounts and at such times as set forth in the Grant Notice.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left"/>
        <w:rPr/>
      </w:pPr>
      <w:r>
        <w:rPr>
          <w:rFonts w:ascii="Times New Roman" w:hAnsi="Times New Roman"/>
          <w:color w:val="000000"/>
          <w:sz w:val="24"/>
          <w:u w:val="single"/>
        </w:rPr>
        <w:t>Service with Affiliates</w:t>
      </w:r>
      <w:r>
        <w:rPr>
          <w:rFonts w:ascii="Times New Roman" w:hAnsi="Times New Roman"/>
          <w:color w:val="000000"/>
          <w:sz w:val="24"/>
        </w:rPr>
        <w:t>. Solely for purposes of this Agreement, service with the Company will be deemed to include service with an Affiliate of the Company (for only so long as such entity remains an Affiliate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rFonts w:ascii="Times New Roman" w:hAnsi="Times New Roman"/>
          <w:color w:val="000000"/>
          <w:sz w:val="24"/>
          <w:u w:val="single"/>
        </w:rPr>
        <w:t>Effect of Termination of Service on the Option</w:t>
      </w:r>
      <w:r>
        <w:rPr>
          <w:rFonts w:ascii="Times New Roman" w:hAnsi="Times New Roman"/>
          <w:color w:val="000000"/>
          <w:sz w:val="24"/>
        </w:rPr>
        <w:t>. If the Participant’s service ceases for any reason, the termination or survival of the Option will be determined in accordance with Section 7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left"/>
        <w:rPr/>
      </w:pPr>
      <w:r>
        <w:rPr>
          <w:rFonts w:ascii="Times New Roman" w:hAnsi="Times New Roman"/>
          <w:color w:val="000000"/>
          <w:sz w:val="24"/>
          <w:u w:val="single"/>
        </w:rPr>
        <w:t>Method of Exercise</w:t>
      </w:r>
      <w:r>
        <w:rPr>
          <w:rFonts w:ascii="Times New Roman" w:hAnsi="Times New Roman"/>
          <w:color w:val="000000"/>
          <w:sz w:val="24"/>
        </w:rPr>
        <w:t xml:space="preserve">. The Participant may exercise the Option by delivering a payment of the Exercise Price, any required tax withholding and written notice of exercise to the Company in accordance with Section 5(d) of the Plan. To the extent permitted (and subject to procedures established) by the Committee in its discretion, the Participant may also pay the Exercise Price (i) by surrendering previously acquired Shares to the Company, which Shares have an aggregate Fair Market Value on the date of exercise equal to the aggregate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ACTIVE/121518754.3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Exercise Price then due (or by means of attestation, whereby the Participant identifies specific previously acquired Shares having an aggregate Fair Market Value on the date of exercise equal to the aggregate Exercise Price then due and the number of Shares actually delivered upon exercise is reduced by the number of such identified Shares), or (ii) by means of a broker-assisted cashless exercise. The notice of exercise must also be accompanied by any further documents or instruments necessary or desirable to carry out the purposes or intent of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left"/>
        <w:rPr/>
      </w:pPr>
      <w:r>
        <w:rPr>
          <w:rFonts w:ascii="Times New Roman" w:hAnsi="Times New Roman"/>
          <w:color w:val="000000"/>
          <w:sz w:val="24"/>
          <w:u w:val="single"/>
        </w:rPr>
        <w:t>Partial Exercise</w:t>
      </w:r>
      <w:r>
        <w:rPr>
          <w:rFonts w:ascii="Times New Roman" w:hAnsi="Times New Roman"/>
          <w:color w:val="000000"/>
          <w:sz w:val="24"/>
        </w:rPr>
        <w:t>. The minimum number of Shares with respect to which the Option may be exercised at any one time shall be the lesser of (i) 100 Shares, or (ii) the total number of Shares as to which the Option is then exercisable.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rFonts w:ascii="Times New Roman" w:hAnsi="Times New Roman"/>
          <w:color w:val="000000"/>
          <w:sz w:val="24"/>
          <w:u w:val="single"/>
        </w:rPr>
        <w:t>Restrictions on Exercise</w:t>
      </w:r>
      <w:r>
        <w:rPr>
          <w:rFonts w:ascii="Times New Roman" w:hAnsi="Times New Roman"/>
          <w:color w:val="000000"/>
          <w:sz w:val="24"/>
        </w:rPr>
        <w:t>. The Option may not be exercised, and any purported exercise will be void, if the issuance of Shares upon such exercise would constitute a violation of any law, regulation or exchange listing requirement. The Committee may from time to time modify the terms of the Option or impose additional conditions on the exercise of the Option as it deems necessary or appropriate to facilitate compliance with any law, regulation or exchange listing requirement.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pPr>
      <w:r>
        <w:rPr>
          <w:rFonts w:ascii="Times New Roman" w:hAnsi="Times New Roman"/>
          <w:color w:val="000000"/>
          <w:sz w:val="24"/>
          <w:u w:val="single"/>
        </w:rPr>
        <w:t>Investment Representations</w:t>
      </w:r>
      <w:r>
        <w:rPr>
          <w:rFonts w:ascii="Times New Roman" w:hAnsi="Times New Roman"/>
          <w:color w:val="000000"/>
          <w:sz w:val="24"/>
        </w:rPr>
        <w:t>. The Participant represents and warrants he or she is acquiring the Option (and upon exercise of the Option, will be acquiring the subject Shares) for investment for the Participant’s own account, not as a nominee or agent, and not with a view to, or for resale in connection with, any distribution thereof. As a further condition to the exercise of the Option, the Company may require the Participant to make any representation or warranty as may be required by or advisable under any applicable law or regulation.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pPr>
      <w:r>
        <w:rPr>
          <w:rFonts w:ascii="Times New Roman" w:hAnsi="Times New Roman"/>
          <w:color w:val="000000"/>
          <w:sz w:val="24"/>
          <w:u w:val="single"/>
        </w:rPr>
        <w:t>Non-Transferability of Option</w:t>
      </w:r>
      <w:r>
        <w:rPr>
          <w:rFonts w:ascii="Times New Roman" w:hAnsi="Times New Roman"/>
          <w:color w:val="000000"/>
          <w:sz w:val="24"/>
        </w:rPr>
        <w:t>. Except as may be permitted by the Committee in accordance with Section 14 of the Plan, the Option may not be sold, pledged, assigned, hypothecated, gifted, transferred or disposed of in any manner, either voluntarily or involuntarily, other than by will or by the laws of descent and distribution.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pPr>
      <w:r>
        <w:rPr>
          <w:rFonts w:ascii="Times New Roman" w:hAnsi="Times New Roman"/>
          <w:color w:val="000000"/>
          <w:sz w:val="24"/>
          <w:u w:val="single"/>
        </w:rPr>
        <w:t>Adjustments</w:t>
      </w:r>
      <w:r>
        <w:rPr>
          <w:rFonts w:ascii="Times New Roman" w:hAnsi="Times New Roman"/>
          <w:color w:val="000000"/>
          <w:sz w:val="24"/>
        </w:rPr>
        <w:t>. The Exercise Price, as well as the number and kind of shares subject to the Option, are subject to adjustment at the discretion of the Committee, including, but not limited to, in accordance with Section 3(d)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pPr>
      <w:r>
        <w:rPr>
          <w:rFonts w:ascii="Times New Roman" w:hAnsi="Times New Roman"/>
          <w:color w:val="000000"/>
          <w:sz w:val="24"/>
          <w:u w:val="single"/>
        </w:rPr>
        <w:t>Tax Consequences</w:t>
      </w:r>
      <w:r>
        <w:rPr>
          <w:rFonts w:ascii="Times New Roman" w:hAnsi="Times New Roman"/>
          <w:color w:val="000000"/>
          <w:sz w:val="24"/>
        </w:rPr>
        <w:t>. The Participant acknowledges that the Company has not advised the Participant regarding the Participant’s tax liability in connection with the Option. The Participant acknowledges that the Participant has reviewed with the Participant’s own tax advisors the tax treatment of the Option (including the purchase and sale of Shares subject hereto) and is relying solely on those advisors in that regard. The Participant understands that the Participant (and not the Company) will be responsible for the Participant’s own tax liabilities arising in connection with the Option.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pPr>
      <w:r>
        <w:rPr>
          <w:rFonts w:ascii="Times New Roman" w:hAnsi="Times New Roman"/>
          <w:color w:val="000000"/>
          <w:sz w:val="24"/>
          <w:u w:val="single"/>
        </w:rPr>
        <w:t>No Continuation of Service</w:t>
      </w:r>
      <w:r>
        <w:rPr>
          <w:rFonts w:ascii="Times New Roman" w:hAnsi="Times New Roman"/>
          <w:color w:val="000000"/>
          <w:sz w:val="24"/>
        </w:rPr>
        <w:t xml:space="preserve">. This Agreement will not confer upon the Participant any right to continue in the employment or service of the Company or any of its Affiliates, or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ACTIVE/121518754.3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limit in any respect the right of the Company or its Affiliates to discharge the Participant at any time, for any reason.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pPr>
      <w:r>
        <w:rPr>
          <w:rFonts w:ascii="Times New Roman" w:hAnsi="Times New Roman"/>
          <w:color w:val="000000"/>
          <w:sz w:val="24"/>
          <w:u w:val="single"/>
        </w:rPr>
        <w:t>The Plan</w:t>
      </w:r>
      <w:r>
        <w:rPr>
          <w:rFonts w:ascii="Times New Roman" w:hAnsi="Times New Roman"/>
          <w:color w:val="000000"/>
          <w:sz w:val="24"/>
        </w:rPr>
        <w:t>. As set forth above, this Option is not granted pursuant to the Plan. Instead, this Option is granted as an “employment inducement award” pursuant to the exemption provided by Rule 5635(c)(4) of the Marketplace Rules of NASDAQ Stock Market, Inc. However, for purposes of interpreting the provisions of this Option, the terms and conditions of the Plan (other than those applicable to the share reserve, but, including the powers of the Administrator set forth in Section 2 of the Plan) shall govern and apply to this Option as if this Option had actually been issued under the Plan. The Participant has received a copy of the Plan, has read the Plan and is familiar with its terms, and hereby accepts the Option subject to the terms and provisions of the Plan only for purposes of interpreting the provisions of this Agreement, including that the Committee is authorized to interpret this Option and the Plan and to adopt rules and regulations not inconsistent with the Plan as it deems appropriate. The Participant hereby agrees to accept as binding, conclusive and final all decisions or interpretations of the Committee with respect to questions arising under the Grant Notice or this Agreement, or any interpretations of the Plan or the Plan’s governance and applicability to this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pPr>
      <w:r>
        <w:rPr>
          <w:rFonts w:ascii="Times New Roman" w:hAnsi="Times New Roman"/>
          <w:color w:val="000000"/>
          <w:sz w:val="24"/>
          <w:u w:val="single"/>
        </w:rPr>
        <w:t>Entire A</w:t>
      </w:r>
      <w:r>
        <w:rPr>
          <w:rFonts w:ascii="Times New Roman" w:hAnsi="Times New Roman"/>
          <w:color w:val="000000"/>
          <w:sz w:val="24"/>
        </w:rPr>
        <w:t>g</w:t>
      </w:r>
      <w:r>
        <w:rPr>
          <w:rFonts w:ascii="Times New Roman" w:hAnsi="Times New Roman"/>
          <w:color w:val="000000"/>
          <w:sz w:val="24"/>
          <w:u w:val="single"/>
        </w:rPr>
        <w:t>reement</w:t>
      </w:r>
      <w:r>
        <w:rPr>
          <w:rFonts w:ascii="Times New Roman" w:hAnsi="Times New Roman"/>
          <w:color w:val="000000"/>
          <w:sz w:val="24"/>
        </w:rPr>
        <w:t>. The Grant Notice and this Agreement represent the entire agreement between the parties with respect to the subject matter hereof and supersede any prior agreement, written or otherwise, relating to the subject matter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left"/>
        <w:rPr/>
      </w:pPr>
      <w:r>
        <w:rPr>
          <w:rFonts w:ascii="Times New Roman" w:hAnsi="Times New Roman"/>
          <w:color w:val="000000"/>
          <w:sz w:val="24"/>
          <w:u w:val="single"/>
        </w:rPr>
        <w:t>Amendment</w:t>
      </w:r>
      <w:r>
        <w:rPr>
          <w:rFonts w:ascii="Times New Roman" w:hAnsi="Times New Roman"/>
          <w:color w:val="000000"/>
          <w:sz w:val="24"/>
        </w:rPr>
        <w:t>. This Agreement may only be amended by a writing signed by each of the parties hereto; provided that the Company may amend this Agreement without the Participant’s consent, if the amendment does not materially impair the Participant’s rights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left"/>
        <w:rPr/>
      </w:pPr>
      <w:r>
        <w:rPr>
          <w:rFonts w:ascii="Times New Roman" w:hAnsi="Times New Roman"/>
          <w:color w:val="000000"/>
          <w:sz w:val="24"/>
          <w:u w:val="single"/>
        </w:rPr>
        <w:t>Governin</w:t>
      </w:r>
      <w:r>
        <w:rPr>
          <w:rFonts w:ascii="Times New Roman" w:hAnsi="Times New Roman"/>
          <w:color w:val="000000"/>
          <w:sz w:val="24"/>
        </w:rPr>
        <w:t>g</w:t>
      </w:r>
      <w:r>
        <w:rPr>
          <w:color w:val="000000"/>
          <w:u w:val="single"/>
        </w:rPr>
        <w:t xml:space="preserve"> </w:t>
      </w:r>
      <w:r>
        <w:rPr>
          <w:rFonts w:ascii="Times New Roman" w:hAnsi="Times New Roman"/>
          <w:color w:val="000000"/>
          <w:sz w:val="24"/>
          <w:u w:val="single"/>
        </w:rPr>
        <w:t>Law</w:t>
      </w:r>
      <w:r>
        <w:rPr>
          <w:rFonts w:ascii="Times New Roman" w:hAnsi="Times New Roman"/>
          <w:color w:val="000000"/>
          <w:sz w:val="24"/>
        </w:rPr>
        <w:t>. This Agreement will be construed in accordance with the laws of the State of Delaware, without regard to the application of the principles of conflicts of laws.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left"/>
        <w:rPr/>
      </w:pPr>
      <w:r>
        <w:rPr>
          <w:rFonts w:ascii="Times New Roman" w:hAnsi="Times New Roman"/>
          <w:color w:val="000000"/>
          <w:sz w:val="24"/>
          <w:u w:val="single"/>
        </w:rPr>
        <w:t>Headin</w:t>
      </w:r>
      <w:r>
        <w:rPr>
          <w:rFonts w:ascii="Times New Roman" w:hAnsi="Times New Roman"/>
          <w:color w:val="000000"/>
          <w:sz w:val="24"/>
        </w:rPr>
        <w:t>gs. The headings in this Agreement are for convenience only. They form no part of the Agreement and will not affect its interpretation.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left"/>
        <w:rPr/>
      </w:pPr>
      <w:r>
        <w:rPr>
          <w:rFonts w:ascii="Times New Roman" w:hAnsi="Times New Roman"/>
          <w:color w:val="000000"/>
          <w:sz w:val="24"/>
          <w:u w:val="single"/>
        </w:rPr>
        <w:t>Data Privacy Consent</w:t>
      </w:r>
      <w:r>
        <w:rPr>
          <w:rFonts w:ascii="Times New Roman" w:hAnsi="Times New Roman"/>
          <w:color w:val="000000"/>
          <w:sz w:val="24"/>
        </w:rPr>
        <w:t>. In order to administer the Option and to implement or structure future equity grants, the Company, its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Option (the “Relevant Information”). By entering into this Agreement, the Participant (a) authorizes the Company to collect, process, register and transfer to the Relevant Companies all Relevant Information; (b) waives any privacy rights the Participant may have with respect to the Relevant Information; (c) authorizes the Relevant Companies to store and transmit such information in electronic form; and (d)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ACTIVE/121518754.3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left"/>
        <w:rPr/>
      </w:pPr>
      <w:r>
        <w:rPr>
          <w:rFonts w:ascii="Times New Roman" w:hAnsi="Times New Roman"/>
          <w:color w:val="000000"/>
          <w:sz w:val="24"/>
          <w:u w:val="single"/>
        </w:rPr>
        <w:t>Electronic Delivery of Documents</w:t>
      </w:r>
      <w:r>
        <w:rPr>
          <w:rFonts w:ascii="Times New Roman" w:hAnsi="Times New Roman"/>
          <w:color w:val="000000"/>
          <w:sz w:val="24"/>
        </w:rPr>
        <w:t>. The Participant authorizes the Company to deliver electronically any prospectuses or other documentation related to the Option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ACTIVE/121518754.3</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lrmr-ex10_20.htm"/>
      <w:bookmarkStart w:id="45" w:name="kslrmrex10_20"/>
      <w:bookmarkEnd w:id="44"/>
      <w:bookmarkEnd w:id="45"/>
      <w:r>
        <w:rPr/>
        <w:t> </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LEASE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between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BALA PLAZA PROPERTY,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Landlord,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CHONDRIAL THERAPEUTICS,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 Delaware corporation,</w:t>
      </w:r>
    </w:p>
    <w:p>
      <w:pPr>
        <w:pStyle w:val="TextBody"/>
        <w:bidi w:val="0"/>
        <w:spacing w:before="0" w:after="720"/>
        <w:jc w:val="center"/>
        <w:rPr>
          <w:rFonts w:ascii="Times New Roman" w:hAnsi="Times New Roman"/>
          <w:b/>
          <w:color w:val="000000"/>
          <w:sz w:val="24"/>
        </w:rPr>
      </w:pPr>
      <w:r>
        <w:rPr>
          <w:rFonts w:ascii="Times New Roman" w:hAnsi="Times New Roman"/>
          <w:b/>
          <w:color w:val="000000"/>
          <w:sz w:val="24"/>
        </w:rPr>
        <w:t>Tenant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August 8, 2019</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bookmarkStart w:id="46" w:name="mptableofcontents"/>
      <w:bookmarkEnd w:id="46"/>
      <w:r>
        <w:rPr>
          <w:rFonts w:ascii="Times New Roman" w:hAnsi="Times New Roman"/>
          <w:b/>
          <w:color w:val="000000"/>
          <w:sz w:val="24"/>
        </w:rPr>
        <w:t>TABLE OF CONTENTS</w:t>
      </w:r>
    </w:p>
    <w:p>
      <w:pPr>
        <w:pStyle w:val="TextBody"/>
        <w:bidi w:val="0"/>
        <w:spacing w:before="0" w:after="240"/>
        <w:jc w:val="right"/>
        <w:rPr>
          <w:rFonts w:ascii="Times New Roman" w:hAnsi="Times New Roman"/>
          <w:color w:val="000000"/>
          <w:sz w:val="24"/>
          <w:u w:val="single"/>
        </w:rPr>
      </w:pPr>
      <w:r>
        <w:rPr>
          <w:rFonts w:ascii="Times New Roman" w:hAnsi="Times New Roman"/>
          <w:color w:val="000000"/>
          <w:sz w:val="24"/>
          <w:u w:val="single"/>
        </w:rPr>
        <w:t>Page</w:t>
      </w:r>
    </w:p>
    <w:tbl>
      <w:tblPr>
        <w:tblW w:w="10141" w:type="dxa"/>
        <w:jc w:val="left"/>
        <w:tblInd w:w="0" w:type="dxa"/>
        <w:tblLayout w:type="fixed"/>
        <w:tblCellMar>
          <w:top w:w="28" w:type="dxa"/>
          <w:left w:w="28" w:type="dxa"/>
          <w:bottom w:w="28" w:type="dxa"/>
          <w:right w:w="28" w:type="dxa"/>
        </w:tblCellMar>
      </w:tblPr>
      <w:tblGrid>
        <w:gridCol w:w="3080"/>
        <w:gridCol w:w="4150"/>
        <w:gridCol w:w="2911"/>
      </w:tblGrid>
      <w:tr>
        <w:trPr/>
        <w:tc>
          <w:tcPr>
            <w:tcW w:w="3080" w:type="dxa"/>
            <w:tcBorders/>
            <w:vAlign w:val="center"/>
          </w:tcPr>
          <w:p>
            <w:pPr>
              <w:pStyle w:val="TableContents"/>
              <w:bidi w:val="0"/>
              <w:spacing w:before="0" w:after="283"/>
              <w:jc w:val="left"/>
              <w:rPr>
                <w:sz w:val="4"/>
                <w:szCs w:val="4"/>
              </w:rPr>
            </w:pPr>
            <w:r>
              <w:rPr>
                <w:sz w:val="4"/>
                <w:szCs w:val="4"/>
              </w:rPr>
            </w:r>
          </w:p>
        </w:tc>
        <w:tc>
          <w:tcPr>
            <w:tcW w:w="4150"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7230"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 BASIC LEASE PROVISIONS</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w:t>
            </w:r>
          </w:p>
        </w:tc>
      </w:tr>
      <w:tr>
        <w:trPr/>
        <w:tc>
          <w:tcPr>
            <w:tcW w:w="7230"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 PREMISES, TERM, RENT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2.1 Lease of Premises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2.2 Commencement Date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2.3 Payment of Rent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2.4 First Month’s Rent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2.5 Area of Premises and Building</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w:t>
            </w:r>
          </w:p>
        </w:tc>
      </w:tr>
      <w:tr>
        <w:trPr/>
        <w:tc>
          <w:tcPr>
            <w:tcW w:w="7230"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3 USE AND OCCUPANCY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3.1 Permitted Uses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3.2 Parking</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w:t>
            </w:r>
          </w:p>
        </w:tc>
      </w:tr>
      <w:tr>
        <w:trPr/>
        <w:tc>
          <w:tcPr>
            <w:tcW w:w="7230"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4 CONDITION OF THE PREMISES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4.1 Condition</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7</w:t>
            </w:r>
          </w:p>
        </w:tc>
      </w:tr>
      <w:tr>
        <w:trPr/>
        <w:tc>
          <w:tcPr>
            <w:tcW w:w="3080"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5</w:t>
            </w:r>
          </w:p>
        </w:tc>
        <w:tc>
          <w:tcPr>
            <w:tcW w:w="4150" w:type="dxa"/>
            <w:tcBorders/>
            <w:shd w:fill="FFFFFF" w:val="cle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ALTERATIONS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5.1 Tenant’s Alterations.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7</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5.2 Manner and Quality of Alterations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5.3 Removal of Tenant’s Property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8</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5.4 Mechanic’s Liens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5.5 Labor Relations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5.6 Tenant’s Costs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5.7 Tenant’s Equipment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9</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5.8 Legal Compliance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5.9 Floor Load</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10</w:t>
            </w:r>
          </w:p>
        </w:tc>
      </w:tr>
      <w:tr>
        <w:trPr/>
        <w:tc>
          <w:tcPr>
            <w:tcW w:w="7230"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6 REPAIRS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6.1 Landlord’s Repair and Maintenance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6.2 Tenant’s Repair and Maintenance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10</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6.3 Restorative Work</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10</w:t>
            </w:r>
          </w:p>
        </w:tc>
      </w:tr>
      <w:tr>
        <w:trPr/>
        <w:tc>
          <w:tcPr>
            <w:tcW w:w="7230"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7 INCREASES IN TAXES AND OPERATING EXPENSES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7.1 Definitions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11</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7.2 Tenant’s Tax Payment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13</w:t>
            </w:r>
          </w:p>
        </w:tc>
      </w:tr>
      <w:tr>
        <w:trPr/>
        <w:tc>
          <w:tcPr>
            <w:tcW w:w="7230"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7.3 Tenant’s Operating Payment</w:t>
            </w:r>
          </w:p>
        </w:tc>
        <w:tc>
          <w:tcPr>
            <w:tcW w:w="2911" w:type="dxa"/>
            <w:tcBorders/>
            <w:shd w:fill="FFFFFF" w:val="cle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14</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32" w:type="dxa"/>
        <w:jc w:val="left"/>
        <w:tblInd w:w="0" w:type="dxa"/>
        <w:tblLayout w:type="fixed"/>
        <w:tblCellMar>
          <w:top w:w="28" w:type="dxa"/>
          <w:left w:w="28" w:type="dxa"/>
          <w:bottom w:w="28" w:type="dxa"/>
          <w:right w:w="28" w:type="dxa"/>
        </w:tblCellMar>
      </w:tblPr>
      <w:tblGrid>
        <w:gridCol w:w="6721"/>
        <w:gridCol w:w="2911"/>
      </w:tblGrid>
      <w:tr>
        <w:trPr/>
        <w:tc>
          <w:tcPr>
            <w:tcW w:w="672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7.4 Non-Waiver; Disputes.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15</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7.5 Proration</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16</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7.6 No Reduction in Rent</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16</w:t>
            </w:r>
          </w:p>
        </w:tc>
      </w:tr>
      <w:tr>
        <w:trPr/>
        <w:tc>
          <w:tcPr>
            <w:tcW w:w="6721"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8 REQUIREMENTS OF LAW</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16</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8.1 Compliance with Requirements.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16</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8.2 Fire and Life Safety</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17</w:t>
            </w:r>
          </w:p>
        </w:tc>
      </w:tr>
      <w:tr>
        <w:trPr/>
        <w:tc>
          <w:tcPr>
            <w:tcW w:w="6721"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9 SUBORDINATION</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18</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9.1 Subordination and Attornment.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18</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9.2 Mortgage or Superior Lease Defaults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9.3 Tenant’s Termination Right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9.4 Provisions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19</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9.5 Future Condominium Declaration</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19</w:t>
            </w:r>
          </w:p>
        </w:tc>
      </w:tr>
      <w:tr>
        <w:trPr/>
        <w:tc>
          <w:tcPr>
            <w:tcW w:w="6721"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10 SERVICES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20</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10.1 Electricity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20</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10.2 Excess Electricity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20</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10.3 Elevators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21</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10.4 Heating, Ventilation and Air Conditioning</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21</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10.5 Supplemental Heating, Ventilation and Air Conditioning</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21</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10.6 Overtime HVAC</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10.7 Cleaning</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10.8 Water</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10.9 Refuse Removal</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22</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10.10 Directory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10.11 Tenant Access to Premises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10.12 Telecommunications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10.13 Service Interruptions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23</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10.14 Service Additions and Omissions</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23</w:t>
            </w:r>
          </w:p>
        </w:tc>
      </w:tr>
      <w:tr>
        <w:trPr/>
        <w:tc>
          <w:tcPr>
            <w:tcW w:w="6721"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11 INSURANCE; PROPERTY LOSS OR DAMAGE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24</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11.1 Tenant’s Insurance.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24</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11.2 Waiver of Subrogation</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25</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11.3 Restoration.</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26</w:t>
            </w:r>
          </w:p>
        </w:tc>
      </w:tr>
      <w:tr>
        <w:trPr/>
        <w:tc>
          <w:tcPr>
            <w:tcW w:w="672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11.4 Landlord’s Termination Right</w:t>
            </w:r>
          </w:p>
        </w:tc>
        <w:tc>
          <w:tcPr>
            <w:tcW w:w="2911" w:type="dxa"/>
            <w:tcBorders/>
            <w:shd w:fill="FFFFFF" w:val="cle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26</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3"/>
        <w:gridCol w:w="3410"/>
        <w:gridCol w:w="2912"/>
      </w:tblGrid>
      <w:tr>
        <w:trPr/>
        <w:tc>
          <w:tcPr>
            <w:tcW w:w="3883"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11.5 Tenant’s Termination Right</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27</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11.6 Final 18 Months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27</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11.7 Landlord’s Liability</w:t>
            </w:r>
          </w:p>
        </w:tc>
        <w:tc>
          <w:tcPr>
            <w:tcW w:w="2912"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27</w:t>
            </w:r>
          </w:p>
        </w:tc>
      </w:tr>
      <w:tr>
        <w:trPr/>
        <w:tc>
          <w:tcPr>
            <w:tcW w:w="7293"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12 EMINENT DOMAIN</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28</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12.1 Taking.</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28</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12.2 Awards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28</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12.3 Temporary Taking</w:t>
            </w:r>
          </w:p>
        </w:tc>
        <w:tc>
          <w:tcPr>
            <w:tcW w:w="2912"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29</w:t>
            </w:r>
          </w:p>
        </w:tc>
      </w:tr>
      <w:tr>
        <w:trPr/>
        <w:tc>
          <w:tcPr>
            <w:tcW w:w="7293"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13 ASSIGNMENT AND SUBLETTING</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13.1 Consent Requirements.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13.2 Tenant’s Notice</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13.3 Conditions to Assignment/Subletting.</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30</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13.4 Binding on Tenant; Indemnification of Landlord</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13.5 Tenant’s Failure to Complete</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13.6 Profits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13.7 Transfers.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33</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13.8 Assumption of Obligations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13.9 Tenant’s Liability</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13.10 Listings in Building Directory</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13.11 Lease Disaffirmance or Rejection</w:t>
            </w:r>
          </w:p>
        </w:tc>
        <w:tc>
          <w:tcPr>
            <w:tcW w:w="2912"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34</w:t>
            </w:r>
          </w:p>
        </w:tc>
      </w:tr>
      <w:tr>
        <w:trPr/>
        <w:tc>
          <w:tcPr>
            <w:tcW w:w="7293"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14 ACCESS TO PREMISES AND SUBSTITUTION OF PREMISES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14.1 Landlord’s Access.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14.2 Building Name</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35</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14.3 Substitution of Other Premises.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36</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14.4 Light and Air</w:t>
            </w:r>
          </w:p>
        </w:tc>
        <w:tc>
          <w:tcPr>
            <w:tcW w:w="2912"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37</w:t>
            </w:r>
          </w:p>
        </w:tc>
      </w:tr>
      <w:tr>
        <w:trPr/>
        <w:tc>
          <w:tcPr>
            <w:tcW w:w="3883"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15</w:t>
            </w:r>
          </w:p>
        </w:tc>
        <w:tc>
          <w:tcPr>
            <w:tcW w:w="3410" w:type="dxa"/>
            <w:tcBorders/>
            <w:shd w:fill="FFFFFF" w:val="cle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DEFAULT</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37</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15.1 Tenant’s Defaults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37</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15.2 Landlord’s Remedies.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15.3 Landlord’s Damages.</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41</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15.4 Interest</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15.5 Intentionally Omitted.</w:t>
            </w:r>
          </w:p>
        </w:tc>
        <w:tc>
          <w:tcPr>
            <w:tcW w:w="2912"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7293" w:type="dxa"/>
            <w:gridSpan w:val="2"/>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15.6 Other Rights of Landlord</w:t>
            </w:r>
          </w:p>
        </w:tc>
        <w:tc>
          <w:tcPr>
            <w:tcW w:w="2912"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42</w:t>
            </w:r>
          </w:p>
        </w:tc>
      </w:tr>
      <w:tr>
        <w:trPr/>
        <w:tc>
          <w:tcPr>
            <w:tcW w:w="7293" w:type="dxa"/>
            <w:gridSpan w:val="2"/>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16 LANDLORD’S RIGHT TO CURE; FEES AND EXPENSES</w:t>
            </w:r>
          </w:p>
        </w:tc>
        <w:tc>
          <w:tcPr>
            <w:tcW w:w="2912" w:type="dxa"/>
            <w:tcBorders/>
            <w:shd w:fill="FFFFFF" w:val="cle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43</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94"/>
        <w:gridCol w:w="2911"/>
      </w:tblGrid>
      <w:tr>
        <w:trPr/>
        <w:tc>
          <w:tcPr>
            <w:tcW w:w="729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17 NO REPRESENTATIONS BY LANDLORD; LANDLORD’S APPROVAL</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17.1 No Representations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17.2 No Money Damages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17.3 Reasonable Efforts</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44</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18 END OF TERM</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44</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18.1 Expiration</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44</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18.2 Holdover Rent</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44</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19 QUIET ENJOYMENT</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44</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20 NO SURRENDER; NO WAIVER</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44</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20.1 No Surrender or Release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45</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20.2 No Waiver</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45</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21 WAIVER OF TRIAL BY JURY; COUNTERCLAIM</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45</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21.1 Jury Trial Waiver</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45</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21.2 Waiver of Counterclaim</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45</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22 NOTICES</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45</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23 RULES AND REGULATIONS</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46</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24 BROKER</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46</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25 INDEMNITY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46</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25.1 Tenant’s Indemnity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46</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25.2 Landlord’s Indemnity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25.3 Defense and Settlement</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47</w:t>
            </w:r>
          </w:p>
        </w:tc>
      </w:tr>
      <w:tr>
        <w:trPr/>
        <w:tc>
          <w:tcPr>
            <w:tcW w:w="7294"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26 MISCELLANEOUS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 Delivery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26.2 Transfer of Property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26.3 Limitation on Liability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48</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26.4 Rent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48</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26.5 Entire Document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48</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26.6 Governing Law</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48</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26.7 Unenforceability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48</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26.8 Lease Disputes.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48</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26.9 Landlord’s Agent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49</w:t>
            </w:r>
          </w:p>
        </w:tc>
      </w:tr>
      <w:tr>
        <w:trPr/>
        <w:tc>
          <w:tcPr>
            <w:tcW w:w="7294"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26.10 Estoppel</w:t>
            </w:r>
          </w:p>
        </w:tc>
        <w:tc>
          <w:tcPr>
            <w:tcW w:w="2911" w:type="dxa"/>
            <w:tcBorders/>
            <w:shd w:fill="FFFFFF" w:val="cle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49</w:t>
            </w:r>
          </w:p>
        </w:tc>
      </w:tr>
    </w:tbl>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22" w:type="dxa"/>
        <w:jc w:val="left"/>
        <w:tblInd w:w="0" w:type="dxa"/>
        <w:tblLayout w:type="fixed"/>
        <w:tblCellMar>
          <w:top w:w="28" w:type="dxa"/>
          <w:left w:w="28" w:type="dxa"/>
          <w:bottom w:w="28" w:type="dxa"/>
          <w:right w:w="28" w:type="dxa"/>
        </w:tblCellMar>
      </w:tblPr>
      <w:tblGrid>
        <w:gridCol w:w="5611"/>
        <w:gridCol w:w="2911"/>
      </w:tblGrid>
      <w:tr>
        <w:trPr/>
        <w:tc>
          <w:tcPr>
            <w:tcW w:w="5611"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26.11 Certain Interpretation al Rules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49</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26.12 Parties Bound</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49</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26.13 Memorandum of Lease</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49</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26.14 Counterparts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50</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26.15 Survival</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50</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26.16 Inability to Perform</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50</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26.17 Lien for Payment of Rent</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50</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26.18 Financial Statements</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50</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26.19 Changes to Property</w:t>
            </w:r>
          </w:p>
        </w:tc>
        <w:tc>
          <w:tcPr>
            <w:tcW w:w="2911" w:type="dxa"/>
            <w:tcBorders/>
            <w:shd w:fill="FFFFFF" w:val="clear"/>
            <w:vAlign w:val="center"/>
          </w:tcPr>
          <w:p>
            <w:pPr>
              <w:pStyle w:val="TableContents"/>
              <w:bidi w:val="0"/>
              <w:spacing w:before="0" w:after="120"/>
              <w:ind w:left="0" w:right="0" w:firstLine="2520"/>
              <w:jc w:val="right"/>
              <w:rPr>
                <w:rFonts w:ascii="Times New Roman" w:hAnsi="Times New Roman"/>
                <w:color w:val="000000"/>
                <w:sz w:val="24"/>
              </w:rPr>
            </w:pPr>
            <w:r>
              <w:rPr>
                <w:rFonts w:ascii="Times New Roman" w:hAnsi="Times New Roman"/>
                <w:color w:val="000000"/>
                <w:sz w:val="24"/>
              </w:rPr>
              <w:t>50</w:t>
            </w:r>
          </w:p>
        </w:tc>
      </w:tr>
      <w:tr>
        <w:trPr/>
        <w:tc>
          <w:tcPr>
            <w:tcW w:w="5611" w:type="dxa"/>
            <w:tcBorders/>
            <w:shd w:fill="FFFFFF" w:val="clear"/>
            <w:vAlign w:val="center"/>
          </w:tcPr>
          <w:p>
            <w:pPr>
              <w:pStyle w:val="TableContents"/>
              <w:pBdr/>
              <w:bidi w:val="0"/>
              <w:spacing w:before="0" w:after="120"/>
              <w:ind w:left="720" w:right="0" w:hanging="1800"/>
              <w:jc w:val="left"/>
              <w:rPr>
                <w:rFonts w:ascii="Times New Roman" w:hAnsi="Times New Roman"/>
                <w:color w:val="000000"/>
                <w:sz w:val="24"/>
              </w:rPr>
            </w:pPr>
            <w:r>
              <w:rPr>
                <w:rFonts w:ascii="Times New Roman" w:hAnsi="Times New Roman"/>
                <w:color w:val="000000"/>
                <w:sz w:val="24"/>
              </w:rPr>
              <w:t>Section 26.20 Tax Status. Tax Status of Beneficial Owner</w:t>
            </w:r>
          </w:p>
        </w:tc>
        <w:tc>
          <w:tcPr>
            <w:tcW w:w="2911" w:type="dxa"/>
            <w:tcBorders/>
            <w:shd w:fill="FFFFFF" w:val="clear"/>
            <w:vAlign w:val="center"/>
          </w:tcPr>
          <w:p>
            <w:pPr>
              <w:pStyle w:val="TableContents"/>
              <w:bidi w:val="0"/>
              <w:spacing w:before="0" w:after="120"/>
              <w:ind w:left="0" w:right="0" w:firstLine="1800"/>
              <w:jc w:val="right"/>
              <w:rPr>
                <w:rFonts w:ascii="Times New Roman" w:hAnsi="Times New Roman"/>
                <w:color w:val="000000"/>
                <w:sz w:val="24"/>
              </w:rPr>
            </w:pPr>
            <w:r>
              <w:rPr>
                <w:rFonts w:ascii="Times New Roman" w:hAnsi="Times New Roman"/>
                <w:color w:val="000000"/>
                <w:sz w:val="24"/>
              </w:rPr>
              <w:t>51</w:t>
            </w:r>
          </w:p>
        </w:tc>
      </w:tr>
      <w:tr>
        <w:trPr/>
        <w:tc>
          <w:tcPr>
            <w:tcW w:w="5611" w:type="dxa"/>
            <w:tcBorders/>
            <w:shd w:fill="FFFFFF" w:val="clear"/>
            <w:vAlign w:val="center"/>
          </w:tcPr>
          <w:p>
            <w:pPr>
              <w:pStyle w:val="TableContents"/>
              <w:pBdr/>
              <w:bidi w:val="0"/>
              <w:spacing w:before="0" w:after="120"/>
              <w:ind w:left="0" w:right="0" w:hanging="1800"/>
              <w:jc w:val="left"/>
              <w:rPr>
                <w:rFonts w:ascii="Times New Roman" w:hAnsi="Times New Roman"/>
                <w:color w:val="000000"/>
                <w:sz w:val="24"/>
              </w:rPr>
            </w:pPr>
            <w:r>
              <w:rPr>
                <w:rFonts w:ascii="Times New Roman" w:hAnsi="Times New Roman"/>
                <w:color w:val="000000"/>
                <w:sz w:val="24"/>
              </w:rPr>
              <w:t>ARTICLE 27 SECURITY DEPOSIT</w:t>
            </w:r>
          </w:p>
        </w:tc>
        <w:tc>
          <w:tcPr>
            <w:tcW w:w="2911" w:type="dxa"/>
            <w:tcBorders/>
            <w:shd w:fill="FFFFFF" w:val="clear"/>
            <w:vAlign w:val="center"/>
          </w:tcPr>
          <w:p>
            <w:pPr>
              <w:pStyle w:val="TableContents"/>
              <w:bidi w:val="0"/>
              <w:spacing w:before="0" w:after="120"/>
              <w:jc w:val="right"/>
              <w:rPr>
                <w:rFonts w:ascii="Times New Roman" w:hAnsi="Times New Roman"/>
                <w:color w:val="000000"/>
                <w:sz w:val="24"/>
              </w:rPr>
            </w:pPr>
            <w:r>
              <w:rPr>
                <w:rFonts w:ascii="Times New Roman" w:hAnsi="Times New Roman"/>
                <w:color w:val="000000"/>
                <w:sz w:val="24"/>
              </w:rPr>
              <w:t>51</w:t>
            </w:r>
          </w:p>
        </w:tc>
      </w:tr>
    </w:tbl>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EXHIBITS</w:t>
        <w:br/>
        <w:t>Exhibit A Floor Plan</w:t>
        <w:br/>
        <w:t>Exhibit Al Land</w:t>
        <w:br/>
        <w:t>Exhibit B Definitions</w:t>
        <w:br/>
        <w:t>Exhibit C Work Letter Agreement</w:t>
        <w:br/>
        <w:t>Exhibit D Design Standards</w:t>
        <w:br/>
        <w:t>Exhibit E Cleaning Work</w:t>
        <w:br/>
        <w:t>Exhibit F Rules and Regulations</w:t>
        <w:br/>
        <w:t>Exhibit G [Intentionally Omitted]</w:t>
        <w:br/>
        <w:t>Exhibit H Construction Rules and Regulations</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RIDER</w:t>
      </w:r>
    </w:p>
    <w:p>
      <w:pPr>
        <w:pStyle w:val="TextBody"/>
        <w:bidi w:val="0"/>
        <w:jc w:val="left"/>
        <w:rPr>
          <w:rFonts w:ascii="Times New Roman" w:hAnsi="Times New Roman"/>
          <w:color w:val="000000"/>
          <w:sz w:val="24"/>
        </w:rPr>
      </w:pPr>
      <w:r>
        <w:rPr>
          <w:rFonts w:ascii="Times New Roman" w:hAnsi="Times New Roman"/>
          <w:color w:val="000000"/>
          <w:sz w:val="24"/>
        </w:rPr>
        <w:t>Rider 1 ADDITIONAL PROVISIONS</w:t>
        <w:br/>
        <w:t>R1-A OPTION TO EXTEND TERM</w:t>
        <w:br/>
        <w:t>R1-B DISPOSAL OF MEDICAL, INFECTIONS AND CHEMOTHERAPEUTIC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MATERIALS AND WASTE</w:t>
        <w:br/>
        <w:t>R1-C EARLY ACCESS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LEASE</w:t>
      </w:r>
    </w:p>
    <w:p>
      <w:pPr>
        <w:pStyle w:val="TextBody"/>
        <w:bidi w:val="0"/>
        <w:spacing w:before="0" w:after="240"/>
        <w:jc w:val="both"/>
        <w:rPr>
          <w:rFonts w:ascii="Times New Roman" w:hAnsi="Times New Roman"/>
          <w:sz w:val="20"/>
        </w:rPr>
      </w:pPr>
      <w:r>
        <w:rPr>
          <w:rFonts w:ascii="Times New Roman" w:hAnsi="Times New Roman"/>
          <w:color w:val="000000"/>
          <w:sz w:val="24"/>
        </w:rPr>
        <w:t>This Lease (the “</w:t>
      </w:r>
      <w:r>
        <w:rPr>
          <w:rFonts w:ascii="Times New Roman" w:hAnsi="Times New Roman"/>
          <w:b/>
          <w:color w:val="000000"/>
          <w:sz w:val="24"/>
        </w:rPr>
        <w:t>Lease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 made as of the 8 day of August, 2019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between Bala Plaza Property, Inc., a Delaware corporation (“</w:t>
      </w:r>
      <w:r>
        <w:rPr>
          <w:rFonts w:ascii="Times New Roman" w:hAnsi="Times New Roman"/>
          <w:b/>
          <w:color w:val="000000"/>
          <w:sz w:val="24"/>
        </w:rPr>
        <w:t>Landlord</w:t>
      </w:r>
      <w:r>
        <w:rPr>
          <w:rFonts w:ascii="Times New Roman" w:hAnsi="Times New Roman"/>
          <w:color w:val="000000"/>
          <w:sz w:val="20"/>
        </w:rPr>
        <w:t>”</w:t>
      </w:r>
      <w:r>
        <w:rPr>
          <w:rFonts w:ascii="Times New Roman" w:hAnsi="Times New Roman"/>
          <w:color w:val="000000"/>
          <w:sz w:val="24"/>
        </w:rPr>
        <w:t xml:space="preserve">), and Chondrial Therapeutics, Inc., a Delaware corporation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Tenant</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Landlord and Tenant, intending to be legally bound, hereby agree as follows:</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w:t>
      </w:r>
      <w:r>
        <w:rPr>
          <w:rFonts w:ascii="Times New Roman" w:hAnsi="Times New Roman"/>
          <w:color w:val="000000"/>
          <w:sz w:val="24"/>
        </w:rPr>
        <w:br/>
        <w:br/>
      </w:r>
      <w:r>
        <w:rPr>
          <w:rFonts w:ascii="Times New Roman" w:hAnsi="Times New Roman"/>
          <w:b/>
          <w:color w:val="000000"/>
          <w:sz w:val="24"/>
        </w:rPr>
        <w:t>BASIC LEASE PROVISIONS</w:t>
      </w:r>
    </w:p>
    <w:tbl>
      <w:tblPr>
        <w:tblW w:w="10205" w:type="dxa"/>
        <w:jc w:val="left"/>
        <w:tblInd w:w="0" w:type="dxa"/>
        <w:tblLayout w:type="fixed"/>
        <w:tblCellMar>
          <w:top w:w="28" w:type="dxa"/>
          <w:left w:w="28" w:type="dxa"/>
          <w:bottom w:w="28" w:type="dxa"/>
          <w:right w:w="28" w:type="dxa"/>
        </w:tblCellMar>
      </w:tblPr>
      <w:tblGrid>
        <w:gridCol w:w="2827"/>
        <w:gridCol w:w="7378"/>
      </w:tblGrid>
      <w:tr>
        <w:trPr/>
        <w:tc>
          <w:tcPr>
            <w:tcW w:w="2827" w:type="dxa"/>
            <w:tcBorders/>
            <w:vAlign w:val="center"/>
          </w:tcPr>
          <w:p>
            <w:pPr>
              <w:pStyle w:val="TableContents"/>
              <w:bidi w:val="0"/>
              <w:spacing w:before="0" w:after="283"/>
              <w:jc w:val="left"/>
              <w:rPr>
                <w:sz w:val="4"/>
                <w:szCs w:val="4"/>
              </w:rPr>
            </w:pPr>
            <w:r>
              <w:rPr>
                <w:sz w:val="4"/>
                <w:szCs w:val="4"/>
              </w:rPr>
            </w:r>
          </w:p>
        </w:tc>
        <w:tc>
          <w:tcPr>
            <w:tcW w:w="7378" w:type="dxa"/>
            <w:tcBorders/>
            <w:vAlign w:val="center"/>
          </w:tcPr>
          <w:p>
            <w:pPr>
              <w:pStyle w:val="TableContents"/>
              <w:bidi w:val="0"/>
              <w:spacing w:before="0" w:after="283"/>
              <w:jc w:val="left"/>
              <w:rPr>
                <w:sz w:val="4"/>
                <w:szCs w:val="4"/>
              </w:rPr>
            </w:pPr>
            <w:r>
              <w:rPr>
                <w:sz w:val="4"/>
                <w:szCs w:val="4"/>
              </w:rPr>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PREMISES</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sz w:val="24"/>
              </w:rPr>
            </w:pPr>
            <w:r>
              <w:rPr>
                <w:rFonts w:ascii="Times New Roman" w:hAnsi="Times New Roman"/>
                <w:color w:val="000000"/>
                <w:sz w:val="24"/>
              </w:rPr>
              <w:t xml:space="preserve">A portion of the fifth floor of the Building, as more particularly shown on </w:t>
            </w:r>
            <w:r>
              <w:rPr>
                <w:rFonts w:ascii="Times New Roman" w:hAnsi="Times New Roman"/>
                <w:b/>
                <w:color w:val="000000"/>
                <w:sz w:val="24"/>
              </w:rPr>
              <w:t>Exhibit A</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BUILDING</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000000"/>
                <w:sz w:val="24"/>
              </w:rPr>
            </w:pPr>
            <w:r>
              <w:rPr>
                <w:rFonts w:ascii="Times New Roman" w:hAnsi="Times New Roman"/>
                <w:color w:val="000000"/>
                <w:sz w:val="24"/>
              </w:rPr>
              <w:t>The building, fixtures, equipment and other improvements and appurtenances now located or hereafter erected, located or placed upon the Land and known as Three Bala Plaza, Bala Cynwyd, Pennsylvania</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COMPLEX</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sz w:val="24"/>
              </w:rPr>
            </w:pPr>
            <w:r>
              <w:rPr>
                <w:rFonts w:ascii="Times New Roman" w:hAnsi="Times New Roman"/>
                <w:color w:val="000000"/>
                <w:sz w:val="24"/>
              </w:rPr>
              <w:t xml:space="preserve">One, Two and Three Bala Plaza, as further defined on </w:t>
            </w:r>
            <w:r>
              <w:rPr>
                <w:rFonts w:ascii="Times New Roman" w:hAnsi="Times New Roman"/>
                <w:color w:val="000000"/>
                <w:sz w:val="24"/>
                <w:u w:val="single"/>
              </w:rPr>
              <w:t>Exhibit B</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LAND</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sz w:val="24"/>
              </w:rPr>
            </w:pPr>
            <w:r>
              <w:rPr>
                <w:rFonts w:ascii="Times New Roman" w:hAnsi="Times New Roman"/>
                <w:color w:val="000000"/>
                <w:sz w:val="24"/>
              </w:rPr>
              <w:t xml:space="preserve">The real property described on </w:t>
            </w:r>
            <w:r>
              <w:rPr>
                <w:rFonts w:ascii="Times New Roman" w:hAnsi="Times New Roman"/>
                <w:color w:val="000000"/>
                <w:sz w:val="24"/>
                <w:u w:val="single"/>
              </w:rPr>
              <w:t>Exhibit A-l</w:t>
            </w:r>
            <w:r>
              <w:rPr>
                <w:rFonts w:ascii="Times New Roman" w:hAnsi="Times New Roman"/>
                <w:color w:val="000000"/>
                <w:sz w:val="24"/>
              </w:rPr>
              <w:t> to this Lease</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PROPERTY</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000000"/>
                <w:sz w:val="24"/>
              </w:rPr>
            </w:pPr>
            <w:r>
              <w:rPr>
                <w:rFonts w:ascii="Times New Roman" w:hAnsi="Times New Roman"/>
                <w:color w:val="000000"/>
                <w:sz w:val="24"/>
              </w:rPr>
              <w:t>The Building, the Common Areas and the Land</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COMMENCEMENT DATE</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000000"/>
                <w:sz w:val="24"/>
              </w:rPr>
            </w:pPr>
            <w:r>
              <w:rPr>
                <w:rFonts w:ascii="Times New Roman" w:hAnsi="Times New Roman"/>
                <w:color w:val="000000"/>
                <w:sz w:val="24"/>
              </w:rPr>
              <w:t>The later to occur of (a) December 15, 2019 or (b) five (5) days following the date on which the Initial Installations (as defined in Exhibit C) are Substantially Completed in accordance with the terms of this Lease.</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RENT</w:t>
              <w:br/>
              <w:t>COMMENCEMENT</w:t>
              <w:br/>
              <w:t>DATE</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000000"/>
                <w:sz w:val="24"/>
              </w:rPr>
            </w:pPr>
            <w:r>
              <w:rPr>
                <w:rFonts w:ascii="Times New Roman" w:hAnsi="Times New Roman"/>
                <w:color w:val="000000"/>
                <w:sz w:val="24"/>
              </w:rPr>
              <w:t>The day following the expiration of the two (2) month period that begins on the Commencement Date.</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74"/>
              <w:jc w:val="left"/>
              <w:rPr>
                <w:rFonts w:ascii="Times New Roman" w:hAnsi="Times New Roman"/>
                <w:b/>
                <w:color w:val="000000"/>
                <w:sz w:val="24"/>
              </w:rPr>
            </w:pPr>
            <w:r>
              <w:rPr>
                <w:rFonts w:ascii="Times New Roman" w:hAnsi="Times New Roman"/>
                <w:b/>
                <w:color w:val="000000"/>
                <w:sz w:val="24"/>
              </w:rPr>
              <w:t>EXPIRATION DATE</w:t>
            </w:r>
          </w:p>
        </w:tc>
        <w:tc>
          <w:tcPr>
            <w:tcW w:w="7378" w:type="dxa"/>
            <w:tcBorders/>
            <w:tcMar>
              <w:top w:w="0" w:type="dxa"/>
              <w:left w:w="0" w:type="dxa"/>
              <w:bottom w:w="0" w:type="dxa"/>
              <w:right w:w="0" w:type="dxa"/>
            </w:tcMar>
            <w:vAlign w:val="center"/>
          </w:tcPr>
          <w:p>
            <w:pPr>
              <w:pStyle w:val="TableContents"/>
              <w:bidi w:val="0"/>
              <w:spacing w:before="0" w:after="240"/>
              <w:ind w:left="274" w:right="0" w:firstLine="274"/>
              <w:jc w:val="left"/>
              <w:rPr>
                <w:rFonts w:ascii="Times New Roman" w:hAnsi="Times New Roman"/>
                <w:color w:val="000000"/>
                <w:sz w:val="24"/>
              </w:rPr>
            </w:pPr>
            <w:r>
              <w:rPr>
                <w:rFonts w:ascii="Times New Roman" w:hAnsi="Times New Roman"/>
                <w:color w:val="000000"/>
                <w:sz w:val="24"/>
              </w:rPr>
              <w:t>The last day of the 42 month (three years and six months) period that begins on the Commencement Date, or the last day of any renewal or extended term, if the Term of this Lease is extended in accordance with any express provision hereof.</w:t>
            </w:r>
          </w:p>
        </w:tc>
      </w:tr>
      <w:tr>
        <w:trPr/>
        <w:tc>
          <w:tcPr>
            <w:tcW w:w="2827"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TERM</w:t>
            </w:r>
          </w:p>
        </w:tc>
        <w:tc>
          <w:tcPr>
            <w:tcW w:w="7378"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000000"/>
                <w:sz w:val="24"/>
              </w:rPr>
            </w:pPr>
            <w:r>
              <w:rPr>
                <w:rFonts w:ascii="Times New Roman" w:hAnsi="Times New Roman"/>
                <w:color w:val="000000"/>
                <w:sz w:val="24"/>
              </w:rPr>
              <w:t>The period commencing on the Commencement Date and ending on the Expiration Date</w:t>
            </w:r>
          </w:p>
        </w:tc>
      </w:tr>
    </w:tbl>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16"/>
        <w:gridCol w:w="264"/>
        <w:gridCol w:w="7225"/>
      </w:tblGrid>
      <w:tr>
        <w:trPr/>
        <w:tc>
          <w:tcPr>
            <w:tcW w:w="271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25" w:type="dxa"/>
            <w:tcBorders/>
            <w:vAlign w:val="center"/>
          </w:tcPr>
          <w:p>
            <w:pPr>
              <w:pStyle w:val="TableContents"/>
              <w:bidi w:val="0"/>
              <w:spacing w:before="0" w:after="283"/>
              <w:jc w:val="left"/>
              <w:rPr>
                <w:sz w:val="4"/>
                <w:szCs w:val="4"/>
              </w:rPr>
            </w:pPr>
            <w:r>
              <w:rPr>
                <w:sz w:val="4"/>
                <w:szCs w:val="4"/>
              </w:rPr>
            </w:r>
          </w:p>
        </w:tc>
      </w:tr>
      <w:tr>
        <w:trPr/>
        <w:tc>
          <w:tcPr>
            <w:tcW w:w="2980" w:type="dxa"/>
            <w:gridSpan w:val="2"/>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PERMITTED USES</w:t>
            </w:r>
          </w:p>
        </w:tc>
        <w:tc>
          <w:tcPr>
            <w:tcW w:w="7225"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000000"/>
                <w:sz w:val="24"/>
              </w:rPr>
            </w:pPr>
            <w:r>
              <w:rPr>
                <w:rFonts w:ascii="Times New Roman" w:hAnsi="Times New Roman"/>
                <w:color w:val="000000"/>
                <w:sz w:val="24"/>
              </w:rPr>
              <w:t>Executive and general offices</w:t>
            </w:r>
          </w:p>
        </w:tc>
      </w:tr>
      <w:tr>
        <w:trPr/>
        <w:tc>
          <w:tcPr>
            <w:tcW w:w="2980" w:type="dxa"/>
            <w:gridSpan w:val="2"/>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000000"/>
                <w:sz w:val="24"/>
              </w:rPr>
            </w:pPr>
            <w:r>
              <w:rPr>
                <w:rFonts w:ascii="Times New Roman" w:hAnsi="Times New Roman"/>
                <w:b/>
                <w:color w:val="000000"/>
                <w:sz w:val="24"/>
              </w:rPr>
              <w:t>BASE YEAR</w:t>
            </w:r>
          </w:p>
        </w:tc>
        <w:tc>
          <w:tcPr>
            <w:tcW w:w="7225" w:type="dxa"/>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000000"/>
                <w:sz w:val="24"/>
              </w:rPr>
            </w:pPr>
            <w:r>
              <w:rPr>
                <w:rFonts w:ascii="Times New Roman" w:hAnsi="Times New Roman"/>
                <w:color w:val="000000"/>
                <w:sz w:val="24"/>
              </w:rPr>
              <w:t>Calendar year 2020</w:t>
            </w:r>
          </w:p>
        </w:tc>
      </w:tr>
      <w:tr>
        <w:trPr/>
        <w:tc>
          <w:tcPr>
            <w:tcW w:w="2716"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2C2C2C"/>
                <w:sz w:val="24"/>
              </w:rPr>
            </w:pPr>
            <w:r>
              <w:rPr>
                <w:rFonts w:ascii="Times New Roman" w:hAnsi="Times New Roman"/>
                <w:b/>
                <w:color w:val="2C2C2C"/>
                <w:sz w:val="24"/>
              </w:rPr>
              <w:t>TENANT’S</w:t>
              <w:br/>
              <w:t>PROPORTIONATE</w:t>
              <w:br/>
              <w:t>SHARE</w:t>
            </w:r>
          </w:p>
        </w:tc>
        <w:tc>
          <w:tcPr>
            <w:tcW w:w="7489" w:type="dxa"/>
            <w:gridSpan w:val="2"/>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2C2C2C"/>
                <w:sz w:val="24"/>
              </w:rPr>
            </w:pPr>
            <w:r>
              <w:rPr>
                <w:rFonts w:ascii="Times New Roman" w:hAnsi="Times New Roman"/>
                <w:color w:val="2C2C2C"/>
                <w:sz w:val="24"/>
              </w:rPr>
              <w:t>1.2057%</w:t>
            </w:r>
          </w:p>
        </w:tc>
      </w:tr>
      <w:tr>
        <w:trPr/>
        <w:tc>
          <w:tcPr>
            <w:tcW w:w="2716" w:type="dxa"/>
            <w:tcBorders/>
            <w:tcMar>
              <w:top w:w="0" w:type="dxa"/>
              <w:left w:w="0" w:type="dxa"/>
              <w:bottom w:w="0" w:type="dxa"/>
              <w:right w:w="0" w:type="dxa"/>
            </w:tcMar>
            <w:vAlign w:val="center"/>
          </w:tcPr>
          <w:p>
            <w:pPr>
              <w:pStyle w:val="TableContents"/>
              <w:bidi w:val="0"/>
              <w:spacing w:before="0" w:after="240"/>
              <w:ind w:left="0" w:right="0" w:firstLine="280"/>
              <w:jc w:val="left"/>
              <w:rPr>
                <w:rFonts w:ascii="Times New Roman" w:hAnsi="Times New Roman"/>
                <w:b/>
                <w:color w:val="2C2C2C"/>
                <w:sz w:val="24"/>
              </w:rPr>
            </w:pPr>
            <w:r>
              <w:rPr>
                <w:rFonts w:ascii="Times New Roman" w:hAnsi="Times New Roman"/>
                <w:b/>
                <w:color w:val="2C2C2C"/>
                <w:sz w:val="24"/>
              </w:rPr>
              <w:t>AREA OF BUILDING</w:t>
            </w:r>
          </w:p>
        </w:tc>
        <w:tc>
          <w:tcPr>
            <w:tcW w:w="7489" w:type="dxa"/>
            <w:gridSpan w:val="2"/>
            <w:tcBorders/>
            <w:tcMar>
              <w:top w:w="0" w:type="dxa"/>
              <w:left w:w="0" w:type="dxa"/>
              <w:bottom w:w="0" w:type="dxa"/>
              <w:right w:w="0" w:type="dxa"/>
            </w:tcMar>
            <w:vAlign w:val="center"/>
          </w:tcPr>
          <w:p>
            <w:pPr>
              <w:pStyle w:val="TableContents"/>
              <w:bidi w:val="0"/>
              <w:spacing w:before="0" w:after="240"/>
              <w:ind w:left="280" w:right="0" w:firstLine="280"/>
              <w:jc w:val="left"/>
              <w:rPr>
                <w:rFonts w:ascii="Times New Roman" w:hAnsi="Times New Roman"/>
                <w:color w:val="2C2C2C"/>
                <w:sz w:val="24"/>
              </w:rPr>
            </w:pPr>
            <w:r>
              <w:rPr>
                <w:rFonts w:ascii="Times New Roman" w:hAnsi="Times New Roman"/>
                <w:color w:val="2C2C2C"/>
                <w:sz w:val="24"/>
              </w:rPr>
              <w:t>The rentable area of the Building shall be deemed 385,012 square feet, as agreed by Landlord and Tenant.</w:t>
            </w:r>
          </w:p>
        </w:tc>
      </w:tr>
      <w:tr>
        <w:trPr/>
        <w:tc>
          <w:tcPr>
            <w:tcW w:w="2716"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b/>
                <w:color w:val="2C2C2C"/>
                <w:sz w:val="24"/>
              </w:rPr>
            </w:pPr>
            <w:r>
              <w:rPr>
                <w:rFonts w:ascii="Times New Roman" w:hAnsi="Times New Roman"/>
                <w:b/>
                <w:color w:val="2C2C2C"/>
                <w:sz w:val="24"/>
              </w:rPr>
              <w:t>AREA OF PREMISES</w:t>
            </w:r>
          </w:p>
        </w:tc>
        <w:tc>
          <w:tcPr>
            <w:tcW w:w="7489" w:type="dxa"/>
            <w:gridSpan w:val="2"/>
            <w:tcBorders/>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color w:val="2C2C2C"/>
                <w:sz w:val="24"/>
              </w:rPr>
            </w:pPr>
            <w:r>
              <w:rPr>
                <w:rFonts w:ascii="Times New Roman" w:hAnsi="Times New Roman"/>
                <w:color w:val="2C2C2C"/>
                <w:sz w:val="24"/>
              </w:rPr>
              <w:t>4,642 rentable square feet</w:t>
            </w:r>
          </w:p>
        </w:tc>
      </w:tr>
    </w:tbl>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FIXED RENT</w:t>
      </w:r>
    </w:p>
    <w:tbl>
      <w:tblPr>
        <w:tblW w:w="10205" w:type="dxa"/>
        <w:jc w:val="left"/>
        <w:tblInd w:w="0" w:type="dxa"/>
        <w:tblLayout w:type="fixed"/>
        <w:tblCellMar>
          <w:top w:w="28" w:type="dxa"/>
          <w:left w:w="28" w:type="dxa"/>
          <w:bottom w:w="28" w:type="dxa"/>
          <w:right w:w="28" w:type="dxa"/>
        </w:tblCellMar>
      </w:tblPr>
      <w:tblGrid>
        <w:gridCol w:w="2570"/>
        <w:gridCol w:w="1826"/>
        <w:gridCol w:w="1896"/>
        <w:gridCol w:w="3913"/>
      </w:tblGrid>
      <w:tr>
        <w:trPr/>
        <w:tc>
          <w:tcPr>
            <w:tcW w:w="257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3913" w:type="dxa"/>
            <w:tcBorders/>
            <w:vAlign w:val="center"/>
          </w:tcPr>
          <w:p>
            <w:pPr>
              <w:pStyle w:val="TableContents"/>
              <w:bidi w:val="0"/>
              <w:spacing w:before="0" w:after="283"/>
              <w:jc w:val="left"/>
              <w:rPr>
                <w:sz w:val="4"/>
                <w:szCs w:val="4"/>
              </w:rPr>
            </w:pPr>
            <w:r>
              <w:rPr>
                <w:sz w:val="4"/>
                <w:szCs w:val="4"/>
              </w:rPr>
            </w:r>
          </w:p>
        </w:tc>
      </w:tr>
      <w:tr>
        <w:trPr/>
        <w:tc>
          <w:tcPr>
            <w:tcW w:w="2570"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Lease Year</w:t>
            </w:r>
          </w:p>
        </w:tc>
        <w:tc>
          <w:tcPr>
            <w:tcW w:w="18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Annual Fixed Rent</w:t>
            </w:r>
          </w:p>
        </w:tc>
        <w:tc>
          <w:tcPr>
            <w:tcW w:w="189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Monthly Fixed Rent</w:t>
            </w:r>
          </w:p>
        </w:tc>
        <w:tc>
          <w:tcPr>
            <w:tcW w:w="391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Annual Fixed Rent per Rentable Square Foot</w:t>
            </w:r>
          </w:p>
        </w:tc>
      </w:tr>
      <w:tr>
        <w:trPr/>
        <w:tc>
          <w:tcPr>
            <w:tcW w:w="2570"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1*</w:t>
            </w:r>
          </w:p>
        </w:tc>
        <w:tc>
          <w:tcPr>
            <w:tcW w:w="18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$135,391.67*</w:t>
            </w:r>
          </w:p>
        </w:tc>
        <w:tc>
          <w:tcPr>
            <w:tcW w:w="189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$13,539.17</w:t>
            </w:r>
          </w:p>
        </w:tc>
        <w:tc>
          <w:tcPr>
            <w:tcW w:w="391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$35.00</w:t>
            </w:r>
          </w:p>
        </w:tc>
      </w:tr>
      <w:tr>
        <w:trPr/>
        <w:tc>
          <w:tcPr>
            <w:tcW w:w="2570"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2</w:t>
            </w:r>
          </w:p>
        </w:tc>
        <w:tc>
          <w:tcPr>
            <w:tcW w:w="18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$164,791.00</w:t>
            </w:r>
          </w:p>
        </w:tc>
        <w:tc>
          <w:tcPr>
            <w:tcW w:w="189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$13,732.58</w:t>
            </w:r>
          </w:p>
        </w:tc>
        <w:tc>
          <w:tcPr>
            <w:tcW w:w="391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$35.50</w:t>
            </w:r>
          </w:p>
        </w:tc>
      </w:tr>
      <w:tr>
        <w:trPr/>
        <w:tc>
          <w:tcPr>
            <w:tcW w:w="2570"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3</w:t>
            </w:r>
          </w:p>
        </w:tc>
        <w:tc>
          <w:tcPr>
            <w:tcW w:w="18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$167,112.00</w:t>
            </w:r>
          </w:p>
        </w:tc>
        <w:tc>
          <w:tcPr>
            <w:tcW w:w="189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$13,926.00</w:t>
            </w:r>
          </w:p>
        </w:tc>
        <w:tc>
          <w:tcPr>
            <w:tcW w:w="391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$36.00</w:t>
            </w:r>
          </w:p>
        </w:tc>
      </w:tr>
      <w:tr>
        <w:trPr/>
        <w:tc>
          <w:tcPr>
            <w:tcW w:w="2570"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4 through Expiration Date**</w:t>
            </w:r>
          </w:p>
        </w:tc>
        <w:tc>
          <w:tcPr>
            <w:tcW w:w="182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$84,716.50</w:t>
            </w:r>
          </w:p>
        </w:tc>
        <w:tc>
          <w:tcPr>
            <w:tcW w:w="1896"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$14,119.42</w:t>
            </w:r>
          </w:p>
        </w:tc>
        <w:tc>
          <w:tcPr>
            <w:tcW w:w="391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2C2C2C"/>
                <w:sz w:val="24"/>
              </w:rPr>
            </w:pPr>
            <w:r>
              <w:rPr>
                <w:rFonts w:ascii="Times New Roman" w:hAnsi="Times New Roman"/>
                <w:color w:val="2C2C2C"/>
                <w:sz w:val="24"/>
              </w:rPr>
              <w:t>$36.50</w:t>
            </w:r>
          </w:p>
        </w:tc>
      </w:tr>
    </w:tbl>
    <w:p>
      <w:pPr>
        <w:pStyle w:val="TextBody"/>
        <w:bidi w:val="0"/>
        <w:spacing w:before="0" w:after="240"/>
        <w:jc w:val="left"/>
        <w:rPr>
          <w:rFonts w:ascii="Times New Roman" w:hAnsi="Times New Roman"/>
          <w:color w:val="2C2C2C"/>
          <w:sz w:val="24"/>
        </w:rPr>
      </w:pPr>
      <w:r>
        <w:rPr>
          <w:rFonts w:ascii="Times New Roman" w:hAnsi="Times New Roman"/>
          <w:color w:val="2C2C2C"/>
          <w:sz w:val="24"/>
        </w:rPr>
        <w:t>*There are two (2) months of free Fixed Rent in Lease Year 1 and, therefore, the Annual Fixed Rent for this period reflects ten (10) months of Month Fixed Rent in lieu of twelve (12).</w:t>
      </w:r>
    </w:p>
    <w:p>
      <w:pPr>
        <w:pStyle w:val="TextBody"/>
        <w:bidi w:val="0"/>
        <w:spacing w:before="0" w:after="240"/>
        <w:jc w:val="left"/>
        <w:rPr>
          <w:rFonts w:ascii="Times New Roman" w:hAnsi="Times New Roman"/>
          <w:color w:val="2C2C2C"/>
          <w:sz w:val="24"/>
        </w:rPr>
      </w:pPr>
      <w:r>
        <w:rPr>
          <w:rFonts w:ascii="Times New Roman" w:hAnsi="Times New Roman"/>
          <w:color w:val="2C2C2C"/>
          <w:sz w:val="24"/>
        </w:rPr>
        <w:t>** There are six (6) months in Lease Year 4 and, therefore, the Annual Fixed Rent for this period reflects six (6) months of Monthly Fixed Rent in lieu of twelve (12).</w:t>
      </w:r>
    </w:p>
    <w:tbl>
      <w:tblPr>
        <w:tblW w:w="10205" w:type="dxa"/>
        <w:jc w:val="left"/>
        <w:tblInd w:w="0" w:type="dxa"/>
        <w:tblLayout w:type="fixed"/>
        <w:tblCellMar>
          <w:top w:w="28" w:type="dxa"/>
          <w:left w:w="28" w:type="dxa"/>
          <w:bottom w:w="28" w:type="dxa"/>
          <w:right w:w="28" w:type="dxa"/>
        </w:tblCellMar>
      </w:tblPr>
      <w:tblGrid>
        <w:gridCol w:w="2116"/>
        <w:gridCol w:w="8089"/>
      </w:tblGrid>
      <w:tr>
        <w:trPr/>
        <w:tc>
          <w:tcPr>
            <w:tcW w:w="2116" w:type="dxa"/>
            <w:tcBorders/>
            <w:vAlign w:val="center"/>
          </w:tcPr>
          <w:p>
            <w:pPr>
              <w:pStyle w:val="TableContents"/>
              <w:bidi w:val="0"/>
              <w:spacing w:before="0" w:after="283"/>
              <w:jc w:val="left"/>
              <w:rPr>
                <w:sz w:val="4"/>
                <w:szCs w:val="4"/>
              </w:rPr>
            </w:pPr>
            <w:r>
              <w:rPr>
                <w:sz w:val="4"/>
                <w:szCs w:val="4"/>
              </w:rPr>
            </w:r>
          </w:p>
        </w:tc>
        <w:tc>
          <w:tcPr>
            <w:tcW w:w="8089"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40"/>
              <w:ind w:left="0" w:right="0" w:firstLine="274"/>
              <w:jc w:val="left"/>
              <w:rPr>
                <w:rFonts w:ascii="Times New Roman" w:hAnsi="Times New Roman"/>
                <w:b/>
                <w:color w:val="2C2C2C"/>
                <w:sz w:val="24"/>
              </w:rPr>
            </w:pPr>
            <w:r>
              <w:rPr>
                <w:rFonts w:ascii="Times New Roman" w:hAnsi="Times New Roman"/>
                <w:b/>
                <w:color w:val="2C2C2C"/>
                <w:sz w:val="24"/>
              </w:rPr>
              <w:t>ADDITIONAL RENT</w:t>
            </w:r>
          </w:p>
        </w:tc>
        <w:tc>
          <w:tcPr>
            <w:tcW w:w="8089" w:type="dxa"/>
            <w:tcBorders>
              <w:top w:val="single" w:sz="4" w:space="0" w:color="000000"/>
            </w:tcBorders>
            <w:tcMar>
              <w:left w:w="0" w:type="dxa"/>
              <w:bottom w:w="0" w:type="dxa"/>
              <w:right w:w="0" w:type="dxa"/>
            </w:tcMar>
            <w:vAlign w:val="center"/>
          </w:tcPr>
          <w:p>
            <w:pPr>
              <w:pStyle w:val="TableContents"/>
              <w:bidi w:val="0"/>
              <w:spacing w:before="0" w:after="240"/>
              <w:ind w:left="274" w:right="0" w:firstLine="274"/>
              <w:jc w:val="both"/>
              <w:rPr>
                <w:rFonts w:ascii="Times New Roman" w:hAnsi="Times New Roman"/>
                <w:color w:val="2C2C2C"/>
                <w:sz w:val="24"/>
              </w:rPr>
            </w:pPr>
            <w:r>
              <w:rPr>
                <w:rFonts w:ascii="Times New Roman" w:hAnsi="Times New Roman"/>
                <w:color w:val="2C2C2C"/>
                <w:sz w:val="24"/>
              </w:rPr>
              <w:t>All sums other than Fixed Rent payable by Tenant to Landlord under this Lease and any work letter, exhibits, riders or other attachments hereto, including Tenant’s Tax Payment, Tenant’s Operating Payment, late charges, overtime or excess service charges, supplemental chilled water charges, damages, and interest and other costs related to Tenant’s failure to perform any of its obligations under this Lease</w:t>
            </w:r>
          </w:p>
        </w:tc>
      </w:tr>
      <w:tr>
        <w:trPr/>
        <w:tc>
          <w:tcPr>
            <w:tcW w:w="2116" w:type="dxa"/>
            <w:tcBorders/>
            <w:tcMar>
              <w:top w:w="0" w:type="dxa"/>
              <w:left w:w="0" w:type="dxa"/>
              <w:bottom w:w="0" w:type="dxa"/>
              <w:right w:w="0" w:type="dxa"/>
            </w:tcMar>
            <w:vAlign w:val="center"/>
          </w:tcPr>
          <w:p>
            <w:pPr>
              <w:pStyle w:val="TableContents"/>
              <w:bidi w:val="0"/>
              <w:spacing w:before="0" w:after="240"/>
              <w:ind w:left="0" w:right="0" w:firstLine="220"/>
              <w:jc w:val="left"/>
              <w:rPr>
                <w:rFonts w:ascii="Times New Roman" w:hAnsi="Times New Roman"/>
                <w:b/>
                <w:color w:val="2C2C2C"/>
                <w:sz w:val="24"/>
              </w:rPr>
            </w:pPr>
            <w:r>
              <w:rPr>
                <w:rFonts w:ascii="Times New Roman" w:hAnsi="Times New Roman"/>
                <w:b/>
                <w:color w:val="2C2C2C"/>
                <w:sz w:val="24"/>
              </w:rPr>
              <w:t>RENT</w:t>
            </w:r>
          </w:p>
        </w:tc>
        <w:tc>
          <w:tcPr>
            <w:tcW w:w="8089" w:type="dxa"/>
            <w:tcBorders/>
            <w:tcMar>
              <w:top w:w="0" w:type="dxa"/>
              <w:left w:w="0" w:type="dxa"/>
              <w:bottom w:w="0" w:type="dxa"/>
              <w:right w:w="0" w:type="dxa"/>
            </w:tcMar>
            <w:vAlign w:val="center"/>
          </w:tcPr>
          <w:p>
            <w:pPr>
              <w:pStyle w:val="TableContents"/>
              <w:bidi w:val="0"/>
              <w:spacing w:before="0" w:after="240"/>
              <w:ind w:left="220" w:right="0" w:firstLine="220"/>
              <w:jc w:val="left"/>
              <w:rPr>
                <w:rFonts w:ascii="Times New Roman" w:hAnsi="Times New Roman"/>
                <w:color w:val="2C2C2C"/>
                <w:sz w:val="24"/>
              </w:rPr>
            </w:pPr>
            <w:r>
              <w:rPr>
                <w:rFonts w:ascii="Times New Roman" w:hAnsi="Times New Roman"/>
                <w:color w:val="2C2C2C"/>
                <w:sz w:val="24"/>
              </w:rPr>
              <w:t>Fixed Rent and Additional Rent, collectively</w:t>
            </w:r>
          </w:p>
        </w:tc>
      </w:tr>
      <w:tr>
        <w:trPr/>
        <w:tc>
          <w:tcPr>
            <w:tcW w:w="2116" w:type="dxa"/>
            <w:tcBorders/>
            <w:tcMar>
              <w:top w:w="0" w:type="dxa"/>
              <w:left w:w="0" w:type="dxa"/>
              <w:bottom w:w="0" w:type="dxa"/>
              <w:right w:w="0" w:type="dxa"/>
            </w:tcMar>
            <w:vAlign w:val="center"/>
          </w:tcPr>
          <w:p>
            <w:pPr>
              <w:pStyle w:val="TableContents"/>
              <w:bidi w:val="0"/>
              <w:spacing w:before="0" w:after="240"/>
              <w:ind w:left="0" w:right="0" w:firstLine="220"/>
              <w:jc w:val="left"/>
              <w:rPr>
                <w:rFonts w:ascii="Times New Roman" w:hAnsi="Times New Roman"/>
                <w:b/>
                <w:color w:val="2C2C2C"/>
                <w:sz w:val="24"/>
              </w:rPr>
            </w:pPr>
            <w:r>
              <w:rPr>
                <w:rFonts w:ascii="Times New Roman" w:hAnsi="Times New Roman"/>
                <w:b/>
                <w:color w:val="2C2C2C"/>
                <w:sz w:val="24"/>
              </w:rPr>
              <w:t>INTEREST RATE</w:t>
            </w:r>
          </w:p>
        </w:tc>
        <w:tc>
          <w:tcPr>
            <w:tcW w:w="8089" w:type="dxa"/>
            <w:tcBorders/>
            <w:tcMar>
              <w:top w:w="0" w:type="dxa"/>
              <w:left w:w="0" w:type="dxa"/>
              <w:bottom w:w="0" w:type="dxa"/>
              <w:right w:w="0" w:type="dxa"/>
            </w:tcMar>
            <w:vAlign w:val="center"/>
          </w:tcPr>
          <w:p>
            <w:pPr>
              <w:pStyle w:val="TableContents"/>
              <w:bidi w:val="0"/>
              <w:spacing w:before="0" w:after="240"/>
              <w:ind w:left="220" w:right="0" w:firstLine="220"/>
              <w:jc w:val="left"/>
              <w:rPr>
                <w:rFonts w:ascii="Times New Roman" w:hAnsi="Times New Roman"/>
                <w:color w:val="2C2C2C"/>
                <w:sz w:val="24"/>
              </w:rPr>
            </w:pPr>
            <w:r>
              <w:rPr>
                <w:rFonts w:ascii="Times New Roman" w:hAnsi="Times New Roman"/>
                <w:color w:val="2C2C2C"/>
                <w:sz w:val="24"/>
              </w:rPr>
              <w:t>The lesser of (i) 4% per annum above the then-current Base Rate, and (ii) the maximum rate permitted by applicable law</w:t>
            </w:r>
          </w:p>
        </w:tc>
      </w:tr>
    </w:tbl>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83" w:type="dxa"/>
        <w:jc w:val="left"/>
        <w:tblInd w:w="0" w:type="dxa"/>
        <w:tblLayout w:type="fixed"/>
        <w:tblCellMar>
          <w:top w:w="28" w:type="dxa"/>
          <w:left w:w="28" w:type="dxa"/>
          <w:bottom w:w="28" w:type="dxa"/>
          <w:right w:w="28" w:type="dxa"/>
        </w:tblCellMar>
      </w:tblPr>
      <w:tblGrid>
        <w:gridCol w:w="3172"/>
        <w:gridCol w:w="6611"/>
      </w:tblGrid>
      <w:tr>
        <w:trPr/>
        <w:tc>
          <w:tcPr>
            <w:tcW w:w="3172" w:type="dxa"/>
            <w:tcBorders/>
            <w:vAlign w:val="center"/>
          </w:tcPr>
          <w:p>
            <w:pPr>
              <w:pStyle w:val="TableContents"/>
              <w:bidi w:val="0"/>
              <w:spacing w:before="0" w:after="283"/>
              <w:jc w:val="left"/>
              <w:rPr>
                <w:sz w:val="4"/>
                <w:szCs w:val="4"/>
              </w:rPr>
            </w:pPr>
            <w:r>
              <w:rPr>
                <w:sz w:val="4"/>
                <w:szCs w:val="4"/>
              </w:rPr>
            </w:r>
          </w:p>
        </w:tc>
        <w:tc>
          <w:tcPr>
            <w:tcW w:w="6611" w:type="dxa"/>
            <w:tcBorders/>
            <w:vAlign w:val="center"/>
          </w:tcPr>
          <w:p>
            <w:pPr>
              <w:pStyle w:val="TableContents"/>
              <w:bidi w:val="0"/>
              <w:spacing w:before="0" w:after="283"/>
              <w:jc w:val="left"/>
              <w:rPr>
                <w:sz w:val="4"/>
                <w:szCs w:val="4"/>
              </w:rPr>
            </w:pPr>
            <w:r>
              <w:rPr>
                <w:sz w:val="4"/>
                <w:szCs w:val="4"/>
              </w:rPr>
            </w:r>
          </w:p>
        </w:tc>
      </w:tr>
      <w:tr>
        <w:trPr/>
        <w:tc>
          <w:tcPr>
            <w:tcW w:w="3172" w:type="dxa"/>
            <w:tcBorders/>
            <w:tcMar>
              <w:top w:w="0" w:type="dxa"/>
              <w:left w:w="0" w:type="dxa"/>
              <w:bottom w:w="0" w:type="dxa"/>
              <w:right w:w="0" w:type="dxa"/>
            </w:tcMar>
            <w:vAlign w:val="center"/>
          </w:tcPr>
          <w:p>
            <w:pPr>
              <w:pStyle w:val="TableContents"/>
              <w:bidi w:val="0"/>
              <w:spacing w:before="0" w:after="240"/>
              <w:ind w:left="0" w:right="0" w:firstLine="220"/>
              <w:jc w:val="left"/>
              <w:rPr>
                <w:rFonts w:ascii="Times New Roman" w:hAnsi="Times New Roman"/>
                <w:b/>
                <w:color w:val="2C2C2C"/>
                <w:sz w:val="24"/>
              </w:rPr>
            </w:pPr>
            <w:r>
              <w:rPr>
                <w:rFonts w:ascii="Times New Roman" w:hAnsi="Times New Roman"/>
                <w:b/>
                <w:color w:val="2C2C2C"/>
                <w:sz w:val="24"/>
              </w:rPr>
              <w:t>SECURITY DEPOSIT</w:t>
            </w:r>
          </w:p>
        </w:tc>
        <w:tc>
          <w:tcPr>
            <w:tcW w:w="6611" w:type="dxa"/>
            <w:tcBorders/>
            <w:tcMar>
              <w:top w:w="0" w:type="dxa"/>
              <w:left w:w="0" w:type="dxa"/>
              <w:bottom w:w="0" w:type="dxa"/>
              <w:right w:w="0" w:type="dxa"/>
            </w:tcMar>
            <w:vAlign w:val="center"/>
          </w:tcPr>
          <w:p>
            <w:pPr>
              <w:pStyle w:val="TableContents"/>
              <w:bidi w:val="0"/>
              <w:spacing w:before="0" w:after="240"/>
              <w:ind w:left="220" w:right="0" w:firstLine="220"/>
              <w:jc w:val="left"/>
              <w:rPr>
                <w:rFonts w:ascii="Times New Roman" w:hAnsi="Times New Roman"/>
                <w:color w:val="2C2C2C"/>
                <w:sz w:val="24"/>
              </w:rPr>
            </w:pPr>
            <w:r>
              <w:rPr>
                <w:rFonts w:ascii="Times New Roman" w:hAnsi="Times New Roman"/>
                <w:color w:val="2C2C2C"/>
                <w:sz w:val="24"/>
              </w:rPr>
              <w:t>$67,695.85, as may be reduced pursuant to the terms of Article 27</w:t>
            </w:r>
          </w:p>
        </w:tc>
      </w:tr>
      <w:tr>
        <w:trPr/>
        <w:tc>
          <w:tcPr>
            <w:tcW w:w="3172" w:type="dxa"/>
            <w:tcBorders/>
            <w:tcMar>
              <w:top w:w="0" w:type="dxa"/>
              <w:left w:w="0" w:type="dxa"/>
              <w:bottom w:w="0" w:type="dxa"/>
              <w:right w:w="0" w:type="dxa"/>
            </w:tcMar>
            <w:vAlign w:val="center"/>
          </w:tcPr>
          <w:p>
            <w:pPr>
              <w:pStyle w:val="TableContents"/>
              <w:bidi w:val="0"/>
              <w:spacing w:before="0" w:after="240"/>
              <w:ind w:left="0" w:right="0" w:firstLine="220"/>
              <w:jc w:val="left"/>
              <w:rPr>
                <w:rFonts w:ascii="Times New Roman" w:hAnsi="Times New Roman"/>
                <w:b/>
                <w:color w:val="515151"/>
                <w:sz w:val="24"/>
              </w:rPr>
            </w:pPr>
            <w:r>
              <w:rPr>
                <w:rFonts w:ascii="Times New Roman" w:hAnsi="Times New Roman"/>
                <w:b/>
                <w:color w:val="515151"/>
                <w:sz w:val="24"/>
              </w:rPr>
              <w:t>TENANT’S ADDRESS</w:t>
              <w:br/>
              <w:t>FOR NOTICES</w:t>
            </w:r>
          </w:p>
        </w:tc>
        <w:tc>
          <w:tcPr>
            <w:tcW w:w="6611" w:type="dxa"/>
            <w:tcBorders/>
            <w:tcMar>
              <w:top w:w="0" w:type="dxa"/>
              <w:left w:w="0" w:type="dxa"/>
              <w:bottom w:w="0" w:type="dxa"/>
              <w:right w:w="0" w:type="dxa"/>
            </w:tcMar>
            <w:vAlign w:val="center"/>
          </w:tcPr>
          <w:p>
            <w:pPr>
              <w:pStyle w:val="TableContents"/>
              <w:bidi w:val="0"/>
              <w:spacing w:before="0" w:after="240"/>
              <w:ind w:left="220" w:right="0" w:firstLine="220"/>
              <w:jc w:val="left"/>
              <w:rPr>
                <w:rFonts w:ascii="Times New Roman" w:hAnsi="Times New Roman"/>
                <w:color w:val="2C2C2C"/>
                <w:sz w:val="24"/>
              </w:rPr>
            </w:pPr>
            <w:r>
              <w:rPr>
                <w:rFonts w:ascii="Times New Roman" w:hAnsi="Times New Roman"/>
                <w:color w:val="2C2C2C"/>
                <w:sz w:val="24"/>
              </w:rPr>
              <w:t>Until Tenant commences business operations from the Premises:</w:t>
            </w:r>
          </w:p>
          <w:p>
            <w:pPr>
              <w:pStyle w:val="TableContents"/>
              <w:bidi w:val="0"/>
              <w:spacing w:before="0" w:after="240"/>
              <w:ind w:left="216" w:right="0" w:firstLine="220"/>
              <w:jc w:val="left"/>
              <w:rPr>
                <w:rFonts w:ascii="Times New Roman" w:hAnsi="Times New Roman"/>
                <w:color w:val="000000"/>
                <w:sz w:val="24"/>
              </w:rPr>
            </w:pPr>
            <w:r>
              <w:rPr>
                <w:rFonts w:ascii="Times New Roman" w:hAnsi="Times New Roman"/>
                <w:color w:val="000000"/>
                <w:sz w:val="24"/>
              </w:rPr>
              <w:t>Chondrial Therapeutics, Inc.</w:t>
              <w:br/>
              <w:t>150 Monument Road, Suite 207</w:t>
              <w:br/>
              <w:t>Bala Cynwyd, PA 19004</w:t>
              <w:br/>
              <w:t>Attention: Carole Ben-Maimon, MD</w:t>
            </w:r>
          </w:p>
          <w:p>
            <w:pPr>
              <w:pStyle w:val="TableContents"/>
              <w:bidi w:val="0"/>
              <w:spacing w:before="0" w:after="240"/>
              <w:ind w:left="216" w:right="0" w:firstLine="220"/>
              <w:jc w:val="left"/>
              <w:rPr>
                <w:rFonts w:ascii="Times New Roman" w:hAnsi="Times New Roman"/>
                <w:color w:val="000000"/>
                <w:sz w:val="24"/>
              </w:rPr>
            </w:pPr>
            <w:r>
              <w:rPr>
                <w:rFonts w:ascii="Times New Roman" w:hAnsi="Times New Roman"/>
                <w:color w:val="000000"/>
                <w:sz w:val="24"/>
              </w:rPr>
              <w:t>Thereafter:</w:t>
            </w:r>
          </w:p>
          <w:p>
            <w:pPr>
              <w:pStyle w:val="TableContents"/>
              <w:bidi w:val="0"/>
              <w:spacing w:before="0" w:after="240"/>
              <w:ind w:left="216" w:right="0" w:firstLine="220"/>
              <w:jc w:val="left"/>
              <w:rPr>
                <w:rFonts w:ascii="Times New Roman" w:hAnsi="Times New Roman"/>
                <w:color w:val="000000"/>
                <w:sz w:val="24"/>
              </w:rPr>
            </w:pPr>
            <w:r>
              <w:rPr>
                <w:rFonts w:ascii="Times New Roman" w:hAnsi="Times New Roman"/>
                <w:color w:val="000000"/>
                <w:sz w:val="24"/>
              </w:rPr>
              <w:t>Chondrial Therapeutics, Inc.</w:t>
              <w:br/>
              <w:t>Three Bala Plaza East, Suite 506</w:t>
              <w:br/>
              <w:t>Bala Cynwyd, PA 19004</w:t>
              <w:br/>
              <w:t>Attention: Carole Ben-Maimon, MD</w:t>
            </w:r>
          </w:p>
          <w:p>
            <w:pPr>
              <w:pStyle w:val="TableContents"/>
              <w:bidi w:val="0"/>
              <w:spacing w:before="0" w:after="240"/>
              <w:ind w:left="216" w:right="0" w:firstLine="220"/>
              <w:jc w:val="left"/>
              <w:rPr>
                <w:rFonts w:ascii="Times New Roman" w:hAnsi="Times New Roman"/>
                <w:color w:val="000000"/>
                <w:sz w:val="24"/>
              </w:rPr>
            </w:pPr>
            <w:r>
              <w:rPr>
                <w:rFonts w:ascii="Times New Roman" w:hAnsi="Times New Roman"/>
                <w:color w:val="000000"/>
                <w:sz w:val="24"/>
              </w:rPr>
              <w:t>Copy to:</w:t>
              <w:br/>
              <w:t>Lundy Beldecos &amp; Milby PC</w:t>
              <w:br/>
              <w:t>450 N Narberth Avenue</w:t>
              <w:br/>
              <w:t>Suite 200</w:t>
              <w:br/>
              <w:t>Narberth Pennsylvania 19072</w:t>
              <w:br/>
              <w:t>Attention: Anthony J. Beldecos</w:t>
              <w:br/>
              <w:t>abeldecos@LBMlaw.com</w:t>
            </w:r>
          </w:p>
        </w:tc>
      </w:tr>
      <w:tr>
        <w:trPr/>
        <w:tc>
          <w:tcPr>
            <w:tcW w:w="3172" w:type="dxa"/>
            <w:tcBorders/>
            <w:tcMar>
              <w:top w:w="0" w:type="dxa"/>
              <w:left w:w="0" w:type="dxa"/>
              <w:bottom w:w="0" w:type="dxa"/>
              <w:right w:w="0" w:type="dxa"/>
            </w:tcMar>
            <w:vAlign w:val="center"/>
          </w:tcPr>
          <w:p>
            <w:pPr>
              <w:pStyle w:val="TableContents"/>
              <w:bidi w:val="0"/>
              <w:spacing w:before="0" w:after="240"/>
              <w:ind w:left="0" w:right="0" w:firstLine="216"/>
              <w:jc w:val="left"/>
              <w:rPr>
                <w:rFonts w:ascii="Times New Roman" w:hAnsi="Times New Roman"/>
                <w:b/>
                <w:color w:val="000000"/>
                <w:sz w:val="24"/>
              </w:rPr>
            </w:pPr>
            <w:r>
              <w:rPr>
                <w:rFonts w:ascii="Times New Roman" w:hAnsi="Times New Roman"/>
                <w:b/>
                <w:color w:val="000000"/>
                <w:sz w:val="24"/>
              </w:rPr>
              <w:t>LANDLORD’S ADDRESS</w:t>
              <w:br/>
              <w:t>FOR NOTICES</w:t>
            </w:r>
          </w:p>
        </w:tc>
        <w:tc>
          <w:tcPr>
            <w:tcW w:w="6611" w:type="dxa"/>
            <w:tcBorders/>
            <w:tcMar>
              <w:top w:w="0" w:type="dxa"/>
              <w:left w:w="0" w:type="dxa"/>
              <w:bottom w:w="0" w:type="dxa"/>
              <w:right w:w="0" w:type="dxa"/>
            </w:tcMar>
            <w:vAlign w:val="center"/>
          </w:tcPr>
          <w:p>
            <w:pPr>
              <w:pStyle w:val="TableContents"/>
              <w:bidi w:val="0"/>
              <w:spacing w:before="0" w:after="240"/>
              <w:ind w:left="216" w:right="0" w:firstLine="216"/>
              <w:jc w:val="left"/>
              <w:rPr>
                <w:rFonts w:ascii="Times New Roman" w:hAnsi="Times New Roman"/>
                <w:color w:val="000000"/>
                <w:sz w:val="24"/>
              </w:rPr>
            </w:pPr>
            <w:r>
              <w:rPr>
                <w:rFonts w:ascii="Times New Roman" w:hAnsi="Times New Roman"/>
                <w:color w:val="000000"/>
                <w:sz w:val="24"/>
              </w:rPr>
              <w:t>Bala Plaza Property, Inc.</w:t>
              <w:br/>
              <w:t>c/o Tishman Speyer Properties, L.P.</w:t>
              <w:br/>
              <w:t>45 Rockefeller Plaza</w:t>
              <w:br/>
              <w:t>New York, New York 10111</w:t>
              <w:br/>
              <w:t>Attn: Chief Financial Officer</w:t>
            </w:r>
          </w:p>
          <w:p>
            <w:pPr>
              <w:pStyle w:val="TableContents"/>
              <w:bidi w:val="0"/>
              <w:spacing w:before="0" w:after="240"/>
              <w:ind w:left="216" w:right="0" w:firstLine="216"/>
              <w:jc w:val="left"/>
              <w:rPr>
                <w:rFonts w:ascii="Times New Roman" w:hAnsi="Times New Roman"/>
                <w:color w:val="000000"/>
                <w:sz w:val="24"/>
              </w:rPr>
            </w:pPr>
            <w:r>
              <w:rPr>
                <w:rFonts w:ascii="Times New Roman" w:hAnsi="Times New Roman"/>
                <w:color w:val="000000"/>
                <w:sz w:val="24"/>
              </w:rPr>
              <w:t>Copies to:</w:t>
            </w:r>
          </w:p>
          <w:p>
            <w:pPr>
              <w:pStyle w:val="TableContents"/>
              <w:bidi w:val="0"/>
              <w:spacing w:before="0" w:after="240"/>
              <w:ind w:left="216" w:right="0" w:firstLine="216"/>
              <w:jc w:val="left"/>
              <w:rPr>
                <w:rFonts w:ascii="Times New Roman" w:hAnsi="Times New Roman"/>
                <w:color w:val="000000"/>
                <w:sz w:val="24"/>
              </w:rPr>
            </w:pPr>
            <w:r>
              <w:rPr>
                <w:rFonts w:ascii="Times New Roman" w:hAnsi="Times New Roman"/>
                <w:color w:val="000000"/>
                <w:sz w:val="24"/>
              </w:rPr>
              <w:t>Bala Plaza Property, Inc.</w:t>
              <w:br/>
              <w:t>c/o Tishman Speyer Properties, L.P.</w:t>
              <w:br/>
              <w:t>One Bala Plaza</w:t>
              <w:br/>
              <w:t>Suite 501</w:t>
              <w:br/>
              <w:t>Bala Cynwyd, Pennsylvania 19004</w:t>
              <w:br/>
              <w:t>Attention Property Manager</w:t>
              <w:br/>
              <w:t>and:</w:t>
            </w:r>
          </w:p>
          <w:p>
            <w:pPr>
              <w:pStyle w:val="TableContents"/>
              <w:bidi w:val="0"/>
              <w:spacing w:before="0" w:after="240"/>
              <w:ind w:left="216" w:right="0" w:firstLine="216"/>
              <w:jc w:val="left"/>
              <w:rPr>
                <w:rFonts w:ascii="Times New Roman" w:hAnsi="Times New Roman"/>
                <w:color w:val="000000"/>
                <w:sz w:val="24"/>
              </w:rPr>
            </w:pPr>
            <w:r>
              <w:rPr>
                <w:rFonts w:ascii="Times New Roman" w:hAnsi="Times New Roman"/>
                <w:color w:val="000000"/>
                <w:sz w:val="24"/>
              </w:rPr>
              <w:t>Tishman Speyer Properties, L.P.</w:t>
              <w:br/>
              <w:t>45 Rockefeller Plaza</w:t>
              <w:br/>
              <w:t>New York, New York 10111</w:t>
              <w:br/>
              <w:t>Attn: Chief Legal Officer</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sz w:val="4"/>
                <w:szCs w:val="4"/>
              </w:rPr>
            </w:pPr>
            <w:r>
              <w:rPr>
                <w:sz w:val="4"/>
                <w:szCs w:val="4"/>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tcMar>
              <w:top w:w="0" w:type="dxa"/>
              <w:left w:w="0" w:type="dxa"/>
              <w:bottom w:w="0" w:type="dxa"/>
              <w:right w:w="0" w:type="dxa"/>
            </w:tcMar>
            <w:vAlign w:val="center"/>
          </w:tcPr>
          <w:p>
            <w:pPr>
              <w:pStyle w:val="TableContents"/>
              <w:bidi w:val="0"/>
              <w:spacing w:before="0" w:after="240"/>
              <w:ind w:left="0" w:right="0" w:firstLine="216"/>
              <w:jc w:val="left"/>
              <w:rPr>
                <w:rFonts w:ascii="Times New Roman" w:hAnsi="Times New Roman"/>
                <w:b/>
                <w:color w:val="000000"/>
                <w:sz w:val="24"/>
              </w:rPr>
            </w:pPr>
            <w:r>
              <w:rPr>
                <w:rFonts w:ascii="Times New Roman" w:hAnsi="Times New Roman"/>
                <w:b/>
                <w:color w:val="000000"/>
                <w:sz w:val="24"/>
              </w:rPr>
              <w:t>LANDLORD’S ADDRESS</w:t>
              <w:br/>
              <w:t>FOR PAYMENT</w:t>
            </w:r>
          </w:p>
        </w:tc>
        <w:tc>
          <w:tcPr>
            <w:tcW w:w="8024" w:type="dxa"/>
            <w:tcBorders/>
            <w:tcMar>
              <w:top w:w="0" w:type="dxa"/>
              <w:left w:w="0" w:type="dxa"/>
              <w:bottom w:w="0" w:type="dxa"/>
              <w:right w:w="0" w:type="dxa"/>
            </w:tcMar>
            <w:vAlign w:val="center"/>
          </w:tcPr>
          <w:p>
            <w:pPr>
              <w:pStyle w:val="TableContents"/>
              <w:bidi w:val="0"/>
              <w:spacing w:before="0" w:after="240"/>
              <w:ind w:left="216" w:right="0" w:firstLine="216"/>
              <w:jc w:val="left"/>
              <w:rPr>
                <w:rFonts w:ascii="Times New Roman" w:hAnsi="Times New Roman"/>
                <w:color w:val="000000"/>
                <w:sz w:val="24"/>
              </w:rPr>
            </w:pPr>
            <w:r>
              <w:rPr>
                <w:rFonts w:ascii="Times New Roman" w:hAnsi="Times New Roman"/>
                <w:color w:val="000000"/>
                <w:sz w:val="24"/>
              </w:rPr>
              <w:t>Bala Plaza Property, Inc.</w:t>
              <w:br/>
              <w:t>c/o Tishman Speyer Properties, L.P.</w:t>
              <w:br/>
              <w:t>75 Remittance Drive</w:t>
              <w:br/>
              <w:t>Suite 1152</w:t>
              <w:br/>
              <w:t>Chicago, Illinois 60675-1152</w:t>
            </w:r>
          </w:p>
        </w:tc>
      </w:tr>
      <w:tr>
        <w:trPr/>
        <w:tc>
          <w:tcPr>
            <w:tcW w:w="2181"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240" w:after="240"/>
              <w:ind w:left="0" w:right="0" w:firstLine="216"/>
              <w:jc w:val="left"/>
              <w:rPr>
                <w:rFonts w:ascii="Times New Roman" w:hAnsi="Times New Roman"/>
                <w:b/>
                <w:color w:val="2C2C2C"/>
                <w:sz w:val="24"/>
              </w:rPr>
            </w:pPr>
            <w:r>
              <w:rPr>
                <w:rFonts w:ascii="Times New Roman" w:hAnsi="Times New Roman"/>
                <w:b/>
                <w:color w:val="2C2C2C"/>
                <w:sz w:val="24"/>
              </w:rPr>
              <w:t>TENANT’S BROKER</w:t>
            </w:r>
          </w:p>
        </w:tc>
        <w:tc>
          <w:tcPr>
            <w:tcW w:w="8024" w:type="dxa"/>
            <w:tcBorders/>
            <w:tcMar>
              <w:top w:w="0" w:type="dxa"/>
              <w:left w:w="0" w:type="dxa"/>
              <w:bottom w:w="0" w:type="dxa"/>
              <w:right w:w="0" w:type="dxa"/>
            </w:tcMar>
            <w:vAlign w:val="center"/>
          </w:tcPr>
          <w:p>
            <w:pPr>
              <w:pStyle w:val="TableContents"/>
              <w:bidi w:val="0"/>
              <w:spacing w:before="0" w:after="240"/>
              <w:ind w:left="216" w:right="0" w:firstLine="216"/>
              <w:jc w:val="both"/>
              <w:rPr/>
            </w:pPr>
            <w:r>
              <w:rPr/>
              <w:t> </w:t>
            </w:r>
          </w:p>
          <w:p>
            <w:pPr>
              <w:pStyle w:val="TableContents"/>
              <w:bidi w:val="0"/>
              <w:spacing w:before="240" w:after="240"/>
              <w:ind w:left="216" w:right="0" w:firstLine="216"/>
              <w:jc w:val="both"/>
              <w:rPr>
                <w:rFonts w:ascii="Times New Roman" w:hAnsi="Times New Roman"/>
                <w:color w:val="2C2C2C"/>
                <w:sz w:val="24"/>
              </w:rPr>
            </w:pPr>
            <w:r>
              <w:rPr>
                <w:rFonts w:ascii="Times New Roman" w:hAnsi="Times New Roman"/>
                <w:color w:val="2C2C2C"/>
                <w:sz w:val="24"/>
              </w:rPr>
              <w:t>Tactix Real Estate Advisors, LLC</w:t>
            </w:r>
          </w:p>
        </w:tc>
      </w:tr>
      <w:tr>
        <w:trPr/>
        <w:tc>
          <w:tcPr>
            <w:tcW w:w="2181" w:type="dxa"/>
            <w:tcBorders/>
            <w:tcMar>
              <w:top w:w="0" w:type="dxa"/>
              <w:left w:w="0" w:type="dxa"/>
              <w:bottom w:w="0" w:type="dxa"/>
              <w:right w:w="0" w:type="dxa"/>
            </w:tcMar>
            <w:vAlign w:val="center"/>
          </w:tcPr>
          <w:p>
            <w:pPr>
              <w:pStyle w:val="TableContents"/>
              <w:bidi w:val="0"/>
              <w:spacing w:before="0" w:after="240"/>
              <w:ind w:left="0" w:right="0" w:firstLine="216"/>
              <w:jc w:val="left"/>
              <w:rPr>
                <w:rFonts w:ascii="Times New Roman" w:hAnsi="Times New Roman"/>
                <w:b/>
                <w:color w:val="2C2C2C"/>
                <w:sz w:val="24"/>
              </w:rPr>
            </w:pPr>
            <w:r>
              <w:rPr>
                <w:rFonts w:ascii="Times New Roman" w:hAnsi="Times New Roman"/>
                <w:b/>
                <w:color w:val="2C2C2C"/>
                <w:sz w:val="24"/>
              </w:rPr>
              <w:t>LANDLORD’S AGENT</w:t>
            </w:r>
          </w:p>
        </w:tc>
        <w:tc>
          <w:tcPr>
            <w:tcW w:w="8024" w:type="dxa"/>
            <w:tcBorders/>
            <w:tcMar>
              <w:top w:w="0" w:type="dxa"/>
              <w:left w:w="0" w:type="dxa"/>
              <w:bottom w:w="0" w:type="dxa"/>
              <w:right w:w="0" w:type="dxa"/>
            </w:tcMar>
            <w:vAlign w:val="center"/>
          </w:tcPr>
          <w:p>
            <w:pPr>
              <w:pStyle w:val="TableContents"/>
              <w:bidi w:val="0"/>
              <w:spacing w:before="0" w:after="240"/>
              <w:ind w:left="216" w:right="0" w:firstLine="216"/>
              <w:jc w:val="both"/>
              <w:rPr>
                <w:rFonts w:ascii="Times New Roman" w:hAnsi="Times New Roman"/>
                <w:color w:val="2C2C2C"/>
                <w:sz w:val="24"/>
              </w:rPr>
            </w:pPr>
            <w:r>
              <w:rPr>
                <w:rFonts w:ascii="Times New Roman" w:hAnsi="Times New Roman"/>
                <w:color w:val="2C2C2C"/>
                <w:sz w:val="24"/>
              </w:rPr>
              <w:t>Tishman Speyer Properties, L.P. or any other person designated at any time and from time to time by Landlord as Landlord’s Agent and their successors and assigns</w:t>
            </w:r>
          </w:p>
        </w:tc>
      </w:tr>
      <w:tr>
        <w:trPr/>
        <w:tc>
          <w:tcPr>
            <w:tcW w:w="2181"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b/>
                <w:color w:val="2C2C2C"/>
                <w:sz w:val="24"/>
              </w:rPr>
            </w:pPr>
            <w:r>
              <w:rPr>
                <w:rFonts w:ascii="Times New Roman" w:hAnsi="Times New Roman"/>
                <w:b/>
                <w:color w:val="2C2C2C"/>
                <w:sz w:val="24"/>
              </w:rPr>
              <w:t>GROUND LEASE</w:t>
            </w:r>
          </w:p>
        </w:tc>
        <w:tc>
          <w:tcPr>
            <w:tcW w:w="8024" w:type="dxa"/>
            <w:tcBorders/>
            <w:tcMar>
              <w:top w:w="0" w:type="dxa"/>
              <w:left w:w="0" w:type="dxa"/>
              <w:bottom w:w="0" w:type="dxa"/>
              <w:right w:w="0" w:type="dxa"/>
            </w:tcMar>
            <w:vAlign w:val="center"/>
          </w:tcPr>
          <w:p>
            <w:pPr>
              <w:pStyle w:val="TableContents"/>
              <w:bidi w:val="0"/>
              <w:spacing w:before="0" w:after="283"/>
              <w:ind w:left="216" w:right="0" w:firstLine="216"/>
              <w:jc w:val="both"/>
              <w:rPr>
                <w:rFonts w:ascii="Times New Roman" w:hAnsi="Times New Roman"/>
                <w:color w:val="2C2C2C"/>
                <w:sz w:val="24"/>
              </w:rPr>
            </w:pPr>
            <w:r>
              <w:rPr>
                <w:rFonts w:ascii="Times New Roman" w:hAnsi="Times New Roman"/>
                <w:color w:val="2C2C2C"/>
                <w:sz w:val="24"/>
              </w:rPr>
              <w:t>That certain Ground Lease dated December 10, 2003 between Bala Plaza, Inc. (“Prime Landlord”), as fee owner and ground landlord, and Bala Plaza Property, Inc., as ground tenant, pursuant to which Landlord has acquired the right to use and operate the Complex, including, without limitation, entering into leases for space in the Building, as the same may be amended from time to time.</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capitalized terms used in this Lease without definition are defined in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w:t>
      </w:r>
      <w:r>
        <w:rPr>
          <w:rFonts w:ascii="Times New Roman" w:hAnsi="Times New Roman"/>
          <w:color w:val="000000"/>
          <w:sz w:val="24"/>
        </w:rPr>
        <w:br/>
        <w:br/>
      </w:r>
      <w:r>
        <w:rPr>
          <w:rFonts w:ascii="Times New Roman" w:hAnsi="Times New Roman"/>
          <w:b/>
          <w:color w:val="2C2C2C"/>
          <w:sz w:val="24"/>
        </w:rPr>
        <w:t>PREMISES, TERM, RENT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2.1 Lease of Premises. </w:t>
      </w:r>
      <w:r>
        <w:rPr>
          <w:rFonts w:ascii="Times New Roman" w:hAnsi="Times New Roman"/>
          <w:color w:val="000000"/>
          <w:sz w:val="24"/>
        </w:rPr>
        <w:t>Subject to the terms of this Lease, Landlord leases to Tenant and Tenant leases from Landlord the Premises for the Term. In addition, Landlord grants to Tenant the right to use, on a non-exclusive basis and in common with other tenants, the Common Areas.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2.2 Commencement Date. </w:t>
      </w:r>
      <w:r>
        <w:rPr>
          <w:rFonts w:ascii="Times New Roman" w:hAnsi="Times New Roman"/>
          <w:color w:val="000000"/>
          <w:sz w:val="24"/>
        </w:rPr>
        <w:t>Upon the Effective Date, the terms and provisions of this Lease shall be fully binding on Landlord and Tenant, including prior to the occurrence of the Commencement Date. The Term of this Lease shall commence on the Commencement Date and, unless sooner terminated or extended as hereinafter provided, shall end on the Expiration Date. If Landlord does not tender possession of the Premises to Tenant on or before any specified date, for any reason whatsoever, Landlord shall not be liable for any damage thereby caused, this Lease shall not be void or voidable thereby, and the Term shall not commence until Landlord tenders possession of the Premises to Tenant. Landlord shall be deemed to have tendered possession of the Premises to Tenant upon the giving of notice by Landlord to Tenant stating that the Premises are vacant, in the condition required by this Lease and available for Tenant’s occupancy. No failure to tender possession of the Premises to Tenant on or before any specified date shall affect any other obligations of Tenant hereunder. There shall be no postponement of the Commencement Date (or the Rent Commencement Date) for (i) any delay in the tender of possession to Tenant which results from any Tenant Delay or (ii) any delays by Landlord in the performance of any Punch List Items related to the Initial Installations. Once the Commencement Date is determined, Landlord and Tenant shall execute an agreement stating the Commencement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Date, Rent Commencement Date and Expiration Date, but the failure to do so will not affect the determination of such dates. Notwithstanding anything to the contrary contained in this Lease, Tenant and Landlord hereby agree that if the Commencement Date shall not have occurred within nine (9) months following the Effective Date, as may be extended by Unavoidable Delays and Tenant Delays, Tenant may terminate this Lease by giving written notice to Landlord in which case this Lease shall terminate and neither party shall have any further liability to the other except </w:t>
      </w:r>
      <w:r>
        <w:rPr>
          <w:rFonts w:ascii="Times New Roman" w:hAnsi="Times New Roman"/>
          <w:color w:val="2C2C2C"/>
          <w:sz w:val="24"/>
        </w:rPr>
        <w:t>(i) those obligations expressly intended to survive the termination of this Lease, and (ii) an obligation on the part of Landlord to return to Tenant any amounts deposited by Tenant under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2.3 Payment of Rent. </w:t>
      </w:r>
      <w:r>
        <w:rPr>
          <w:rFonts w:ascii="Times New Roman" w:hAnsi="Times New Roman"/>
          <w:color w:val="000000"/>
          <w:sz w:val="24"/>
        </w:rPr>
        <w:t>Tenant shall pay to Landlord at Landlord’s Address for Payment or at such other place as Landlord shall designate in writing from time to time, without notice or demand, and without any set-off, counterclaim, abatement or deduction whatsoever, except as may be expressly set forth in this Lease, in lawful money of the United States by wire transfer of funds or by good check (i) Fixed Rent in equal monthly installments, in advance, on the first day of each month during the Term, commencing on the Rent Commencement Date, and (ii) Additional Rent, at the times and in the manner set forth in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2.4 First Month’s Rent. </w:t>
      </w:r>
      <w:r>
        <w:rPr>
          <w:rFonts w:ascii="Times New Roman" w:hAnsi="Times New Roman"/>
          <w:color w:val="000000"/>
          <w:sz w:val="24"/>
        </w:rPr>
        <w:t xml:space="preserve">Tenant shall pay one month’s Fixed Rent on or prior to the Commencement Date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Advance Rent</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If the Rent Commencement Date is on the first day of a month, the Advance Rent shall be credited towards the first month’s Fixed Rent payment. If the Rent Commencement Date is not the first day of a month, then on the Rent Commencement Date Tenant shall pay Fixed Rent for the period from the Rent Commencement Date through the last day of such month, and the Advance Rent shall be credited towards Fixed Rent for the next succeeding calendar month.</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2.5 Area </w:t>
      </w:r>
      <w:r>
        <w:rPr>
          <w:rFonts w:ascii="Times New Roman" w:hAnsi="Times New Roman"/>
          <w:color w:val="000000"/>
          <w:sz w:val="24"/>
        </w:rPr>
        <w:t xml:space="preserve">of </w:t>
      </w:r>
      <w:r>
        <w:rPr>
          <w:rFonts w:ascii="Times New Roman" w:hAnsi="Times New Roman"/>
          <w:b/>
          <w:color w:val="000000"/>
          <w:sz w:val="24"/>
        </w:rPr>
        <w:t xml:space="preserve">Premises and Building. </w:t>
      </w:r>
      <w:r>
        <w:rPr>
          <w:rFonts w:ascii="Times New Roman" w:hAnsi="Times New Roman"/>
          <w:color w:val="000000"/>
          <w:sz w:val="24"/>
        </w:rPr>
        <w:t>Landlord and Tenant agree that the Area of the Premises and the Area of the Building set forth in Article 1 shall be conclusive and binding on both parties regardless of any measurement of the Premises and/or of the Building after the date hereof.</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3</w:t>
      </w:r>
      <w:r>
        <w:rPr>
          <w:rFonts w:ascii="Times New Roman" w:hAnsi="Times New Roman"/>
          <w:color w:val="000000"/>
          <w:sz w:val="24"/>
        </w:rPr>
        <w:br/>
        <w:br/>
      </w:r>
      <w:r>
        <w:rPr>
          <w:rFonts w:ascii="Times New Roman" w:hAnsi="Times New Roman"/>
          <w:b/>
          <w:color w:val="2C2C2C"/>
          <w:sz w:val="24"/>
        </w:rPr>
        <w:t>USE AND OCCUPANCY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3.1 Permitted Uses. </w:t>
      </w:r>
      <w:r>
        <w:rPr>
          <w:rFonts w:ascii="Times New Roman" w:hAnsi="Times New Roman"/>
          <w:color w:val="000000"/>
          <w:sz w:val="24"/>
        </w:rPr>
        <w:t>Tenant shall use and occupy the Premises for the Permitted Uses and for no other purpose. Tenant shall not use or occupy or permit the use or occupancy of any part of the Premises in a manner constituting a Prohibited Use. If Tenant uses the Premises for a purpose constituting a Prohibited Use, violating any Requirement, or causing the Building to be in violation of any Requirement, then Tenant shall promptly discontinue such use upon notice of such violation. Tenant, at its expense, shall procure and at all times maintain and comply with the terms and conditions of all licenses and permits required for the lawful conduct of the Permitted Uses in the Premises.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3.2 Parking. </w:t>
      </w:r>
      <w:r>
        <w:rPr>
          <w:rFonts w:ascii="Times New Roman" w:hAnsi="Times New Roman"/>
          <w:color w:val="000000"/>
          <w:sz w:val="24"/>
        </w:rPr>
        <w:t>If the Property now or hereafter contains, or Landlord has obtained the right to use for the Property, a parking garage, structure, facility or area, the following shall apply therein:</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Parking shall be available in areas designated by Landlord from time to time.- Parking for Tenant and its employees and visitors shall be on a “first come, first served,” unassigned basis, in common with Landlord and other tenants at the Property, and their employees and visitors, and other persons to whom Landlord shall grant the right or who shall otherwise have the right to use the same. However, in no event shall Tenant and Tenant’s employees and visitors use more spaces than the number derived by applying Tenant’s Proportionate Share (as defined in this Lease) to the total number of unassigned spaces in the area or areas designated by Landlord from time to time to serve the Premises. In addition, Landlord reserves the right to: (x) adopt additional requirements or procedures pertaining to parking, including systems with charges favoring carpooling, and validation systems, (y) assign specific spaces, and reserve spaces for small and other size cars, disabled persons, and other tenants, customers of tenants or other parties, and (z) restrict or prohibit full-size vans and other large vehicles.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Monthly fees, if applicable, shall be paid in advance prior to the first day of each month. Failure to do so will automatically cancel parking privileges, and incur a charge at the posted daily parking rate. No deductions from the monthly rate will be made for days on which the garage or parking area facilities are not used by Tenant or its designees. In case of any violation of these rules, Landlord may also refuse to permit the violator to park, and may remove the vehicle owned or driven by the violator from the Property without liability whatsoever, at such violator’s risk and expense. Landlord reserves the right to close all or a portion of the parking areas or facilities in order to make repairs or perform maintenance services, or to alter, modify, re-stripe or renovate the same, or if required by casualty, strike, condemnation, act of God, Requirements, termination or modification of any lease or other agreement by which Landlord obtained parking rights, or any other reason beyond Landlord’s reasonable control. In the event access is denied for any reason, any monthly parking charges shall be abated to the extent access is denied, as Tenant’s sole recourse.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Hours shall be reasonably established by Landlord or its parking operator from time to time; cars must be parked entirely within the stall lines, and only small or other qualifying cars may be parked in areas reserved for such cars; all directional signs, arrows and speed limits must be observed; spaces reserved for disabled persons must be used only by vehicles properly designated; washing, waxing, cleaning or servicing of any vehicle is prohibited; every parker is required to park and lock his own car, except to the extent that Landlord adopts a valet parking system; parking is prohibited in areas: (a) not striped or designated for parking, (b) aisles, (c) where “no parking” signs are posted, (d) on ramps, and (e) loading areas and other specially designated areas. Any vehicle not parked in a proper manner may be issued a violation and towed at the vehicle owner’s expense. Delivery trucks and vehicles shall use only those areas designated therefor.</w:t>
      </w:r>
    </w:p>
    <w:p>
      <w:pPr>
        <w:pStyle w:val="TextBody"/>
        <w:bidi w:val="0"/>
        <w:spacing w:before="0" w:after="240"/>
        <w:jc w:val="both"/>
        <w:rPr>
          <w:rFonts w:ascii="Times New Roman" w:hAnsi="Times New Roman"/>
          <w:sz w:val="20"/>
        </w:rPr>
      </w:pPr>
      <w:r>
        <w:rPr>
          <w:rFonts w:ascii="Times New Roman" w:hAnsi="Times New Roman"/>
          <w:color w:val="000000"/>
          <w:sz w:val="24"/>
        </w:rPr>
        <w:t>(d) There shall be no overnight parking at the Property, and at the end of each day Tenant shall, and shall cause its personnel and visitors to, remove their automobiles from the parking garages, structures, facilities and areas at or serving the Property. If any automobile owned by Tenant or by its personnel or visitors remains in any such parking garage, structure, facility or area overnight and the same interferes with the cleaning or maintenance thereof (snow or otherwise), any costs or liabilities incurred by Landlord in removing said automobile to effectuate cleaning or maintenance, or any damages resulting to said automobile or to Landlord’s equipment or equipment owned by others by reason of the presence of or removal of said automobile during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cleaning or maintenance shall be paid by Tenant to Landlord, as Additional Rent, on the rent payment date next following the submission of a bill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Parking stickers, key cards or any other devices or forms of identification or entry shall remain the property of Landlord. Such devices must be displayed as requested and may not be mutilated in any manner. The serial number of the parking identification device may not be obliterated. Devices are not transferable and any device in the possession of an unauthorized holder will be void. If an employee of Tenant has more than one vehicle, he or she may use the same parking device for all registered vehicles. Such employee may also purchase additional parking devices. In any event, all vehicles must be registered with Landlord or any garage manager. Loss or theft of parking identification, key cards or other such devices must be reported to Landlord or any garage manager immediately. Any parking devices reported lost or stolen which are found on any unauthorized car will be confiscated and the illegal holder will be subject to prosecution. Lost or stolen devices found by Tenant or its employees must be reported to Landlord or the office of the garage immediately. If an employee of Tenant does not have his or her card, he or she should obtain a one-day visitor pass from the Landlord or garage manager.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Tenant agrees that it and its employees shall observe reasonable safety precautions in the use of the parking areas or facilities garage and shall at all times abide by the foregoing rules and regulations as well as any additional rules and regulations promulgated by Landlord governing the use of the parking areas or facilities. It is understood and agreed that Landlord does not assume any responsibility for any damage or loss to any parked automobiles or to any personal property located therein, or for any injury sustained by any person in or about the parking areas or facilities. Except in connection with a permitted assignment of this Lease or a permitted sublease of the Premises or a portion thereof, neither Tenant nor any Tenant employee nor any other party claiming by, through or under Tenant shall assign, sublet, license or otherwise transfer or allow the use of any of Tenant’s parking rights under this Lease.</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4</w:t>
      </w:r>
      <w:r>
        <w:rPr>
          <w:rFonts w:ascii="Times New Roman" w:hAnsi="Times New Roman"/>
          <w:color w:val="000000"/>
          <w:sz w:val="24"/>
        </w:rPr>
        <w:br/>
        <w:br/>
      </w:r>
      <w:r>
        <w:rPr>
          <w:rFonts w:ascii="Times New Roman" w:hAnsi="Times New Roman"/>
          <w:b/>
          <w:color w:val="2C2C2C"/>
          <w:sz w:val="24"/>
        </w:rPr>
        <w:t>CONDITION OF THE PREMISES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4.1 Condition. </w:t>
      </w:r>
      <w:r>
        <w:rPr>
          <w:rFonts w:ascii="Times New Roman" w:hAnsi="Times New Roman"/>
          <w:color w:val="000000"/>
          <w:sz w:val="24"/>
        </w:rPr>
        <w:t xml:space="preserve">Tenant has inspected the Premises and agrees (a) to accept possession of the Premises in the condition existing on the Commencement Date “as is”, and (b) that except for the Initial Installations described in </w:t>
      </w:r>
      <w:r>
        <w:rPr>
          <w:rFonts w:ascii="Times New Roman" w:hAnsi="Times New Roman"/>
          <w:color w:val="000000"/>
          <w:sz w:val="24"/>
          <w:u w:val="single"/>
        </w:rPr>
        <w:t>Exhibit C</w:t>
      </w:r>
      <w:r>
        <w:rPr>
          <w:rFonts w:ascii="Times New Roman" w:hAnsi="Times New Roman"/>
          <w:color w:val="000000"/>
          <w:sz w:val="24"/>
        </w:rPr>
        <w:t xml:space="preserve">, Landlord has no obligation to perform any work, supply any materials, incur any expense or make any alterations or improvements to prepare the Premises for Tenant’s occupancy. Tenant’s occupancy of any part of the Premises shall be conclusive evidence, as against Tenant, that Landlord has Substantially Completed the Initial Installations described on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(excluding Punch List Items) and that Tenant has accepted possession of the Premises in its then current condition and at the time such possession was taken, the Premises and the Building were in a good and satisfactory condition as required by this Lease.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00"/>
        <w:jc w:val="center"/>
        <w:rPr>
          <w:rFonts w:ascii="Times New Roman" w:hAnsi="Times New Roman"/>
          <w:sz w:val="20"/>
        </w:rPr>
      </w:pPr>
      <w:r>
        <w:rPr>
          <w:rFonts w:ascii="Times New Roman" w:hAnsi="Times New Roman"/>
          <w:b/>
          <w:caps/>
          <w:color w:val="000000"/>
          <w:sz w:val="24"/>
        </w:rPr>
        <w:t>ARTICLE 5</w:t>
      </w:r>
      <w:r>
        <w:rPr>
          <w:rFonts w:ascii="Times New Roman" w:hAnsi="Times New Roman"/>
          <w:color w:val="000000"/>
          <w:sz w:val="24"/>
        </w:rPr>
        <w:br/>
        <w:br/>
      </w:r>
      <w:r>
        <w:rPr>
          <w:rFonts w:ascii="Times New Roman" w:hAnsi="Times New Roman"/>
          <w:b/>
          <w:color w:val="2C2C2C"/>
          <w:sz w:val="24"/>
        </w:rPr>
        <w:t>ALTERATIONS</w:t>
      </w:r>
    </w:p>
    <w:p>
      <w:pPr>
        <w:pStyle w:val="TextBody"/>
        <w:bidi w:val="0"/>
        <w:spacing w:before="0" w:after="240"/>
        <w:jc w:val="both"/>
        <w:rPr>
          <w:rFonts w:ascii="Times New Roman" w:hAnsi="Times New Roman"/>
          <w:sz w:val="20"/>
        </w:rPr>
      </w:pPr>
      <w:r>
        <w:rPr>
          <w:rFonts w:ascii="Times New Roman" w:hAnsi="Times New Roman"/>
          <w:b/>
          <w:color w:val="000000"/>
          <w:sz w:val="24"/>
        </w:rPr>
        <w:t>Section 5.1 Tenant’s Alterations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Tenant shall not make any alterations, additions or other physical changes in or about the Premises, including without limitation any initial tenant fit-out work to ready the Premises for Tenant’s occupancy (collectively, “</w:t>
      </w:r>
      <w:r>
        <w:rPr>
          <w:rFonts w:ascii="Times New Roman" w:hAnsi="Times New Roman"/>
          <w:b/>
          <w:color w:val="000000"/>
          <w:sz w:val="24"/>
        </w:rPr>
        <w:t>Alterations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other than decorative Alterations such as painting, wall coverings and floor coverings (collectively, “</w:t>
      </w:r>
      <w:r>
        <w:rPr>
          <w:rFonts w:ascii="Times New Roman" w:hAnsi="Times New Roman"/>
          <w:b/>
          <w:color w:val="000000"/>
          <w:sz w:val="24"/>
        </w:rPr>
        <w:t>Decorative Alterations</w:t>
      </w:r>
      <w:r>
        <w:rPr>
          <w:rFonts w:ascii="Times New Roman" w:hAnsi="Times New Roman"/>
          <w:color w:val="000000"/>
          <w:sz w:val="20"/>
        </w:rPr>
        <w:t>”</w:t>
      </w:r>
      <w:r>
        <w:rPr>
          <w:rFonts w:ascii="Times New Roman" w:hAnsi="Times New Roman"/>
          <w:color w:val="000000"/>
          <w:sz w:val="24"/>
        </w:rPr>
        <w:t>), without Landlord’s prior consent, which consent shall not be unreasonably withheld if such Alterations (i) are non-structural and do not affect any Building Systems, (ii) affect only the Premises and are not visible from outside of the Premises, (iii) do not affect the letter of compliance issued for the Building or the Premises, and (iv) do not violate any Requirement. Tenant shall give Landlord not less than 5 Business Days’ notice prior to performing any Decorative Alteration, which notice shall contain a description of such Decorative Alteration.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 xml:space="preserve">Plans and Specifications. </w:t>
      </w:r>
      <w:r>
        <w:rPr>
          <w:rFonts w:ascii="Times New Roman" w:hAnsi="Times New Roman"/>
          <w:color w:val="000000"/>
          <w:sz w:val="24"/>
        </w:rPr>
        <w:t xml:space="preserve">Prior to making any Alterations, Tenant, at its expense, shall </w:t>
      </w:r>
      <w:r>
        <w:rPr>
          <w:rFonts w:ascii="Times New Roman" w:hAnsi="Times New Roman"/>
          <w:b/>
          <w:color w:val="000000"/>
          <w:sz w:val="24"/>
        </w:rPr>
        <w:t>(</w:t>
      </w:r>
      <w:r>
        <w:rPr>
          <w:rFonts w:ascii="Times New Roman" w:hAnsi="Times New Roman"/>
          <w:color w:val="000000"/>
          <w:sz w:val="24"/>
        </w:rPr>
        <w:t xml:space="preserve">i) submit to Landlord for its approval, detailed plans and specifications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Plans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of each proposed Alteration (other than Decorative Alterations), and with respect to any Alteration affecting any Building System, evidence that the Alteration has been designed by, or reviewed and approved by, Landlord’s designated engineer for the affected Building System, (ii) obtain all permits, approvals and certificates required by any Governmental Authorities, (iii) furnish to Landlord duplicate original policies or certificates of worker’s compensation (covering all persons to be employed by Tenant, and Tenant’s contractors and subcontractors in connection with such Alteration), commercial general liability (including property damage coverage) and business auto insurance and Builder’s Risk coverage (as described in Article 11) all in such form, with such companies, for such periods and in such amounts as Landlord may reasonably require, naming Landlord, Landlord’s Agent, any Lessor and any Mortgagee as additional insureds, and (iv) furnish to Landlord reasonably satisfactory evidence of Tenant’s ability to complete and to fully pay for such Alterations (other than Decorative Alterations). Landlord shall have 10 Business Days after receipt of the Plans within which to approve or disapprove of the Plans.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 xml:space="preserve">Governmental Approvals. </w:t>
      </w:r>
      <w:r>
        <w:rPr>
          <w:rFonts w:ascii="Times New Roman" w:hAnsi="Times New Roman"/>
          <w:color w:val="000000"/>
          <w:sz w:val="24"/>
        </w:rPr>
        <w:t>Tenant, at its expense, shall, as and when required, promptly obtain certificates of partial and final approval of such Alterations required by any Governmental Authority and shall furnish Landlord with copies thereof, together with “as- built” Plans for such Alterations prepared on an AutoCAD Computer Assisted Drafting and Design System (or such other system or medium as Landlord may accept), using naming conventions issued by the American Institute of Architects in June, 1990 (or such other naming conventions as Landlord may accept) and magnetic computer media of such record drawings and specifications translated in DFX format or another format acceptable to Landlord.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5.2 Manner and Quality of Alterations. </w:t>
      </w:r>
      <w:r>
        <w:rPr>
          <w:rFonts w:ascii="Times New Roman" w:hAnsi="Times New Roman"/>
          <w:color w:val="000000"/>
          <w:sz w:val="24"/>
        </w:rPr>
        <w:t>All Alterations shall be performed (a) in a good and workmanlike manner and free from defects using union labor, (b) substantially in accordance with the Plans, and by contractors approved by Landlord, and (c) in compliance with all Requirements, the terms of this Lease and all construction procedures and regulations then prescribed by Landlord, including, without limitation, the construction rules and regulations set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forth on </w:t>
      </w:r>
      <w:r>
        <w:rPr>
          <w:rFonts w:ascii="Times New Roman" w:hAnsi="Times New Roman"/>
          <w:color w:val="000000"/>
          <w:sz w:val="24"/>
          <w:u w:val="single"/>
        </w:rPr>
        <w:t>Exhibit H</w:t>
      </w:r>
      <w:r>
        <w:rPr>
          <w:rFonts w:ascii="Times New Roman" w:hAnsi="Times New Roman"/>
          <w:color w:val="000000"/>
          <w:sz w:val="24"/>
        </w:rPr>
        <w:t>, and (d) at Tenant’s expense. All materials and equipment shall be of first quality and at least equal to the applicable standards for the Building then established by Landlord, and no such materials or equipment (other than Tenant’s Property) shall be subject to any lien or other encumbrance.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5.3 Removal of Tenant’s Property. </w:t>
      </w:r>
      <w:r>
        <w:rPr>
          <w:rFonts w:ascii="Times New Roman" w:hAnsi="Times New Roman"/>
          <w:color w:val="000000"/>
          <w:sz w:val="24"/>
        </w:rPr>
        <w:t>Tenant’s Property shall remain the property of Tenant and Tenant may remove the same at any time on or before the Expiration Date. On or prior to the Expiration Date or the effective date of an earlier termination of this Lease, Tenant shall, unless otherwise directed by Landlord, at Tenant’s expense, remove any Specialty Alterations and close up any slab penetrations in the Premises. Tenant shall repair and restore, in a good and workmanlike manner, any damage to the Premises or the Building caused by Tenant’s removal of any Alterations or Tenant’s Property or by the closing of any slab penetrations, and upon default thereof, Tenant shall reimburse Landlord for Landlord’s cost of repairing and restoring such damage. Any Specialty Alterations or Tenant’s Property not so removed shall be deemed abandoned and Landlord may retain or remove and dispose of same, and repair and restore any damage caused thereby, at Tenant’s cost and without accountability to Tenant. All other Alterations shall become Landlord’s property upon expiration or any termination of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5.4 Mechanic’s Liens. </w:t>
      </w:r>
      <w:r>
        <w:rPr>
          <w:rFonts w:ascii="Times New Roman" w:hAnsi="Times New Roman"/>
          <w:color w:val="000000"/>
          <w:sz w:val="24"/>
        </w:rPr>
        <w:t>Tenant, at its expense, shall discharge any lien or charge recorded or filed against the Property in connection with any work done or claimed to have been done by or on behalf of, or materials furnished or claimed to have been furnished to, Tenant, within 10 days after Tenant’s receipt of notice thereof by payment, filing the bond required by law or otherwise in accordance with law.</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5.5 Labor Relations. </w:t>
      </w:r>
      <w:r>
        <w:rPr>
          <w:rFonts w:ascii="Times New Roman" w:hAnsi="Times New Roman"/>
          <w:color w:val="000000"/>
          <w:sz w:val="24"/>
        </w:rPr>
        <w:t>All workmen and mechanics performing any Alterations must work in harmony and not interfere with labor employed by Landlord, Landlord’s contractors or by any other tenants or their contractors. To that end, unless otherwise permitted by Landlord in writing, all Alterations shall be done by union labor having the same or a compatible union affiliation as other workmen or mechanics performing work for Landlord, Landlord’s contractors or by any other tenants or their contractors. If at any time during the course of the Alterations, any workmen or mechanics performing the Alterations are not of the same union affiliation or are unable to work in harmony, or interfere, with labor employed by Landlord, Landlord’s contractors or by any other tenants or their contractors, then the approval granted by Landlord to Tenant for the subject Alterations may be withdrawn by Landlord upon 48 hours, written notice to Tenant, and Tenant shall thereafter cause the Alterations to cease and shall restore the Premises to the condition as existed prior to the commencement of such Alterations.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5.6 Tenant’s Costs. </w:t>
      </w:r>
      <w:r>
        <w:rPr>
          <w:rFonts w:ascii="Times New Roman" w:hAnsi="Times New Roman"/>
          <w:color w:val="000000"/>
          <w:sz w:val="24"/>
        </w:rPr>
        <w:t>Tenant shall pay promptly to Landlord, upon demand, all out-of-pocket costs actually incurred by Landlord in connection with Tenant’s Alterations, including costs incurred in connection with (a) Landlord’s review of the Alterations (including review of requests for approval thereof) and (b) the provision of Building personnel during the performance of any Alteration, to operate elevators or otherwise to facilitate Tenant’s Alterations. In addition, Tenant shall pay to Landlord, upon demand, an administrative fee in an amount equal to 5% of the total cost of such Alterations, At Landlord’s request, Tenant shall deliver to Landlord reasonable supporting documentation evidencing the hard and soft costs incurred by Tenant in designing and constructing any Alterations.</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5.7 Tenant’s Equipment. </w:t>
      </w:r>
      <w:r>
        <w:rPr>
          <w:rFonts w:ascii="Times New Roman" w:hAnsi="Times New Roman"/>
          <w:color w:val="000000"/>
          <w:sz w:val="24"/>
        </w:rPr>
        <w:t>Tenant shall provide notice to Landlord prior to moving any heavy machinery, heavy equipment, freight, bulky matter or fixtures (collectively, “Equipment”) into or out of the Building and shall pay to Landlord any costs actually incurred by Landlord in connection therewith. If such Equipment requires special handling, Tenant agrees (a) to employ only persons holding all necessary licenses to perform such work, (b) all work performed in connection therewith shall comply with all applicable Requirements and (c) such work shall be done only during hours designated by Landlord.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5.8 Legal Compliance. </w:t>
      </w:r>
      <w:r>
        <w:rPr>
          <w:rFonts w:ascii="Times New Roman" w:hAnsi="Times New Roman"/>
          <w:color w:val="000000"/>
          <w:sz w:val="24"/>
        </w:rPr>
        <w:t>The approval of Plans, or consent by Landlord to the making of any Alterations, does not constitute Landlord’s representation that such Plans or Alterations comply with any Requirements. Landlord shall not be liable to Tenant or any other party in connection with Landlord’s approval of any Plans, or Landlord’s consent to Tenant’s performing any Alterations. If any Alterations made by or on behalf of Tenant, require Landlord to make any alterations or improvements to any part of the Building in order to comply with any Requirements, Tenant shall pay all costs and expenses incurred by Landlord in connection with such alterations or improvements.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5.9 Floor Load. </w:t>
      </w:r>
      <w:r>
        <w:rPr>
          <w:rFonts w:ascii="Times New Roman" w:hAnsi="Times New Roman"/>
          <w:color w:val="000000"/>
          <w:sz w:val="24"/>
        </w:rPr>
        <w:t>Tenant shall not place a load upon any floor of the Premises that exceeds 80 pounds per square foot “live load”. Landlord reserves the right to reasonably designate the position of all Equipment which Tenant wishes to place within the Premises, and to place limitations on the weight thereof.</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6</w:t>
      </w:r>
      <w:r>
        <w:rPr>
          <w:rFonts w:ascii="Times New Roman" w:hAnsi="Times New Roman"/>
          <w:color w:val="000000"/>
          <w:sz w:val="24"/>
        </w:rPr>
        <w:br/>
        <w:br/>
      </w:r>
      <w:r>
        <w:rPr>
          <w:rFonts w:ascii="Times New Roman" w:hAnsi="Times New Roman"/>
          <w:b/>
          <w:color w:val="2C2C2C"/>
          <w:sz w:val="24"/>
        </w:rPr>
        <w:t>REPAIRS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6.1 Landlord’s Repair and Maintenance. </w:t>
      </w:r>
      <w:r>
        <w:rPr>
          <w:rFonts w:ascii="Times New Roman" w:hAnsi="Times New Roman"/>
          <w:color w:val="000000"/>
          <w:sz w:val="24"/>
        </w:rPr>
        <w:t>Landlord shall operate, maintain and, except as provided in Section 6.2 hereof, make all necessary repairs (both structural and nonstructural) to (i) the Building Systems, and (ii) the Common Areas, in conformance with standards applicable to Comparable Buildings.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6.2 Tenant’s Repair and Maintenance. </w:t>
      </w:r>
      <w:r>
        <w:rPr>
          <w:rFonts w:ascii="Times New Roman" w:hAnsi="Times New Roman"/>
          <w:color w:val="000000"/>
          <w:sz w:val="24"/>
        </w:rPr>
        <w:t>Tenant shall promptly, at its expense and in compliance with Article 5, make all nonstructural repairs to the Premises and the fixtures, equipment and appurtenances therein (including all electrical and plumbing systems in and serving the Premises from the point of connection to the Building Systems) and all Specialty Alterations; but excluding repairs, maintenance and replacement of exterior windows, atrium windows, exterior signs, the base Building heating, ventilation and air conditioning systems located in the Premises, the base Building life safety systems located in the Premises and non-Specialty Alteration lightbulbs, lamps and ballasts located in the Premises, which shall be repaired, maintained and replaced as necessary by Landlord and, to the extent applicable, the cost of such repairs, maintenance and replacements will be included in Operating Expenses (collectively, “</w:t>
      </w:r>
      <w:r>
        <w:rPr>
          <w:rFonts w:ascii="Times New Roman" w:hAnsi="Times New Roman"/>
          <w:b/>
          <w:color w:val="000000"/>
          <w:sz w:val="24"/>
        </w:rPr>
        <w:t>Tenant Fixtures</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as and when needed to preserve the Premises in good working order and condition, except for reasonable wear and tear and damage for which Tenant is not responsible. All damage to the Building or to any portion thereof or to any Tenant Fixtures requiring structural or nonstructural repair caused by or resulting from any act, omission, neglect or improper conduct of a Tenant Party or the moving of Tenant’s Property or Equipment into, within or out of the Premises by a Tenant Party, shall be repaired at Tenant’s expense by Tenant or by Landlord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accordance with the allocation of repair responsibilities set forth above. All Tenant repairs shall be of good quality utilizing new construction materials.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6.3 Restorative Work. </w:t>
      </w:r>
      <w:r>
        <w:rPr>
          <w:rFonts w:ascii="Times New Roman" w:hAnsi="Times New Roman"/>
          <w:color w:val="000000"/>
          <w:sz w:val="24"/>
        </w:rPr>
        <w:t>Landlord reserves the right to make all changes, alterations, additions, improvements, repairs or replacements to the Building and Building Systems, including changing the arrangement or location of entrances or passageways, doors and doorways, corridors, elevators, stairs, toilets or other Common Areas (collectively, “</w:t>
      </w:r>
      <w:r>
        <w:rPr>
          <w:rFonts w:ascii="Times New Roman" w:hAnsi="Times New Roman"/>
          <w:b/>
          <w:color w:val="000000"/>
          <w:sz w:val="24"/>
        </w:rPr>
        <w:t>Restorative Work</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as Landlord deems necessary or desirable, and to take all materials into the Premises required for the performance of such Restorative Work, provided that (a) the level of any Building service shall not decrease in any material respect from the level required of Landlord in this Lease as a result thereof (other than temporary changes in the level of such services during the performance of any such Restorative Work) and (b) Tenant is not deprived of access to the Premises. Landlord shall use reasonable efforts to minimize interference with Tenant’s use and occupancy of the Premises during the performance of such Restorative Work. There shall be no Rent abatement or allowance to Tenant for a diminution of rental value, no actual or constructive eviction of Tenant, in whole or in part, no relief from any of Tenant’s other obligations under this Lease, and no liability on the part of Landlord by reason of inconvenience, annoyance or injury to business arising from Landlord, Tenant or others performing, or failing to perform, any Restorative Work.</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7</w:t>
      </w:r>
      <w:r>
        <w:rPr>
          <w:rFonts w:ascii="Times New Roman" w:hAnsi="Times New Roman"/>
          <w:color w:val="000000"/>
          <w:sz w:val="24"/>
        </w:rPr>
        <w:br/>
        <w:br/>
      </w:r>
      <w:r>
        <w:rPr>
          <w:rFonts w:ascii="Times New Roman" w:hAnsi="Times New Roman"/>
          <w:b/>
          <w:color w:val="2C2C2C"/>
          <w:sz w:val="24"/>
        </w:rPr>
        <w:t>INCREASES IN TAXES AND OPERATING EXPENSES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7.1 Definitions. </w:t>
      </w:r>
      <w:r>
        <w:rPr>
          <w:rFonts w:ascii="Times New Roman" w:hAnsi="Times New Roman"/>
          <w:color w:val="000000"/>
          <w:sz w:val="24"/>
        </w:rPr>
        <w:t>For the purposes of this Article 7, the following terms shall have the meanings set forth below:</w:t>
      </w:r>
    </w:p>
    <w:p>
      <w:pPr>
        <w:pStyle w:val="TextBody"/>
        <w:bidi w:val="0"/>
        <w:spacing w:before="0" w:after="240"/>
        <w:jc w:val="both"/>
        <w:rPr>
          <w:rFonts w:ascii="Times New Roman" w:hAnsi="Times New Roman"/>
          <w:sz w:val="20"/>
        </w:rPr>
      </w:pPr>
      <w:r>
        <w:rPr>
          <w:rFonts w:ascii="Times New Roman" w:hAnsi="Times New Roman"/>
          <w:color w:val="000000"/>
          <w:sz w:val="24"/>
        </w:rPr>
        <w:t>(a) “</w:t>
      </w:r>
      <w:r>
        <w:rPr>
          <w:rFonts w:ascii="Times New Roman" w:hAnsi="Times New Roman"/>
          <w:b/>
          <w:color w:val="000000"/>
          <w:sz w:val="24"/>
        </w:rPr>
        <w:t>Assessed Valuation</w:t>
      </w:r>
      <w:r>
        <w:rPr>
          <w:rFonts w:ascii="Times New Roman" w:hAnsi="Times New Roman"/>
          <w:color w:val="000000"/>
          <w:sz w:val="20"/>
        </w:rPr>
        <w:t xml:space="preserve">” </w:t>
      </w:r>
      <w:r>
        <w:rPr>
          <w:rFonts w:ascii="Times New Roman" w:hAnsi="Times New Roman"/>
          <w:color w:val="000000"/>
          <w:sz w:val="24"/>
        </w:rPr>
        <w:t>shall mean the amount for which the Property is assessed by any Governmental Authority for the purpose of imposition of Taxes.</w:t>
      </w:r>
    </w:p>
    <w:p>
      <w:pPr>
        <w:pStyle w:val="TextBody"/>
        <w:bidi w:val="0"/>
        <w:spacing w:before="0" w:after="240"/>
        <w:jc w:val="both"/>
        <w:rPr>
          <w:rFonts w:ascii="Times New Roman" w:hAnsi="Times New Roman"/>
          <w:sz w:val="20"/>
        </w:rPr>
      </w:pPr>
      <w:r>
        <w:rPr>
          <w:rFonts w:ascii="Times New Roman" w:hAnsi="Times New Roman"/>
          <w:color w:val="000000"/>
          <w:sz w:val="24"/>
        </w:rPr>
        <w:t>(b) “</w:t>
      </w:r>
      <w:r>
        <w:rPr>
          <w:rFonts w:ascii="Times New Roman" w:hAnsi="Times New Roman"/>
          <w:b/>
          <w:color w:val="000000"/>
          <w:sz w:val="24"/>
        </w:rPr>
        <w:t>Base Operating Expenses</w:t>
      </w:r>
      <w:r>
        <w:rPr>
          <w:rFonts w:ascii="Times New Roman" w:hAnsi="Times New Roman"/>
          <w:color w:val="000000"/>
          <w:sz w:val="20"/>
        </w:rPr>
        <w:t xml:space="preserve">” </w:t>
      </w:r>
      <w:r>
        <w:rPr>
          <w:rFonts w:ascii="Times New Roman" w:hAnsi="Times New Roman"/>
          <w:color w:val="000000"/>
          <w:sz w:val="24"/>
        </w:rPr>
        <w:t>shall mean the Operating Expenses for the Base Year.</w:t>
      </w:r>
    </w:p>
    <w:p>
      <w:pPr>
        <w:pStyle w:val="TextBody"/>
        <w:bidi w:val="0"/>
        <w:spacing w:before="0" w:after="240"/>
        <w:jc w:val="both"/>
        <w:rPr>
          <w:rFonts w:ascii="Times New Roman" w:hAnsi="Times New Roman"/>
          <w:sz w:val="20"/>
        </w:rPr>
      </w:pPr>
      <w:r>
        <w:rPr>
          <w:rFonts w:ascii="Times New Roman" w:hAnsi="Times New Roman"/>
          <w:color w:val="000000"/>
          <w:sz w:val="24"/>
        </w:rPr>
        <w:t>(c) “</w:t>
      </w:r>
      <w:r>
        <w:rPr>
          <w:rFonts w:ascii="Times New Roman" w:hAnsi="Times New Roman"/>
          <w:b/>
          <w:color w:val="000000"/>
          <w:sz w:val="24"/>
        </w:rPr>
        <w:t>Base Taxes</w:t>
      </w:r>
      <w:r>
        <w:rPr>
          <w:rFonts w:ascii="Times New Roman" w:hAnsi="Times New Roman"/>
          <w:color w:val="000000"/>
          <w:sz w:val="20"/>
        </w:rPr>
        <w:t xml:space="preserve">” </w:t>
      </w:r>
      <w:r>
        <w:rPr>
          <w:rFonts w:ascii="Times New Roman" w:hAnsi="Times New Roman"/>
          <w:color w:val="000000"/>
          <w:sz w:val="24"/>
        </w:rPr>
        <w:t>shall mean the Taxes payable on account of the Base Year.</w:t>
      </w:r>
    </w:p>
    <w:p>
      <w:pPr>
        <w:pStyle w:val="TextBody"/>
        <w:bidi w:val="0"/>
        <w:spacing w:before="0" w:after="240"/>
        <w:jc w:val="both"/>
        <w:rPr>
          <w:rFonts w:ascii="Times New Roman" w:hAnsi="Times New Roman"/>
          <w:sz w:val="20"/>
        </w:rPr>
      </w:pPr>
      <w:r>
        <w:rPr>
          <w:rFonts w:ascii="Times New Roman" w:hAnsi="Times New Roman"/>
          <w:color w:val="000000"/>
          <w:sz w:val="24"/>
        </w:rPr>
        <w:t>(d) “</w:t>
      </w:r>
      <w:r>
        <w:rPr>
          <w:rFonts w:ascii="Times New Roman" w:hAnsi="Times New Roman"/>
          <w:b/>
          <w:color w:val="000000"/>
          <w:sz w:val="24"/>
        </w:rPr>
        <w:t>Calendar Year</w:t>
      </w:r>
      <w:r>
        <w:rPr>
          <w:rFonts w:ascii="Times New Roman" w:hAnsi="Times New Roman"/>
          <w:color w:val="000000"/>
          <w:sz w:val="20"/>
        </w:rPr>
        <w:t xml:space="preserve">” </w:t>
      </w:r>
      <w:r>
        <w:rPr>
          <w:rFonts w:ascii="Times New Roman" w:hAnsi="Times New Roman"/>
          <w:color w:val="000000"/>
          <w:sz w:val="24"/>
        </w:rPr>
        <w:t>shall mean each calendar year all or any portion of which occurs during the Term and “Comparison Year” shall mean any Calendar Year commencing subsequent to the Base Year.</w:t>
      </w:r>
    </w:p>
    <w:p>
      <w:pPr>
        <w:pStyle w:val="TextBody"/>
        <w:bidi w:val="0"/>
        <w:spacing w:before="0" w:after="240"/>
        <w:jc w:val="both"/>
        <w:rPr>
          <w:rFonts w:ascii="Times New Roman" w:hAnsi="Times New Roman"/>
          <w:sz w:val="20"/>
        </w:rPr>
      </w:pPr>
      <w:r>
        <w:rPr>
          <w:rFonts w:ascii="Times New Roman" w:hAnsi="Times New Roman"/>
          <w:color w:val="000000"/>
          <w:sz w:val="24"/>
        </w:rPr>
        <w:t>(e) “</w:t>
      </w:r>
      <w:r>
        <w:rPr>
          <w:rFonts w:ascii="Times New Roman" w:hAnsi="Times New Roman"/>
          <w:b/>
          <w:color w:val="000000"/>
          <w:sz w:val="24"/>
        </w:rPr>
        <w:t>Operating Expenses</w:t>
      </w:r>
      <w:r>
        <w:rPr>
          <w:rFonts w:ascii="Times New Roman" w:hAnsi="Times New Roman"/>
          <w:color w:val="000000"/>
          <w:sz w:val="20"/>
        </w:rPr>
        <w:t xml:space="preserve">” </w:t>
      </w:r>
      <w:r>
        <w:rPr>
          <w:rFonts w:ascii="Times New Roman" w:hAnsi="Times New Roman"/>
          <w:color w:val="000000"/>
          <w:sz w:val="24"/>
        </w:rPr>
        <w:t>shall mean the aggregate of all costs and expenses paid or incurred by or on behalf of Landlord in connection with the ownership, operation, repair and maintenance of the Property, including, but not limited to, the following:</w:t>
      </w:r>
    </w:p>
    <w:p>
      <w:pPr>
        <w:pStyle w:val="TextBody"/>
        <w:bidi w:val="0"/>
        <w:spacing w:before="0" w:after="240"/>
        <w:jc w:val="both"/>
        <w:rPr>
          <w:rFonts w:ascii="Times New Roman" w:hAnsi="Times New Roman"/>
          <w:sz w:val="20"/>
        </w:rPr>
      </w:pPr>
      <w:r>
        <w:rPr>
          <w:rFonts w:ascii="Times New Roman" w:hAnsi="Times New Roman"/>
          <w:color w:val="000000"/>
          <w:sz w:val="24"/>
        </w:rPr>
        <w:t>(i) capital improvements incurred after the Base Year only if such capital improvement either (A) is reasonably intended to result in a reduction in Operating Expenses (as for example, a labor-saving improvement) provided, the amount included in Operating Expenses in the Base Year or any Comparison Year shall not exceed an amount equal to the savings reasonably anticipated to result from the installation and operation of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improvement, and/or (B) is made during the Base Year or any Comparison Year in compliance with Requirements. Such capital improvements shall be amortized (with interest at the Base Rate) on a straight-line basis over such period as Landlord shall reasonably determine, and the amount included in Operating Expenses in the Base Year or any Comparison Year shall be equal to the annual amortized amount;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costs of maintaining and operating (including the reasonable rental value thereof) the management and engineering offices, if any, for the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Operating Expenses shall not include any Excluded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during all or part of the Base Year or any Comparison Year, Landlord shall not furnish any particular item(s) of work or service (which would otherwise constitute an Operating Expense) to any leasable portions of the Building for any reason, then, for purposes of computing Operating Expenses for such period, the amount included in Operating Expenses for such period shall be increased by an amount equal to the costs and expenses that would have been reasonably incurred by Landlord during such period if Landlord had furnished such item(s) of work or service to such portion of the Building. In determining the amount of Operating Expenses for the Base Year or any Comparison Year, if less than 95% of the Building rentable area is occupied by tenants at any time during the Base Year or such Comparison Year, then Operating Expenses shall be determined for the Base Year or such Comparison Year to be an amount equal to the like expenses which would normally be expected to be incurred had such occupancy been 95% throughout the Base Year or such Comparison Year. If in any Comparison Year the cost of premiums for insurance coverage with respect to terrorist acts and occurrences is less than the cost of such premiums included in Base Operating Expenses, Landlord may subtract from Base Operating Expenses an amount equal to the difference in such cost of premiums commencing with such Comparison Year.</w:t>
      </w:r>
    </w:p>
    <w:p>
      <w:pPr>
        <w:pStyle w:val="TextBody"/>
        <w:bidi w:val="0"/>
        <w:spacing w:before="0" w:after="240"/>
        <w:jc w:val="both"/>
        <w:rPr>
          <w:rFonts w:ascii="Times New Roman" w:hAnsi="Times New Roman"/>
          <w:sz w:val="20"/>
        </w:rPr>
      </w:pPr>
      <w:r>
        <w:rPr>
          <w:rFonts w:ascii="Times New Roman" w:hAnsi="Times New Roman"/>
          <w:color w:val="000000"/>
          <w:sz w:val="24"/>
        </w:rPr>
        <w:t>(f) “</w:t>
      </w:r>
      <w:r>
        <w:rPr>
          <w:rFonts w:ascii="Times New Roman" w:hAnsi="Times New Roman"/>
          <w:b/>
          <w:color w:val="000000"/>
          <w:sz w:val="24"/>
        </w:rPr>
        <w:t>Statement</w:t>
      </w:r>
      <w:r>
        <w:rPr>
          <w:rFonts w:ascii="Times New Roman" w:hAnsi="Times New Roman"/>
          <w:color w:val="000000"/>
          <w:sz w:val="20"/>
        </w:rPr>
        <w:t xml:space="preserve">” </w:t>
      </w:r>
      <w:r>
        <w:rPr>
          <w:rFonts w:ascii="Times New Roman" w:hAnsi="Times New Roman"/>
          <w:color w:val="000000"/>
          <w:sz w:val="24"/>
        </w:rPr>
        <w:t>shall mean a statement containing a comparison of (i) the Taxes payable for the Base Year and for any Comparison Year, or (ii) the Base Operating Expenses and the Operating Expenses payable for any Comparison Year.</w:t>
      </w:r>
    </w:p>
    <w:p>
      <w:pPr>
        <w:pStyle w:val="TextBody"/>
        <w:bidi w:val="0"/>
        <w:spacing w:before="0" w:after="240"/>
        <w:jc w:val="both"/>
        <w:rPr>
          <w:rFonts w:ascii="Times New Roman" w:hAnsi="Times New Roman"/>
          <w:sz w:val="20"/>
        </w:rPr>
      </w:pPr>
      <w:r>
        <w:rPr>
          <w:rFonts w:ascii="Times New Roman" w:hAnsi="Times New Roman"/>
          <w:color w:val="000000"/>
          <w:sz w:val="24"/>
        </w:rPr>
        <w:t>(g) “</w:t>
      </w:r>
      <w:r>
        <w:rPr>
          <w:rFonts w:ascii="Times New Roman" w:hAnsi="Times New Roman"/>
          <w:b/>
          <w:color w:val="000000"/>
          <w:sz w:val="24"/>
        </w:rPr>
        <w:t>Taxes</w:t>
      </w:r>
      <w:r>
        <w:rPr>
          <w:rFonts w:ascii="Times New Roman" w:hAnsi="Times New Roman"/>
          <w:color w:val="000000"/>
          <w:sz w:val="20"/>
        </w:rPr>
        <w:t xml:space="preserve">” </w:t>
      </w:r>
      <w:r>
        <w:rPr>
          <w:rFonts w:ascii="Times New Roman" w:hAnsi="Times New Roman"/>
          <w:color w:val="000000"/>
          <w:sz w:val="24"/>
        </w:rPr>
        <w:t>shall mean (i) all real estate taxes, assessments, sewer and water rents, Business Improvement District assessments and charges, and other governmental levies, impositions or charges, whether general, special, ordinary, extraordinary, foreseen or unforeseen, which may be assessed, levied or imposed upon all or any part of the Property or in connection with the use thereof (including any transit, personal property, sales, rental, use, gross receipts, or occupancy taxes, vault rental and other taxes and assessments), and (ii) all expenses (including reasonable attorneys’ fees and disbursements and experts’ and other witnesses’ fees) incurred in contesting any of the foregoing or the Assessed Valuation of the Property (but such expenses will not be included in Base Taxes if incurred during the Base Tax Year). Taxes shall not include (x) interest or penalties incurred by Landlord as a result of Landlord’s late payment of Taxes, (y) franchise, transfer, gift, inheritance, estate or net income taxes imposed upon Landlord, or (z) deed transfer, transfer of economic interests or recordation taxes. For purposes hereof, “Taxes” for any Calendar Year shall be deemed to be the Taxes which are assessed, levied or imposed for such Calendar Year regardless of when due or paid. If any Taxes are assessed on a fiscal year (rather than a Calendar Year), Landlord shall have the right to equitably allocate such Taxes on a Calendar Year basis. If Landlord elects to pay any assessment in annual installments, then (i)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assessment shall be deemed to have been so divided and to be payable in the maximum number of installments permitted by law, and (ii) there shall be deemed included in Taxes for each Comparison Year the installments of such assessment becoming payable during such Comparison Year, together with interest payable during such Comparison Year on such installments and on all installments thereafter becoming due as provided by law, all as if such assessment had been so divided. If at any time the methods of taxation prevailing on the Effective Date shall be altered so that in lieu of or as an addition to the whole or any part of Taxes, there shall be assessed, levied or imposed (1) a tax, assessment, levy, imposition or charge based on the income or rents received from the Property whether or not wholly or partially as a capital levy or otherwise, (2) a tax, assessment, levy, imposition or charge measured by or based in whole or in part upon all or any part of the Property and imposed upon Landlord, (3) a license fee measured by the rents, or (4) any other tax, assessment, levy, imposition, charge or license fee however described or imposed, including business improvement district impositions then all such taxes, assessments, levies, impositions, charges or license fees or the part thereof so measured or based shall be deemed to be Taxes.</w:t>
      </w:r>
    </w:p>
    <w:p>
      <w:pPr>
        <w:pStyle w:val="TextBody"/>
        <w:bidi w:val="0"/>
        <w:spacing w:before="0" w:after="240"/>
        <w:jc w:val="both"/>
        <w:rPr>
          <w:rFonts w:ascii="Times New Roman" w:hAnsi="Times New Roman"/>
          <w:sz w:val="20"/>
        </w:rPr>
      </w:pPr>
      <w:r>
        <w:rPr>
          <w:rFonts w:ascii="Times New Roman" w:hAnsi="Times New Roman"/>
          <w:b/>
          <w:color w:val="000000"/>
          <w:sz w:val="24"/>
        </w:rPr>
        <w:t>Section 7.2 Tenant’s Tax Payment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the Taxes payable for any Comparison Year exceed the Base Taxes, Tenant shall pay to Landlord Tenant’s Proportionate Share of such excess (“Tenant’s Tax Payment”). For each Comparison Year, Landlord shall furnish to Tenant a statement setting forth Landlord’s reasonable estimate of Tenant’s Tax Payment for such Comparison Year (the “Tax Estimate”). Tenant shall pay to Landlord on the 1st day of each month during such Comparison Year an amount equal to 1/12 of the Tax Estimate for such Comparison Year. If Landlord furnishes a Tax Estimate for a Comparison Year subsequent to the commencement thereof, then (i) until the 1st day of the month following the month in which the Tax Estimate is furnished to Tenant, Tenant shall pay to Landlord on the I st day of each month an amount equal to the monthly sum payable by Tenant to Landlord under this Section 7.2 during the last month of the preceding Comparison Year, (ii) promptly after the Tax Estimate is furnished to Tenant or together therewith, Landlord shall give notice to Tenant staling whether the installments of Tenant’s Tax Estimate previously made for such Comparison Year were greater or less than the installments of Tenant’s Tax Estimate to be made for such Comparison Year in accordance with the Tax Estimate, and (x) if there shall be a deficiency, Tenant shall pay the amount thereof within 10 Business Days after demand therefor, or (y) if there shall have been an overpayment, Landlord shall credit the amount thereof against subsequent payments of Rent due hereunder, and (iii) on the 1st day of the month following the month in which the Tax Estimate is furnished to Tenant, and on the 1st day of each month thereafter throughout the remainder of such Comparison Year, Tenant shall pay to Landlord an amount equal to 1/12 of the Tax Estimate.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As soon as reasonably practicable after Landlord has determined the Taxes for a Comparison Year, Landlord shall furnish to Tenant a Statement for such Comparison Year. If the Statement shall show that the sums paid by Tenant under Section 7.2(a) exceeded the actual amount of Tenant’s Tax Payment for such Comparison Year, Landlord shall credit the amount of such excess against subsequent payments of Rent due hereunder. If the Statement for such Comparison Year shall show that the sums so paid by Tenant were less than Tenant’s Tax Payment for such Comparison Year, Tenant shall pay the amount of such deficiency within 10 Business Days after delivery of the Statement to Tenant.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Only Landlord may institute proceedings to reduce the Assessed Valuation of the Property and the filings of any such proceeding by Tenant without Landlord’s consent shall constitute an Event of Default. If the Taxes payable for the Base Year are reduced, the Base Taxes shall be correspondingly revised, the Additional Rent previously paid or payable on account of Tenant’s Tax Payment hereunder for all Comparison Years shall be recomputed on the basis of such reduction, and Tenant shall pay to Landlord within 10 Business Days after being billed therefor, any deficiency between the amount of such Additional Rent previously computed and paid by Tenant to Landlord, and the amount due as a result of such recomputations. If Landlord receives a refund of Taxes for any Comparison Year, Landlord shall credit against subsequent payments of Rent due hereunder, an amount equal to Tenant’s Proportionate Share of the refund, net of any expenses incurred by Landlord in achieving such refund, which amount shall not exceed Tenant’s Tax Payment paid for such Comparison Year. Landlord shall not be obligated to file any application or institute any proceeding seeking a reduction in Taxes or the Assessed Valuation. The benefit of any exemption or abatement relating to all or any part of the Property shall accrue solely to the benefit of Landlord and Taxes shall be computed without taking into account any such exemption or abatement.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Tenant shall be responsible for any applicable occupancy or rent tax now in effect or hereafter enacted and, if such tax is payable by Landlord, Tenant shall promptly pay such amounts to Landlord, upon Landlord’s demand.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Tenant shall be obligated to make Tenant’s Tax Payment regardless of whether Tenant may be exempt from the payment of any Taxes as the result of any reduction, abatement or exemption from Taxes granted or agreed to by any Governmental Authority, or by reason of Tenant’s diplomatic or other tax-exempt status.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Tenant’s obligations to pay Taxes (or any other amounts) accruing during, or relating to, the period prior to expiration or earlier termination of this Lease, shall survive such expiration or termination. Landlord may reasonably estimate all or any of such obligations within a reasonable time before, or any time after, such expiration or termination. Tenant shall pay the full amount of such estimate, and any additional amount due after the actual amounts are determined, in each case within 30 days after Landlord sends a statement therefor. If the actual amount is less than the amount Tenant pays as an estimate, Landlord shall refund the difference within 30 days after such determination is made.</w:t>
      </w:r>
    </w:p>
    <w:p>
      <w:pPr>
        <w:pStyle w:val="TextBody"/>
        <w:bidi w:val="0"/>
        <w:spacing w:before="0" w:after="240"/>
        <w:jc w:val="both"/>
        <w:rPr>
          <w:rFonts w:ascii="Times New Roman" w:hAnsi="Times New Roman"/>
          <w:sz w:val="20"/>
        </w:rPr>
      </w:pPr>
      <w:r>
        <w:rPr>
          <w:rFonts w:ascii="Times New Roman" w:hAnsi="Times New Roman"/>
          <w:b/>
          <w:color w:val="000000"/>
          <w:sz w:val="24"/>
        </w:rPr>
        <w:t>Section 7.3 Tenant’s Operating Payment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If the Operating Expenses payable for any Comparison Year exceed the Base Operating Expenses (excluding any Base Operating Expenses that are non-recurring), Tenant shall pay to Landlord Tenant’s Proportionate Share of such excess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Tenant’s Operating Payment</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For each Comparison Year, Landlord shall furnish to Tenant a written statement setting forth Landlord’s reasonable estimate of Tenant’s Operating Payment for such Comparison Year (the “</w:t>
      </w:r>
      <w:r>
        <w:rPr>
          <w:rFonts w:ascii="Times New Roman" w:hAnsi="Times New Roman"/>
          <w:b/>
          <w:color w:val="000000"/>
          <w:sz w:val="24"/>
        </w:rPr>
        <w:t>Expense Estimate</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Tenant shall pay to Landlord on the first day of each month during such Comparison Year an amount equal to 1/12 of the Expense Estimate. If Landlord furnishes an Expense Estimate for a Comparison Year subsequent to the commencement thereof, then (a) until the 1st day of the month following the month in which the Expense Estimate is furnished to Tenant, Tenant shall pay to Landlord on the 1st day of each month an amount equal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monthly sum payable by Tenant to Landlord under this Section 7.3 during the last month of the preceding Comparison Year, (b) promptly after the Expense Estimate is furnished to Tenant or together therewith, Landlord shall give notice to Tenant stating whether the installments of Tenant’s Operating Payment previously made for such Comparison Year were greater or less than the installments of Tenant’s Operating Payment to be made for such Comparison Year in accordance with the Expense Estimate, and (i) if there shall be a deficiency, Tenant shall pay the amount thereof within 10 Business Days after demand therefor, or (ii) if there shall have been an overpayment, Landlord shall credit the amount thereof against subsequent payments of Rent due hereunder, and (c) on the 1st day of the month following the month in which the Expense Estimate is furnished to Tenant, and on the 1st day of each month thereafter throughout the remainder of such Comparison Year, Tenant shall pay to Landlord an amount equal to 1/12 of Tenant’s Operating Payment shown on the Expense Estimate.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On or before May 1st of each Comparison Year, Landlord shall furnish to Tenant a Statement for the immediately preceding Comparison Year. If the Statement shows that the sums paid by Tenant under Section 7.3(a) exceeded the actual amount of Tenant’s Operating Payment for such Comparison Year, Landlord shall credit the amount of such excess against subsequent payments of Rent due hereunder. If the Statement shows that the sums so paid by Tenant were less than Tenant’s Operating Payment for such Comparison Year, Tenant shall pay the amount of such deficiency within 10 Business Days after Tenant’s receipt of the Statement.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Tenant’s Proportionate Share Adjustments; Allocations Within Complex. Landlord may separately determine Taxes and Operating Expenses for the Property and other buildings in the Complex. If any Taxes or Operating Expenses (or components thereof) apply to the Property and other areas of the Complex (including, without limitation, costs of shared parking facilities and other common areas, and a shared management office), Landlord shall allocate the same in accordance with sound accounting and management practices and any instruments or agreements pertaining to the sharing or allocation of the same. In the alternative, Landlord shall have the right to determine, in accordance with sound accounting and management practices, Tenant’s Proportionate Share of Taxes and Operating Expenses (or components thereof) based upon the combined total of the same for the Property and all or any such other buildings and areas of the Complex, in which event Tenant’s Proportionate Share shall be based on the ratio of the rentable area of the Premises to the rentable area of such buildings. If the Property or Complex shall contain non-office uses during any period, Landlord may determine, in accordance with sound accounting and management practices, Tenant’s Proportionate Share of Taxes and Operating Expenses for only the office portion of the Property or Complex (or for only the non?office portion, if this Lease permits non-office use of the Premises); in such event, Tenant’s Proportionate Share shall be based on the ratio of the rentable area of the Premises to the rentable area of such portion for such period. Tenant’s Proportionate Share shall be subject to such other adjustments for such periods as may be applicable pursuant to Section 7.1(e)(ii), above, and pursuant to the definition of Tenant’s Proportionate Share in Article 1.</w:t>
      </w:r>
    </w:p>
    <w:p>
      <w:pPr>
        <w:pStyle w:val="TextBody"/>
        <w:bidi w:val="0"/>
        <w:spacing w:before="0" w:after="240"/>
        <w:jc w:val="both"/>
        <w:rPr>
          <w:rFonts w:ascii="Times New Roman" w:hAnsi="Times New Roman"/>
          <w:sz w:val="20"/>
        </w:rPr>
      </w:pPr>
      <w:r>
        <w:rPr>
          <w:rFonts w:ascii="Times New Roman" w:hAnsi="Times New Roman"/>
          <w:color w:val="000000"/>
          <w:sz w:val="24"/>
        </w:rPr>
        <w:t>(d) Tenant’s obligations to pay Operating Expenses (or any other amounts) accruing during, or relating to, the period prior to expiration or earlier termination of this Lease, shall survive such expiration or termination. Landlord may reasonably estimate all or any of such obligations within a reasonable time before, or any time after, such expiration or termination. Tenant shall pay the full amount of such estimate, and any additional amount due after the actual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amounts are determined, in each case within 30 days after Landlord sends a Statement therefor. If the actual amount is less than the amount Tenant pays as an estimate, Landlord shall refund the difference within 30 days after such determination is made.</w:t>
      </w:r>
    </w:p>
    <w:p>
      <w:pPr>
        <w:pStyle w:val="TextBody"/>
        <w:bidi w:val="0"/>
        <w:spacing w:before="0" w:after="240"/>
        <w:jc w:val="both"/>
        <w:rPr>
          <w:rFonts w:ascii="Times New Roman" w:hAnsi="Times New Roman"/>
          <w:sz w:val="20"/>
        </w:rPr>
      </w:pPr>
      <w:r>
        <w:rPr>
          <w:rFonts w:ascii="Times New Roman" w:hAnsi="Times New Roman"/>
          <w:b/>
          <w:color w:val="000000"/>
          <w:sz w:val="24"/>
        </w:rPr>
        <w:t>Section 7.4 Non-Waiver; Disputes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Landlord’s failure to render any Statement on a timely basis with respect to any Comparison Year shall not prejudice Landlord’s right to thereafter render a Statement with respect to such Comparison Year or any subsequent Comparison Year, nor shall the rendering of a Statement prejudice Landlord’s right to thereafter render a corrected Statement for that Comparison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Statement sent to Tenant shall be conclusively binding upon Tenant unless Tenant (i) pays to Landlord when due the amount set forth in such Statement, without prejudice to Tenant’s right to dispute such Statement, and (ii) within 60 days after such Statement is sent, sends a notice to Landlord objecting to such Statement and specifying the reasons therefor. Tenant agrees that Tenant will not employ, in connection with any dispute under this Lease, any person or entity who is to be compensated in whole or in part, on a contingency fee basis. If the parties are unable to resolve any dispute as to the correctness of such Statement within 30 days following such notice of objection, either party may refer the issues raised to a nationally recognized public accounting firm selected by Landlord and reasonably acceptable to Tenant, and the decision of such accountants shall be conclusively binding upon Landlord and Tenant. In connection therewith, Tenant, such accountants and all other persons to whom Tenant gives any of the information obtained in connection with such review shall execute and deliver to Landlord a confidentiality agreement, in form and substance reasonably satisfactory to Landlord, whereby such parties agree not to disclose to any third party any of the information obtained in connection with such review. Tenant shall pay the fees and expenses relating to such procedure, unless such accountants determine that Landlord overstated Operating Expenses by more than 5% for such Comparison Year, in which case Landlord shall pay such fees and expenses. Except as provided in this Section 7.4, Tenant shall have no right whatsoever to dispute, by judicial proceeding or otherwise, the accuracy of any Statement.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7.5 Proration. </w:t>
      </w:r>
      <w:r>
        <w:rPr>
          <w:rFonts w:ascii="Times New Roman" w:hAnsi="Times New Roman"/>
          <w:color w:val="000000"/>
          <w:sz w:val="24"/>
        </w:rPr>
        <w:t>If the Rent Commencement Date is not January 1, the Additional Rent for the applicable Calendar Year shall be apportioned on the basis of the number of days in the year from the Rent Commencement Date to the following December 31. If the Expiration Date occurs on a date other than December 31st, any Additional Rent under this Article 7 for the Calendar Year in which such Expiration Date occurs shall be apportioned on the basis of the number of days in the period from January 1st to the Expiration Date. Upon the expiration or earlier termination of this Lease, any Additional Rent under this Article 7 shall be adjusted or paid within 30 days after submission of the Statement for the last Calendar Year.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7.6 No Reduction in Rent. </w:t>
      </w:r>
      <w:r>
        <w:rPr>
          <w:rFonts w:ascii="Times New Roman" w:hAnsi="Times New Roman"/>
          <w:color w:val="000000"/>
          <w:sz w:val="24"/>
        </w:rPr>
        <w:t>In no event shall any decrease in Operating Expenses or Taxes in any Comparison Year below the Base Operating Expenses or Base Taxes, as the case may be, result in a reduction in the Fixed Rent or any other component of Additional Rent payable hereunder.</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00"/>
        <w:jc w:val="center"/>
        <w:rPr>
          <w:rFonts w:ascii="Times New Roman" w:hAnsi="Times New Roman"/>
          <w:sz w:val="20"/>
        </w:rPr>
      </w:pPr>
      <w:r>
        <w:rPr>
          <w:rFonts w:ascii="Times New Roman" w:hAnsi="Times New Roman"/>
          <w:b/>
          <w:caps/>
          <w:color w:val="000000"/>
          <w:sz w:val="24"/>
        </w:rPr>
        <w:t>ARTICLE 8</w:t>
      </w:r>
      <w:r>
        <w:rPr>
          <w:rFonts w:ascii="Times New Roman" w:hAnsi="Times New Roman"/>
          <w:color w:val="000000"/>
          <w:sz w:val="24"/>
        </w:rPr>
        <w:br/>
        <w:br/>
      </w:r>
      <w:r>
        <w:rPr>
          <w:rFonts w:ascii="Times New Roman" w:hAnsi="Times New Roman"/>
          <w:b/>
          <w:color w:val="2C2C2C"/>
          <w:sz w:val="24"/>
        </w:rPr>
        <w:t>REQUIREMENTS OF LAW</w:t>
      </w:r>
    </w:p>
    <w:p>
      <w:pPr>
        <w:pStyle w:val="TextBody"/>
        <w:bidi w:val="0"/>
        <w:spacing w:before="0" w:after="240"/>
        <w:jc w:val="both"/>
        <w:rPr>
          <w:rFonts w:ascii="Times New Roman" w:hAnsi="Times New Roman"/>
          <w:sz w:val="20"/>
        </w:rPr>
      </w:pPr>
      <w:r>
        <w:rPr>
          <w:rFonts w:ascii="Times New Roman" w:hAnsi="Times New Roman"/>
          <w:b/>
          <w:color w:val="000000"/>
          <w:sz w:val="24"/>
        </w:rPr>
        <w:t>Section 8.1 Compliance with Requirements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 xml:space="preserve">Tenant’s Compliance. </w:t>
      </w:r>
      <w:r>
        <w:rPr>
          <w:rFonts w:ascii="Times New Roman" w:hAnsi="Times New Roman"/>
          <w:color w:val="000000"/>
          <w:sz w:val="24"/>
        </w:rPr>
        <w:t>Tenant, at its expense, shall comply with all Requirements applicable to the Premises; and/or Tenant’s use or occupancy thereof; provided, however, that Tenant shall not be obligated to comply with any Requirements requiring any structural alterations to the Building or any alterations or repairs to any Building System unless the application of such Requirements arises from (i) the specific manner and/or nature of Tenant’s use or occupancy of the Premises, as distinct from general office use, (ii) Alterations made by Tenant, or (iii) a breach by Tenant of any provisions of this Lease. Any repairs or alterations required for compliance with applicable Requirements shall be made (1) at Tenant’s expense by Tenant in compliance with Article 5 if such repairs or alterations are nonstructural and do not affect any Building System, and to the extent such repairs or alterations do not affect areas outside the Premises, or (2) at Landlord’s expense, by Landlord if such repairs or alterations are structural or affect any Building System, or to the extent such repairs or alterations affect areas outside the Premises. If Tenant obtains knowledge of any failure to comply with any Requirements applicable to the Premises, Tenant shall give Landlord prompt notice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 xml:space="preserve">Hazardous Materials. </w:t>
      </w:r>
      <w:r>
        <w:rPr>
          <w:rFonts w:ascii="Times New Roman" w:hAnsi="Times New Roman"/>
          <w:color w:val="000000"/>
          <w:sz w:val="24"/>
        </w:rPr>
        <w:t>Tenant shall not cause or permit (i) any Hazardous Materials to be brought onto the Property, (ii) the storage or use of Hazardous Materials in or about the Building or Premises (subject to the second sentence of this Section 8.1(b)) or (iii) the escape, disposal or release of any Hazardous Materials within or in the vicinity of the Building. Nothing herein shall be deemed to prevent Tenant’s use of any Hazardous Materials customarily used in the ordinary course of office work, provided such use is in accordance with all Requirements. Tenant shall be responsible, at its expense, for all matters directly or indirectly based on, or arising or resulting from the presence of Hazardous Materials at the Property which is caused or permitted by a Tenant Party. Tenant shall provide to Landlord copies of all communications received by Tenant with respect to any Requirements relating to Hazardous Materials, and/or any claims made in connection therewith. Landlord or its agents may perform environmental inspections of the Premises at any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 xml:space="preserve">Landlord’s Compliance. </w:t>
      </w:r>
      <w:r>
        <w:rPr>
          <w:rFonts w:ascii="Times New Roman" w:hAnsi="Times New Roman"/>
          <w:color w:val="000000"/>
          <w:sz w:val="24"/>
        </w:rPr>
        <w:t>Landlord shall comply with (or cause to be complied with) all Requirements applicable to the Property which are not the obligation of Tenant, to the extent that non-compliance would materially impair Tenant’s use and occupancy of the Premises for the Permitted Uses. Landlord represents to Tenant that as of the date of this Lease, Landlord has not received any written notice of any asbestos or other Hazardous Materials in the Building in violation of any applicable Requirement.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 xml:space="preserve">Landlord’s Insurance. </w:t>
      </w:r>
      <w:r>
        <w:rPr>
          <w:rFonts w:ascii="Times New Roman" w:hAnsi="Times New Roman"/>
          <w:color w:val="000000"/>
          <w:sz w:val="24"/>
        </w:rPr>
        <w:t>Tenant shall not cause or permit any action or condition that would (i) invalidate or conflict with Landlord’s insurance policies, (ii) violate applicable rules, regulations and guidelines of the Fire Department or any other Governmental Authority having jurisdiction over the Building, (iii) cause an increase in the premiums of fire insurance for the Building over that payable with respect to Comparable Buildings, or (iv) result in Landlord’s insurance companies’ refusing to insure the Building or any property therein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amounts and against risks as reasonably determined by Landlord. If fire insurance premiums increase as a result of Tenant’s failure to comply with the provisions of this Section 8.1, Tenant shall promptly cure such failure and shall reimburse Landlord for the increased fire insurance premiums paid by Landlord as a result of such failure by Tenant.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8.2 Fire and Life Safety. </w:t>
      </w:r>
      <w:r>
        <w:rPr>
          <w:rFonts w:ascii="Times New Roman" w:hAnsi="Times New Roman"/>
          <w:color w:val="000000"/>
          <w:sz w:val="24"/>
        </w:rPr>
        <w:t xml:space="preserve">Any modifications to the Building fire alarm and life safety systems required by Tenant or completed as part of the Initial Installations shall be at Tenant’s sole cost and expense, subject to the terms of the Workletter attached hereto as </w:t>
      </w:r>
      <w:r>
        <w:rPr>
          <w:rFonts w:ascii="Times New Roman" w:hAnsi="Times New Roman"/>
          <w:color w:val="000000"/>
          <w:sz w:val="24"/>
          <w:u w:val="single"/>
        </w:rPr>
        <w:t>Exhibit C</w:t>
      </w:r>
      <w:r>
        <w:rPr>
          <w:rFonts w:ascii="Times New Roman" w:hAnsi="Times New Roman"/>
          <w:color w:val="000000"/>
          <w:sz w:val="24"/>
        </w:rPr>
        <w:t>. If the Fire Insurance Rating Organization or any Governmental Authority or any of Landlord’s insurers requires or recommends any modifications and/or alterations be made or any additional equipment be supplied in connection with the sprinkler system or fire alarm and life-safety system serving the Building by reason of Tenant’s business, any Alterations performed by Tenant or the location of the partitions, Tenant’s Property, or other contents of the Premises, Landlord (to the extent outside of the Premises) or Tenant (to the extent within the Premises) shall make such modifications and/or Alterations, and supply such additional equipment, in either case at Tenant’s expense.</w:t>
      </w:r>
    </w:p>
    <w:p>
      <w:pPr>
        <w:pStyle w:val="TextBody"/>
        <w:bidi w:val="0"/>
        <w:spacing w:before="0" w:after="240"/>
        <w:jc w:val="both"/>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9</w:t>
      </w:r>
      <w:r>
        <w:rPr>
          <w:rFonts w:ascii="Times New Roman" w:hAnsi="Times New Roman"/>
          <w:color w:val="000000"/>
          <w:sz w:val="24"/>
        </w:rPr>
        <w:br/>
        <w:br/>
      </w:r>
      <w:r>
        <w:rPr>
          <w:rFonts w:ascii="Times New Roman" w:hAnsi="Times New Roman"/>
          <w:b/>
          <w:color w:val="2C2C2C"/>
          <w:sz w:val="24"/>
        </w:rPr>
        <w:t>SUBORDINATION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Section 9.1 Subordination and Attornment.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This Lease is subject and subordinate to all Mortgages and Superior Leases, and at the request of any Mortgagee or Lessor, Tenant shall attorn to such Mortgagee or Lessor, its successors in interest or any purchaser in a foreclosure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a Lessor or Mortgagee or any other person or entity shall succeed to the rights of Landlord under this Lease, whether through possession or foreclosure action or the delivery of a new lease or deed, then at the request of the successor landlord and upon such successor landlord’s written agreement to accept Tenant’s attornment and to recognize Tenant’s interest under this Lease, Tenant shall be deemed to have attorned to and recognized such successor landlord as Landlord under this Lease. The provisions of this Section 9.1 are self-operative and require no further instruments to give effect hereto; provided, however, that Tenant shall promptly execute and deliver any instrument that such successor landlord may reasonably request (i) evidencing such attornment, (ii) setting forth the terms and conditions of Tenant’s tenancy, and (iii) containing such other terms and conditions as may be required by such Mortgagee or Lessor, provided such terms and conditions do not increase the Rent, materially increase Tenant’s obligations or materially and adversely affect Tenant’s rights under this Lease. Upon such attornment this Lease shall continue in full force and effect as a direct lease between such successor landlord and Tenant upon all of the terms, conditions and covenants set forth in this Lease except that such successor landlord shall not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liable for any act or omission of Landlord (except to the extent such act or omission continues beyond the date when such successor landlord succeeds to Landlord’s interest and Tenant gives notice of such act or omission);</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subject to any defense, claim, counterclaim, set-off or offset which Tenant may have against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bound by any prepayment of more than one month’s Rent to any prior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bound by any obligation to make any payment to Tenant which was required to be made prior to the time such successor landlord succeeded to Landlord’s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bound by any obligation to perform any work or to make improvements to the Premises except for (x) repairs and maintenance required to be made by Landlord under this Lease, and (y) repairs to the Premises as a result of damage by fire or other casualty or a partial condemnation pursuant to the provisions of this Lease, but only to the extent that such repairs can reasonably be made from the net proceeds of any insurance or condemnation awards, respectively, actually made available to such successor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bound by any modification, amendment, or renewal of this Lease made without successor landlord’s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liable for the repayment of any security deposit or surrender of any letter of credit, unless and until such security deposit actually is paid or such letter of credit is actually delivered to such successor landlord;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liable for the payment of any unfunded tenant improvement allowance, refurbishment allowance or similar obligation.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Tenant shall from time to time within ten (10) business days of request from Landlord execute and deliver any documents or instruments that may be reasonably required by any Mortgagee or Lessor to confirm any subordination.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9.2 Mortgage or Superior Lease Defaults. </w:t>
      </w:r>
      <w:r>
        <w:rPr>
          <w:rFonts w:ascii="Times New Roman" w:hAnsi="Times New Roman"/>
          <w:color w:val="000000"/>
          <w:sz w:val="24"/>
        </w:rPr>
        <w:t>Any Mortgagee may elect that this Lease shall have priority over the Mortgage and, upon notification to Tenant by such Mortgagee, this Lease shall be deemed to have priority over such Mortgage, regardless of the date of this Lease. In connection with any financing of the Property, Tenant shall consent to any reasonable modifications of this Lease requested by any lending institution, provided such modifications do not increase the Rent, materially increase the obligations, or materially and adversely affect the rights, of Tenant under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9.3 Tenant’s Termination Right. </w:t>
      </w:r>
      <w:r>
        <w:rPr>
          <w:rFonts w:ascii="Times New Roman" w:hAnsi="Times New Roman"/>
          <w:color w:val="000000"/>
          <w:sz w:val="24"/>
        </w:rPr>
        <w:t>As long as any Superior Lease or Mortgage exists, Tenant shall not seek to terminate this Lease by reason of any act or omission of Landlord until (a) Tenant shall have given notice of such act or omission to all Lessors and/or Mortgagees, and (b) a reasonable period of time shall have elapsed following the giving of notice of such default and the expiration of any applicable notice or grace periods (unless such act or omission is not capable of being remedied within a reasonable period of time), during which period such Lessors and/or Mortgagees shall have the right, but not the obligation, to remedy such act or omission and thereafter diligently proceed to so remedy such act or omission. If any Lessor or Mortgagee elects to remedy such act or omission of Landlord, Tenant shall not seek to terminate this Lease so long as such Lessor or Mortgagee is proceeding with reasonable diligence to effect such remedy.</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9.4 Provisions. </w:t>
      </w:r>
      <w:r>
        <w:rPr>
          <w:rFonts w:ascii="Times New Roman" w:hAnsi="Times New Roman"/>
          <w:color w:val="000000"/>
          <w:sz w:val="24"/>
        </w:rPr>
        <w:t>The provisions of this Article 9 shall (a) inure to the benefit of Landlord, any future owner of the Building or the Property, Lessor or Mortgagee and any sublessor thereof and (b) apply notwithstanding that, as a matter of law, this Lease may terminate upon the termination of any such Superior Lease or Mortgage.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9.5 Future Condominium Declaration. </w:t>
      </w:r>
      <w:r>
        <w:rPr>
          <w:rFonts w:ascii="Times New Roman" w:hAnsi="Times New Roman"/>
          <w:color w:val="000000"/>
          <w:sz w:val="24"/>
        </w:rPr>
        <w:t>This Lease and Tenant’s rights hereunder are and will be subject and subordinate to any condominium declaration, by-laws and other instruments (collectively, the “</w:t>
      </w:r>
      <w:r>
        <w:rPr>
          <w:rFonts w:ascii="Times New Roman" w:hAnsi="Times New Roman"/>
          <w:b/>
          <w:color w:val="000000"/>
          <w:sz w:val="24"/>
        </w:rPr>
        <w:t>Condominium Documents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which may be recorded in order to subject the Building to a condominium form of ownership pursuant to the laws of the Commonwealth of Pennsylvania, provided that the Condominium Documents do not by their terms increase the Rent, materially increase Tenant’s non-Rent obligations or materially and adversely affect Tenant’s rights under this Lease. At Landlord’s request, and subject to the foregoing proviso, Tenant will execute and deliver to Landlord an amendment of this Lease confirming such subordination and modifying this Lease to conform to such condominium regime.</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10</w:t>
      </w:r>
      <w:r>
        <w:rPr>
          <w:rFonts w:ascii="Times New Roman" w:hAnsi="Times New Roman"/>
          <w:color w:val="000000"/>
          <w:sz w:val="24"/>
        </w:rPr>
        <w:br/>
        <w:br/>
      </w:r>
      <w:r>
        <w:rPr>
          <w:rFonts w:ascii="Times New Roman" w:hAnsi="Times New Roman"/>
          <w:b/>
          <w:color w:val="2C2C2C"/>
          <w:sz w:val="24"/>
        </w:rPr>
        <w:t>SERVICES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10.1 Electricity. </w:t>
      </w:r>
      <w:r>
        <w:rPr>
          <w:rFonts w:ascii="Times New Roman" w:hAnsi="Times New Roman"/>
          <w:color w:val="000000"/>
          <w:sz w:val="24"/>
        </w:rPr>
        <w:t xml:space="preserve">Subject to any Requirements or any public utility rules or regulations governing energy consumption, Landlord shall make or cause to be made, customary arrangements with utility companies and/or public service companies to furnish electric current to the Premises for Tenant’s use in accordance with the Design Standards set forth in </w:t>
      </w:r>
      <w:r>
        <w:rPr>
          <w:rFonts w:ascii="Times New Roman" w:hAnsi="Times New Roman"/>
          <w:color w:val="000000"/>
          <w:sz w:val="24"/>
          <w:u w:val="single"/>
        </w:rPr>
        <w:t xml:space="preserve">Exhibit D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Design Standards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for electrical usage. If Landlord reasonably determines by the use of an electrical consumption survey or by other reasonable means that Tenant is using electric (including overhead fluorescent fixtures) in excess of 4 watts per useable square foot of demand load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Excess Electrical Usage</w:t>
      </w:r>
      <w:r>
        <w:rPr>
          <w:rFonts w:ascii="Times New Roman" w:hAnsi="Times New Roman"/>
          <w:color w:val="000000"/>
          <w:sz w:val="20"/>
        </w:rPr>
        <w:t>”</w:t>
      </w:r>
      <w:r>
        <w:rPr>
          <w:rFonts w:ascii="Times New Roman" w:hAnsi="Times New Roman"/>
          <w:color w:val="000000"/>
          <w:sz w:val="24"/>
        </w:rPr>
        <w:t>), then Landlord shall have the right to charge Tenant an amount equal to Landlord’s reasonable estimate of Tenant’s Excess Electrical Usage, and shall have the further right to install a separate electric current meter, submeter or check meter in the Premises (a “</w:t>
      </w:r>
      <w:r>
        <w:rPr>
          <w:rFonts w:ascii="Times New Roman" w:hAnsi="Times New Roman"/>
          <w:b/>
          <w:color w:val="000000"/>
          <w:sz w:val="24"/>
        </w:rPr>
        <w:t>Meter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measure the amount of electric current consumed in the Premises, The cost of such Meter, special conduits, wiring and panels needed in connection therewith and the installation, maintenance and repair thereof shall be paid by Tenant. Tenant shall pay to Landlord, from time to time, but no more frequently than monthly, for its Excess Electrical Usage at the Premises, plus Landlord’s charge equal to 10% of Tenant’s Excess Electrical Usage for Landlord’s costs of maintaining, repairing and reading such Meter. The rate to be paid by Tenant for submetered electricity shall include any taxes or other charges in connection therewith.</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10.2 Excess Electricity. </w:t>
      </w:r>
      <w:r>
        <w:rPr>
          <w:rFonts w:ascii="Times New Roman" w:hAnsi="Times New Roman"/>
          <w:color w:val="000000"/>
          <w:sz w:val="24"/>
        </w:rPr>
        <w:t>Tenant shall at all times comply with the rules and regulations of the utility company supplying electricity to the Building. Tenant shall not use any electrical equipment which, in Landlord’s reasonable judgment, would exceed the capacity of the electrical equipment serving the Premises or which interferes with the electrical service to other tenants of the Building. If Landlord determines that Tenant’s electrical requirements necessitate installation of any additional risers, feeders or other electrical distribution equipment (collectively, “</w:t>
      </w:r>
      <w:r>
        <w:rPr>
          <w:rFonts w:ascii="Times New Roman" w:hAnsi="Times New Roman"/>
          <w:b/>
          <w:color w:val="000000"/>
          <w:sz w:val="24"/>
        </w:rPr>
        <w:t>Electrical Equipment</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or if Tenant provides Landlord with evidence reasonably satisfactory to Landlord of Tenant’s need for excess electricity and requests that additional Electrical Equipment be installed, Landlord shall, at Tenant’s expense, install such additional Electrical Equipment, provided that Landlord, in its sole judgment, determines that (a) such installation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practicable and necessary, (b) such additional Electrical Equipment is permissible under applicable Requirements, and (c) the installation of such Electrical Equipment will not cause permanent damage to the Building or the Premises, cause or create a hazardous condition, entail excessive or unreasonable alterations, interfere with or limit electrical usage by other tenants or occupants of the Building or exceed the limits of the switchgear or other facilities serving the Building, or require power in excess of that available from the utility company serving the Building.</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10.3 Elevators. </w:t>
      </w:r>
      <w:r>
        <w:rPr>
          <w:rFonts w:ascii="Times New Roman" w:hAnsi="Times New Roman"/>
          <w:color w:val="000000"/>
          <w:sz w:val="24"/>
        </w:rPr>
        <w:t>Landlord shall provide passenger elevator service for the Premises 24 hours per day, 7 days per week; provided, however. Landlord may limit passenger elevator service during non-Ordinary Business Hours.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10.4 Heating, Ventilation and Air Conditioning. </w:t>
      </w:r>
      <w:r>
        <w:rPr>
          <w:rFonts w:ascii="Times New Roman" w:hAnsi="Times New Roman"/>
          <w:color w:val="000000"/>
          <w:sz w:val="24"/>
        </w:rPr>
        <w:t xml:space="preserve">Landlord shall furnish to the Premises heating, ventilation and air-conditioning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HVAC</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accordance with the Design Standards for HVAC usage during Ordinary Business Hours. Landlord shall have access to all air-cooling, fan, ventilating and machine rooms and electrical closets and all other mechanical installations of Landlord (collectively, “</w:t>
      </w:r>
      <w:r>
        <w:rPr>
          <w:rFonts w:ascii="Times New Roman" w:hAnsi="Times New Roman"/>
          <w:b/>
          <w:color w:val="000000"/>
          <w:sz w:val="24"/>
        </w:rPr>
        <w:t>Mechanical Installations</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 xml:space="preserve">and Tenant shall not construct partitions or other obstructions which may interfere with Landlord’s access thereto or the moving of Landlord’s equipment to and from the Mechanical Installations. No Tenant Party shall at any time enter the Mechanical Installations or tamper with, adjust, or otherwise affect such Mechanical Installations. Landlord shall not be responsible if the HVAC System fails to provide cooled or heated air, as the case may be, to the Premises in accordance with the Design Standards for HVAC usage by reason of (i) any equipment installed by, for or on behalf of Tenant, which has an electrical load in excess of the average electrical load and human occupancy factors for the HVAC System as set forth on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or (ii) any rearrangement of partitioning or other Alterations made or performed by, for or on behalf of Tenant. Tenant shall install, if missing, blinds or shades on all windows, which blinds and shades shall be subject to Landlord’s approval (not to be unreasonably withheld), and shall keep operable windows in the Premises closed, and lower the blinds when necessary because of the sun’s position, whenever the HVAC System is in operation or as and when required by any Requirement. Tenant shall cooperate with Landlord and shall abide by the rules and regulations which Landlord may reasonably prescribe for the proper functioning and protection of the HVAC System.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10.5 Supplemental Heating, Ventilation and Air Conditioning. </w:t>
      </w:r>
      <w:r>
        <w:rPr>
          <w:rFonts w:ascii="Times New Roman" w:hAnsi="Times New Roman"/>
          <w:color w:val="000000"/>
          <w:sz w:val="24"/>
        </w:rPr>
        <w:t>If, at Tenant’s request or due to Tenant’s particular use or occupancy of the Premises, the Premises or any portion thereof is at any time served by any supplemental heating, ventilation and air conditioning unit(s) that taps into the base Building HVAC System condenser water loop (whether one or more, but exclusive of any units that are part of the base Building HVAC System, the “</w:t>
      </w:r>
      <w:r>
        <w:rPr>
          <w:rFonts w:ascii="Times New Roman" w:hAnsi="Times New Roman"/>
          <w:b/>
          <w:color w:val="000000"/>
          <w:sz w:val="24"/>
        </w:rPr>
        <w:t>Supplemental HVAC Units</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(a) Tenant shall pay Landlord within thirty (30) days after Landlord gives Tenant an invoice therefor, on a monthly basis, a charge of $10.00 per ton for each Supplemental HVAC Unit; (b) Tenant, at Tenant’s expense, shall install an electric submeter for the Supplemental HVAC Unit(s) concurrently with Tenant’s installation of such Supplemental Units(s): (c) Landlord shall read the submeter (with Tenant providing Landlord with reasonable access thereto) and Tenant shall pay to Landlord all electricity charges (including any taxes and other fees associated with such electricity charges) measured on such submeter within thirty (30) days after receipt of an invoice therefor; (d) Tenant, at Tenant’s expense, shall at all times maintain a Supplemental HVAC Unit(s) service contract with a firm and upon such terms as may be reasonably satisfactory to Landlord; (e) Tenant shall provide Landlord with such documentation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other evidence as Landlord might reasonably request from time to time to demonstrate Tenant’s proper maintenance of the Supplemental HVAC Unit(s) including, without limitation, Tenant’s compliance with all of the equipment manufacturer’s warranties, rules and requirements with respect to the Supplemental HVAC Unit(s); and (f) in no event shall Landlord be liable for, and Tenant hereby waives any claim for, any Losses and other damages whether direct, indirect, consequential or punitive damages, including loss of profits or business opportunity to persons, property, equipment or otherwise arising in connection with the base Building HVAC System including any failure of the base Building HVAC system condenser water loop and/or any equipment related thereto to operate as such loop and/or equipment was designed to operate and regardless of the cause of such failure. Notwithstanding the foregoing subpart(a), in the event that Tenant installs a Supplemental HVAC Unit of five (5) tons or less in the Premises, other than for its computer room, then Tenant shall not incur fees for tapping into the Building HVAC condenser water loop for such Supplemental HVAC Unit.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10.6 Overtime HVAC.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color w:val="000000"/>
          <w:sz w:val="24"/>
        </w:rPr>
        <w:t xml:space="preserve">Fixed Rent does not include any charge to Tenant for the furnishing of HVAC to the Premises during any periods other than Ordinary Business Hours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Overtime Periods</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If Tenant desires HVAC services during Overtime Periods, Tenant shall deliver notice to the Building office requesting such services by 2:00 p.m. of the Business Day on which or preceding the date such services are to be provided; provided, however, that Landlord shall use reasonable efforts to arrange such service on such shorter notice as Tenant shall provide. If Landlord furnishes HVAC service during Overtime Periods, Tenant shall pay to Landlord the cost thereof at Landlord’s then established rate for such service in the Building, presently estimated at $203 per hour.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10.7 Cleaning. </w:t>
      </w:r>
      <w:r>
        <w:rPr>
          <w:rFonts w:ascii="Times New Roman" w:hAnsi="Times New Roman"/>
          <w:color w:val="000000"/>
          <w:sz w:val="24"/>
        </w:rPr>
        <w:t xml:space="preserve">Landlord shall cause the Premises (excluding any portions thereof used for the storage, preparation, service or consumption of food or beverages, as an exhibition area or classroom, for storage, as a shipping room, mail room or similar purposes, for private bathrooms, showers or exercise facilities, as a trading floor, or primarily for operation of computer, data processing, reproduction, duplicating or similar equipment) to be cleaned, substantially in accordance with the standards set forth in </w:t>
      </w:r>
      <w:r>
        <w:rPr>
          <w:rFonts w:ascii="Times New Roman" w:hAnsi="Times New Roman"/>
          <w:color w:val="000000"/>
          <w:sz w:val="24"/>
          <w:u w:val="single"/>
        </w:rPr>
        <w:t>Exhibit E</w:t>
      </w:r>
      <w:r>
        <w:rPr>
          <w:rFonts w:ascii="Times New Roman" w:hAnsi="Times New Roman"/>
          <w:color w:val="000000"/>
          <w:sz w:val="24"/>
        </w:rPr>
        <w:t>. Landlord reserves the right to modify such standards from time-to-time provided that Landlord’s cleaning standards shall be reasonably consistent with those provided in Comparable Buildings. Any areas of the Premises which Landlord is not required to clean hereunder or which require additional cleaning shall be cleaned, at Tenant’s expense, by Landlord’s cleaning contractor for such charge as Landlord establishes from time to time, Landlord’s cleaning contractor and its employees shall have access to the Premises at all times except between 8:00 a.m. and 5:30 p.m. on weekdays which are not Observed Holidays.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10.8 Water. </w:t>
      </w:r>
      <w:r>
        <w:rPr>
          <w:rFonts w:ascii="Times New Roman" w:hAnsi="Times New Roman"/>
          <w:color w:val="000000"/>
          <w:sz w:val="24"/>
        </w:rPr>
        <w:t>Landlord shall provide water in the core lavatories, drinking fountains and janitor’s closets on each floor of the Building. If Tenant requires water in excess of that used by a normal office building tenant of similar size using its premises for normal office use, Tenant shall pay for the cost of bringing water to the Premises and Landlord may install a meter to measure the water. Tenant shall pay the cost of such installation, and for all maintenance, repairs and replacements thereto, and for the reasonable charges of Landlord for the water consumed.</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10.9 Refuse Removal. </w:t>
      </w:r>
      <w:r>
        <w:rPr>
          <w:rFonts w:ascii="Times New Roman" w:hAnsi="Times New Roman"/>
          <w:color w:val="000000"/>
          <w:sz w:val="24"/>
        </w:rPr>
        <w:t>Landlord shall provide refuse removal services at the Building for ordinary office refuse and rubbish. Tenant shall pay to Landlord, Landlord’s reasonable charge for such removal to the extent that the refuse generated by Tenant exceeds the refuse customarily generated by general office tenants. Tenant shall not dispose of any refuse in the Common Areas, and if Tenant does so, Tenant shall be liable for Landlord’s reasonable charge for such removal. Tenant shall, at its sole cost and expense, comply with all present and future Requirements regarding the collection, sorting, separation, and recycling of trash. Each separately sorted category of trash shall be placed in separate receptacles as directed by Landlord.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10.10 Directory. </w:t>
      </w:r>
      <w:r>
        <w:rPr>
          <w:rFonts w:ascii="Times New Roman" w:hAnsi="Times New Roman"/>
          <w:color w:val="000000"/>
          <w:sz w:val="24"/>
        </w:rPr>
        <w:t>Landlord shall list Tenant on at least one of the Building directories located in the first floor lobbies of the Building. The Building directory listing Tenant’s name will be shared with other Building tenants and space on the directory shall be equitably apportioned amongst the tenants.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10.11 Tenant Access to Premises. </w:t>
      </w:r>
      <w:r>
        <w:rPr>
          <w:rFonts w:ascii="Times New Roman" w:hAnsi="Times New Roman"/>
          <w:color w:val="000000"/>
          <w:sz w:val="24"/>
        </w:rPr>
        <w:t>Tenant shall have</w:t>
      </w:r>
      <w:r>
        <w:rPr>
          <w:rFonts w:ascii="Times New Roman" w:hAnsi="Times New Roman"/>
          <w:color w:val="000000"/>
          <w:sz w:val="20"/>
        </w:rPr>
        <w:t xml:space="preserve"> </w:t>
      </w:r>
      <w:r>
        <w:rPr>
          <w:rFonts w:ascii="Times New Roman" w:hAnsi="Times New Roman"/>
          <w:color w:val="000000"/>
          <w:sz w:val="24"/>
        </w:rPr>
        <w:t>access to the Premises 24 hours a day, seven days a week. Outside of Ordinary Business Hours, Building access will be monitored by an electronic card or key security and access system or any such successor system installed and maintained by Landlord. Tenant shall be responsible for access control to the Premises at Tenant’s sole cost and expense.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10.12 Telecommunications. </w:t>
      </w:r>
      <w:r>
        <w:rPr>
          <w:rFonts w:ascii="Times New Roman" w:hAnsi="Times New Roman"/>
          <w:color w:val="000000"/>
          <w:sz w:val="24"/>
        </w:rPr>
        <w:t>If Tenant requests that Landlord grant access to the Building to a telecommunications service provider designated by Tenant for purposes of providing telecommunications services to Tenant, Landlord shall use its good faith efforts to respond to such request within 30 days. Tenant acknowledges that nothing set forth in this Section shall impose any affirmative obligation on Landlord to grant such request and that Landlord, in its sole discretion, shall have the right to determine which telecommunications service providers shall have access to Building facilities.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10.13 Service Interruptions. </w:t>
      </w:r>
      <w:r>
        <w:rPr>
          <w:rFonts w:ascii="Times New Roman" w:hAnsi="Times New Roman"/>
          <w:color w:val="000000"/>
          <w:sz w:val="24"/>
        </w:rPr>
        <w:t>Landlord reserves the right to suspend any service when necessary, by reason of Unavoidable Delays, accidents or emergencies, or for Restorative Work which, in Landlord’s reasonable judgment, are necessary or appropriate until such Unavoidable Delay, accident or emergency shall cease or such Restorative Work is completed and Landlord shall not be liable for any interruption, curtailment or failure to supply services. Landlord shall use reasonable efforts to minimize interference with Tenant’s use and occupancy of the Premises as a result of any such interruption, curtailment or failure or defect in any such service, or change in the supply, character and/or quantity of, electrical service, and to restore any such services, remedy such situation and minimize any interference with Tenant’s business. The exercise of any such right or the occurrence of any such failure by Landlord shall not constitute an actual or constructive eviction, in whole or in part, entitle Tenant to any compensation, abatement or diminution of Rent, relieve Tenant from any of its obligations under this Lease, or impose any liability upon Landlord or any Indemnified Party by reason of inconvenience to Tenant, or interruption of Tenant’s business, or otherwise. Landlord shall not be liable in any way to Tenant for any failure, defect or interruption of, or change in the supply, character and/or quantity of electrical service furnished to the Premises for any reason except if attributable to the gross negligence or willful misconduct of Landlord.</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10.14 Service Additions and Omissions. </w:t>
      </w:r>
      <w:r>
        <w:rPr>
          <w:rFonts w:ascii="Times New Roman" w:hAnsi="Times New Roman"/>
          <w:color w:val="000000"/>
          <w:sz w:val="24"/>
        </w:rPr>
        <w:t>Except with respect to the services that Landlord otherwise agrees to provide as set forth in this Article, Landlord shall have the right to add, modify and/or curtail any Building services as Landlord determines appropriate from time to time in Landlord’s sole discretion.</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11</w:t>
      </w:r>
      <w:r>
        <w:rPr>
          <w:rFonts w:ascii="Times New Roman" w:hAnsi="Times New Roman"/>
          <w:color w:val="000000"/>
          <w:sz w:val="24"/>
        </w:rPr>
        <w:br/>
        <w:br/>
      </w:r>
      <w:r>
        <w:rPr>
          <w:rFonts w:ascii="Times New Roman" w:hAnsi="Times New Roman"/>
          <w:b/>
          <w:color w:val="2C2C2C"/>
          <w:sz w:val="24"/>
        </w:rPr>
        <w:t>INSURANCE; PROPERTY LOSS OR DAMAGE</w:t>
      </w:r>
    </w:p>
    <w:p>
      <w:pPr>
        <w:pStyle w:val="TextBody"/>
        <w:bidi w:val="0"/>
        <w:spacing w:before="0" w:after="240"/>
        <w:jc w:val="both"/>
        <w:rPr>
          <w:rFonts w:ascii="Times New Roman" w:hAnsi="Times New Roman"/>
          <w:sz w:val="20"/>
        </w:rPr>
      </w:pPr>
      <w:r>
        <w:rPr>
          <w:rFonts w:ascii="Times New Roman" w:hAnsi="Times New Roman"/>
          <w:b/>
          <w:color w:val="000000"/>
          <w:sz w:val="24"/>
        </w:rPr>
        <w:t>Section 11.1 Tenant’s Insurance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 at its expense, shall obtain and maintain in full force and effect the following insurance policies throughout the term of the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color w:val="000000"/>
          <w:sz w:val="24"/>
          <w:u w:val="single"/>
        </w:rPr>
        <w:t>Commercial General Liability (</w:t>
      </w:r>
      <w:r>
        <w:rPr>
          <w:rFonts w:ascii="Times New Roman" w:hAnsi="Times New Roman"/>
          <w:color w:val="000000"/>
          <w:sz w:val="20"/>
          <w:u w:val="single"/>
        </w:rPr>
        <w:t>“</w:t>
      </w:r>
      <w:r>
        <w:rPr>
          <w:rFonts w:ascii="Times New Roman" w:hAnsi="Times New Roman"/>
          <w:b/>
          <w:color w:val="000000"/>
          <w:sz w:val="24"/>
          <w:u w:val="single"/>
        </w:rPr>
        <w:t>CGL</w:t>
      </w:r>
      <w:r>
        <w:rPr>
          <w:rFonts w:ascii="Times New Roman" w:hAnsi="Times New Roman"/>
          <w:color w:val="000000"/>
          <w:sz w:val="20"/>
          <w:u w:val="single"/>
        </w:rPr>
        <w:t>”</w:t>
      </w:r>
      <w:r>
        <w:rPr>
          <w:rFonts w:ascii="Times New Roman" w:hAnsi="Times New Roman"/>
          <w:color w:val="2C2C2C"/>
          <w:sz w:val="24"/>
          <w:u w:val="single"/>
        </w:rPr>
        <w:t>)</w:t>
      </w:r>
      <w:r>
        <w:rPr>
          <w:rFonts w:ascii="Times New Roman" w:hAnsi="Times New Roman"/>
          <w:color w:val="2C2C2C"/>
          <w:sz w:val="20"/>
          <w:u w:val="single"/>
        </w:rPr>
        <w:t xml:space="preserve"> </w:t>
      </w:r>
      <w:r>
        <w:rPr>
          <w:rFonts w:ascii="Times New Roman" w:hAnsi="Times New Roman"/>
          <w:b/>
          <w:color w:val="2C2C2C"/>
          <w:sz w:val="24"/>
          <w:u w:val="single"/>
        </w:rPr>
        <w:t>Insurance</w:t>
      </w:r>
      <w:r>
        <w:rPr>
          <w:rFonts w:ascii="Times New Roman" w:hAnsi="Times New Roman"/>
          <w:color w:val="2C2C2C"/>
          <w:sz w:val="20"/>
        </w:rPr>
        <w:t xml:space="preserve"> </w:t>
      </w:r>
      <w:r>
        <w:rPr>
          <w:rFonts w:ascii="Times New Roman" w:hAnsi="Times New Roman"/>
          <w:color w:val="2C2C2C"/>
          <w:sz w:val="24"/>
        </w:rPr>
        <w:t>on an occurrence basis covering liability arising from premises operations, independent contractors, product-completed operations, personal injury, advertising injury, bodily injury, death and/or property damage occurring in or about the Building, under which Tenant is insured and Landlord, Landlord’s Agent and any Lessors and any Mortgagees whose names have been furnished to Tenant are named as additional insureds (the “Insured Parties”). Such insurance shall provide primary coverage without contribution from any other insurance or self-insurance carried by or for the benefit of the Insured Parties, and such insurance shall include blanket broad-form contractual liability coverage. The minimum limits of liability applying exclusively to the Premises shall be $3,000,000.00 per occurrence and $5,000,000.00 aggregate. If CGL contains a general aggregate limit, it shall apply separately to this location. Landlord shall retain the right to require Tenant to increase such coverage at the time of Lease renewal to that amount of insurance which in Landlord’s commercially reasonable judgment is then being customarily required by landlords for similar office space in Comparable Buildings. There shall be no deductible or self-insurance without prior written consent of Landlord.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color w:val="000000"/>
          <w:sz w:val="24"/>
          <w:u w:val="single"/>
        </w:rPr>
        <w:t xml:space="preserve">All-Risk Commercial Property Insurance (Including the Perils </w:t>
      </w:r>
      <w:r>
        <w:rPr>
          <w:rFonts w:ascii="Times New Roman" w:hAnsi="Times New Roman"/>
          <w:color w:val="000000"/>
          <w:sz w:val="24"/>
          <w:u w:val="single"/>
        </w:rPr>
        <w:t xml:space="preserve">of </w:t>
      </w:r>
      <w:r>
        <w:rPr>
          <w:rFonts w:ascii="Times New Roman" w:hAnsi="Times New Roman"/>
          <w:b/>
          <w:color w:val="000000"/>
          <w:sz w:val="24"/>
          <w:u w:val="single"/>
        </w:rPr>
        <w:t>Flood and Earthquake</w:t>
      </w:r>
      <w:r>
        <w:rPr>
          <w:rFonts w:ascii="Times New Roman" w:hAnsi="Times New Roman"/>
          <w:color w:val="000000"/>
          <w:sz w:val="24"/>
          <w:u w:val="single"/>
        </w:rPr>
        <w:t>)</w:t>
      </w:r>
      <w:r>
        <w:rPr>
          <w:rFonts w:ascii="Times New Roman" w:hAnsi="Times New Roman"/>
          <w:b/>
          <w:color w:val="000000"/>
          <w:sz w:val="24"/>
        </w:rPr>
        <w:t xml:space="preserve">, </w:t>
      </w:r>
      <w:r>
        <w:rPr>
          <w:rFonts w:ascii="Times New Roman" w:hAnsi="Times New Roman"/>
          <w:color w:val="000000"/>
          <w:sz w:val="24"/>
        </w:rPr>
        <w:t>insuring Tenant’s Property and Above Building Standard Installations, for the full replacement value thereof, having a deductible amount, if any, not in excess of $25,000 without prior written consent of Landlord. Flood and Earthquake coverage with a limit as close to the full replacement cost of the property covered as is reasonably available shall be provided. The Insured Parties shall be included as Loss Payee(s) with respect to all Alterations.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color w:val="000000"/>
          <w:sz w:val="24"/>
          <w:u w:val="single"/>
        </w:rPr>
        <w:t>Builder’s Risk</w:t>
      </w:r>
      <w:r>
        <w:rPr>
          <w:rFonts w:ascii="Times New Roman" w:hAnsi="Times New Roman"/>
          <w:color w:val="000000"/>
          <w:sz w:val="20"/>
        </w:rPr>
        <w:t xml:space="preserve"> </w:t>
      </w:r>
      <w:r>
        <w:rPr>
          <w:rFonts w:ascii="Times New Roman" w:hAnsi="Times New Roman"/>
          <w:color w:val="000000"/>
          <w:sz w:val="24"/>
        </w:rPr>
        <w:t>during the performance of any Alteration, including without limitation any initial tenant fit-out work to ready the Premises for Tenant’s occupancy, until completion thereof, on an “All Risk” basis including a permission to complete and occupy and flood including resulting water damage endorsements, for full replacement value covering the interest of Landlord and Tenant (and all respective contractors and subcontractors) in all work incorporated in the Building and all materials and equipment in or about the Premises or evidence of coverage under the “All Risk” property insurance policies. The Insured Parties shall be named as additional insureds.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b/>
          <w:color w:val="000000"/>
          <w:sz w:val="24"/>
          <w:u w:val="single"/>
        </w:rPr>
        <w:t>Business</w:t>
      </w:r>
      <w:r>
        <w:rPr>
          <w:rFonts w:ascii="Times New Roman" w:hAnsi="Times New Roman"/>
          <w:color w:val="000000"/>
          <w:sz w:val="20"/>
          <w:u w:val="single"/>
        </w:rPr>
        <w:t xml:space="preserve"> </w:t>
      </w:r>
      <w:r>
        <w:rPr>
          <w:rFonts w:ascii="Times New Roman" w:hAnsi="Times New Roman"/>
          <w:b/>
          <w:color w:val="000000"/>
          <w:sz w:val="24"/>
          <w:u w:val="single"/>
        </w:rPr>
        <w:t>Interruption Insurance</w:t>
      </w:r>
      <w:r>
        <w:rPr>
          <w:rFonts w:ascii="Times New Roman" w:hAnsi="Times New Roman"/>
          <w:color w:val="000000"/>
          <w:sz w:val="20"/>
        </w:rPr>
        <w:t xml:space="preserve"> </w:t>
      </w:r>
      <w:r>
        <w:rPr>
          <w:rFonts w:ascii="Times New Roman" w:hAnsi="Times New Roman"/>
          <w:color w:val="000000"/>
          <w:sz w:val="24"/>
        </w:rPr>
        <w:t>covering a</w:t>
      </w:r>
      <w:r>
        <w:rPr>
          <w:rFonts w:ascii="Times New Roman" w:hAnsi="Times New Roman"/>
          <w:color w:val="000000"/>
          <w:sz w:val="20"/>
        </w:rPr>
        <w:t xml:space="preserve"> </w:t>
      </w:r>
      <w:r>
        <w:rPr>
          <w:rFonts w:ascii="Times New Roman" w:hAnsi="Times New Roman"/>
          <w:color w:val="000000"/>
          <w:sz w:val="24"/>
        </w:rPr>
        <w:t>minimum of one year of anticipated gross Rent.</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b/>
          <w:color w:val="000000"/>
          <w:sz w:val="24"/>
          <w:u w:val="single"/>
        </w:rPr>
        <w:t>Workers’ Compensation Benefits insurance</w:t>
      </w:r>
      <w:r>
        <w:rPr>
          <w:rFonts w:ascii="Times New Roman" w:hAnsi="Times New Roman"/>
          <w:color w:val="000000"/>
          <w:sz w:val="20"/>
        </w:rPr>
        <w:t xml:space="preserve"> </w:t>
      </w:r>
      <w:r>
        <w:rPr>
          <w:rFonts w:ascii="Times New Roman" w:hAnsi="Times New Roman"/>
          <w:color w:val="000000"/>
          <w:sz w:val="24"/>
        </w:rPr>
        <w:t>as required by law or by statute, and Employer’s Liability with a limit not less than $1,000,000 each accident for bodily injury by accident or $1,000,000 each employee for bodily injury by disease. A deductible or self</w:t>
        <w:noBreakHyphen/>
        <w:t>insured retention for such policy shall not exceed $25,000 without prior written consent of Landlord.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w:t>
      </w:r>
      <w:r>
        <w:rPr>
          <w:rFonts w:ascii="Times New Roman" w:hAnsi="Times New Roman"/>
          <w:b/>
          <w:color w:val="000000"/>
          <w:sz w:val="24"/>
          <w:u w:val="single"/>
        </w:rPr>
        <w:t>Commercial Automobile Liability Insurance</w:t>
      </w:r>
      <w:r>
        <w:rPr>
          <w:rFonts w:ascii="Times New Roman" w:hAnsi="Times New Roman"/>
          <w:color w:val="000000"/>
          <w:sz w:val="20"/>
        </w:rPr>
        <w:t xml:space="preserve"> </w:t>
      </w:r>
      <w:r>
        <w:rPr>
          <w:rFonts w:ascii="Times New Roman" w:hAnsi="Times New Roman"/>
          <w:color w:val="000000"/>
          <w:sz w:val="24"/>
        </w:rPr>
        <w:t>(if the Tenant is operating a fleet out of the Premises) covering any auto including owned, hired, and non-owned autos, as applicable, with a combined single limit with respect to each occurrence in an amount of not less than $1,000,000. The Commercial Auto policy shall include contractual liability coverage. The Insured Parties shall be named as additional insureds.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insurance required to be carried by Tenant shall contain a provision that the Insured Parties receive thirty (30) days prior written notice in advance of any termination or material change (except that notice of termination for nonpayment of premium shall be 10-days) of the policies that would affect the interest of any of the Insured Parties and shall be effected under valid and enforceable policies issued by reputable insurers authorized to do business in the Commonwealth of Pennsylvania and rated in AM Best’s Insurance Guide, or any successor thereto as having an AM Best’s Rating of “A” or better and a Financial Size Category of at least “X” or better, or if such ratings are not then in effect, the equivalent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On or prior to the Commencement Date, Tenant shall deliver to Landlord appropriate certificates of insurance, that evidence insurance required to be covered by this Article 11, the waivers of subrogation required by Section 11.2, the Insured Parties are named as additional insureds/loss payees as required pursuant to this Article 11, and the commercial general liability is primary, non-contributory, and not excess of any other valid and collectible insurance. Evidence of each renewal or replacement policies shall be delivered by Tenant to Landlord at least ten (10) days after the expiration of the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By requiring insurance herein, Landlord does not represent that coverage and limits will necessarily be adequate to protect Tenant, and such coverage and limits shall not be deemed a limitation on or transfer of Tenant’s liability under the indemnities granted to Landlord in this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All rights that inure to the benefit of the Landlord shall not be prejudiced by the expiration of the Lease.</w:t>
      </w:r>
    </w:p>
    <w:p>
      <w:pPr>
        <w:pStyle w:val="TextBody"/>
        <w:bidi w:val="0"/>
        <w:spacing w:before="0" w:after="300"/>
        <w:jc w:val="both"/>
        <w:rPr>
          <w:rFonts w:ascii="Times New Roman" w:hAnsi="Times New Roman"/>
          <w:color w:val="000000"/>
          <w:sz w:val="24"/>
        </w:rPr>
      </w:pPr>
      <w:r>
        <w:rPr>
          <w:rFonts w:ascii="Times New Roman" w:hAnsi="Times New Roman"/>
          <w:color w:val="000000"/>
          <w:sz w:val="24"/>
        </w:rPr>
        <w:t>(f) Tenant may satisfy the limits of liability required herein with a combination of umbrella and/or excess policies of insurance where applicable, provided that such policies comply with all of the provisions hereof (including, without limitation, with respect to scope of coverage and naming of the Insured Parties as additional insureds).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11.2 Waiver of Subrogation. </w:t>
      </w:r>
      <w:r>
        <w:rPr>
          <w:rFonts w:ascii="Times New Roman" w:hAnsi="Times New Roman"/>
          <w:color w:val="000000"/>
          <w:sz w:val="24"/>
        </w:rPr>
        <w:t>Landlord and Tenant shall each procure an appropriate clause in or endorsement to any property insurance covering the Property and personal property, fixtures and equipment located therein, wherein the insurer waives subrogation or consents to a waiver of right of recovery, and Landlord and Tenant agree not to make any claim against, or seek to recover from, the other for any loss or damage to its property or the property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others resulting from fire or other hazards to the extent covered by such property insurance, regardless of whether such loss or damage is caused by the negligence of Landlord or Tenant, arising out of any of the perils or casualties insured against by the property insurance policies carried, or required to be carried, by the parties pursuant to this Lease. In addition, Landlord and Tenant shall have no liability to one another for any deductible amount carried under any policy. Tenant acknowledges that Landlord shall not carry insurance on, and shall not be responsible for, (i) damage to any Above Building Standard Installations, (ii) Tenant’s Property, and (iii) any loss suffered by Tenant due to interruption of Tenant’s business.</w:t>
      </w:r>
    </w:p>
    <w:p>
      <w:pPr>
        <w:pStyle w:val="TextBody"/>
        <w:bidi w:val="0"/>
        <w:spacing w:before="0" w:after="240"/>
        <w:jc w:val="both"/>
        <w:rPr>
          <w:rFonts w:ascii="Times New Roman" w:hAnsi="Times New Roman"/>
          <w:sz w:val="20"/>
        </w:rPr>
      </w:pPr>
      <w:r>
        <w:rPr>
          <w:rFonts w:ascii="Times New Roman" w:hAnsi="Times New Roman"/>
          <w:b/>
          <w:color w:val="000000"/>
          <w:sz w:val="24"/>
        </w:rPr>
        <w:t>Section 11.3 Restoration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If the Premises are damaged by fire or other casualty, or if the Building is damaged such that Tenant is deprived of reasonable access to the Premises, the damage shall be repaired by Landlord, to substantially the condition of the Premises prior to the damage, subject to the provisions of any Mortgage or Superior Lease, but Landlord’s repair obligation shall be limited to base level Alterations and improvements that are typically performed in connection with the initial occupancy of tenants in the Building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Building Standard Installations</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and Landlord shall have no obligation to repair or restore (i) Tenant’s Property or (ii) except as provided in Section 11.4(b), any Alterations or improvements to the Premises, to the extent such Alterations or improvements exceed Building Standard Installations (“</w:t>
      </w:r>
      <w:r>
        <w:rPr>
          <w:rFonts w:ascii="Times New Roman" w:hAnsi="Times New Roman"/>
          <w:b/>
          <w:color w:val="000000"/>
          <w:sz w:val="24"/>
        </w:rPr>
        <w:t>Above</w:t>
      </w:r>
      <w:r>
        <w:rPr>
          <w:rFonts w:ascii="Times New Roman" w:hAnsi="Times New Roman"/>
          <w:color w:val="000000"/>
          <w:sz w:val="20"/>
        </w:rPr>
        <w:t xml:space="preserve"> </w:t>
      </w:r>
      <w:r>
        <w:rPr>
          <w:rFonts w:ascii="Times New Roman" w:hAnsi="Times New Roman"/>
          <w:b/>
          <w:color w:val="000000"/>
          <w:sz w:val="24"/>
        </w:rPr>
        <w:t>Building Standard Installations</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So long as Tenant is not in default beyond applicable grace or notice provisions in the payment or performance of its obligations under this Section 11.4, and provided Tenant timely delivers to Landlord either Tenant’s Restoration Payment (as hereinafter defined) or the Restoration Security (as hereinafter defined) or Tenant expressly waives any obligation of Landlord to repair or restore any of Tenant’s Above Building Standard Installations, then until the restoration of the Premises is Substantially Completed or would have been Substantially Completed but for Tenant Delay, Fixed Rent, Tenant’s Tax Payment and Tenant’s Operating Payment shall be reduced in the proportion by which the area of the part of the Premises which is not usable (or accessible) and is not used by Tenant bears to the total area of the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As a condition precedent to Landlord’s obligation to repair or restore any Above Building Standard Installations, Tenant shall (i) pay to Landlord upon demand a sum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Tenant’s Restoration Payment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equal to the amount, if any, by which (A) the cost, as estimated by a reputable independent contractor designated by Landlord, of repairing and restoring all Alterations and Initial Installations in the Premises to their condition prior to the damage, exceeds (B) the cost of restoring the Premises with Building Standard Installations, or (ii) furnish to Landlord security (the “</w:t>
      </w:r>
      <w:r>
        <w:rPr>
          <w:rFonts w:ascii="Times New Roman" w:hAnsi="Times New Roman"/>
          <w:b/>
          <w:color w:val="000000"/>
          <w:sz w:val="24"/>
        </w:rPr>
        <w:t>Restoration Security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in form and amount reasonably acceptable to Landlord to secure Tenant’s obligation to pay all costs in excess of restoring the Premises with Building Standard Installations. If Tenant shall fail to deliver to Landlord either (1) Tenant’s Restoration Payment or the Restoration Security, as applicable, or (2) a waiver by Tenant, in form satisfactory to Landlord, of all of Landlord’s obligations to repair or restore any of the Above Building Standard Installations, in either case within 15 days after Landlord’s demand therefor, Landlord shall have no obligation to restore any Above Building Standard Installations and Tenant’s abatement of Fixed Rent, Tenant’s Tax Payment and Tenant’s Operating Payment shall cease when the restoration of the Premises (other than any Above Building Standard Installations) is Substantially Complete.</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11.4 Landlord’s Termination Right. </w:t>
      </w:r>
      <w:r>
        <w:rPr>
          <w:rFonts w:ascii="Times New Roman" w:hAnsi="Times New Roman"/>
          <w:color w:val="000000"/>
          <w:sz w:val="24"/>
        </w:rPr>
        <w:t>Notwithstanding anything to the contrary contained in Section 11.4, if the Premises are totally damaged or are rendered wholly untenantable, or if the Building shall be so damaged that, in Landlord’s reasonable opinion, substantial alteration, demolition, or reconstruction of the Building shall be required (whether or not the Premises are so damaged or rendered untenantable), then in either of such events, Landlord may, not later than 60 days following the date of the damage, terminate this Lease by notice to Tenant, provided that if the Premises are not damaged, Landlord may not terminate this Lease unless Landlord, similarly terminates the leases of other tenants in the Building aggregating at least 50% of the portion of the Building occupied for office purposes immediately prior to such damage. If this Lease is so terminated, (a) the Term shall expire upon the 30th day after such notice is given, (b) Tenant shall vacate the Premises and surrender the same to Landlord, (c) Tenant’s liability for Rent shall cease as of the date of the damage, and (d) any prepaid Rent for any period after the date of the damage shall be refunded by Landlord to Tenant.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11.5 Tenant’s Termination Right. </w:t>
      </w:r>
      <w:r>
        <w:rPr>
          <w:rFonts w:ascii="Times New Roman" w:hAnsi="Times New Roman"/>
          <w:color w:val="000000"/>
          <w:sz w:val="24"/>
        </w:rPr>
        <w:t>If the Premises are totally damaged and are thereby rendered wholly untenantable, or if the Building shall be so damaged that Tenant is deprived of reasonable access to the Premises, and if Landlord elects to restore the Premises, Landlord shall, within 60 days following the date of the damage, cause a contractor or architect selected by Landlord to give notice (the “</w:t>
      </w:r>
      <w:r>
        <w:rPr>
          <w:rFonts w:ascii="Times New Roman" w:hAnsi="Times New Roman"/>
          <w:b/>
          <w:color w:val="000000"/>
          <w:sz w:val="24"/>
        </w:rPr>
        <w:t>Restoration Notice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Tenant of the date by which such contractor or architect estimates the restoration of the Premises (excluding any Above Building Standard Installations) shall be Substantially Completed. If such date, as set forth in the Restoration Notice, is more than 12 months from the date of such damage, then Tenant shall have the right to terminate this Lease by giving notice (the “</w:t>
      </w:r>
      <w:r>
        <w:rPr>
          <w:rFonts w:ascii="Times New Roman" w:hAnsi="Times New Roman"/>
          <w:b/>
          <w:color w:val="000000"/>
          <w:sz w:val="24"/>
        </w:rPr>
        <w:t>Termination Notice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Landlord not later than 30 days following delivery of the Restoration Notice to Tenant. If Tenant delivers a Termination Notice, this Lease shall be deemed to have terminated as of the date of the giving of the Termination Notice, in the manner set forth in the second sentence of Section 11.5.</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11.6 Final 18 Months. </w:t>
      </w:r>
      <w:r>
        <w:rPr>
          <w:rFonts w:ascii="Times New Roman" w:hAnsi="Times New Roman"/>
          <w:color w:val="000000"/>
          <w:sz w:val="24"/>
        </w:rPr>
        <w:t>Notwithstanding anything to the contrary in this Article 11, if any damage during the final 18 months of the Term renders the Premises wholly untenantable, either Landlord or Tenant may terminate this Lease by notice to the other party within 30 days after the occurrence of such damage and this Lease shall expire on the 30th day after the date of such notice. For purposes of this Section 11.7, the Premises shall be deemed wholly untenantable if Tenant shall be precluded from using more than 50% of the Premises for the conduct of its business and Tenant’s inability to so use the Premises is reasonably expected to continue for more than 90 days.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11.7 Landlord’s Liability. </w:t>
      </w:r>
      <w:r>
        <w:rPr>
          <w:rFonts w:ascii="Times New Roman" w:hAnsi="Times New Roman"/>
          <w:color w:val="000000"/>
          <w:sz w:val="24"/>
        </w:rPr>
        <w:t>Any Building employee to whom any property shall be entrusted by or on behalf of Tenant shall be deemed to be acting as Tenant’s agent with respect to such property and neither Landlord nor its agents shall be liable for any damage to such property, or for the loss of or damage to any property of Tenant by theft or otherwise. None of the Insured Parties shall be liable for any injury or damage to persons or property or interruption of Tenant’s business resulting from fire or other casualty, any damage caused by other tenants or persons in the Building or the parking garage or by construction of any private, public or quasi-public work, or any latent defect in the Premises or in the Building or the parking garage (except that Landlord shall be required to repair the same to the extent provided in Article 6). No penalty shall accrue for delays which may arise by reason of adjustment of fire insurance on the part of Landlord or Tenant, or for any Unavoidable Delays arising from any repair or restoration of any portion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Building, provided that Landlord shall use reasonable efforts to minimize interference with Tenant’s use and occupancy of the Premises during the performance of any such repair or restoration.</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12</w:t>
      </w:r>
      <w:r>
        <w:rPr>
          <w:rFonts w:ascii="Times New Roman" w:hAnsi="Times New Roman"/>
          <w:color w:val="000000"/>
          <w:sz w:val="24"/>
        </w:rPr>
        <w:br/>
        <w:br/>
      </w:r>
      <w:r>
        <w:rPr>
          <w:rFonts w:ascii="Times New Roman" w:hAnsi="Times New Roman"/>
          <w:b/>
          <w:color w:val="2C2C2C"/>
          <w:sz w:val="24"/>
        </w:rPr>
        <w:t>EMINENT DOMAIN</w:t>
      </w:r>
    </w:p>
    <w:p>
      <w:pPr>
        <w:pStyle w:val="TextBody"/>
        <w:bidi w:val="0"/>
        <w:spacing w:before="0" w:after="300"/>
        <w:jc w:val="both"/>
        <w:rPr>
          <w:rFonts w:ascii="Times New Roman" w:hAnsi="Times New Roman"/>
          <w:sz w:val="20"/>
        </w:rPr>
      </w:pPr>
      <w:r>
        <w:rPr>
          <w:rFonts w:ascii="Times New Roman" w:hAnsi="Times New Roman"/>
          <w:b/>
          <w:color w:val="000000"/>
          <w:sz w:val="24"/>
        </w:rPr>
        <w:t>Section 12.1 Taking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 xml:space="preserve">Total Taking. </w:t>
      </w:r>
      <w:r>
        <w:rPr>
          <w:rFonts w:ascii="Times New Roman" w:hAnsi="Times New Roman"/>
          <w:color w:val="000000"/>
          <w:sz w:val="24"/>
        </w:rPr>
        <w:t>If all or substantially all of the Property, the Complex, the Building or the Premises shall be acquired or condemned for any public or quasi-public purpose (a “</w:t>
      </w:r>
      <w:r>
        <w:rPr>
          <w:rFonts w:ascii="Times New Roman" w:hAnsi="Times New Roman"/>
          <w:b/>
          <w:color w:val="000000"/>
          <w:sz w:val="24"/>
        </w:rPr>
        <w:t>Taking</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this Lease shall terminate and the Term shall end as of the date of the vesting of title and Rent shall be prorated and adjusted as of such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 xml:space="preserve">Partial Taking. </w:t>
      </w:r>
      <w:r>
        <w:rPr>
          <w:rFonts w:ascii="Times New Roman" w:hAnsi="Times New Roman"/>
          <w:color w:val="000000"/>
          <w:sz w:val="24"/>
        </w:rPr>
        <w:t>Upon a Taking of only a part of the Property, the Complex, the Building or the Premises then, except as hereinafter provided in this Article 12, this Lease shall continue in full force and effect, provided that from and after the date of the vesting of title, Fixed Rent and Tenant’s Proportionate Share shall be modified to reflect the reduction of the Premises and/or the Building as a result of such Taking.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 xml:space="preserve">Landlord’s Termination Right </w:t>
      </w:r>
      <w:r>
        <w:rPr>
          <w:rFonts w:ascii="Times New Roman" w:hAnsi="Times New Roman"/>
          <w:color w:val="000000"/>
          <w:sz w:val="24"/>
        </w:rPr>
        <w:t xml:space="preserve">Whether or not the Premises </w:t>
      </w:r>
      <w:r>
        <w:rPr>
          <w:rFonts w:ascii="Times New Roman" w:hAnsi="Times New Roman"/>
          <w:b/>
          <w:color w:val="000000"/>
          <w:sz w:val="24"/>
        </w:rPr>
        <w:t xml:space="preserve">are </w:t>
      </w:r>
      <w:r>
        <w:rPr>
          <w:rFonts w:ascii="Times New Roman" w:hAnsi="Times New Roman"/>
          <w:color w:val="000000"/>
          <w:sz w:val="24"/>
        </w:rPr>
        <w:t>affected, Landlord may, by notice to Tenant, within 60 days following the date upon which Landlord receives notice of the Taking of all or a portion of the Property, the Complex, the Building or the Premises, terminate this Lease, provided that Landlord elects to terminate leases (including this Lease) affecting at least 50% of the rentable area of the Building.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 xml:space="preserve">Tenant’s Termination Right </w:t>
      </w:r>
      <w:r>
        <w:rPr>
          <w:rFonts w:ascii="Times New Roman" w:hAnsi="Times New Roman"/>
          <w:color w:val="000000"/>
          <w:sz w:val="24"/>
        </w:rPr>
        <w:t>If the part of the Property so Taken contains more than 20% of the total area of the Premises occupied by Tenant immediately prior to such Taking, or if, by reason of such Taking, Tenant no longer has reasonable means of access to the Premises, Tenant may terminate this Lease by notice to Landlord given within 30 days following the date upon which Tenant is given notice of such Taking. If Tenant so notifies Landlord, this Lease shall end and expire upon the 30th day following the giving of such notice. If a part of the Premises shall be so Taken and this Lease is not terminated in accordance with this Section 12.1 Landlord, without being required to spend more than it collects as an award, shall, subject to the provisions of any Mortgage or Superior Lease, restore that part of the Premises not so Taken to a self-contained rental unit substantially equivalent (with respect to character, quality, appearance and services) to that which existed immediately prior to such Taking, excluding Tenant’s Property and Above Building Standard Installations.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 xml:space="preserve">Apportionment of Rent </w:t>
      </w:r>
      <w:r>
        <w:rPr>
          <w:rFonts w:ascii="Times New Roman" w:hAnsi="Times New Roman"/>
          <w:color w:val="000000"/>
          <w:sz w:val="24"/>
        </w:rPr>
        <w:t>Upon any termination of this Lease pursuant to the provisions of this Article 12, Rent shall be apportioned as of, and shall be paid or refunded up to and including, the date of such termination.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12.2 Awards. </w:t>
      </w:r>
      <w:r>
        <w:rPr>
          <w:rFonts w:ascii="Times New Roman" w:hAnsi="Times New Roman"/>
          <w:color w:val="000000"/>
          <w:sz w:val="24"/>
        </w:rPr>
        <w:t>Upon any Taking, Landlord shall receive the entire award for any such Taking, and Tenant shall have no claim against Landlord or the condemning authority for the value of any unexpired portion of the Term or Tenant’s Alterations; and Tenant hereby assigns to Landlord ail of its right in and to such award. Nothing contained in this Article 12 shall be deemed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prevent Tenant from making a separate claim in any condemnation proceedings for the then value of any Tenant’s Property or Above Building Standard Installations included in such Taking and for any moving expenses, provided any such award is in addition to, and does not result in a reduction of, the award made to Landlord.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12.3 Temporary Taking.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all or any part of the Premises is Taken temporarily during the Term for any public or quasi-public use or purpose, Tenant shall give prompt notice to Landlord and the Term shall not be reduced or affected in any way and Tenant shall continue to pay all Rent payable by Tenant without reduction or abatement and to perform all of its other obligations under this Lease, except to the extent prevented from doing so by the condemning authority, and Tenant shall be entitled to receive any award or payment from the condemning authority for such use, which shall be received, held and applied by Tenant as a trust fund for payment of the Rent falling due.</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13</w:t>
      </w:r>
      <w:r>
        <w:rPr>
          <w:rFonts w:ascii="Times New Roman" w:hAnsi="Times New Roman"/>
          <w:color w:val="000000"/>
          <w:sz w:val="24"/>
        </w:rPr>
        <w:br/>
        <w:br/>
      </w:r>
      <w:r>
        <w:rPr>
          <w:rFonts w:ascii="Times New Roman" w:hAnsi="Times New Roman"/>
          <w:b/>
          <w:color w:val="2C2C2C"/>
          <w:sz w:val="24"/>
        </w:rPr>
        <w:t>ASSIGNMENT AND SUBLETTING</w:t>
      </w:r>
    </w:p>
    <w:p>
      <w:pPr>
        <w:pStyle w:val="TextBody"/>
        <w:bidi w:val="0"/>
        <w:spacing w:before="0" w:after="300"/>
        <w:jc w:val="both"/>
        <w:rPr>
          <w:rFonts w:ascii="Times New Roman" w:hAnsi="Times New Roman"/>
          <w:sz w:val="20"/>
        </w:rPr>
      </w:pPr>
      <w:r>
        <w:rPr>
          <w:rFonts w:ascii="Times New Roman" w:hAnsi="Times New Roman"/>
          <w:b/>
          <w:color w:val="000000"/>
          <w:sz w:val="24"/>
        </w:rPr>
        <w:t>Section 13.1 Consent Requirements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 xml:space="preserve">No Assignment or Subletting. </w:t>
      </w:r>
      <w:r>
        <w:rPr>
          <w:rFonts w:ascii="Times New Roman" w:hAnsi="Times New Roman"/>
          <w:color w:val="000000"/>
          <w:sz w:val="24"/>
        </w:rPr>
        <w:t>Except as expressly set forth herein, Tenant shall not assign, mortgage, pledge, encumber, or otherwise transfer this Lease, whether by operation of law (including by merger) or otherwise, and shall not sublet, or permit, or suffer the Premises or any part thereof to be used or occupied by others (whether for desk space, mailing privileges or otherwise), without Landlord’s prior consent in each instance, which consent shall not be unreasonably conditioned, withheld or delayed. Any assignment, sublease, mortgage, pledge, encumbrance or transfer in contravention of the provisions of this Article 13 shall be void and shall constitute an Event of Default.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Collection of</w:t>
      </w:r>
      <w:r>
        <w:rPr>
          <w:rFonts w:ascii="Times New Roman" w:hAnsi="Times New Roman"/>
          <w:color w:val="000000"/>
          <w:sz w:val="20"/>
        </w:rPr>
        <w:t xml:space="preserve"> </w:t>
      </w:r>
      <w:r>
        <w:rPr>
          <w:rFonts w:ascii="Times New Roman" w:hAnsi="Times New Roman"/>
          <w:b/>
          <w:color w:val="000000"/>
          <w:sz w:val="24"/>
        </w:rPr>
        <w:t xml:space="preserve">Rent. </w:t>
      </w:r>
      <w:r>
        <w:rPr>
          <w:rFonts w:ascii="Times New Roman" w:hAnsi="Times New Roman"/>
          <w:color w:val="000000"/>
          <w:sz w:val="24"/>
        </w:rPr>
        <w:t>If, without Landlord’s consent, this Lease is assigned or transferred, or any part of the Premises is sublet or occupied by anyone other than Tenant or this Lease is encumbered (by operation of law or otherwise), Landlord may collect rent from the assignee, subtenant or occupant, and apply the net amount collected to the Rent herein reserved. No such collection shall be deemed a waiver of the provisions of this Article 13, an acceptance of the assignee, transferee, subtenant or occupant as tenant, or a release of Tenant from the performance of Tenant’s covenants hereunder, and in all cases Tenant shall remain fully liable for its obligations under this 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 xml:space="preserve">Further Assignment/Subletting. </w:t>
      </w:r>
      <w:r>
        <w:rPr>
          <w:rFonts w:ascii="Times New Roman" w:hAnsi="Times New Roman"/>
          <w:color w:val="000000"/>
          <w:sz w:val="24"/>
        </w:rPr>
        <w:t>Landlord’s consent to any assignment, transfer or subletting shall not relieve Tenant from the obligation to obtain Landlord’s consent to any further assignment, transfer or subletting. In no event shall any permitted subtenant assign, transfer or encumber its sublease or further sublet any portion of its sublet space, or otherwise suffer or permit any portion of the sublet space to be used or occupied by others.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13.2 Tenant’s Notice. </w:t>
      </w:r>
      <w:r>
        <w:rPr>
          <w:rFonts w:ascii="Times New Roman" w:hAnsi="Times New Roman"/>
          <w:color w:val="000000"/>
          <w:sz w:val="24"/>
        </w:rPr>
        <w:t>If Tenant desires to assign or transfer this Lease or sublet all or any portion of the Premises, Tenant shall give notice thereof to Landlord, which shall be accompanied by (a) with respect to an assignment or transfer of this Lease, the date Tenant desires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assignment or transfer to be effective, and (b) with respect to a sublet of all or a part of the Premises, a description of the portion of the Premises to be sublet and the commencement date of such sublease. Such notice shall be deemed an irrevocable 30 day offer from Tenant to Landlord of the right, at Landlord’s option, (1) if the proposed transaction is an assignment or transfer of this Lease, to terminate this Lease with respect to the entire Premises, (2) if the proposed transaction is a sublease of 75% or more of the rentable square footage of the Premises and the term of such sublease (including any extension options provided for under the sublease) would either be for 75% or more of the then remaining Term of this Lease (without regard to any then unexercised extension options under this Lease) or for a period expiring during the last 18 months of the Term of this Lease (without regard to any then unexercised extension options under this Lease, but considering all extension options granted under the proposed sublease), to terminate this Lease with respect to the entire Premises, or (3) if Landlord elects not to exercise its termination right under clause (2) or if the proposed transaction is a sublease that does not fall within the criteria set forth in clause (2), to terminate this Lease with respect to the space that Tenant proposes to sublease (the “</w:t>
      </w:r>
      <w:r>
        <w:rPr>
          <w:rFonts w:ascii="Times New Roman" w:hAnsi="Times New Roman"/>
          <w:b/>
          <w:color w:val="000000"/>
          <w:sz w:val="24"/>
        </w:rPr>
        <w:t>Partial Space</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Such option may be exercised by notice from Landlord to Tenant within 30 days after delivery of Tenant’s notice. If Landlord exercises its option to terminate all or a portion of this Lease, (a) this Lease shall end and expire with respect to all or a portion of the Premises, as the case may be, on the date that such assignment, transfer or sublease was to commence, provided that such date is in no event earlier than 90 days after the date Landlord receives the above notice unless Landlord agrees to such earlier date, (b) Rent shall be apportioned, paid or refunded as of such date, (c) Tenant, upon Landlord’s request, shall enter into an amendment of this Lease ratifying and confirming such total or partial termination, and setting forth any appropriate modifications to the terms and provisions hereof, and (d) Landlord shall be free to lease the Premises (or any part thereof) to Tenant’s prospective assignee, transferee or subtenant. Tenant shall pay all costs to make the Partial Space a self-contained rental unit and to install any required Building corridors. Notwithstanding anything to the contrary in this Section 13.2, Tenant may withdraw its request to assign or transfer this Lease or sublet all or any portion of the Premises within five (5) days following Tenant’s receipt of Landlord notice of Landlord’s exercise of its rights under this Section 13.2.</w:t>
      </w:r>
    </w:p>
    <w:p>
      <w:pPr>
        <w:pStyle w:val="TextBody"/>
        <w:bidi w:val="0"/>
        <w:spacing w:before="0" w:after="240"/>
        <w:jc w:val="both"/>
        <w:rPr>
          <w:rFonts w:ascii="Times New Roman" w:hAnsi="Times New Roman"/>
          <w:sz w:val="20"/>
        </w:rPr>
      </w:pPr>
      <w:r>
        <w:rPr>
          <w:rFonts w:ascii="Times New Roman" w:hAnsi="Times New Roman"/>
          <w:b/>
          <w:color w:val="000000"/>
          <w:sz w:val="24"/>
        </w:rPr>
        <w:t>Section 13.3 Conditions to Assignment/Subletting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Provided that no Event of Default then exists, Landlord’s consent (if required under this Article 13) to the proposed assignment, transfer or subletting shall be granted or denied within 15 days after delivery to Landlord of (i) a true and complete statement reasonably detailing the identity of the proposed assignee, transferee or subtenant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Transferee</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the nature of its business and its proposed use of the Premises, (ii) current financial information with respect to the Transferee, including its most recent financial statements, (iii) a copy of the assignment or sublease document, and (iv) any other information Landlord may reasonably request. Such consent shall not be unreasonably withheld, conditioned or delayed, provided that Landlord shall base its decision upon relevant factors which may include the following:</w:t>
      </w:r>
    </w:p>
    <w:p>
      <w:pPr>
        <w:pStyle w:val="TextBody"/>
        <w:bidi w:val="0"/>
        <w:spacing w:before="0" w:after="240"/>
        <w:jc w:val="both"/>
        <w:rPr>
          <w:rFonts w:ascii="Times New Roman" w:hAnsi="Times New Roman"/>
          <w:sz w:val="20"/>
        </w:rPr>
      </w:pPr>
      <w:r>
        <w:rPr>
          <w:rFonts w:ascii="Times New Roman" w:hAnsi="Times New Roman"/>
          <w:color w:val="000000"/>
          <w:sz w:val="24"/>
        </w:rPr>
        <w:t>a. in Landlord’s reasonable judgment, the Transferee is engaged in a business or activity, and the Premises will be used in a manner, which (1) is in keeping with the then standards of the Building, (2) is for the Permitted Uses, (3) does not violate any restrictions set forth in this Lease, any Mortgage or Superior Lease or any negative covenant as to use of the Premises required by any other lease in the Building, and (4) will not attract a volume,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frequency or type of visitor or employee to the Building which is not in keeping with the then standards of the Building and will not impose an excessive demand on or use of the facilities or services of the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Transferee is reputable with sufficient financial means to perform all of its obligations under this Lease or the sublease, as the case may be;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if Landlord has, or reasonably expects to have within two months thereafter, comparable space available in the Building, neither the Transferee nor any person which, directly or indirectly, controls, is controlled by, or is under common control with, the Transferee is then an occupant of the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Transferee is not a person or entity (or affiliate of a person or entity) with whom Landlord is then or has been within the prior six months negotiating in connection with the rental of space in the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there shall be not more than two subtenants on each floor of the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Tenant shall, upon demand, reimburse Landlord for all reasonable expenses incurred by Landlord in connection with such assignment or sublease, including any investigations as to the acceptability of the Transferee and all legal costs reasonably incurred in connection with the granting of any requested consent, not to exceed $2,500;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Transferee shall not be entitled, directly or indirectly, to diplomatic or sovereign immunity, regardless of whether the Transferee agrees to waive such diplomatic or sovereign immunity, and shall be subject to the service of process in, and the jurisdiction of the courts of, the Commonwealth of Pennsylvania.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each and every subletting, transfer and/or assignment approved by Landlord under the provisions of this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form of the proposed assignment, transfer agreement or sublease shall be reasonably satisfactory to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no sublease shall be for a term ending later than one day prior to the Expiration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 Transferee shall take possession of any part of the Premises, until an executed counterpart of such sublease, transfer agreement or assignment has been delivered to Landlord and approved by Landlord as provided in Section 13.8;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if an Event of Default occurs prior to the effective date of such assignment, transfer or subletting, then Landlord’s consent thereto, if previously granted, shall be immediately deemed revoked without further notice to Tenant, and if such assignment or subletting would have been permitted without Landlord’s consent pursuant to Section 13.7, such permission shall be void and without force and effect, and in either such case, any such assignment, transfer or subletting shall constitute a further Event of Default hereunder; and</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each sublease shall be subject and subordinate to this Lease and to the matters to which this Lease is or shall be subordinate; and Tenant and each Transferee shall be deemed to have agreed that upon the occurrence and during the continuation of an Event of Default hereunder, Tenant has hereby assigned to Landlord, and Landlord may, at its option, accept such assignment of, all right, title and interest of Tenant as sublandlord under such sublease, together with all modifications, extensions and renewals thereof then in effect and such Transferee shall, at Landlord’s option, attorn to Landlord pursuant to the then executory provisions of such sublease, except that Landlord shall not be (A) liable for any previous act or omission of Tenant under such sublease, (B) subject to any counterclaim, offset or defense not expressly provided in such sublease, which theretofore accrued to such Transferee against Tenant, (C) bound by any previous modification of such sublease not consented to by Landlord or by any prepayment of more than one month’s rent, (D) bound to return such Transferee’s security deposit, if any, except to the extent Landlord shall receive actual possession of such deposit and such Transferee shall be entitled to the return of all or any portion of such deposit under the terms of its sublease, or (E) obligated to make any payment to or on behalf of such Transferee, or to perform any work in the subleased space or the Building, or in any way to prepare the sublet space for occupancy, beyond Landlord’s obligations under this Lease. The provisions of this Section 13.3(b)(v) shall be self-operative, and no further instrument shall be required to give effect to this provision, provided that the Transferee shall execute and deliver to Landlord any instruments Landlord may reasonably request to evidence and confirm such subordination and attornment.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13.4 Binding on Tenant; Indemnification of Landlord. </w:t>
      </w:r>
      <w:r>
        <w:rPr>
          <w:rFonts w:ascii="Times New Roman" w:hAnsi="Times New Roman"/>
          <w:color w:val="000000"/>
          <w:sz w:val="24"/>
        </w:rPr>
        <w:t>Notwithstanding any assignment, transfer or subletting or any acceptance of rent by Landlord from any Transferee, Tenant shall remain folly liable for the payment of all Rent due and for the performance of all the covenants, terms and conditions contained in this Lease on Tenant’s part to be observed and performed, and any default under any term, covenant or condition of this Lease by any Transferee or anyone claiming under or through any Transferee shall be deemed to be a default under this Lease by Tenant. Tenant shall indemnify, defend, protect and hold harmless Landlord from and against any and all Losses resulting from any claims that may be made against Landlord by the Transferee or anyone claiming under or through any Transferee or by any brokers or other persons claiming a commission or similar compensation in connection with the proposed assignment, transfer or sublease, irrespective of whether Landlord shall give or decline to give its consent to any proposed assignment, transfer or sublease, or if Landlord shall exercise any of its options under this Article 13.</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13.5 Tenant’s Failure to Complete. </w:t>
      </w:r>
      <w:r>
        <w:rPr>
          <w:rFonts w:ascii="Times New Roman" w:hAnsi="Times New Roman"/>
          <w:color w:val="000000"/>
          <w:sz w:val="24"/>
        </w:rPr>
        <w:t>If Landlord consents to a proposed assignment, transfer or sublease and Tenant fails to execute and deliver to Landlord such assignment, transfer or sublease within 90 days after the giving of such consent or the amount of space subject to such sublease varies by more than 10% from that specified in the notice given by Tenant to Landlord pursuant to Section 13.2, or the net effective rent payable under such Sublease is less than the Market Sub-rent, then Tenant shall again comply with all of the provisions and conditions of Sections 13.2,13.3 and 13.4 before assigning or transferring this Lease or subletting all or part of the Premises.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13.6 Profits. </w:t>
      </w:r>
      <w:r>
        <w:rPr>
          <w:rFonts w:ascii="Times New Roman" w:hAnsi="Times New Roman"/>
          <w:color w:val="000000"/>
          <w:sz w:val="24"/>
        </w:rPr>
        <w:t>If Tenant enters into any assignment, transfer or sublease permitted hereunder or consented to by Landlord, Tenant shall, within 60 days of Landlord’s consent to such assignment, transfer or sublease, deliver to Landlord a list of Tenant’s reasonable third-party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brokerage fees and legal fees paid or to be paid in connection with such transaction (collectively, “</w:t>
      </w:r>
      <w:r>
        <w:rPr>
          <w:rFonts w:ascii="Times New Roman" w:hAnsi="Times New Roman"/>
          <w:b/>
          <w:color w:val="000000"/>
          <w:sz w:val="24"/>
        </w:rPr>
        <w:t>Transaction Costs</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together with a list of all of Tenant’s Property to be transferred to such Transferee. The Transaction Costs shall be amortized, on a straight-line basis, over the term of any sublease. Tenant shall deliver to Landlord evidence of the payment of such Transaction Costs promptly after the same are paid. In consideration of such assignment or subletting, Tenant shall pay to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case of an assignment or transfer, on the effective date of the assignment or transfer, 50% of all sums and other consideration paid to Tenant by the Transferee for or by reason of such assignment or transfer (including, except to the extent prohibited by Section 26.20, sums paid for the sale or rental of Tenant’s Property, less, the then fair market or rental value thereof, as reasonably determined by Landlord) after first deducting the Transaction Costs;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the case of a sublease, 50% of any consideration payable under the sublease to Tenant by the Transferee which exceeds on a per square foot basis the Fixed Rent and Additional Rent accruing during the term of the sublease in respect of the subleased space (together with, except to the extent prohibited by Section 26.20, any sums paid for the sale or rental of Tenant’s Property, less, the then fair market or rental value thereof, as reasonably determined by Landlord) after first deducting the monthly amortized amount of Transaction Costs. The sums payable under this clause shall be paid by Tenant to Landlord monthly as and when paid by the subtenant to Tenant.</w:t>
      </w:r>
    </w:p>
    <w:p>
      <w:pPr>
        <w:pStyle w:val="TextBody"/>
        <w:bidi w:val="0"/>
        <w:spacing w:before="0" w:after="480"/>
        <w:jc w:val="both"/>
        <w:rPr>
          <w:rFonts w:ascii="Times New Roman" w:hAnsi="Times New Roman"/>
          <w:sz w:val="20"/>
        </w:rPr>
      </w:pPr>
      <w:r>
        <w:rPr>
          <w:rFonts w:ascii="Times New Roman" w:hAnsi="Times New Roman"/>
          <w:b/>
          <w:color w:val="000000"/>
          <w:sz w:val="24"/>
        </w:rPr>
        <w:t>Section 13.7 Transfers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 xml:space="preserve">Related Entities.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Tenant is a legal entity, the transfer (by one or more transfers), directly or indirectly, by merger, consolidation, operation of law or otherwise, of a majority of the stock or other beneficial ownership interest in Tenant or of all or substantially all of the assets of Tenant (collectively, “</w:t>
      </w:r>
      <w:r>
        <w:rPr>
          <w:rFonts w:ascii="Times New Roman" w:hAnsi="Times New Roman"/>
          <w:b/>
          <w:color w:val="000000"/>
          <w:sz w:val="24"/>
        </w:rPr>
        <w:t>Ownership Interests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shall be deemed a voluntary assignment or transfer of this Lease; provided, however, that the provisions of this Article 13 shall not apply to the transfer of Ownership Interests in Tenant if and so long as Tenant is publicly traded on a nationally recognized stock exchange. For purposes of this Article the term “</w:t>
      </w:r>
      <w:r>
        <w:rPr>
          <w:rFonts w:ascii="Times New Roman" w:hAnsi="Times New Roman"/>
          <w:b/>
          <w:color w:val="000000"/>
          <w:sz w:val="24"/>
        </w:rPr>
        <w:t>transfers</w:t>
      </w:r>
      <w:r>
        <w:rPr>
          <w:rFonts w:ascii="Times New Roman" w:hAnsi="Times New Roman"/>
          <w:color w:val="000000"/>
          <w:sz w:val="20"/>
        </w:rPr>
        <w:t xml:space="preserve">” </w:t>
      </w:r>
      <w:r>
        <w:rPr>
          <w:rFonts w:ascii="Times New Roman" w:hAnsi="Times New Roman"/>
          <w:color w:val="000000"/>
          <w:sz w:val="24"/>
        </w:rPr>
        <w:t>shall be deemed to include (x) the issuance of new Ownership Interests which results in a majority of the Ownership Interests in Tenant being held by a person or entity which does not hold a majority of the Ownership Interests in Tenant on the Effective Date and (y) except as provided below, the sale or transfer of all or substantially all of the assets of Tenant in one or more transactions and the merger or consolidation of Tenant into or with another business entity. The provisions of Section 13.1 shall not apply to transactions with a business entity into or with which Tenant is merged or consolidated or to which all or substantially all of Tenant’s assets arc transferred so long as (i) such transfer was not made for the sole purpose of assigning or transferring this Lease, (ii) the successor to Tenant has a net worth computed in accordance with generally accepted accounting principles at least equal to the net worth of Tenant on the Effective Date, and (iii) proof, reasonably satisfactory to Landlord, of such net worth is delivered to Landlord at least 10 days prior to the effective date of any such merger, consolidation, assignment or transfer. Tenant may also, upon prior notice to Landlord, permit any business entity which controls, is controlled by, or is under common control with the original Tenant (a “</w:t>
      </w:r>
      <w:r>
        <w:rPr>
          <w:rFonts w:ascii="Times New Roman" w:hAnsi="Times New Roman"/>
          <w:b/>
          <w:color w:val="000000"/>
          <w:sz w:val="24"/>
        </w:rPr>
        <w:t>Related Entity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to sublet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all or part of the Premises for any Permitted Uses, provided the Related Entity is in Landlord’s reasonable judgment of a character and engaged in a business which is in keeping with the standards for the Building and for so long as such entity remains a Related Entity. Such sublease shall not be deemed to vest in any such Related Entity any right or interest in this Lease nor shall it relieve, release, impair or discharge any of Tenant’s obligations hereunder. For the purposes hereof, “</w:t>
      </w:r>
      <w:r>
        <w:rPr>
          <w:rFonts w:ascii="Times New Roman" w:hAnsi="Times New Roman"/>
          <w:b/>
          <w:color w:val="000000"/>
          <w:sz w:val="24"/>
        </w:rPr>
        <w:t>control</w:t>
      </w:r>
      <w:r>
        <w:rPr>
          <w:rFonts w:ascii="Times New Roman" w:hAnsi="Times New Roman"/>
          <w:color w:val="000000"/>
          <w:sz w:val="20"/>
        </w:rPr>
        <w:t xml:space="preserve">” </w:t>
      </w:r>
      <w:r>
        <w:rPr>
          <w:rFonts w:ascii="Times New Roman" w:hAnsi="Times New Roman"/>
          <w:color w:val="000000"/>
          <w:sz w:val="24"/>
        </w:rPr>
        <w:t>shall be deemed to mean ownership of not less than 50% of all of the Ownership Interests of such corporation or other business entity. Notwithstanding the foregoing, Tenant shall have no right to assign or transfer this Lease or sublease all or any portion of the Premises without Landlord’s consent pursuant to this Section 13.7 if Tenant is not the initial Tenant herein named or a person or entity who acquired Tenant’s interest in this Lease in a transaction approved by Landlord.</w:t>
      </w:r>
    </w:p>
    <w:p>
      <w:pPr>
        <w:pStyle w:val="TextBody"/>
        <w:bidi w:val="0"/>
        <w:spacing w:before="0" w:after="30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 xml:space="preserve">Applicability. </w:t>
      </w:r>
      <w:r>
        <w:rPr>
          <w:rFonts w:ascii="Times New Roman" w:hAnsi="Times New Roman"/>
          <w:color w:val="000000"/>
          <w:sz w:val="24"/>
        </w:rPr>
        <w:t>The limitations set forth in this Section 13.7 shall apply to Transferee(s) and guarantor(s) of this Lease, if any, and any transfer by any such entity in violation of this Section 13.7 shall be a transfer in violation of Section 13.1.</w:t>
      </w:r>
    </w:p>
    <w:p>
      <w:pPr>
        <w:pStyle w:val="TextBody"/>
        <w:bidi w:val="0"/>
        <w:spacing w:before="0" w:after="30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 xml:space="preserve">Modifications, Takeover Agreements. </w:t>
      </w:r>
      <w:r>
        <w:rPr>
          <w:rFonts w:ascii="Times New Roman" w:hAnsi="Times New Roman"/>
          <w:color w:val="000000"/>
          <w:sz w:val="24"/>
        </w:rPr>
        <w:t>Any modification, amendment or extension of a sublease and/or any other agreement or transfer by which a landlord of a building other than the Building or its affiliate agrees to assume the obligations of Tenant under this Lease shall be deemed a sublease for the purposes of Section 13.1 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13.8 Assumption of Obligations. </w:t>
      </w:r>
      <w:r>
        <w:rPr>
          <w:rFonts w:ascii="Times New Roman" w:hAnsi="Times New Roman"/>
          <w:color w:val="000000"/>
          <w:sz w:val="24"/>
        </w:rPr>
        <w:t>No assignment or transfer of this Lease by Tenant shall be effective unless and until the Transferee executes, acknowledges and delivers to Landlord an agreement in form and substance reasonably satisfactory to Landlord whereby the Transferee (a) assumes Tenant’s obligations under this Lease and (b) agrees that, notwithstanding such assignment or transfer, the provisions of Section 13.1 hereof shall be binding upon it in respect of all future assignments and transfers.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13.9 Tenant’s Liability. </w:t>
      </w:r>
      <w:r>
        <w:rPr>
          <w:rFonts w:ascii="Times New Roman" w:hAnsi="Times New Roman"/>
          <w:color w:val="000000"/>
          <w:sz w:val="24"/>
        </w:rPr>
        <w:t>The joint and several liability of Tenant and any successors-in-interest of Tenant and the due performance of Tenant’s obligations under this Lease shall not be discharged, released or impaired by any agreement or stipulation made by Landlord, or any grantee or assignee of Landlord, extending the time, or modifying any of the terms and provisions of this Lease, or by any waiver or failure of Landlord, or any grantee or assignee of Landlord, to enforce any of the terms and provisions of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13.10 Listings in Building Directory. </w:t>
      </w:r>
      <w:r>
        <w:rPr>
          <w:rFonts w:ascii="Times New Roman" w:hAnsi="Times New Roman"/>
          <w:color w:val="000000"/>
          <w:sz w:val="24"/>
        </w:rPr>
        <w:t>The listing of any name other than that of Tenant on the doors of the Premises, the Building directory or elsewhere shall not vest any right or interest in this Lease or in the Premises, nor be deemed to constitute Landlord’s consent to any assignment or transfer of this Lease or to any sublease of the Premises or to the use or occupancy thereof by others. Any such listing shall constitute a privilege revocable in Landlord’s discretion by notice to Tenant.</w:t>
      </w:r>
    </w:p>
    <w:p>
      <w:pPr>
        <w:pStyle w:val="TextBody"/>
        <w:bidi w:val="0"/>
        <w:spacing w:before="0" w:after="240"/>
        <w:jc w:val="both"/>
        <w:rPr>
          <w:rFonts w:ascii="Times New Roman" w:hAnsi="Times New Roman"/>
          <w:sz w:val="20"/>
        </w:rPr>
      </w:pPr>
      <w:r>
        <w:rPr>
          <w:rFonts w:ascii="Times New Roman" w:hAnsi="Times New Roman"/>
          <w:b/>
          <w:color w:val="000000"/>
          <w:sz w:val="24"/>
        </w:rPr>
        <w:t>Section 13.11 Lease Disaffirmance or Rejection</w:t>
      </w:r>
      <w:r>
        <w:rPr>
          <w:rFonts w:ascii="Times New Roman" w:hAnsi="Times New Roman"/>
          <w:color w:val="000000"/>
          <w:sz w:val="24"/>
        </w:rPr>
        <w:t>. If</w:t>
      </w:r>
      <w:r>
        <w:rPr>
          <w:rFonts w:ascii="Times New Roman" w:hAnsi="Times New Roman"/>
          <w:color w:val="000000"/>
          <w:sz w:val="20"/>
        </w:rPr>
        <w:t xml:space="preserve"> </w:t>
      </w:r>
      <w:r>
        <w:rPr>
          <w:rFonts w:ascii="Times New Roman" w:hAnsi="Times New Roman"/>
          <w:color w:val="000000"/>
          <w:sz w:val="24"/>
        </w:rPr>
        <w:t>at any time after an assignment by Tenant named herein, this Lease is not affirmed or is rejected in any bankruptcy proceeding or any similar proceeding, or upon a termination of this Lease due to any such proceeding, Tenant named herein, upon request of Landlord given after such disaffirmance, rejection or termination (and actual notice thereof to Landlord in the event of a disaffirmance or rejection or in the event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termination other than by act of Landlord), shall (a) pay to Landlord all Rent and other charges due and owing by the assignee to Landlord under this Lease to and including the date of such disaffirmance, rejection or termination, and (b) as “tenant,” enter into a new lease of the Premises with Landlord for a term commencing on the effective date of such disaffirmance, rejection or termination and ending on the Expiration Date, at the same Rent and upon the then executory terms, covenants and conditions contained in this Lease, except that (i) the rights of Tenant named herein under the new lease shall be subject to the possessory rights of the assignee under this Lease and the possessory rights of any persons or entities claiming through or under such assignee or by virtue of any statute or of any order of any court, (ii) such new lease shall require all defaults existing under this Lease to be cured by Tenant named herein with due diligence, and (iii) such new lease shall require Tenant named herein to pay all Rent which, had this Lease not been so disaffirmed, rejected or terminated, would have become due under the provisions of this Lease after the date of such disaffirmance, rejection or termination with respect to any period prior thereto. If Tenant named herein defaults in its obligations to enter into such new lease for a period of 10 days after Landlord’s request, then, in addition to all other rights and remedies by reason of default, either at law or in equity, Landlord shall have the same rights and remedies against Tenant named herein as if it had entered into such new lease and such new lease had thereafter been terminated as of the commencement date thereof by reason of Tenant’s default thereunder.</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14</w:t>
      </w:r>
      <w:r>
        <w:rPr>
          <w:rFonts w:ascii="Times New Roman" w:hAnsi="Times New Roman"/>
          <w:color w:val="000000"/>
          <w:sz w:val="24"/>
        </w:rPr>
        <w:br/>
        <w:br/>
      </w:r>
      <w:r>
        <w:rPr>
          <w:rFonts w:ascii="Times New Roman" w:hAnsi="Times New Roman"/>
          <w:b/>
          <w:color w:val="2C2C2C"/>
          <w:sz w:val="24"/>
        </w:rPr>
        <w:t>ACCESS TO PREMISES AND SUBSTITUTION OF PREMISES</w:t>
      </w:r>
    </w:p>
    <w:p>
      <w:pPr>
        <w:pStyle w:val="TextBody"/>
        <w:bidi w:val="0"/>
        <w:spacing w:before="0" w:after="240"/>
        <w:jc w:val="both"/>
        <w:rPr>
          <w:rFonts w:ascii="Times New Roman" w:hAnsi="Times New Roman"/>
          <w:sz w:val="20"/>
        </w:rPr>
      </w:pPr>
      <w:r>
        <w:rPr>
          <w:rFonts w:ascii="Times New Roman" w:hAnsi="Times New Roman"/>
          <w:b/>
          <w:color w:val="000000"/>
          <w:sz w:val="24"/>
        </w:rPr>
        <w:t>Section 14.1 Landlord’s Access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Landlord, Landlord’s agents and utility service providers servicing the Building may erect, use and maintain concealed ducts, pipes and conduits in and through the Premises provided such use does not cause the usable area of the Premises to be reduced beyond a </w:t>
      </w:r>
      <w:r>
        <w:rPr>
          <w:rFonts w:ascii="Times New Roman" w:hAnsi="Times New Roman"/>
          <w:i/>
          <w:color w:val="000000"/>
          <w:sz w:val="24"/>
        </w:rPr>
        <w:t>de minimis</w:t>
      </w:r>
      <w:r>
        <w:rPr>
          <w:rFonts w:ascii="Times New Roman" w:hAnsi="Times New Roman"/>
          <w:color w:val="000000"/>
          <w:sz w:val="20"/>
        </w:rPr>
        <w:t xml:space="preserve"> </w:t>
      </w:r>
      <w:r>
        <w:rPr>
          <w:rFonts w:ascii="Times New Roman" w:hAnsi="Times New Roman"/>
          <w:color w:val="000000"/>
          <w:sz w:val="24"/>
        </w:rPr>
        <w:t>amount. Landlord shall promptly repair any damage to the Premises caused by any work performed pursuant to this Article 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Landlord, any Lessor or Mortgagee and any other party designated by Landlord and their respective agents shall have the right to enter the Premises during normal business hours, upon reasonable notice (which notice may be oral) except in the case of emergency, to examine the Premises, to show the Premises to prospective purchasers, Mortgagees, Lessors or tenants and their respective agents and representatives or others and to perform Restorative Work to the Premises or the Building.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parts (except surfaces facing the interior of the Premises) of all walls, windows and doors bounding the Premises, all balconies, terraces and roofs adjacent to the Premises, all space in or adjacent to the Premises used for shafts, stacks, stairways, mail chutes, conduits and other mechanical facilities, Building Systems; Building facilities and Common Areas are not part of the Premises, and Landlord shall have the use thereof and access thereto through the Premises for the purposes of Building operation, maintenance, alteration and repair,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14.2 Building Name. </w:t>
      </w:r>
      <w:r>
        <w:rPr>
          <w:rFonts w:ascii="Times New Roman" w:hAnsi="Times New Roman"/>
          <w:color w:val="000000"/>
          <w:sz w:val="24"/>
        </w:rPr>
        <w:t>Landlord has the right at any time to change the name, number or designation by which the Building or the Complex is commonly known.</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00"/>
        <w:jc w:val="both"/>
        <w:rPr>
          <w:rFonts w:ascii="Times New Roman" w:hAnsi="Times New Roman"/>
          <w:sz w:val="20"/>
        </w:rPr>
      </w:pPr>
      <w:r>
        <w:rPr>
          <w:rFonts w:ascii="Times New Roman" w:hAnsi="Times New Roman"/>
          <w:b/>
          <w:color w:val="000000"/>
          <w:sz w:val="24"/>
        </w:rPr>
        <w:t>Section 14.3 Substitution of Other Premises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At any time and from time to time whether before or after the Commencement Date, upon at least 90 days prior written notice, Landlord shall have the right to substitute other space in the Building or Complex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Substitute Space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for the Premises by notice (a “</w:t>
      </w:r>
      <w:r>
        <w:rPr>
          <w:rFonts w:ascii="Times New Roman" w:hAnsi="Times New Roman"/>
          <w:b/>
          <w:color w:val="000000"/>
          <w:sz w:val="24"/>
        </w:rPr>
        <w:t>Substitution Notice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given to Tenant designating the space so substituted for the Premises. The Substitute Space shall have a rentable area and configuration substantially similar to the Premises. Notwithstanding such substitution of space, this Lease and all the terms, provisions, covenants and conditions contained in this Lease shall remain and continue in full force and effect, except that the Premises shall be deemed to be the Substitute Space, with the same force and effect as if the Substitute Space were originally specified in this Lease as the Premises demised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the event of the substitution of space as provided in this Section, the following provisions (i) through (iv) shall apply:</w:t>
      </w:r>
    </w:p>
    <w:p>
      <w:pPr>
        <w:pStyle w:val="TextBody"/>
        <w:bidi w:val="0"/>
        <w:spacing w:before="0" w:after="240"/>
        <w:jc w:val="both"/>
        <w:rPr>
          <w:rFonts w:ascii="Times New Roman" w:hAnsi="Times New Roman"/>
          <w:sz w:val="20"/>
        </w:rPr>
      </w:pPr>
      <w:r>
        <w:rPr>
          <w:rFonts w:ascii="Times New Roman" w:hAnsi="Times New Roman"/>
          <w:color w:val="000000"/>
          <w:sz w:val="24"/>
        </w:rPr>
        <w:t>(i) If the Substitute Space has less square footage than the Premises, then effective on the date the Substitute Space is available for occupancy by Tenant (the “</w:t>
      </w:r>
      <w:r>
        <w:rPr>
          <w:rFonts w:ascii="Times New Roman" w:hAnsi="Times New Roman"/>
          <w:b/>
          <w:color w:val="000000"/>
          <w:sz w:val="24"/>
        </w:rPr>
        <w:t>Substitution Date</w:t>
      </w:r>
      <w:r>
        <w:rPr>
          <w:rFonts w:ascii="Times New Roman" w:hAnsi="Times New Roman"/>
          <w:color w:val="000000"/>
          <w:sz w:val="20"/>
        </w:rPr>
        <w:t>”</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the Fixed Rent and the Additional Rent payable under this Lease shall be decreased proportionately. If the Substitute Space has more square footage than the Premises, then effective on the Substitution Date, the Fixed Rent and the Additional Rent payable under this Lease shall be increased proportionately, but not by more than 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Landlord shall, at Landlord’s expense, prepare the Substitute Space in substantially the same manner as the Premises were prepared for Tenant’s initial occupancy (including the Initial Installations by Landlord and Tenant’s Alterations). Landlord shall have the right to move any millwork, floor covering, cabinet work, and any other decoration as well as telephone lines and any other communication line and other reusable items, from the Premises to the Substitute Space, subject to Tenant’s prior approval, which approval shall not be unreasonably withheld, conditioned or delayed. In addition, Landlord shall reimburse Tenant for Tenant’s reasonable documented costs to relocate Tenant’s fixtures, equipment and other personal property from the Premises to the Substitute Space using a moving company approved by Landlord, which approval shall not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As soon as Landlord has Substantially Completed preparing the Substitute Space, Tenant, upon 45 days’ prior written notice, shall vacate and surrender the Premises within such 45 day period in the condition required by </w:t>
      </w:r>
      <w:r>
        <w:rPr>
          <w:rFonts w:ascii="Times New Roman" w:hAnsi="Times New Roman"/>
          <w:color w:val="000000"/>
          <w:sz w:val="24"/>
          <w:u w:val="single"/>
        </w:rPr>
        <w:t>Section 18.1,</w:t>
      </w:r>
      <w:r>
        <w:rPr>
          <w:rFonts w:ascii="Times New Roman" w:hAnsi="Times New Roman"/>
          <w:color w:val="000000"/>
          <w:sz w:val="20"/>
        </w:rPr>
        <w:t xml:space="preserve"> </w:t>
      </w:r>
      <w:r>
        <w:rPr>
          <w:rFonts w:ascii="Times New Roman" w:hAnsi="Times New Roman"/>
          <w:color w:val="000000"/>
          <w:sz w:val="24"/>
        </w:rPr>
        <w:t xml:space="preserve">and any failure to do so shall be subject to </w:t>
      </w:r>
      <w:r>
        <w:rPr>
          <w:rFonts w:ascii="Times New Roman" w:hAnsi="Times New Roman"/>
          <w:color w:val="000000"/>
          <w:sz w:val="24"/>
          <w:u w:val="single"/>
        </w:rPr>
        <w:t>Section 18.2</w:t>
      </w:r>
      <w:r>
        <w:rPr>
          <w:rFonts w:ascii="Times New Roman" w:hAnsi="Times New Roman"/>
          <w:color w:val="000000"/>
          <w:sz w:val="24"/>
        </w:rPr>
        <w:t>. Tenant shall move to the Substitute Space, at Landlord’s reasonable cost and expense. If Tenant fails to move to the Substitute Space within such 45 day period, Landlord, as Tenant’s agent, may remove Tenant from the Premises to the Substitute Space. The failure of Tenant to move to the Substitute Space pursuant to this Section within 5 days after the expiration of such 45 days’ notice shall be an Event of Default, and Tenant shall pay Rent with respect to both the Premises and Substitute Space until Tenant has moved to the Substitute Space.</w:t>
      </w:r>
    </w:p>
    <w:p>
      <w:pPr>
        <w:pStyle w:val="TextBody"/>
        <w:bidi w:val="0"/>
        <w:spacing w:before="0" w:after="240"/>
        <w:jc w:val="both"/>
        <w:rPr>
          <w:rFonts w:ascii="Times New Roman" w:hAnsi="Times New Roman"/>
          <w:sz w:val="20"/>
        </w:rPr>
      </w:pPr>
      <w:r>
        <w:rPr>
          <w:rFonts w:ascii="Times New Roman" w:hAnsi="Times New Roman"/>
          <w:color w:val="000000"/>
          <w:sz w:val="24"/>
        </w:rPr>
        <w:t>(iv) Promptly after Tenant shall enter into occupancy of the Substitute Space, Landlord shall reimburse Tenant for Tenant’s reasonable, direct, out-of-pocket moving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expenses, unless Landlord moved Tenant into the Substitute Space pursuant to Section (iii) above. Upon request from Landlord, Tenant shall supply Landlord with satisfactory evidence of direct out-of-pocket expenses incurred by Tenant in moving from the Premises to the Substitute Space.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Following any substitution of space pursuant to this Section 14,3, Landlord and Tenant, promptly at the request of either party, shall execute and deliver a supplementary agreement setting forth such substitution of space, the Substitution Date and the decrease (if the Substitute Space is less square footage than the Premises) or the increase (if the Substitute Space is more square footage than Premises) in the Fixed Rent and Additional Rent.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Notwithstanding anything in this Section 14.3 to the contrary, if Tenant is relocated to Substitute Space by a Substitution Notice during the final 365 days of the Term (with Tenant having no valid unexercised extension options remaining as of the Substitution Date), and Tenant is not satisfied, in its reasonable discretion, with the Substitute Space as identified by Landlord in the Substitution Notice, Tenant may, as its sole remedy, notify Landlord in writing </w:t>
      </w:r>
      <w:r>
        <w:rPr>
          <w:rFonts w:ascii="Times New Roman" w:hAnsi="Times New Roman"/>
          <w:b/>
          <w:color w:val="000000"/>
          <w:sz w:val="24"/>
        </w:rPr>
        <w:t>(</w:t>
      </w:r>
      <w:r>
        <w:rPr>
          <w:rFonts w:ascii="Times New Roman" w:hAnsi="Times New Roman"/>
          <w:color w:val="000000"/>
          <w:sz w:val="20"/>
        </w:rPr>
        <w:t>“</w:t>
      </w:r>
      <w:r>
        <w:rPr>
          <w:rFonts w:ascii="Times New Roman" w:hAnsi="Times New Roman"/>
          <w:b/>
          <w:color w:val="000000"/>
          <w:sz w:val="24"/>
        </w:rPr>
        <w:t>Tenant’s Substitution Termination Notice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no later than ten (10) days after Tenant’s receipt of the Substitution Notice, time being of the essence, that Tenant elects to terminate this Lease, in which event, this Lease shall be deemed terminated as if by lapse of time, with no termination fee, penalty or payment due Landlord whatsoever on the Substitution Date, unless, Landlord revokes the Substitution Notice by delivering written notice of such revocation to Tenant within ten (10) days after Landlord’s receipt of Tenant’s Substitution Termination Notice, in which event this Lease shall continue in full force and effect as if Tenant’s Substitution Termination Notice had not been delivered and Landlord’s Substitution Notice shall be deemed void.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14.4 Light and Air. </w:t>
      </w:r>
      <w:r>
        <w:rPr>
          <w:rFonts w:ascii="Times New Roman" w:hAnsi="Times New Roman"/>
          <w:color w:val="000000"/>
          <w:sz w:val="24"/>
        </w:rPr>
        <w:t>If at any time any windows of the Premises are temporarily darkened or covered over by reason of any Restorative Work, any of such windows are permanently darkened or covered over due to any Requirement or there is otherwise a diminution of light, air or view by another structure which may hereafter be erected (whether or not by Landlord), Landlord shall not be liable for any damages and Tenant shall not be entitled to any compensation or abatement of any Rent, nor shall the same release Tenant from its obligations hereunder or constitute an actual or constructive eviction.</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15</w:t>
      </w:r>
      <w:r>
        <w:rPr>
          <w:rFonts w:ascii="Times New Roman" w:hAnsi="Times New Roman"/>
          <w:color w:val="000000"/>
          <w:sz w:val="24"/>
        </w:rPr>
        <w:br/>
        <w:br/>
      </w:r>
      <w:r>
        <w:rPr>
          <w:rFonts w:ascii="Times New Roman" w:hAnsi="Times New Roman"/>
          <w:b/>
          <w:color w:val="2C2C2C"/>
          <w:sz w:val="24"/>
        </w:rPr>
        <w:t>DEFAULT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15.1 Tenant’s Defaults. </w:t>
      </w:r>
      <w:r>
        <w:rPr>
          <w:rFonts w:ascii="Times New Roman" w:hAnsi="Times New Roman"/>
          <w:color w:val="000000"/>
          <w:sz w:val="24"/>
        </w:rPr>
        <w:t>Each of the following events shall be an “</w:t>
      </w:r>
      <w:r>
        <w:rPr>
          <w:rFonts w:ascii="Times New Roman" w:hAnsi="Times New Roman"/>
          <w:b/>
          <w:color w:val="000000"/>
          <w:sz w:val="24"/>
        </w:rPr>
        <w:t>Event of Default</w:t>
      </w:r>
      <w:r>
        <w:rPr>
          <w:rFonts w:ascii="Times New Roman" w:hAnsi="Times New Roman"/>
          <w:color w:val="000000"/>
          <w:sz w:val="20"/>
        </w:rPr>
        <w:t xml:space="preserve">” </w:t>
      </w:r>
      <w:r>
        <w:rPr>
          <w:rFonts w:ascii="Times New Roman" w:hAnsi="Times New Roman"/>
          <w:color w:val="000000"/>
          <w:sz w:val="24"/>
        </w:rPr>
        <w: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 fails to pay when due any installment of Rent and such default shall continue for five days after written notice of such default is given to Tenant except that if Landlord shall have given two such notices of default in the payment of any Rent in any 12 month period, Tenant shall not be entitled to any further notice of its delinquency in the payment of any Rent or an extended period in which to make payment until such time as 12 consecutive months shall have elapsed without Tenant having failed to make any such payment when due, and the occurrence of any default in the payment of any Rent within such 12 month period after the giving of two such notices shall constitute an Event of Default; or</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Tenant fails to observe or perform any other term, covenant or condition of this Lease and such failure continues for more than 30 days (10 days with respect to a default under Article 3) after notice by Landlord to Tenant of such default, or if such default (other than a default under Article 3) is of a nature that it cannot be completely remedied within 30 days, failure by Tenant to commence to remedy such failure within said 30 days, and thereafter diligently prosecute to completion all steps necessary to remedy such default, provided in all events the same is completed within 90 days;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if Landlord applies or retains any part of the security held by Landlord hereunder, and Tenant fails to deposit with Landlord the amount so applied or retained by Landlord, or to provide Landlord with a replacement Letter of Credit (as hereinafter defined), if applicable, within ten (10) days after notice by Landlord to Tenant stating the amount applied or retained;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Tenant files a voluntary petition in bankruptcy or insolvency, or is adjudicated a bankrupt or insolvent, or files any petition or answer seeking any reorganization, liquidation, dissolution or similar relief under any present or future federal bankruptcy act or any other present or future applicable federal, state or other statute or law, or makes an assignment for the benefit of creditors or seeks or consents to or acquiesces in the appointment of any trustee, receiver, liquidator or other similar official for Tenant or for all or any part of Tenant’s property;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 court of competent jurisdiction shall enter an order, judgment or decree adjudicating Tenant bankrupt, or appointing a trustee, receiver or liquidator of Tenant, or of the whole or any substantial part of its property, without the consent of Tenant, or approving a petition filed against Tenant seeking reorganization or arrangement of Tenant under the bankruptcy laws of the United States, as now in effect or hereafter amended, or any state thereof, and such order, judgment or decree shall not be vacated or set aside or stayed within 60 days from the date of entry thereof.</w:t>
      </w:r>
    </w:p>
    <w:p>
      <w:pPr>
        <w:pStyle w:val="TextBody"/>
        <w:bidi w:val="0"/>
        <w:spacing w:before="0" w:after="240"/>
        <w:jc w:val="both"/>
        <w:rPr>
          <w:rFonts w:ascii="Times New Roman" w:hAnsi="Times New Roman"/>
          <w:sz w:val="20"/>
        </w:rPr>
      </w:pPr>
      <w:r>
        <w:rPr>
          <w:rFonts w:ascii="Times New Roman" w:hAnsi="Times New Roman"/>
          <w:b/>
          <w:color w:val="000000"/>
          <w:sz w:val="24"/>
        </w:rPr>
        <w:t>Section 15.2 Landlord’s Remedies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Upon the occurrence of an Event of Default, Landlord, at its option, and without limiting the exercise of any other right or remedy Landlord may have on account of such Event of Default under this Lease or applicable Requirements, and without any further demand or notice, may give to Tenant notice of (i) the termination of this Lease, in which event this Lease and the Term shall come to an end and expire (whether or not the Term shall have commenced) upon the termination date set forth in such notice with the same force and effect as if the date set forth in the notice was the Expiration Date stated herein, and/or (ii) the termination of Tenant’s right of possession of the Premises, in which event Tenant’s right of possession of the Premises shall come to an end and expire (whether or not the Term shall have commenced) upon the termination date set forth in such notice; and Tenant shall then quit and surrender the Premises to Landlord, but Tenant shall remain liable for damages as provided in this Article 15 and/or, to the extent permitted by applicable Requirements, Landlord may, pursuant to legal process, remove all persons and property from the Premises, which property shall be stored by Landlord at a warehouse or elsewhere at the risk, expense and for the account of Tenant. Any termination notice may be given simultaneously with any notice of default given to Tenant.</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 xml:space="preserve">Possession/Reletting. </w:t>
      </w:r>
      <w:r>
        <w:rPr>
          <w:rFonts w:ascii="Times New Roman" w:hAnsi="Times New Roman"/>
          <w:color w:val="000000"/>
          <w:sz w:val="24"/>
        </w:rPr>
        <w:t>If this Lease and the Term, or Tenant’s right to possession of the Premises, terminate as provided in Section 15.2(a):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color w:val="000000"/>
          <w:sz w:val="24"/>
        </w:rPr>
        <w:t xml:space="preserve">Surrender of Possession. </w:t>
      </w:r>
      <w:r>
        <w:rPr>
          <w:rFonts w:ascii="Times New Roman" w:hAnsi="Times New Roman"/>
          <w:color w:val="000000"/>
          <w:sz w:val="24"/>
        </w:rPr>
        <w:t>Tenant shall quit and surrender the Premises to Landlord, and Landlord and its agents may immediately, or at any time after such termination and pursuant to legal process, re-enter the Premises or any part thereof, without notice, either by eviction or ejectment proceedings, or by any other applicable action or proceeding, or by force (to the extent permitted by applicable Requirements) or otherwise in accordance with applicable legal proceedings (without being liable to indictment, prosecution or damages therefor), and may repossess the Premises and dispossess Tenant and any other persons from the Premises and remove any and all of their property and effects from the Premises.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color w:val="000000"/>
          <w:sz w:val="24"/>
        </w:rPr>
        <w:t xml:space="preserve">Landlord’s Reletting. </w:t>
      </w:r>
      <w:r>
        <w:rPr>
          <w:rFonts w:ascii="Times New Roman" w:hAnsi="Times New Roman"/>
          <w:color w:val="000000"/>
          <w:sz w:val="24"/>
        </w:rPr>
        <w:t>Landlord, at Landlord’s option, may relet all or any part of the Premises from time to time, either in the name of Landlord or otherwise, to such tenant or tenants, for any term ending before, on or after the Expiration Date, at such rental and upon such other conditions (which may include concessions and free rent periods) as Landlord, in its sole discretion, may determine. Landlord shall have no obligation to accept any tenant offered by Tenant and shall not be liable for failure to relet or, in the event of any such reletting, for failure to collect any rent due upon any such reletting; and no such failure shall relieve Tenant of, or otherwise affect, any liability under this Lease. However, to the extent required by taw, Landlord shall use reasonable efforts to mitigate its damages but shall not be required to divert prospective tenants from any other portions of the Building. Landlord, at Landlord’s option, may make such alterations, decorations and other physical changes in and to the Premises as Landlord, in its sole discretion, considers advisable or necessary in connection with such reletting or proposed reletting, without relieving Tenant of any liability under this Lease or otherwise affecting any such liability.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 xml:space="preserve">Tenant’s Waiver. </w:t>
      </w:r>
      <w:r>
        <w:rPr>
          <w:rFonts w:ascii="Times New Roman" w:hAnsi="Times New Roman"/>
          <w:color w:val="000000"/>
          <w:sz w:val="24"/>
        </w:rPr>
        <w:t>Upon the occurrence of an Event of Default, Tenant, on its own behalf and on behalf of all persons claiming through or under Tenant, including all creditors, hereby waives all rights which Tenant and all such persons might otherwise have under any Requirement (i) to the service of any notice of intention to re-enter or to institute legal proceedings, (ii) to redeem, or to re-enter or repossess the Premises, (iii) to restore the operation of this Lease, after (A) Tenant shall have been dispossessed by judgment or by warrant of any court or judge, (B) any re-entry by Landlord, or (C) any expiration or early termination of the term of this Lease, whether such dispossess, re-entry, expiration or termination shall be by operation of law or pursuant to the provisions of this Lease, and (iv) to any notice to quit the Premises. Tenant hereby waives all errors and defects of a procedural nature in any proceedings brought against it by Landlord under this Lease. Tenant further waives the right to any notices to quit or otherwise as may be specified in the Landlord and Tenant Act of Pennsylvania of April 6, 1951 (68 P.S.C.A. Section 250.101 et seq.), as the same may have been or may hereafter be amended, including, but not limited to, the three months and 15 or 30 days notices, and agrees that the notices provided in this Lease shall be sufficient in any case where a longer period may be statutorily specified. The words “re-enter,” “re-entry” and “re-entered” as used in this Lease shall not be deemed to be restricted to their technical legal meanings.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 xml:space="preserve">Tenant’s Breach. </w:t>
      </w:r>
      <w:r>
        <w:rPr>
          <w:rFonts w:ascii="Times New Roman" w:hAnsi="Times New Roman"/>
          <w:color w:val="000000"/>
          <w:sz w:val="24"/>
        </w:rPr>
        <w:t>Upon the breach or threatened breach by Tenant, or any persons claiming through or under Tenant, of any term, covenant or condition of this Lease,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2C2C2C"/>
          <w:sz w:val="24"/>
        </w:rPr>
      </w:pPr>
      <w:r>
        <w:rPr>
          <w:rFonts w:ascii="Times New Roman" w:hAnsi="Times New Roman"/>
          <w:color w:val="2C2C2C"/>
          <w:sz w:val="24"/>
        </w:rPr>
        <w:t>Landlord shall have the right to seek to enjoin such breach. Upon the occurrence of an Event of Default, Landlord shall have the right to invoke any other remedy allowed by law or in equity as if re-entry, eviction or ejectment proceedings and other special remedies were not provided in this Lease for such breach. The rights to invoke the remedies set forth above are cumulative and shall not preclude Landlord from invoking any other remedy allowed at law or in equity.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CONFESSION OF JUDGMENT FOR POSSESSION OF PREMISES. FOLLOWING THE OCCURRENCE OF AN UNCURED EVENT OF DEFAULT, TENANT HEREBY EXPRESSLY AUTHORIZES THE PROTHONOTARY, CLERK OR ANY ATTORNEY OF ANY COURT OF RECORD TO ACCEPT SERVICE OF PROCESS FOR, TO APPEAR FOR, AND TO CONFESS JUDGMENT AGAINST TENANT AND ALL PERSONS CLAIMING UNDER TENANT IN ANY AND ALL ACTIONS BROUGHT HEREUNDER BY LANDLORD AGAINST TENANT TO RECOVER POSSESSION OF THE PREMISES (IN EJECTMENT OR OTHERWISE</w:t>
      </w:r>
      <w:r>
        <w:rPr>
          <w:rFonts w:ascii="Times New Roman" w:hAnsi="Times New Roman"/>
          <w:color w:val="000000"/>
          <w:sz w:val="24"/>
        </w:rPr>
        <w:t>)</w:t>
      </w:r>
      <w:r>
        <w:rPr>
          <w:rFonts w:ascii="Times New Roman" w:hAnsi="Times New Roman"/>
          <w:b/>
          <w:color w:val="000000"/>
          <w:sz w:val="24"/>
        </w:rPr>
        <w:t>, WITHOUT ANY LIABILITY ON THE PART OF SAID ATTORNEY, FOR WHICH THIS LEASE SHALL BE SUFFICIENT WARRANT, AND TENANT AGREES THAT UPON THE ENTRY OF SUCH JUDGMENT, A WRIT OF POSSESSION OR OTHER APPROPRIATE PROCESS MAY ISSUE FORTHWITH (WITHOUT ANY PRIOR WRIT OR PROCEEDING WHATSOEVER</w:t>
      </w:r>
      <w:r>
        <w:rPr>
          <w:rFonts w:ascii="Times New Roman" w:hAnsi="Times New Roman"/>
          <w:color w:val="000000"/>
          <w:sz w:val="24"/>
        </w:rPr>
        <w:t>)</w:t>
      </w:r>
      <w:r>
        <w:rPr>
          <w:rFonts w:ascii="Times New Roman" w:hAnsi="Times New Roman"/>
          <w:b/>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IN ANY SUCH ACTION, LANDLORD SHALL FIRST CAUSE TO BE FILED IN SUCH ACTION AN AFFIDAVIT MADE BY LANDLORD OR SOMEONE ACTING FOR IT SETTING FORTH FACTS NECESSARY TO AUTHORIZE THE ENTRY OF JUDGMENT, OF WHICH FACTS SUCH AFFIDAVIT SHALL BE CONCLUSIVE EVIDENCE, AND IF A TRUE COPY OF THIS LEASE BE FILED IN SUCH ACTION (AND OF THE TRUTH OF THE COPY SUCH AFFIDAVIT SHALL BE SUFFICIENT EVIDENCE</w:t>
      </w:r>
      <w:r>
        <w:rPr>
          <w:rFonts w:ascii="Times New Roman" w:hAnsi="Times New Roman"/>
          <w:color w:val="000000"/>
          <w:sz w:val="24"/>
        </w:rPr>
        <w:t>)</w:t>
      </w:r>
      <w:r>
        <w:rPr>
          <w:rFonts w:ascii="Times New Roman" w:hAnsi="Times New Roman"/>
          <w:b/>
          <w:color w:val="000000"/>
          <w:sz w:val="24"/>
        </w:rPr>
        <w:t>, IT SHALL NOT BE NECESSARY TO FILE THE ORIGINAL, AS A WARRANT OF ATTORNEY, ANY RULE OF COURT, CUSTOM OR PRACTICE TO THE CONTRARY NOTWITHSTANDING. TENANT AND ALL PERSONS CLAIMING UNDER TENANT HEREBY RELEASE LANDLORD FROM ANY CLAIMS ARISING FROM ANY ERRORS OR DEFECTS WHATSOEVER IN ENTERING SUCH ACTION OR JUDGMENT, IN CAUSING SUCH WRIT OF POSSESSION OR OTHER PROCESS TO BE ISSUED OR IN ANY PROCEEDING THEREON OR CONCERNING THE SAME, AND HEREBY AGREE THAT NO WRIT OF ERROR OR OBJECTION SHALL BE MADE OR TAKEN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WARRANT OF ATTORNEY SHALL NOT BE EXHAUSTED BY ONE EXERCISE, BUT JUDGMENT MAY BE CONFESSED FROM TIME TO TIME, AS OFTEN AS OCCASION THEREFOR SHALL EXIST. SUCH POWERS MAY BE EXERCISED DURING AS WELL AS AFTER THE EXPIRATION OR TERMINATION OF THE TERM AND DURING AND AT ANY TIME AFTER ANY EXTENSION OR RENEWAL OF THE TERM.</w:t>
      </w:r>
    </w:p>
    <w:p>
      <w:pPr>
        <w:pStyle w:val="TextBody"/>
        <w:bidi w:val="0"/>
        <w:spacing w:before="0" w:after="240"/>
        <w:jc w:val="both"/>
        <w:rPr>
          <w:rFonts w:ascii="Times New Roman" w:hAnsi="Times New Roman"/>
          <w:sz w:val="20"/>
        </w:rPr>
      </w:pPr>
      <w:r>
        <w:rPr>
          <w:rFonts w:ascii="Times New Roman" w:hAnsi="Times New Roman"/>
          <w:b/>
          <w:color w:val="000000"/>
          <w:sz w:val="24"/>
        </w:rPr>
        <w:t>THIS SECTION 15.2(e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SETS FORTH A WARRANT OF ATTORNEY FOR AN ATTORNEY TO CONFESS JUDGMENT AGAINST TENANT.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GRANTING THIS WARRANT OF ATTORNEY TO CONFESS JUDGMENT AGAINST TENANT, TENANT, FOLLOWING CONSULTATION WITH (OR DECISION NOT TO CONSULT WITH</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SEPARATE COUNSEL FOR TENANT AND WITH KNOWLEDGE OF THE LEGAL EFFECT HEREOF, HEREBY KNOWINGLY, INTENTIONALLY AND VOLUNTARILY WAIVES UNCONDITIONALLY ANY AND ALL RIGHTS TENANT HAS OR MAY HAVE TO PRE-JUDGMENT AND PRE-EXECUTION NOTICE AND AN OPPORTUNITY FOR HEARING UNDER THE RESPECTIVE CONSTITUTIONS AND LAWS OF THE UNITED STATES OF AMERICA, THE COMMONWEALTH OF PENNSYLVANIA, OR ELSEWHERE.</w:t>
      </w:r>
    </w:p>
    <w:p>
      <w:pPr>
        <w:pStyle w:val="TextBody"/>
        <w:bidi w:val="0"/>
        <w:spacing w:before="0" w:after="300"/>
        <w:jc w:val="both"/>
        <w:rPr>
          <w:rFonts w:ascii="Times New Roman" w:hAnsi="Times New Roman"/>
          <w:sz w:val="20"/>
        </w:rPr>
      </w:pPr>
      <w:r>
        <w:rPr>
          <w:rFonts w:ascii="Times New Roman" w:hAnsi="Times New Roman"/>
          <w:b/>
          <w:color w:val="000000"/>
          <w:sz w:val="24"/>
        </w:rPr>
        <w:t>TENANT SPECIFICALLY ACKNOWLEDGES THAT LANDLORD HAS RELIED ON THE WARRANT OF ATTORNEY SET FORTH IN THIS SECTION 15.2(e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IN ENTERING INTO THIS LEASE WITH TENANT AND THAT THE LANDLORD-TENANT RELATIONSHIP CREATED HEREBY IS COMMERCIAL IN NATURE.</w:t>
      </w:r>
    </w:p>
    <w:p>
      <w:pPr>
        <w:pStyle w:val="TextBody"/>
        <w:bidi w:val="0"/>
        <w:spacing w:before="0" w:after="240"/>
        <w:jc w:val="both"/>
        <w:rPr>
          <w:rFonts w:ascii="Times New Roman" w:hAnsi="Times New Roman"/>
          <w:sz w:val="20"/>
        </w:rPr>
      </w:pPr>
      <w:r>
        <w:rPr>
          <w:rFonts w:ascii="Times New Roman" w:hAnsi="Times New Roman"/>
          <w:b/>
          <w:color w:val="000000"/>
          <w:sz w:val="24"/>
        </w:rPr>
        <w:t>Section 15.3 Landlord’s Damages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 xml:space="preserve">Amount of Damages. </w:t>
      </w:r>
      <w:r>
        <w:rPr>
          <w:rFonts w:ascii="Times New Roman" w:hAnsi="Times New Roman"/>
          <w:color w:val="000000"/>
          <w:sz w:val="24"/>
        </w:rPr>
        <w:t>If</w:t>
      </w:r>
      <w:r>
        <w:rPr>
          <w:rFonts w:ascii="Times New Roman" w:hAnsi="Times New Roman"/>
          <w:color w:val="000000"/>
          <w:sz w:val="20"/>
        </w:rPr>
        <w:t xml:space="preserve"> </w:t>
      </w:r>
      <w:r>
        <w:rPr>
          <w:rFonts w:ascii="Times New Roman" w:hAnsi="Times New Roman"/>
          <w:color w:val="000000"/>
          <w:sz w:val="24"/>
        </w:rPr>
        <w:t>this Lease and the Term, or Tenant’s right to possession of the Premises, terminate as provided in Section 15.2(a), then: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Tenant shall pay to Landlord all items of Rent payable under this Lease by Tenant to Landlord prior to the date of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Landlord may retain all monies, if any, paid by Tenant to Landlord, whether as prepaid Rent, a Security Deposit or otherwise, which monies, to the extent not otherwise applied to amounts due and owing to Landlord, shall be credited by Landlord against any damages payable by Tenant to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Tenant shall pay to Landlord, in monthly installments, on the days specified in this Lease for payment of installments of Fixed Rent, any Deficiency; it being understood that Landlord shall be entitled to recover the Deficiency from Tenant each month as the same shall arise, and no suit to collect the amount of the Deficiency for any month, shall prejudice Landlord’s right to collect the Deficiency for any subsequent month by a similar proceeding; and</w:t>
      </w:r>
    </w:p>
    <w:p>
      <w:pPr>
        <w:pStyle w:val="TextBody"/>
        <w:bidi w:val="0"/>
        <w:spacing w:before="0" w:after="240"/>
        <w:jc w:val="both"/>
        <w:rPr>
          <w:rFonts w:ascii="Times New Roman" w:hAnsi="Times New Roman"/>
          <w:sz w:val="20"/>
        </w:rPr>
      </w:pPr>
      <w:r>
        <w:rPr>
          <w:rFonts w:ascii="Times New Roman" w:hAnsi="Times New Roman"/>
          <w:color w:val="000000"/>
          <w:sz w:val="24"/>
        </w:rPr>
        <w:t>(iv) whether or not Landlord shall have collected any monthly Deficiency, Tenant shall pay to Landlord, on demand, in lieu of any further Deficiency and as liquidated and agreed final damages, a sum equal to the amount by which the Rent for the period which otherwise would have constituted the unexpired portion of the Term (assuming the Additional Rent during such period to be the same as was payable for the year immediately preceding such termination or re-entry, increased in each succeeding year by 4% (on a compounded basis)) exceeds the then fair and reasonable rental value of the Premises, for the same period (with both amounts being discounted to present value at a rate of interest equal to 2% below the then Base Rate) less the aggregate amount of Deficiencies theretofore collected by Landlord pursuant to the provisions of Section 15.3(a)(iii) for the same period. If, before presentation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proof of such liquidated damages to any court, commission or tribunal, the Premises, or any part thereof, shall have been relet by Landlord for the period which otherwise would have constituted the unexpired portion of the Term, or any part thereof, the amount of rent reserved upon such reletting shall be deemed prima facie, to be the fair and reasonable rental value for the part or the whole of the Premises so relet during the term of the reletting.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 xml:space="preserve">Reletting. </w:t>
      </w:r>
      <w:r>
        <w:rPr>
          <w:rFonts w:ascii="Times New Roman" w:hAnsi="Times New Roman"/>
          <w:color w:val="000000"/>
          <w:sz w:val="24"/>
        </w:rPr>
        <w:t>If the Premises, or any part thereof, shall be relet together with other space in the Building, the rents collected or reserved under any such reletting and the expenses of any such reletting shall be equitably apportioned for the purposes of this Section 15.3. Tenant shall not be entitled to any rents collected or payable under any reletting, whether or not such rents exceeds the Fixed Rent reserved in this Lease, Nothing contained in Article 15 shall be deemed to limit or preclude the recovery by Landlord from Tenant of the maximum amount allowed to be obtained as damages by any Requirement, or of any sums or damages to which Landlord may be entitled in addition to the damages set forth in this Section 15.3.</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15.4 Interest. </w:t>
      </w:r>
      <w:r>
        <w:rPr>
          <w:rFonts w:ascii="Times New Roman" w:hAnsi="Times New Roman"/>
          <w:color w:val="000000"/>
          <w:sz w:val="24"/>
        </w:rPr>
        <w:t>If any payment of Rent is not paid when due, interest shall accrue on such payment, from the date such payment became due until paid at the Interest Rate. Tenant acknowledges that late payment by Tenant of Rent will cause Landlord to incur costs not contemplated by this Lease, the exact amount of such costs being extremely difficult and impracticable to fix. Such costs include, without limitation, processing and accounting charges, and late charges that may be imposed on Landlord by the terms of any note secured by a Mortgage covering the Premises. Therefore, in addition to interest, if any amount is not paid when due, a late charge equal to 5% of such amount shall be assessed; provided, however, that on 2 occasions during any Calendar Year of the Term, Landlord shall give Tenant notice of such late payment and Tenant shall have a period of 5 days thereafter in which to make such payment before any late charge is assessed. Such interest and late charges are separate and cumulative and are in addition to and shall not diminish or represent a substitute for any of Landlord’s rights or remedies under any other provision of this Lease.</w:t>
      </w:r>
    </w:p>
    <w:p>
      <w:pPr>
        <w:pStyle w:val="TextBody"/>
        <w:bidi w:val="0"/>
        <w:spacing w:before="0" w:after="240"/>
        <w:jc w:val="both"/>
        <w:rPr>
          <w:rFonts w:ascii="Times New Roman" w:hAnsi="Times New Roman"/>
          <w:sz w:val="20"/>
        </w:rPr>
      </w:pPr>
      <w:r>
        <w:rPr>
          <w:rFonts w:ascii="Times New Roman" w:hAnsi="Times New Roman"/>
          <w:b/>
          <w:color w:val="000000"/>
          <w:sz w:val="24"/>
        </w:rPr>
        <w:t>Section 15.5 Intentionally Omitted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15.6 Other Rights of Landlord. </w:t>
      </w:r>
      <w:r>
        <w:rPr>
          <w:rFonts w:ascii="Times New Roman" w:hAnsi="Times New Roman"/>
          <w:color w:val="000000"/>
          <w:sz w:val="24"/>
        </w:rPr>
        <w:t>If Tenant fails to pay any Additional Rent when due, Landlord, in addition to any other right or remedy, shall have the same rights and remedies as in the case of a default by Tenant in the payment of Fixed Rent. If Tenant is in arrears in the payment of Rent, Tenant waives Tenant’s right, if any, to designate the items against which any payments made by Tenant are to be credited, and Landlord may apply any payments made by Tenant to any items Landlord sees fit, regardless of any request by Tenant. Landlord reserves the right, without liability to Tenant and without constituting any claim of constructive eviction, to suspend furnishing or rendering to Tenant any property, material, labor, utility or other service, whenever Landlord is obligated to furnish or render the same at the expense of Tenant, if (but only for so long as) Tenant is in arrears in paying Land lord for such items for more than five days after notice from Landlord to Tenant demanding the payment of such arrears. If Tenant fails to pay any Rent when due or Tenant otherwise fails to fully and timely perform its obligations under this Lease and Landlord engages an attorney in connection with such failure, Tenant shall pay upon demand the reasonable attorneys’ fees incurred by Landlord regardless of whether Landlord initiates legal action in connection with such failure.</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16</w:t>
      </w:r>
      <w:r>
        <w:rPr>
          <w:rFonts w:ascii="Times New Roman" w:hAnsi="Times New Roman"/>
          <w:color w:val="000000"/>
          <w:sz w:val="24"/>
        </w:rPr>
        <w:br/>
        <w:br/>
      </w:r>
      <w:r>
        <w:rPr>
          <w:rFonts w:ascii="Times New Roman" w:hAnsi="Times New Roman"/>
          <w:b/>
          <w:color w:val="2C2C2C"/>
          <w:sz w:val="24"/>
        </w:rPr>
        <w:t>LANDLORD’S RIGHT TO CURE; FEES AND EXPENSES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Tenant defaults in the performance of its obligations under this Lease, Landlord, without waiving such default, may perform such obligations at Tenant’s expense: (a) immediately, and without notice, in the case of emergency or if the default (i) materially interferes with the use by any other tenant of the Building, (ii) materially interferes with the efficient operation of the Building, (iii) results in a violation of any Requirement, or (iv) results or will result in a cancellation of any insurance policy maintained by Landlord, and (b) in any other case if such default continues after applicable notice and cure periods, or if no such period is specified, then 10 days from the date Landlord gives notice of the defaulted obligation. All costs and expenses incurred by Landlord in connection with any such performance by it and all costs and expenses, including reasonable counsel fees and disbursements, incurred by Landlord in any action or proceeding (including any unlawful detainer proceeding) brought by Landlord or in which Landlord is a party to enforce any obligation of Tenant under this Lease and/or right of Landlord in or to the Premises, shall be paid by Tenant to Landlord on demand, with interest thereon at the Interest Rate from the date incurred by Landlord. Except as expressly provided to the contrary in this Lease, all costs and expenses which, pursuant to this Lease are incurred by Landlord and payable to Landlord by Tenant, and all charges, amounts and sums payable to Landlord by Tenant for any property, material, labor, utility or other services which, pursuant to this Lease, attributable directly to Tenant’s use and occupancy of the Premises or presence at the Building, or at the request and for the account of Tenant, are provided, furnished or rendered by Landlord, shall become due and payable by Tenant to Landlord within 10 Business Days after receipt of Landlord’s invoice for such amount.</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17</w:t>
      </w:r>
      <w:r>
        <w:rPr>
          <w:rFonts w:ascii="Times New Roman" w:hAnsi="Times New Roman"/>
          <w:color w:val="000000"/>
          <w:sz w:val="24"/>
        </w:rPr>
        <w:br/>
        <w:br/>
      </w:r>
      <w:r>
        <w:rPr>
          <w:rFonts w:ascii="Times New Roman" w:hAnsi="Times New Roman"/>
          <w:b/>
          <w:color w:val="2C2C2C"/>
          <w:sz w:val="24"/>
        </w:rPr>
        <w:t>NO REPRESENTATIONS BY LANDLORD; LANDLORD’S APPROVAL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17.1 No Representations. </w:t>
      </w:r>
      <w:r>
        <w:rPr>
          <w:rFonts w:ascii="Times New Roman" w:hAnsi="Times New Roman"/>
          <w:color w:val="000000"/>
          <w:sz w:val="24"/>
        </w:rPr>
        <w:t>Except as expressly set forth herein, Landlord and Landlord’s agents have made no warranties, representations, statements or promises with respect to the Building, the Property or the Premises and no rights, easements or licenses are acquired by Tenant by implication or otherwise. Tenant is entering into this Lease after full investigation and is not relying upon any statement or representation made by Landlord not embodied in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17.2 No Money Damages. </w:t>
      </w:r>
      <w:r>
        <w:rPr>
          <w:rFonts w:ascii="Times New Roman" w:hAnsi="Times New Roman"/>
          <w:color w:val="000000"/>
          <w:sz w:val="24"/>
        </w:rPr>
        <w:t>Wherever in this Lease Landlord’s consent or approval is required, if Landlord refuses to grant such consent or approval, whether or not Landlord expressly agreed that such consent or approval would not be unreasonably withheld, Tenant shall not make, and Tenant hereby waives, any claim for money damages (including any claim by way of set-off, counterclaim or defense) based upon Tenant’s claim or assertion that Landlord unreasonably withheld or delayed its consent or approval. Tenant’s sole remedy shall be an action or proceeding to enforce such provision, by specific performance, injunction or declaratory judgment. In no event shall Landlord be liable for, and Tenant, on behalf of itself and all other Tenant Parties, hereby waives any claim for, any indirect, consequential or punitive damages, including loss of profits or business opportunity, arising under or in connection with this Lease.</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17.3 Reasonable Efforts. </w:t>
      </w:r>
      <w:r>
        <w:rPr>
          <w:rFonts w:ascii="Times New Roman" w:hAnsi="Times New Roman"/>
          <w:color w:val="000000"/>
          <w:sz w:val="24"/>
        </w:rPr>
        <w:t>For purposes of this Lease, “reasonable efforts” by Landlord shall not include an obligation to employ contractors or labor at overtime or other premium pay rates or to incur any other overtime costs or additional expenses whatsoever.</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18</w:t>
      </w:r>
      <w:r>
        <w:rPr>
          <w:rFonts w:ascii="Times New Roman" w:hAnsi="Times New Roman"/>
          <w:color w:val="000000"/>
          <w:sz w:val="24"/>
        </w:rPr>
        <w:br/>
        <w:br/>
      </w:r>
      <w:r>
        <w:rPr>
          <w:rFonts w:ascii="Times New Roman" w:hAnsi="Times New Roman"/>
          <w:b/>
          <w:color w:val="2C2C2C"/>
          <w:sz w:val="24"/>
        </w:rPr>
        <w:t>END OF TERM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18.1 Expiration. </w:t>
      </w:r>
      <w:r>
        <w:rPr>
          <w:rFonts w:ascii="Times New Roman" w:hAnsi="Times New Roman"/>
          <w:color w:val="000000"/>
          <w:sz w:val="24"/>
        </w:rPr>
        <w:t>Upon the expiration or other termination of this Lease, Tenant shall quit and surrender the Premises to Landlord vacant, broom clean and in good order and condition, ordinary wear and tear and damage for which Tenant is not responsible under the terms of this Lease excepted, and Tenant shall remove all of Tenant’s Property and Tenant’s Specialty Alterations.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18.2 Holdover Rent. </w:t>
      </w:r>
      <w:r>
        <w:rPr>
          <w:rFonts w:ascii="Times New Roman" w:hAnsi="Times New Roman"/>
          <w:color w:val="000000"/>
          <w:sz w:val="24"/>
        </w:rPr>
        <w:t>Landlord and Tenant recognize that Landlord’s damages resulting from Tenant’s failure to timely surrender possession of the Premises may be substantial, may exceed the amount of the Rent payable hereunder, and will be impossible to accurately measure. Accordingly, if possession of the Premises is not surrendered to Landlord on the Expiration Date or sooner termination of this Lease, in addition to any other rights or remedies Landlord may have hereunder or at law, Tenant shall (a) pay to Landlord for each month (or any portion thereof) during which Tenant holds over in the Premises after the Expiration Date or sooner termination of this Lease, a sum equal to two times the Rent payable under this Lease for the last full calendar month of the Term, (b) be liable to Landlord for (1) any payment or rent concession which Landlord may be required to make to any tenant obtained by Landlord for all or any part of the Premises (a “</w:t>
      </w:r>
      <w:r>
        <w:rPr>
          <w:rFonts w:ascii="Times New Roman" w:hAnsi="Times New Roman"/>
          <w:b/>
          <w:color w:val="000000"/>
          <w:sz w:val="24"/>
        </w:rPr>
        <w:t>New Tenant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in order to induce such New Tenant not to terminate its lease by reason of the holding-over by Tenant, and </w:t>
      </w:r>
      <w:r>
        <w:rPr>
          <w:rFonts w:ascii="Times New Roman" w:hAnsi="Times New Roman"/>
          <w:color w:val="515151"/>
          <w:sz w:val="24"/>
        </w:rPr>
        <w:t xml:space="preserve">(2) </w:t>
      </w:r>
      <w:r>
        <w:rPr>
          <w:rFonts w:ascii="Times New Roman" w:hAnsi="Times New Roman"/>
          <w:color w:val="000000"/>
          <w:sz w:val="24"/>
        </w:rPr>
        <w:t xml:space="preserve">the loss </w:t>
      </w:r>
      <w:r>
        <w:rPr>
          <w:rFonts w:ascii="Times New Roman" w:hAnsi="Times New Roman"/>
          <w:color w:val="515151"/>
          <w:sz w:val="24"/>
        </w:rPr>
        <w:t xml:space="preserve">of </w:t>
      </w:r>
      <w:r>
        <w:rPr>
          <w:rFonts w:ascii="Times New Roman" w:hAnsi="Times New Roman"/>
          <w:color w:val="000000"/>
          <w:sz w:val="24"/>
        </w:rPr>
        <w:t xml:space="preserve">the </w:t>
      </w:r>
      <w:r>
        <w:rPr>
          <w:rFonts w:ascii="Times New Roman" w:hAnsi="Times New Roman"/>
          <w:color w:val="515151"/>
          <w:sz w:val="24"/>
        </w:rPr>
        <w:t xml:space="preserve">benefit </w:t>
      </w:r>
      <w:r>
        <w:rPr>
          <w:rFonts w:ascii="Times New Roman" w:hAnsi="Times New Roman"/>
          <w:color w:val="000000"/>
          <w:sz w:val="24"/>
        </w:rPr>
        <w:t xml:space="preserve">of </w:t>
      </w:r>
      <w:r>
        <w:rPr>
          <w:rFonts w:ascii="Times New Roman" w:hAnsi="Times New Roman"/>
          <w:color w:val="515151"/>
          <w:sz w:val="24"/>
        </w:rPr>
        <w:t xml:space="preserve">the </w:t>
      </w:r>
      <w:r>
        <w:rPr>
          <w:rFonts w:ascii="Times New Roman" w:hAnsi="Times New Roman"/>
          <w:color w:val="000000"/>
          <w:sz w:val="24"/>
        </w:rPr>
        <w:t xml:space="preserve">bargain </w:t>
      </w:r>
      <w:r>
        <w:rPr>
          <w:rFonts w:ascii="Times New Roman" w:hAnsi="Times New Roman"/>
          <w:color w:val="515151"/>
          <w:sz w:val="24"/>
        </w:rPr>
        <w:t xml:space="preserve">if any New </w:t>
      </w:r>
      <w:r>
        <w:rPr>
          <w:rFonts w:ascii="Times New Roman" w:hAnsi="Times New Roman"/>
          <w:color w:val="000000"/>
          <w:sz w:val="24"/>
        </w:rPr>
        <w:t>Tenant shall terminate its lease by reason of the holding-over by Tenant, and (c) indemnify Landlord against all claims for damages by any New Tenant. No holding-over by Tenant, nor the payment to Landlord of the amounts specified above, shall operate to extend the Term hereof or to establish a month to month or any other tenancy. Nothing herein contained shall be deemed to permit Tenant to retain possession of the Premises after the Expiration Date or sooner termination of this Lease, and no acceptance by Landlord of payments from Tenant after the Expiration Date or sooner termination of this Lease shall be deemed to be other than on account of the amount to be paid by Tenant in accordance with the provisions of this Section 18.2.</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19</w:t>
      </w:r>
      <w:r>
        <w:rPr>
          <w:rFonts w:ascii="Times New Roman" w:hAnsi="Times New Roman"/>
          <w:color w:val="000000"/>
          <w:sz w:val="24"/>
        </w:rPr>
        <w:br/>
        <w:br/>
      </w:r>
      <w:r>
        <w:rPr>
          <w:rFonts w:ascii="Times New Roman" w:hAnsi="Times New Roman"/>
          <w:b/>
          <w:color w:val="2C2C2C"/>
          <w:sz w:val="24"/>
        </w:rPr>
        <w:t>QUIET ENJOYMENT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this Lease is in full force and effect and no Event of Default then exists, Tenant may peaceably and quietly enjoy the Premises without hindrance by Landlord or any person lawfully claiming through or under Landlord, subject to the terms and conditions of this Lease and to all Superior Leases and Mortgages.</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20</w:t>
      </w:r>
      <w:r>
        <w:rPr>
          <w:rFonts w:ascii="Times New Roman" w:hAnsi="Times New Roman"/>
          <w:color w:val="000000"/>
          <w:sz w:val="24"/>
        </w:rPr>
        <w:br/>
        <w:br/>
      </w:r>
      <w:r>
        <w:rPr>
          <w:rFonts w:ascii="Times New Roman" w:hAnsi="Times New Roman"/>
          <w:b/>
          <w:color w:val="2C2C2C"/>
          <w:sz w:val="24"/>
        </w:rPr>
        <w:t>NO SURRENDER; NO WAIVER</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20.1 No Surrender or Release. </w:t>
      </w:r>
      <w:r>
        <w:rPr>
          <w:rFonts w:ascii="Times New Roman" w:hAnsi="Times New Roman"/>
          <w:color w:val="000000"/>
          <w:sz w:val="24"/>
        </w:rPr>
        <w:t>No act or thing done by Landlord or Landlord’s agents or employees during the Term shall be deemed an acceptance of a surrender of the Premises, and no provision of this Lease shall be deemed to have been waived by Landlord, unless such waiver is in writing and is signed by Landlord.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20.2 No Waiver. </w:t>
      </w:r>
      <w:r>
        <w:rPr>
          <w:rFonts w:ascii="Times New Roman" w:hAnsi="Times New Roman"/>
          <w:color w:val="000000"/>
          <w:sz w:val="24"/>
        </w:rPr>
        <w:t>The failure of either party to seek redress for violation of, or to insist upon the strict performance of, any covenant or condition of this Lease, or any of the Rules and Regulations, shall not be construed as a waiver or relinquishment for the future performance of such obligations of this Lease or the Rules and Regulations, or of the right to exercise such election but the same shall continue and remain in full force and effect with respect to any subsequent breach, act or omission. The receipt by Landlord of any Rent payable pursuant to this Lease or any other sums with knowledge of the breach of any covenant of this Lease shall not be deemed a waiver of such breach. No payment by Tenant or receipt by Landlord of a lesser amount than the monthly Rent herein stipulated shall be deemed to be other than a payment on account of the earliest stipulated Rent, or as Landlord may elect to apply such payment,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21</w:t>
      </w:r>
      <w:r>
        <w:rPr>
          <w:rFonts w:ascii="Times New Roman" w:hAnsi="Times New Roman"/>
          <w:color w:val="000000"/>
          <w:sz w:val="24"/>
        </w:rPr>
        <w:br/>
        <w:br/>
      </w:r>
      <w:r>
        <w:rPr>
          <w:rFonts w:ascii="Times New Roman" w:hAnsi="Times New Roman"/>
          <w:b/>
          <w:color w:val="2C2C2C"/>
          <w:sz w:val="24"/>
        </w:rPr>
        <w:t>WAIVER OF TRIAL BY JURY; COUNTERCLAIM</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21.1 Jury Trial Waiver. </w:t>
      </w:r>
      <w:r>
        <w:rPr>
          <w:rFonts w:ascii="Times New Roman" w:hAnsi="Times New Roman"/>
          <w:color w:val="000000"/>
          <w:sz w:val="24"/>
        </w:rPr>
        <w:t>Landlord and Tenant hereby waive trial by jury in any action, proceeding or counterclaim brought by either party against the other in connection with any matters in any way arising out of or connected with this Lease, the relationship of Landlord and Tenant, Tenant’s use or occupancy of the Premises, any guaranty of all or any portion of Tenant’s liabilities under this Lease or the enforcement of any remedy under any statute, emergency or otherwise.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21.2 Waiver of Counterclaim. </w:t>
      </w:r>
      <w:r>
        <w:rPr>
          <w:rFonts w:ascii="Times New Roman" w:hAnsi="Times New Roman"/>
          <w:color w:val="000000"/>
          <w:sz w:val="24"/>
        </w:rPr>
        <w:t>If Landlord commences any eviction or ejectment action against Tenant, Tenant will not interpose any counterclaim of any nature or description in any such proceeding (unless failure to interpose such counterclaim would preclude Tenant from asserting in a separate action the claim which is the subject of such counterclaim), and will not seek to consolidate such proceeding with any other action which may have been or will be brought in any other court by Tenant.</w:t>
      </w:r>
    </w:p>
    <w:p>
      <w:pPr>
        <w:pStyle w:val="TextBody"/>
        <w:bidi w:val="0"/>
        <w:spacing w:before="0" w:after="300"/>
        <w:jc w:val="center"/>
        <w:rPr>
          <w:rFonts w:ascii="Times New Roman" w:hAnsi="Times New Roman"/>
          <w:sz w:val="20"/>
        </w:rPr>
      </w:pPr>
      <w:r>
        <w:rPr>
          <w:rFonts w:ascii="Times New Roman" w:hAnsi="Times New Roman"/>
          <w:b/>
          <w:caps/>
          <w:color w:val="000000"/>
          <w:sz w:val="24"/>
        </w:rPr>
        <w:t>ARTICLE 22</w:t>
      </w:r>
      <w:r>
        <w:rPr>
          <w:rFonts w:ascii="Times New Roman" w:hAnsi="Times New Roman"/>
          <w:color w:val="000000"/>
          <w:sz w:val="24"/>
        </w:rPr>
        <w:br/>
        <w:br/>
      </w:r>
      <w:r>
        <w:rPr>
          <w:rFonts w:ascii="Times New Roman" w:hAnsi="Times New Roman"/>
          <w:b/>
          <w:color w:val="2C2C2C"/>
          <w:sz w:val="24"/>
        </w:rPr>
        <w:t>NOTICES</w:t>
      </w:r>
    </w:p>
    <w:p>
      <w:pPr>
        <w:pStyle w:val="TextBody"/>
        <w:bidi w:val="0"/>
        <w:spacing w:before="0" w:after="240"/>
        <w:jc w:val="both"/>
        <w:rPr>
          <w:rFonts w:ascii="Times New Roman" w:hAnsi="Times New Roman"/>
          <w:sz w:val="20"/>
        </w:rPr>
      </w:pPr>
      <w:r>
        <w:rPr>
          <w:rFonts w:ascii="Times New Roman" w:hAnsi="Times New Roman"/>
          <w:color w:val="000000"/>
          <w:sz w:val="24"/>
        </w:rPr>
        <w:t>Except as otherwise expressly provided in this Lease, all consents, notices, demands, requests, approvals or other communications given under this Lease shall be in writing and shall be deemed sufficiently given or rendered if delivered by hand (provided a signed receipt is obtained) or if sent by registered or certified mail (return receipt requested) or by a nationally recognized overnight delivery service making receipted deliveries, addressed to Landlord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Tenant as set forth in Article 1, and to any Mortgagee or Lessor who shall require copies of notices and whose address is provided to Tenant, or to such other address(es) as Landlord, Tenant or any Mortgagee or Lessor may designate as its new address(es) for such purpose by notice given to the other in accordance with the provisions of this Article 22. Any such approval, consent, notice, demand, request or other communication shall be deemed to have been given on the date of receipted delivery, refusal to accept delivery or when delivery is first attempted but cannot be made due to a change of address for which no notice is given or three Business Days after it shall have been mailed as provided in this Article 22, whichever is earlier.</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23</w:t>
      </w:r>
      <w:r>
        <w:rPr>
          <w:rFonts w:ascii="Times New Roman" w:hAnsi="Times New Roman"/>
          <w:color w:val="000000"/>
          <w:sz w:val="24"/>
        </w:rPr>
        <w:br/>
        <w:br/>
      </w:r>
      <w:r>
        <w:rPr>
          <w:rFonts w:ascii="Times New Roman" w:hAnsi="Times New Roman"/>
          <w:b/>
          <w:color w:val="2C2C2C"/>
          <w:sz w:val="24"/>
        </w:rPr>
        <w:t>RULES AND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Tenant Parties shall observe and comply with the Rules and Regulations, as supplemented or amended from time to time. Landlord reserves the right, from time to time, to adopt additional Rules and Regulations and to amend the Rules and Regulations then in effect. Nothing contained in this Lease shall impose upon Landlord any obligation to enforce the Rules and Regulations or terms, covenants or conditions in any other lease against any other Building tenant, and Landlord shall not be liable to Tenant for violation of the same by any other tenant, its employees, agents, visitors or licensees. Landlord agrees not to enforce the Rules and Regulations more stringently against Tenant than against other tenants of the Building in general.</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24</w:t>
      </w:r>
      <w:r>
        <w:rPr>
          <w:rFonts w:ascii="Times New Roman" w:hAnsi="Times New Roman"/>
          <w:color w:val="000000"/>
          <w:sz w:val="24"/>
        </w:rPr>
        <w:br/>
        <w:br/>
      </w:r>
      <w:r>
        <w:rPr>
          <w:rFonts w:ascii="Times New Roman" w:hAnsi="Times New Roman"/>
          <w:b/>
          <w:color w:val="2C2C2C"/>
          <w:sz w:val="24"/>
        </w:rPr>
        <w:t>BROKER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Landlord and Tenant represents and warrants to the other that neither it nor its agents have dealt with any broker in connection with this Lease other than Landlord’s Agent and Tenant’s Broker and that no other broker, finder or like entity procured or negotiated this Lease or is entitled to any fee or commission in connection herewith. Each of Landlord and Tenant shall indemnify, defend, protect and hold the other party harmless from and against any and all Losses which the indemnified party may incur by reason of any claim of or liability to any broker, finder or like agent (other than Landlord’s Agent and Tenant’s Broker) arising out of any dealings claimed to have occurred between the indemnifying party and the claimant in connection with this Lease, and/or the above representation being false. Landlord shall pay Landlord’s Agent and Tenant’s Broker their respective commissions earned in connection with this Lease pursuant to separate agreements.</w:t>
      </w:r>
    </w:p>
    <w:p>
      <w:pPr>
        <w:pStyle w:val="TextBody"/>
        <w:bidi w:val="0"/>
        <w:spacing w:before="0" w:after="300"/>
        <w:jc w:val="center"/>
        <w:rPr>
          <w:rFonts w:ascii="Times New Roman" w:hAnsi="Times New Roman"/>
          <w:sz w:val="20"/>
        </w:rPr>
      </w:pPr>
      <w:r>
        <w:rPr>
          <w:rFonts w:ascii="Times New Roman" w:hAnsi="Times New Roman"/>
          <w:b/>
          <w:caps/>
          <w:color w:val="000000"/>
          <w:sz w:val="24"/>
        </w:rPr>
        <w:t>ARTICLE 25</w:t>
      </w:r>
      <w:r>
        <w:rPr>
          <w:rFonts w:ascii="Times New Roman" w:hAnsi="Times New Roman"/>
          <w:color w:val="000000"/>
          <w:sz w:val="24"/>
        </w:rPr>
        <w:br/>
        <w:br/>
      </w:r>
      <w:r>
        <w:rPr>
          <w:rFonts w:ascii="Times New Roman" w:hAnsi="Times New Roman"/>
          <w:b/>
          <w:color w:val="2C2C2C"/>
          <w:sz w:val="24"/>
        </w:rPr>
        <w:t>INDEMNITY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25.1 Tenant’s Indemnity. </w:t>
      </w:r>
      <w:r>
        <w:rPr>
          <w:rFonts w:ascii="Times New Roman" w:hAnsi="Times New Roman"/>
          <w:color w:val="000000"/>
          <w:sz w:val="24"/>
        </w:rPr>
        <w:t>Tenant shall not do or permit to be done any act or thing upon the Premises or the Building which may subject Landlord to any liability or responsibility for injury, damages to persons or property or to any liability by reason of any violation of any Requirement, and shall exercise such control over the Premises as to fully protect Landlord against any such liability. Except to the extent of any such injury or damage resulting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gross and sole negligence or willful misconduct of Landlord or Landlord’s agents or employees, Tenant shall indemnify, defend, protect and hold harmless each of the Indemnitees from and against any and all claims and Losses, resulting from any claims (i) against the Indemnitees arising from any act, omission or negligence of all Tenant Parties, (ii) against the Indemnitees arising from any accident, injury or damage to any person or to the property of any person and occurring in or about the Premises, and (iii) against the Indemnitees resulting from any breach, violation or nonperformance of any covenant, condition or agreement of this Lease on the part of Tenant to be fulfilled, kept, observed or performed.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25.2 Landlord’s Indemnity. </w:t>
      </w:r>
      <w:r>
        <w:rPr>
          <w:rFonts w:ascii="Times New Roman" w:hAnsi="Times New Roman"/>
          <w:color w:val="000000"/>
          <w:sz w:val="24"/>
        </w:rPr>
        <w:t>Landlord shall indemnify, defend and hold harmless Tenant from and against all Losses incurred by Tenant arising from any accident, injury or damage to any person or the property of any person in or about the Common Areas (specifically excluding the Premises) to the extent attributable to the gross negligence or willful misconduct of Landlord or its employees or agents.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25.3 Defense and Settlement. </w:t>
      </w:r>
      <w:r>
        <w:rPr>
          <w:rFonts w:ascii="Times New Roman" w:hAnsi="Times New Roman"/>
          <w:color w:val="000000"/>
          <w:sz w:val="24"/>
        </w:rPr>
        <w:t>If any claim, action or proceeding is made or brought against any Indemnitee, then upon demand by an Indemnitee, Tenant, at its sole cost and expense, shall resist or defend such claim, action or proceeding in the Indemnitee’s name (if necessary), by attorneys approved by the Indemnitee, which approval shall not be unreasonably withheld (attorneys for Tenant’s insurer shall be deemed approved for purposes of this Section 25.3). Notwithstanding the foregoing, an Indemnitee may retain its own attorneys to participate or assist in defending any claim, action or proceeding involving potential liability in excess of the amount available under Tenant’s liability insurance carried under Section 11.1 for such claim and Tenant shall pay the reasonable fees and disbursements of such attorneys. If Tenant fails to diligently defend or if there is a legal conflict or other conflict of interest, then Landlord may retain separate counsel at Tenant’s expense. Notwithstanding anything herein contained to the contrary, Tenant may direct the Indemnitee to settle any claim, suit or other proceeding provided that (a) such settlement shall involve no obligation on the part of the Indemnitee other than the payment of money, (b) any payments to be made pursuant to such settlement shall be paid in full exclusively by Tenant at the time such settlement is reached, (c) such settlement shall not require the Indemnitee to admit any liability, and (d) the Indemnitee shall have received an unconditional release from the other parties to such claim, suit or other proceeding.</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26</w:t>
      </w:r>
      <w:r>
        <w:rPr>
          <w:rFonts w:ascii="Times New Roman" w:hAnsi="Times New Roman"/>
          <w:color w:val="000000"/>
          <w:sz w:val="24"/>
        </w:rPr>
        <w:br/>
        <w:br/>
      </w:r>
      <w:r>
        <w:rPr>
          <w:rFonts w:ascii="Times New Roman" w:hAnsi="Times New Roman"/>
          <w:b/>
          <w:color w:val="2C2C2C"/>
          <w:sz w:val="24"/>
        </w:rPr>
        <w:t>MISCELLANEOUS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 Delivery. </w:t>
      </w:r>
      <w:r>
        <w:rPr>
          <w:rFonts w:ascii="Times New Roman" w:hAnsi="Times New Roman"/>
          <w:color w:val="000000"/>
          <w:sz w:val="24"/>
        </w:rPr>
        <w:t>This Lease shall not be binding upon Landlord or Tenant unless and until Landlord shall have executed and delivered a fully executed copy of this Lease to Tenant.</w:t>
      </w:r>
    </w:p>
    <w:p>
      <w:pPr>
        <w:pStyle w:val="TextBody"/>
        <w:bidi w:val="0"/>
        <w:spacing w:before="0" w:after="240"/>
        <w:jc w:val="both"/>
        <w:rPr>
          <w:rFonts w:ascii="Times New Roman" w:hAnsi="Times New Roman"/>
          <w:sz w:val="20"/>
        </w:rPr>
      </w:pPr>
      <w:r>
        <w:rPr>
          <w:rFonts w:ascii="Times New Roman" w:hAnsi="Times New Roman"/>
          <w:b/>
          <w:color w:val="000000"/>
          <w:sz w:val="24"/>
        </w:rPr>
        <w:t>Section 26.2 Transfer of</w:t>
      </w:r>
      <w:r>
        <w:rPr>
          <w:rFonts w:ascii="Times New Roman" w:hAnsi="Times New Roman"/>
          <w:color w:val="000000"/>
          <w:sz w:val="20"/>
        </w:rPr>
        <w:t xml:space="preserve"> </w:t>
      </w:r>
      <w:r>
        <w:rPr>
          <w:rFonts w:ascii="Times New Roman" w:hAnsi="Times New Roman"/>
          <w:b/>
          <w:color w:val="000000"/>
          <w:sz w:val="24"/>
        </w:rPr>
        <w:t xml:space="preserve">Property. </w:t>
      </w:r>
      <w:r>
        <w:rPr>
          <w:rFonts w:ascii="Times New Roman" w:hAnsi="Times New Roman"/>
          <w:color w:val="000000"/>
          <w:sz w:val="24"/>
        </w:rPr>
        <w:t>Landlord’s obligations under this Lease shall not be binding upon the Landlord named herein after the sale, conveyance, assignment or transfer (collectively, a “Transfer”) by such Landlord (or upon any subsequent landlord after the Transfer by such subsequent landlord) of its interest in the Building or the Property, as the case may be, and in the event of any such Transfer, Landlord (and any such subsequent Landlord) shall be entirely freed and relieved of all covenants and obligations of Landlord hereunder arising from and after the date of Transfer and the transferee of Landlord’s interest (or that of such subsequent Landlord)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2C2C2C"/>
          <w:sz w:val="24"/>
        </w:rPr>
      </w:pPr>
      <w:r>
        <w:rPr>
          <w:rFonts w:ascii="Times New Roman" w:hAnsi="Times New Roman"/>
          <w:color w:val="2C2C2C"/>
          <w:sz w:val="24"/>
        </w:rPr>
        <w:t>in the Building or the Property, as the case may be, shall be deemed to have assumed all obligations under this Lease arising from and after the date of Transfer.</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26.3 Limitation on Liability. </w:t>
      </w:r>
      <w:r>
        <w:rPr>
          <w:rFonts w:ascii="Times New Roman" w:hAnsi="Times New Roman"/>
          <w:color w:val="000000"/>
          <w:sz w:val="24"/>
        </w:rPr>
        <w:t>Notwithstanding anything appearing to the contrary in this Lease, no Landlord Party shall be personally liable for any debts or other obligations of Landlord or in respect of any claims against Landlord arising under this Lease, and any such debts, obligations or claims shall be satisfied solely out of the interest of Landlord in the Building. No personal judgment shall be sought or obtained against any Landlord Party.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26.4 Rent. </w:t>
      </w:r>
      <w:r>
        <w:rPr>
          <w:rFonts w:ascii="Times New Roman" w:hAnsi="Times New Roman"/>
          <w:color w:val="000000"/>
          <w:sz w:val="24"/>
        </w:rPr>
        <w:t>All amounts payable by Tenant to or on behalf of Landlord under this Lease, whether or not expressly denominated Fixed Rent, Tenant’s Tax Payment, Tenant’s Operating Payment, Additional Rent or Rent, shall constitute rent for the purposes of Section 502(b)(6) of the United States Bankruptcy Code.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26.5 Entire Document. </w:t>
      </w:r>
      <w:r>
        <w:rPr>
          <w:rFonts w:ascii="Times New Roman" w:hAnsi="Times New Roman"/>
          <w:color w:val="000000"/>
          <w:sz w:val="24"/>
        </w:rPr>
        <w:t>This Lease (including any schedules and exhibits referred to herein and all supplementary agreements provided for herein) contains the entire agreement between the parties regarding the Premises and all prior negotiations and agreements arc merged into this Lease. All of the schedules and exhibits attached hereto are incorporated in and made a part of this Lease, provided that in the event of any inconsistency between the terms and provisions of this Lease and the terms and provisions of the schedules and exhibits hereto, the terms and provisions of this Lease shall control.</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26.6 Governing Law. </w:t>
      </w:r>
      <w:r>
        <w:rPr>
          <w:rFonts w:ascii="Times New Roman" w:hAnsi="Times New Roman"/>
          <w:color w:val="000000"/>
          <w:sz w:val="24"/>
        </w:rPr>
        <w:t>This Lease shall be governed in all respects by the laws of the Commonwealth of Pennsylvania (but not including the choice of law rules thereof).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26.7 Unenforceability. </w:t>
      </w:r>
      <w:r>
        <w:rPr>
          <w:rFonts w:ascii="Times New Roman" w:hAnsi="Times New Roman"/>
          <w:color w:val="000000"/>
          <w:sz w:val="24"/>
        </w:rPr>
        <w:t>If any provision of this Lease, or its application to any person or circumstance, shall ever be held to be invalid or unenforceable, then in each such event the remainder of this Lease or the application of such provision to any other person or any other circumstance (other than those as to which it shall be invalid or unenforceable) shall not be thereby affected, and each provision hereof shall remain valid and enforceable to the fullest extent permitted by law.</w:t>
      </w:r>
    </w:p>
    <w:p>
      <w:pPr>
        <w:pStyle w:val="TextBody"/>
        <w:bidi w:val="0"/>
        <w:spacing w:before="0" w:after="240"/>
        <w:jc w:val="both"/>
        <w:rPr>
          <w:rFonts w:ascii="Times New Roman" w:hAnsi="Times New Roman"/>
          <w:sz w:val="20"/>
        </w:rPr>
      </w:pPr>
      <w:r>
        <w:rPr>
          <w:rFonts w:ascii="Times New Roman" w:hAnsi="Times New Roman"/>
          <w:b/>
          <w:color w:val="000000"/>
          <w:sz w:val="24"/>
        </w:rPr>
        <w:t>Section 26.8 Lease Disputes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Tenant agrees that all disputes arising, directly or indirectly, out of or relating to this Lease, and all actions to enforce this Lease, shall be dealt with and adjudicated in the courts of the Commonwealth of Pennsylvania or the United States District Court for the Eastern District of Pennsylvania and for that purpose hereby expressly and irrevocably submits itself to the jurisdiction of such courts. Tenant agrees that so far as is permitted under applicable law, this consent to personal jurisdiction shall be self-operative and no further instrument or action, other than service of process in one of the manners specified in this Lease, or as otherwise permitted by law, shall be necessary in order to confer jurisdiction upon it in any such court.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the extent that Tenant has or hereafter may acquire any immunity from jurisdiction of any court or from any legal process (whether through service or notice, attachment prior to judgment, attachment in aid of execution, execution or otherwise) with respect to itself or its property, Tenant irrevocably waives such immunity in respect of its obligations under this Lease.</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26.9 Landlord’s Agent. </w:t>
      </w:r>
      <w:r>
        <w:rPr>
          <w:rFonts w:ascii="Times New Roman" w:hAnsi="Times New Roman"/>
          <w:color w:val="000000"/>
          <w:sz w:val="24"/>
        </w:rPr>
        <w:t>Unless Landlord delivers written notice to Tenant to the contrary, Landlord’s Agent is authorized to act as Landlord’s agent in connection with the performance of this Lease, and Tenant shall be entitled to rely upon correspondence received from Landlord’s Agent. Tenant acknowledges that Landlord’s Agent is acting solely as agent for Landlord in connection with the foregoing; and neither Landlord’s Agent nor any of its officers, directors, agents, managers, employees, and direct and indirect shareholders, partners, members and owners (nor any officer, director, agent, manager, personal representative, trustee or employee of any direct or indirect shareholder, partner, member or owner of Landlord’s Agent) shall have any liability to Tenant in connection with the performance of this Lease, and Tenant waives any and all claims against any and all of such parties arising out of, or in any way connected with, this Lease, the Building or the Property.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26.10 Estoppel. </w:t>
      </w:r>
      <w:r>
        <w:rPr>
          <w:rFonts w:ascii="Times New Roman" w:hAnsi="Times New Roman"/>
          <w:color w:val="000000"/>
          <w:sz w:val="24"/>
        </w:rPr>
        <w:t>Within 10 days following request from Landlord, any Mortgagee or any Lessor, Tenant shall deliver to Landlord a statement executed and acknowledged by Tenant, in form reasonably satisfactory to Landlord, (a) stating the Commencement Date, the Rent Commencement Date and the Expiration Date, and that this Lease is then in full force and effect and has not been modified (or if modified, setting forth all modifications), (b) setting forth the date to which the Fixed Rent and any Additional Rent have been paid, together with the amount of monthly Fixed Rent and Additional Rent then payable, (c) stating whether or not, to the best of Tenant’s knowledge. Landlord is in default under this Lease, and, if Landlord is in default, setting forth the specific nature of all such defaults, (d) stating the amount of the security, if any, under this Lease, (e) stating whether there are any subleases or assignments affecting the Premises, (f) stating the address of Tenant to which all notices and communications under the Lease shall be sent, and (g) responding to any other matters reasonably requested by Landlord, such Mortgagee or such Lessor. Tenant acknowledges that any statement delivered pursuant to this Section 26.10 may be relied upon by any purchaser or owner of the Property or the Building or all or any portion of Landlord’s interest in the Property or the Building or any Superior Lease, or by any Mortgagee, or assignee thereof or by any Lessor, or assignee thereof.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26.11 Certain Interpretation al Rules. </w:t>
      </w:r>
      <w:r>
        <w:rPr>
          <w:rFonts w:ascii="Times New Roman" w:hAnsi="Times New Roman"/>
          <w:color w:val="000000"/>
          <w:sz w:val="24"/>
        </w:rPr>
        <w:t>For purposes of this Lease, whenever the words “include”, “includes”, or “including” are used, they shall be deemed to be followed by the words “without limitation” and, whenever the circumstances or the context requires, the singular shall be construed as the plural, the masculine shall be construed as the feminine and/or the neuter and vice versa. This Lease shall be interpreted and enforced without the aid of any canon, custom or rule of law requiring or suggesting construction against the party drafting or causing the drafting of the provision in question.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captions in this Lease are inserted only as a matter of convenience and for reference and in no way define, limit or describe the scope of this Lease or the intent of any provision hereof.</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26.12 Parties Bound. </w:t>
      </w:r>
      <w:r>
        <w:rPr>
          <w:rFonts w:ascii="Times New Roman" w:hAnsi="Times New Roman"/>
          <w:color w:val="000000"/>
          <w:sz w:val="24"/>
        </w:rPr>
        <w:t>The terms, covenants, conditions and agreements contained in this Lease shall bind and inure to the benefit of Landlord and Tenant and, except as otherwise provided in this Lease, to their respective legal representatives, successors, and assigns.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26.13 Memorandum of Lease. </w:t>
      </w:r>
      <w:r>
        <w:rPr>
          <w:rFonts w:ascii="Times New Roman" w:hAnsi="Times New Roman"/>
          <w:color w:val="000000"/>
          <w:sz w:val="24"/>
        </w:rPr>
        <w:t>This Lease shall not be recorded; however, at Landlord’s request, Landlord and Tenant shall promptly execute, acknowledge and deliver a memorandum with respect to this Lease sufficient for recording and Landlord may record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memorandum. Within 10 days after the end of the Term, Tenant shall enter into such documentation as is reasonably required by Landlord to remove the memorandum of record.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26.14 Counterparts. </w:t>
      </w:r>
      <w:r>
        <w:rPr>
          <w:rFonts w:ascii="Times New Roman" w:hAnsi="Times New Roman"/>
          <w:color w:val="000000"/>
          <w:sz w:val="24"/>
        </w:rPr>
        <w:t>This Lease may be executed in two or more counterparts, each of which shall constitute an original, but all of which, when taken together, shall constitute but one instrument.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26.15 Survival. </w:t>
      </w:r>
      <w:r>
        <w:rPr>
          <w:rFonts w:ascii="Times New Roman" w:hAnsi="Times New Roman"/>
          <w:color w:val="000000"/>
          <w:sz w:val="24"/>
        </w:rPr>
        <w:t>All obligations and liabilities of Landlord or Tenant to the other which accrued before the expiration or other termination of this Lease, and all such obligations and liabilities which by their nature or under the circumstances can only be, or by the provisions of this Lease may be, performed after such expiration or other termination, shall survive the expiration or other termination of this Lease. Without limiting the generality of the foregoing, the rights and obligations of the parties with respect to any indemnity under this Lease, and with respect to any Rent and any other amounts payable under this Lease, shall survive the expiration or other termination of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26.16 Inability to Perform. </w:t>
      </w:r>
      <w:r>
        <w:rPr>
          <w:rFonts w:ascii="Times New Roman" w:hAnsi="Times New Roman"/>
          <w:color w:val="000000"/>
          <w:sz w:val="24"/>
        </w:rPr>
        <w:t>This Lease and the obligation of Tenant to pay Rent and to perform all of the other covenants and agreements of Tenant hereunder shall not be affected, impaired or excused by any Unavoidable Delays. Landlord shall use reasonable efforts to promptly notify Tenant of any Unavoidable Delay which prevents Landlord from fulfilling any of its obligations under this Lease.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26.17 Lien for Payment of Rent. </w:t>
      </w:r>
      <w:r>
        <w:rPr>
          <w:rFonts w:ascii="Times New Roman" w:hAnsi="Times New Roman"/>
          <w:color w:val="000000"/>
          <w:sz w:val="24"/>
        </w:rPr>
        <w:t>In addition to and not in lieu of any similar statutory or common law lien or security interest to which Landlord may be entitled, Tenant hereby pledges and assigns to Landlord, as security for the payment of any and all rental or other sums or amounts due from Tenant hereunder, all of the furniture, fixtures, goods and chattels of Tenant which shall or may be brought or put on or into the Premises. Notwithstanding the forgoing, if Tenant’s Property is financed or owned by someone other than Tenant, Tenant shall have the right to grant liens to lenders with respect to Tenant’s Property and to lease Tenant’s Property. Upon prior written request by Tenant, Landlord agrees to acknowledge (a) the aforesaid waiver of any landlord lien with respect to Tenant’s Property at the Premises, and (b) reasonable rights of such lender or lessor in and to Tenant’s Property on terms and conditions acceptable to Landlord in its discretion.</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26.18 Financial Statements. </w:t>
      </w:r>
      <w:r>
        <w:rPr>
          <w:rFonts w:ascii="Times New Roman" w:hAnsi="Times New Roman"/>
          <w:color w:val="000000"/>
          <w:sz w:val="24"/>
        </w:rPr>
        <w:t>Tenant shall from time to time, within 10 business days after request by Landlord, deliver to Landlord financial statements (including balance sheets and income/expense statements) for Tenant’s then most recent full and partial fiscal years immediately preceding such request, certified by an independent certified public accountant or Tenant’s chief financial officer and in form reasonably satisfactory to Landlord.</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26.19 Changes to Property. </w:t>
      </w:r>
      <w:r>
        <w:rPr>
          <w:rFonts w:ascii="Times New Roman" w:hAnsi="Times New Roman"/>
          <w:color w:val="000000"/>
          <w:sz w:val="24"/>
        </w:rPr>
        <w:t>Landlord shall have the following rights (a) to rearrange, change, expand or contract the Common Areas; (b) to use Common Areas while engaged in making improvements, repairs or alterations to the Property; and (c) to do and perform such other acts and make such other changes to the interior of the Building (including, without limitation, the lobbies, entrances, passageways, doors, doorways, atriums, corridors, elevators, stairs, public restrooms, loading docks and parking garage) and the exterior of the Building (including, without limitation, the facade, roof, sidewalks, exterior windows and arcade), all as Landlord may from lime to time in its sole judgment deem to be appropriate, provided no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change serves to limit Tenant’s access to the Premises. Landlord may exercise any or all of the foregoing rights without being deemed to be guilty of an eviction, actual or constructive, or a disturbance of Tenant’s business or use or occupancy of the Premises. Tenant shall have no claim for damages or indemnification against Landlord nor shall Tenant be entitled to any diminution or abatement of Rent arising from Landlord’s exercise of any or all of the foregoing rights.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Section 26.20 Tax Status. Tax Status of Beneficial Owner. </w:t>
      </w:r>
      <w:r>
        <w:rPr>
          <w:rFonts w:ascii="Times New Roman" w:hAnsi="Times New Roman"/>
          <w:color w:val="000000"/>
          <w:sz w:val="24"/>
        </w:rPr>
        <w:t>Tenant recognizes and acknowledges that Landlord and/or certain beneficial owners of Landlord may from time to time qualify as real estate investment trusts pursuant to Sections 856 et seq. of the Code and that avoiding (a) the loss of such status, (b) the receipt of any income derived under any provision of this Lease that does not constitute “rents from real property” (in the case of real estate investment trusts), and (c) the imposition of income, penalty or similar taxes (each an “</w:t>
      </w:r>
      <w:r>
        <w:rPr>
          <w:rFonts w:ascii="Times New Roman" w:hAnsi="Times New Roman"/>
          <w:b/>
          <w:color w:val="000000"/>
          <w:sz w:val="24"/>
        </w:rPr>
        <w:t>Adverse Event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is of material concern to Landlord and such beneficial owners. In the event that this Lease or any document contemplated hereby could, in the opinion of counsel to Landlord, result in or cause an Adverse Event, Tenant agrees to cooperate with Landlord in negotiating an amendment or modification thereof and shall at the request of Landlord execute and deliver such documents reasonably required to effect such amendment or modification. Any amendment or modification pursuant to this Section shall be structured so that the economic results to Landlord and Tenant and the rights of Landlord and Tenant shall be substantially similar to those set forth in this Lease without regard to such amendment or modification. Without limiting any of Landlord’s other rights under this Section, Landlord may waive the receipt of any amount payable to Landlord under this Lease and such waiver shall constitute an amendment or modification of this Lease with respect to such payment. Tenant expressly covenants and agrees not to enter into any sublease or assignment which provides for rental or other payment for such use, occupancy, or utilization based in whole or in part on the net income or profits derived by any person from the property leased, used, occupied, or utilized (other than an amount based on a fixed percentage or percentages of receipts or sales), and that any such purported sublease or assignment shall be absolutely void and ineffective as a conveyance of any right or interest in the possession, use, occupancy, or utilization of any part of the Premises.</w:t>
      </w:r>
    </w:p>
    <w:p>
      <w:pPr>
        <w:pStyle w:val="TextBody"/>
        <w:bidi w:val="0"/>
        <w:spacing w:before="0" w:after="240"/>
        <w:jc w:val="center"/>
        <w:rPr>
          <w:rFonts w:ascii="Times New Roman" w:hAnsi="Times New Roman"/>
          <w:sz w:val="20"/>
        </w:rPr>
      </w:pPr>
      <w:r>
        <w:rPr>
          <w:rFonts w:ascii="Times New Roman" w:hAnsi="Times New Roman"/>
          <w:b/>
          <w:caps/>
          <w:color w:val="000000"/>
          <w:sz w:val="24"/>
        </w:rPr>
        <w:t>ARTICLE 27</w:t>
      </w:r>
      <w:r>
        <w:rPr>
          <w:rFonts w:ascii="Times New Roman" w:hAnsi="Times New Roman"/>
          <w:color w:val="000000"/>
          <w:sz w:val="24"/>
        </w:rPr>
        <w:br/>
        <w:br/>
      </w:r>
      <w:r>
        <w:rPr>
          <w:rFonts w:ascii="Times New Roman" w:hAnsi="Times New Roman"/>
          <w:b/>
          <w:color w:val="2C2C2C"/>
          <w:sz w:val="24"/>
        </w:rPr>
        <w:t>SECURITY DEPOSIT</w:t>
      </w:r>
    </w:p>
    <w:p>
      <w:pPr>
        <w:pStyle w:val="TextBody"/>
        <w:bidi w:val="0"/>
        <w:spacing w:before="0" w:after="240"/>
        <w:jc w:val="both"/>
        <w:rPr>
          <w:rFonts w:ascii="Times New Roman" w:hAnsi="Times New Roman"/>
          <w:sz w:val="20"/>
        </w:rPr>
      </w:pPr>
      <w:r>
        <w:rPr>
          <w:rFonts w:ascii="Times New Roman" w:hAnsi="Times New Roman"/>
          <w:color w:val="000000"/>
          <w:sz w:val="24"/>
        </w:rPr>
        <w:t>Tenant shall deposit with Landlord the amount set forth in Article 1 (“Security Deposit”), upon Tenant’s execution and submission of this Lease. The Security Deposit shall serve as security for the prompt, full and faithful performance by Tenant of the terms and provisions of this Lease. If Tenant commits an Event of Default, or owes any amounts to Landlord upon the expiration of this Lease, Landlord may use or apply the whole or any part of the Security Deposit for the payment of Tenant’s obligations hereunder. The use or application of the Security Deposit or any portion thereof shall not prevent Landlord from exercising any other right or remedy provided hereunder or under any Requirement and shall not be construed as liquidated damages. In the event the Security Deposit is reduced by such use or application, Tenant shall deposit with Landlord within 10 days after notice, an amount sufficient to restore the full amount of the Security Deposit. Landlord shall not be required to keep the Security Deposit separate from Landlord’s general funds or pay interest on the Security Deposit. If, at or prior to the end of the 14th month following the Commencement Date, no Event of Default shall have occurred, then the amount of the Security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Deposit shall be reduced as of that date by $27,078,34 to an amount equal to $40,617.51. Further, if, at or prior to the end of the 26th month following the Commencement Date, no Event of Default shall have occurred, then the amount of the Security Deposit shall be reduced as of that date by $13,539.17 to an amount equal to $27,078.33. The reductions set forth above shall be effectuated by Landlord returning to Tenant the reduced amounts of security within thirty (30) days of the reduction date. Any remaining portion of the Security Deposit shall be returned to Tenant (or, at Landlord’s option, to the last assignee of Tenant’s interest in this Lease) within 60 days after Tenant (or such assignee) has vacated the Premises in accordance with the terms of Article 18 of this Lease. If the Premises shall be expanded at any time, or if the Term shall be extended at an increased rate of Rent, the Security Deposit shall thereupon be proportionately increased. Tenant shall not assign, pledge or otherwise transfer any interest in the Security Deposit except as part of an assignment of this lease approved by Landlord under Article 13, and any attempt to do so shall be null and void.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[SIGNATURES FOLLOW]</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Landlord and Tenant have executed this Lease as of the day and year first above written.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LANDLORD:</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BALA PLAZA PROPERTY, INC.</w:t>
        <w:br/>
        <w:t>a Delaware corporation</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Steven Wechsler </w:t>
      </w:r>
    </w:p>
    <w:p>
      <w:pPr>
        <w:pStyle w:val="TextBody"/>
        <w:bidi w:val="0"/>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Steven Wechsler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Title: Senior Managing Director</w:t>
      </w:r>
    </w:p>
    <w:p>
      <w:pPr>
        <w:pStyle w:val="TextBody"/>
        <w:bidi w:val="0"/>
        <w:spacing w:before="0" w:after="240"/>
        <w:jc w:val="left"/>
        <w:rPr>
          <w:rFonts w:ascii="Times New Roman" w:hAnsi="Times New Roman"/>
          <w:sz w:val="20"/>
        </w:rPr>
      </w:pPr>
      <w:r>
        <w:rPr>
          <w:rFonts w:ascii="Times New Roman" w:hAnsi="Times New Roman"/>
          <w:b/>
          <w:color w:val="000000"/>
          <w:sz w:val="24"/>
        </w:rPr>
        <w:t>THE UNDERSIGNED TENANT ACKNOWLEDGES THAT IT FULLY UNDERSTANDS THE CONFESSIONS OF JUDGMENT AND WAIVERS CONTAINED IN SECTIONS 15.2(e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HEREOF AND KNOWINGLY, INTENTIONALLY AND VOLUNTARILY ENTERS INTO THIS LEASE FULLY COMPREHENDING THE RELINQUISHMENT OF CERTAIN RIGHTS BY VIRTUE OF SUCH CONFESSIONS OF JUDGMENT AND WAIVERS.</w:t>
      </w:r>
    </w:p>
    <w:p>
      <w:pPr>
        <w:pStyle w:val="TextBody"/>
        <w:bidi w:val="0"/>
        <w:spacing w:before="0" w:after="240"/>
        <w:jc w:val="both"/>
        <w:rPr>
          <w:rFonts w:ascii="Times New Roman" w:hAnsi="Times New Roman"/>
          <w:sz w:val="20"/>
        </w:rPr>
      </w:pPr>
      <w:r>
        <w:rPr>
          <w:rFonts w:ascii="Times New Roman" w:hAnsi="Times New Roman"/>
          <w:b/>
          <w:color w:val="000000"/>
          <w:sz w:val="24"/>
        </w:rPr>
        <w:t>TENANT</w:t>
      </w:r>
      <w:r>
        <w:rPr>
          <w:rFonts w:ascii="Times New Roman" w:hAnsi="Times New Roman"/>
          <w:color w:val="000000"/>
          <w:sz w:val="24"/>
        </w:rPr>
        <w:t>:</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CHONDRIAL THERAPEUTICS, INC.,</w:t>
        <w:br/>
        <w:t>a Delaware corporation</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Carole S. Ben-Maimon, M.D. </w:t>
      </w:r>
    </w:p>
    <w:p>
      <w:pPr>
        <w:pStyle w:val="TextBody"/>
        <w:bidi w:val="0"/>
        <w:jc w:val="both"/>
        <w:rPr>
          <w:rFonts w:ascii="Times New Roman" w:hAnsi="Times New Roman"/>
          <w:sz w:val="20"/>
        </w:rPr>
      </w:pPr>
      <w:r>
        <w:rPr>
          <w:rFonts w:ascii="Times New Roman" w:hAnsi="Times New Roman"/>
          <w:color w:val="000000"/>
          <w:sz w:val="24"/>
        </w:rPr>
        <w:t xml:space="preserve">Name: </w:t>
      </w:r>
      <w:r>
        <w:rPr>
          <w:rFonts w:ascii="Times New Roman" w:hAnsi="Times New Roman"/>
          <w:color w:val="000000"/>
          <w:sz w:val="24"/>
          <w:u w:val="single"/>
        </w:rPr>
        <w:t>Carole S. Ben-Maimon, M.D.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President and CEO</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Exhibit A</w:t>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Floor Plan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A-1</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Land</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C</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Workletter Agreement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D</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Design Standards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E</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Cleaning Work (“Work”)</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F</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Rules and Regulations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G</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[Intentionally Omitted]</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H</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Construction Rules and Regulations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RIDER ONE</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ADDITIONAL PROVISIONS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[Omitted]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lrmr-ex10_21.htm"/>
      <w:bookmarkStart w:id="48" w:name="kslrmrex10_21"/>
      <w:bookmarkEnd w:id="47"/>
      <w:bookmarkEnd w:id="48"/>
      <w:r>
        <w:rPr/>
        <w:t> </w:t>
      </w:r>
      <w:r>
        <w:br w:type="page"/>
      </w:r>
    </w:p>
    <w:p>
      <w:pPr>
        <w:pStyle w:val="TextBody"/>
        <w:bidi w:val="0"/>
        <w:spacing w:before="0" w:after="240"/>
        <w:jc w:val="center"/>
        <w:rPr>
          <w:rFonts w:ascii="Arial" w:hAnsi="Arial"/>
          <w:b/>
          <w:color w:val="000000"/>
          <w:sz w:val="24"/>
        </w:rPr>
      </w:pPr>
      <w:r>
        <w:rPr>
          <w:rFonts w:ascii="Arial" w:hAnsi="Arial"/>
          <w:b/>
          <w:color w:val="000000"/>
          <w:sz w:val="24"/>
        </w:rPr>
        <w:t>FIRST AMENDMENT TO LEASE</w:t>
      </w:r>
    </w:p>
    <w:p>
      <w:pPr>
        <w:pStyle w:val="TextBody"/>
        <w:bidi w:val="0"/>
        <w:spacing w:before="0" w:after="240"/>
        <w:jc w:val="both"/>
        <w:rPr>
          <w:rFonts w:ascii="Times New Roman" w:hAnsi="Times New Roman"/>
          <w:sz w:val="20"/>
        </w:rPr>
      </w:pPr>
      <w:r>
        <w:rPr>
          <w:rFonts w:ascii="Arial" w:hAnsi="Arial"/>
          <w:color w:val="000000"/>
          <w:sz w:val="24"/>
        </w:rPr>
        <w:t>This First Amendment to Lease (“</w:t>
      </w:r>
      <w:r>
        <w:rPr>
          <w:rFonts w:ascii="Arial" w:hAnsi="Arial"/>
          <w:b/>
          <w:color w:val="000000"/>
          <w:sz w:val="24"/>
        </w:rPr>
        <w:t>Amendment</w:t>
      </w:r>
      <w:r>
        <w:rPr>
          <w:rFonts w:ascii="Times New Roman" w:hAnsi="Times New Roman"/>
          <w:color w:val="000000"/>
          <w:sz w:val="20"/>
        </w:rPr>
        <w:t>”</w:t>
      </w:r>
      <w:r>
        <w:rPr>
          <w:rFonts w:ascii="Arial" w:hAnsi="Arial"/>
          <w:color w:val="000000"/>
          <w:sz w:val="24"/>
        </w:rPr>
        <w:t>)</w:t>
      </w:r>
      <w:r>
        <w:rPr>
          <w:rFonts w:ascii="Times New Roman" w:hAnsi="Times New Roman"/>
          <w:color w:val="000000"/>
          <w:sz w:val="20"/>
        </w:rPr>
        <w:t xml:space="preserve"> </w:t>
      </w:r>
      <w:r>
        <w:rPr>
          <w:rFonts w:ascii="Arial" w:hAnsi="Arial"/>
          <w:color w:val="000000"/>
          <w:sz w:val="24"/>
        </w:rPr>
        <w:t>is made as of this 9th day of March, 2023 (“</w:t>
      </w:r>
      <w:r>
        <w:rPr>
          <w:rFonts w:ascii="Arial" w:hAnsi="Arial"/>
          <w:b/>
          <w:color w:val="000000"/>
          <w:sz w:val="24"/>
        </w:rPr>
        <w:t>Effective Date</w:t>
      </w:r>
      <w:r>
        <w:rPr>
          <w:rFonts w:ascii="Times New Roman" w:hAnsi="Times New Roman"/>
          <w:color w:val="000000"/>
          <w:sz w:val="20"/>
        </w:rPr>
        <w:t>”</w:t>
      </w:r>
      <w:r>
        <w:rPr>
          <w:rFonts w:ascii="Arial" w:hAnsi="Arial"/>
          <w:color w:val="000000"/>
          <w:sz w:val="24"/>
        </w:rPr>
        <w:t>)</w:t>
      </w:r>
      <w:r>
        <w:rPr>
          <w:rFonts w:ascii="Times New Roman" w:hAnsi="Times New Roman"/>
          <w:color w:val="000000"/>
          <w:sz w:val="20"/>
        </w:rPr>
        <w:t xml:space="preserve"> </w:t>
      </w:r>
      <w:r>
        <w:rPr>
          <w:rFonts w:ascii="Arial" w:hAnsi="Arial"/>
          <w:color w:val="000000"/>
          <w:sz w:val="24"/>
        </w:rPr>
        <w:t>by and between Bala Plaza Property, Inc., a Delaware corporation (“</w:t>
      </w:r>
      <w:r>
        <w:rPr>
          <w:rFonts w:ascii="Arial" w:hAnsi="Arial"/>
          <w:b/>
          <w:color w:val="000000"/>
          <w:sz w:val="24"/>
        </w:rPr>
        <w:t>Landlord</w:t>
      </w:r>
      <w:r>
        <w:rPr>
          <w:rFonts w:ascii="Times New Roman" w:hAnsi="Times New Roman"/>
          <w:color w:val="000000"/>
          <w:sz w:val="20"/>
        </w:rPr>
        <w:t>”</w:t>
      </w:r>
      <w:r>
        <w:rPr>
          <w:rFonts w:ascii="Arial" w:hAnsi="Arial"/>
          <w:color w:val="000000"/>
          <w:sz w:val="24"/>
        </w:rPr>
        <w:t>),</w:t>
      </w:r>
      <w:r>
        <w:rPr>
          <w:rFonts w:ascii="Times New Roman" w:hAnsi="Times New Roman"/>
          <w:color w:val="000000"/>
          <w:sz w:val="20"/>
        </w:rPr>
        <w:t xml:space="preserve"> </w:t>
      </w:r>
      <w:r>
        <w:rPr>
          <w:rFonts w:ascii="Arial" w:hAnsi="Arial"/>
          <w:color w:val="000000"/>
          <w:sz w:val="24"/>
        </w:rPr>
        <w:t>and Larimar Therapeutics, Inc., a Delaware corporation (“</w:t>
      </w:r>
      <w:r>
        <w:rPr>
          <w:rFonts w:ascii="Arial" w:hAnsi="Arial"/>
          <w:b/>
          <w:color w:val="000000"/>
          <w:sz w:val="24"/>
        </w:rPr>
        <w:t>Tenant</w:t>
      </w:r>
      <w:r>
        <w:rPr>
          <w:rFonts w:ascii="Times New Roman" w:hAnsi="Times New Roman"/>
          <w:color w:val="000000"/>
          <w:sz w:val="20"/>
        </w:rPr>
        <w:t>”</w:t>
      </w:r>
      <w:r>
        <w:rPr>
          <w:rFonts w:ascii="Arial" w:hAnsi="Arial"/>
          <w:color w:val="000000"/>
          <w:sz w:val="24"/>
        </w:rPr>
        <w:t>).</w:t>
      </w:r>
    </w:p>
    <w:p>
      <w:pPr>
        <w:pStyle w:val="TextBody"/>
        <w:bidi w:val="0"/>
        <w:spacing w:before="0" w:after="240"/>
        <w:jc w:val="center"/>
        <w:rPr>
          <w:rFonts w:ascii="Arial" w:hAnsi="Arial"/>
          <w:b/>
          <w:color w:val="000000"/>
          <w:sz w:val="24"/>
        </w:rPr>
      </w:pPr>
      <w:r>
        <w:rPr>
          <w:rFonts w:ascii="Arial" w:hAnsi="Arial"/>
          <w:b/>
          <w:color w:val="000000"/>
          <w:sz w:val="24"/>
        </w:rPr>
        <w:t>RECITALS</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pPr>
      <w:r>
        <w:rPr>
          <w:rFonts w:ascii="Arial" w:hAnsi="Arial"/>
          <w:color w:val="000000"/>
          <w:sz w:val="24"/>
        </w:rPr>
        <w:t>Landlord and Tenant, as successor by name change to Chondrial Therapeutics, Inc., entered into a certain Lease, dated as of August 8, 2019 (“</w:t>
      </w:r>
      <w:r>
        <w:rPr>
          <w:rFonts w:ascii="Arial" w:hAnsi="Arial"/>
          <w:b/>
          <w:color w:val="000000"/>
          <w:sz w:val="24"/>
        </w:rPr>
        <w:t>Lease</w:t>
      </w:r>
      <w:r>
        <w:rPr>
          <w:color w:val="000000"/>
        </w:rPr>
        <w:t>”</w:t>
      </w:r>
      <w:r>
        <w:rPr>
          <w:rFonts w:ascii="Arial" w:hAnsi="Arial"/>
          <w:color w:val="000000"/>
          <w:sz w:val="24"/>
        </w:rPr>
        <w:t>),</w:t>
      </w:r>
      <w:r>
        <w:rPr>
          <w:color w:val="000000"/>
        </w:rPr>
        <w:t xml:space="preserve"> </w:t>
      </w:r>
      <w:r>
        <w:rPr>
          <w:rFonts w:ascii="Arial" w:hAnsi="Arial"/>
          <w:color w:val="000000"/>
          <w:sz w:val="24"/>
        </w:rPr>
        <w:t>under which Landlord leased to Tenant 4,642 rentable square feet of space on the fifth floor of the Building, as more particularly described in the Lease (the “</w:t>
      </w:r>
      <w:r>
        <w:rPr>
          <w:rFonts w:ascii="Arial" w:hAnsi="Arial"/>
          <w:b/>
          <w:color w:val="000000"/>
          <w:sz w:val="24"/>
        </w:rPr>
        <w:t>Original Premises</w:t>
      </w:r>
      <w:r>
        <w:rPr>
          <w:color w:val="000000"/>
        </w:rPr>
        <w:t>”</w:t>
      </w:r>
      <w:r>
        <w:rPr>
          <w:rFonts w:ascii="Arial" w:hAnsi="Arial"/>
          <w:color w:val="000000"/>
          <w:sz w:val="24"/>
        </w:rPr>
        <w:t>).</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color w:val="000000"/>
          <w:sz w:val="24"/>
        </w:rPr>
        <w:t xml:space="preserve">Landlord and Tenant desire to amend the Lease to (i) expand the Original Premises by adding thereto 3,462 rentable square feet of space, being a portion of the space known as Suite 505E and 504E and located on the fifth floor of the Building, as such space is shown outlined and hatched in black on the floor plan attached hereto as </w:t>
      </w:r>
      <w:r>
        <w:rPr>
          <w:rFonts w:ascii="Arial" w:hAnsi="Arial"/>
          <w:b/>
          <w:color w:val="000000"/>
          <w:sz w:val="24"/>
        </w:rPr>
        <w:t xml:space="preserve">Exhibit A </w:t>
      </w:r>
      <w:r>
        <w:rPr>
          <w:rFonts w:ascii="Arial" w:hAnsi="Arial"/>
          <w:color w:val="000000"/>
          <w:sz w:val="24"/>
        </w:rPr>
        <w:t>(the “</w:t>
      </w:r>
      <w:r>
        <w:rPr>
          <w:rFonts w:ascii="Arial" w:hAnsi="Arial"/>
          <w:b/>
          <w:color w:val="000000"/>
          <w:sz w:val="24"/>
        </w:rPr>
        <w:t>Additional Space</w:t>
      </w:r>
      <w:r>
        <w:rPr>
          <w:color w:val="000000"/>
        </w:rPr>
        <w:t>”</w:t>
      </w:r>
      <w:r>
        <w:rPr>
          <w:rFonts w:ascii="Arial" w:hAnsi="Arial"/>
          <w:color w:val="000000"/>
          <w:sz w:val="24"/>
        </w:rPr>
        <w:t>),</w:t>
      </w:r>
      <w:r>
        <w:rPr>
          <w:color w:val="000000"/>
        </w:rPr>
        <w:t xml:space="preserve"> </w:t>
      </w:r>
      <w:r>
        <w:rPr>
          <w:rFonts w:ascii="Arial" w:hAnsi="Arial"/>
          <w:color w:val="000000"/>
          <w:sz w:val="24"/>
        </w:rPr>
        <w:t>(ii) extend the Term of the Lease for the Original Premises for three (3) years commencing September 1, 2023 and expiring August 31, 2026, (iii) provide for the performance by Landlord of certain improvements to the Additional Space, (iv) set the Fixed Rent and Additional Rent for the Additional Space and adjust the Fixed Rent and Additional Rent payable under the Lease, and (v) otherwise amend the Lease as set forth herein.</w:t>
      </w:r>
    </w:p>
    <w:p>
      <w:pPr>
        <w:pStyle w:val="TextBody"/>
        <w:bidi w:val="0"/>
        <w:spacing w:before="0" w:after="240"/>
        <w:jc w:val="both"/>
        <w:rPr>
          <w:rFonts w:ascii="Arial" w:hAnsi="Arial"/>
          <w:color w:val="000000"/>
          <w:sz w:val="24"/>
        </w:rPr>
      </w:pPr>
      <w:r>
        <w:rPr>
          <w:rFonts w:ascii="Arial" w:hAnsi="Arial"/>
          <w:color w:val="000000"/>
          <w:sz w:val="24"/>
        </w:rPr>
        <w:t>NOW, THEREFORE, the parties hereto, intending to be legally bound, hereby agree as follows:</w:t>
      </w:r>
    </w:p>
    <w:p>
      <w:pPr>
        <w:pStyle w:val="TextBody"/>
        <w:bidi w:val="0"/>
        <w:spacing w:before="0" w:after="240"/>
        <w:jc w:val="both"/>
        <w:rPr>
          <w:rFonts w:ascii="Arial" w:hAnsi="Arial"/>
          <w:color w:val="000000"/>
          <w:sz w:val="24"/>
        </w:rPr>
      </w:pPr>
      <w:r>
        <w:rPr>
          <w:rFonts w:ascii="Arial" w:hAnsi="Arial"/>
          <w:color w:val="000000"/>
          <w:sz w:val="24"/>
        </w:rPr>
        <w:t>1.</w:t>
      </w:r>
    </w:p>
    <w:p>
      <w:pPr>
        <w:pStyle w:val="TextBody"/>
        <w:bidi w:val="0"/>
        <w:spacing w:before="0" w:after="240"/>
        <w:jc w:val="both"/>
        <w:rPr/>
      </w:pPr>
      <w:r>
        <w:rPr>
          <w:rFonts w:ascii="Arial" w:hAnsi="Arial"/>
          <w:color w:val="000000"/>
          <w:sz w:val="24"/>
          <w:u w:val="single"/>
        </w:rPr>
        <w:t>Defined Terms</w:t>
      </w:r>
      <w:r>
        <w:rPr>
          <w:rFonts w:ascii="Arial" w:hAnsi="Arial"/>
          <w:color w:val="000000"/>
          <w:sz w:val="24"/>
        </w:rPr>
        <w:t>. Capitalized terms used but not defined in this Amendment shall have the same meanings as set forth in the Lease.</w:t>
      </w:r>
    </w:p>
    <w:p>
      <w:pPr>
        <w:pStyle w:val="TextBody"/>
        <w:bidi w:val="0"/>
        <w:spacing w:before="0" w:after="240"/>
        <w:jc w:val="both"/>
        <w:rPr>
          <w:rFonts w:ascii="Arial" w:hAnsi="Arial"/>
          <w:color w:val="000000"/>
          <w:sz w:val="24"/>
        </w:rPr>
      </w:pPr>
      <w:r>
        <w:rPr>
          <w:rFonts w:ascii="Arial" w:hAnsi="Arial"/>
          <w:color w:val="000000"/>
          <w:sz w:val="24"/>
        </w:rPr>
        <w:t>2.</w:t>
      </w:r>
    </w:p>
    <w:p>
      <w:pPr>
        <w:pStyle w:val="TextBody"/>
        <w:bidi w:val="0"/>
        <w:spacing w:before="0" w:after="240"/>
        <w:jc w:val="both"/>
        <w:rPr/>
      </w:pPr>
      <w:r>
        <w:rPr>
          <w:rFonts w:ascii="Arial" w:hAnsi="Arial"/>
          <w:color w:val="000000"/>
          <w:sz w:val="24"/>
          <w:u w:val="single"/>
        </w:rPr>
        <w:t>Extended Term</w:t>
      </w:r>
      <w:r>
        <w:rPr>
          <w:rFonts w:ascii="Arial" w:hAnsi="Arial"/>
          <w:color w:val="000000"/>
          <w:sz w:val="24"/>
        </w:rPr>
        <w:t>. The Term of the Lease is hereby extended for a period of three (3) years (the “</w:t>
      </w:r>
      <w:r>
        <w:rPr>
          <w:rFonts w:ascii="Arial" w:hAnsi="Arial"/>
          <w:b/>
          <w:color w:val="000000"/>
          <w:sz w:val="24"/>
        </w:rPr>
        <w:t>Extended Term</w:t>
      </w:r>
      <w:r>
        <w:rPr>
          <w:color w:val="000000"/>
        </w:rPr>
        <w:t>”</w:t>
      </w:r>
      <w:r>
        <w:rPr>
          <w:rFonts w:ascii="Arial" w:hAnsi="Arial"/>
          <w:color w:val="000000"/>
          <w:sz w:val="24"/>
        </w:rPr>
        <w:t>)</w:t>
      </w:r>
      <w:r>
        <w:rPr>
          <w:color w:val="000000"/>
        </w:rPr>
        <w:t xml:space="preserve"> </w:t>
      </w:r>
      <w:r>
        <w:rPr>
          <w:rFonts w:ascii="Arial" w:hAnsi="Arial"/>
          <w:color w:val="000000"/>
          <w:sz w:val="24"/>
        </w:rPr>
        <w:t>commencing September 1, 2023 and expiring August 31, 2026 (hereinafter the “</w:t>
      </w:r>
      <w:r>
        <w:rPr>
          <w:rFonts w:ascii="Arial" w:hAnsi="Arial"/>
          <w:b/>
          <w:color w:val="000000"/>
          <w:sz w:val="24"/>
        </w:rPr>
        <w:t>Expiration Date</w:t>
      </w:r>
      <w:r>
        <w:rPr>
          <w:color w:val="000000"/>
        </w:rPr>
        <w:t>”</w:t>
      </w:r>
      <w:r>
        <w:rPr>
          <w:rFonts w:ascii="Arial" w:hAnsi="Arial"/>
          <w:color w:val="000000"/>
          <w:sz w:val="24"/>
        </w:rPr>
        <w:t>). All provisions of the Lease, as amended hereby and except as otherwise expressly set forth herein, shall apply to the Extended Term.</w:t>
      </w:r>
    </w:p>
    <w:p>
      <w:pPr>
        <w:pStyle w:val="TextBody"/>
        <w:bidi w:val="0"/>
        <w:spacing w:before="0" w:after="240"/>
        <w:jc w:val="both"/>
        <w:rPr>
          <w:rFonts w:ascii="Arial" w:hAnsi="Arial"/>
          <w:color w:val="000000"/>
          <w:sz w:val="24"/>
        </w:rPr>
      </w:pPr>
      <w:r>
        <w:rPr>
          <w:rFonts w:ascii="Arial" w:hAnsi="Arial"/>
          <w:color w:val="000000"/>
          <w:sz w:val="24"/>
        </w:rPr>
        <w:t>3.</w:t>
      </w:r>
    </w:p>
    <w:p>
      <w:pPr>
        <w:pStyle w:val="TextBody"/>
        <w:bidi w:val="0"/>
        <w:spacing w:before="0" w:after="240"/>
        <w:jc w:val="both"/>
        <w:rPr/>
      </w:pPr>
      <w:r>
        <w:rPr>
          <w:rFonts w:ascii="Arial" w:hAnsi="Arial"/>
          <w:color w:val="000000"/>
          <w:sz w:val="24"/>
          <w:u w:val="single"/>
        </w:rPr>
        <w:t>Condition of the Original Premises</w:t>
      </w:r>
      <w:r>
        <w:rPr>
          <w:rFonts w:ascii="Arial" w:hAnsi="Arial"/>
          <w:color w:val="000000"/>
          <w:sz w:val="24"/>
        </w:rPr>
        <w:t>. Tenant accepts the Original Premises for such extended term in their "AS IS" condition as of the commencement of the Extended Term. Tenant acknowledges that neither Landlord, nor Landlord's agents, representatives, employees, servants or attorneys have made any representations or promises, whether express or implied, concerning the condition of the Original Premises, and agrees that, Landlord shall have no obligation to make any alterations or improvements to the Original Premises for or during the Extended Term, other than Landlord's repair and maintenance obligations under the Lease.</w:t>
      </w:r>
    </w:p>
    <w:p>
      <w:pPr>
        <w:pStyle w:val="TextBody"/>
        <w:bidi w:val="0"/>
        <w:spacing w:before="0" w:after="120"/>
        <w:jc w:val="both"/>
        <w:rPr>
          <w:rFonts w:ascii="Arial" w:hAnsi="Arial"/>
          <w:color w:val="000000"/>
          <w:sz w:val="24"/>
        </w:rPr>
      </w:pPr>
      <w:r>
        <w:rPr>
          <w:rFonts w:ascii="Arial" w:hAnsi="Arial"/>
          <w:color w:val="000000"/>
          <w:sz w:val="24"/>
        </w:rPr>
        <w:t>4.</w:t>
      </w:r>
    </w:p>
    <w:p>
      <w:pPr>
        <w:pStyle w:val="TextBody"/>
        <w:bidi w:val="0"/>
        <w:spacing w:before="0" w:after="120"/>
        <w:jc w:val="both"/>
        <w:rPr/>
      </w:pPr>
      <w:r>
        <w:rPr>
          <w:rFonts w:ascii="Arial" w:hAnsi="Arial"/>
          <w:color w:val="000000"/>
          <w:sz w:val="24"/>
          <w:u w:val="single"/>
        </w:rPr>
        <w:t>Demise of Additional Space</w:t>
      </w:r>
      <w:r>
        <w:rPr>
          <w:rFonts w:ascii="Arial" w:hAnsi="Arial"/>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rFonts w:ascii="Arial" w:hAnsi="Arial"/>
          <w:color w:val="000000"/>
          <w:sz w:val="24"/>
        </w:rPr>
      </w:pPr>
      <w:r>
        <w:rPr>
          <w:rFonts w:ascii="Arial" w:hAnsi="Arial"/>
          <w:color w:val="000000"/>
          <w:sz w:val="24"/>
        </w:rPr>
        <w:t>Landlord hereby leases, demises and lets unto Tenant the Additional Space, and Tenant hereby takes and hires the Additional Space from Landlord, for the period commencing on the date that Landlord's Work (defined in Section 7 below) to be completed by Landlord pursuant to Section 7 below is Substantially Completed, except for any Punch List Items, (the "Additional Space Commencement Date'') and terminating on August 31, 2026 (being the Expiration Date of the Lease).</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color w:val="000000"/>
          <w:sz w:val="24"/>
        </w:rPr>
        <w:t xml:space="preserve">Tenant shall, within ten (10) business days after request from Landlord, execute a confirmation of the Additional Space Commencement Date, and other matters as Landlord may reasonably request, which confirmation shall be in substantially the form of </w:t>
      </w:r>
      <w:r>
        <w:rPr>
          <w:rFonts w:ascii="Arial" w:hAnsi="Arial"/>
          <w:b/>
          <w:color w:val="000000"/>
          <w:sz w:val="24"/>
          <w:u w:val="single"/>
        </w:rPr>
        <w:t>Exhibit B</w:t>
      </w:r>
      <w:r>
        <w:rPr>
          <w:color w:val="000000"/>
        </w:rPr>
        <w:t xml:space="preserve"> </w:t>
      </w:r>
      <w:r>
        <w:rPr>
          <w:rFonts w:ascii="Arial" w:hAnsi="Arial"/>
          <w:color w:val="000000"/>
          <w:sz w:val="24"/>
        </w:rPr>
        <w:t>attached hereto; any failure to respond within such time shall be deemed an acceptance of the matters as set forth therein. If Tenant disagrees with Landlord's determination of the Additional Space Commencement Date, Tenant shall pay Fixed Rent and Additional Rent, and shall perform all other obligations relating to the Additional Space commencing on the date determined by Landlord, subject to refund or credit when the matter is resolved.</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rFonts w:ascii="Arial" w:hAnsi="Arial"/>
          <w:color w:val="000000"/>
          <w:sz w:val="24"/>
        </w:rPr>
      </w:pPr>
      <w:r>
        <w:rPr>
          <w:rFonts w:ascii="Arial" w:hAnsi="Arial"/>
          <w:color w:val="000000"/>
          <w:sz w:val="24"/>
        </w:rPr>
        <w:t>Except for Landlord's Work to be made by Landlord pursuant to Section 7 of this Amendment, Tenant accepts the Additional Space in its "AS IS'' condition as of the Effective Date. Tenant acknowledges that neither Landlord, nor Landlord's agents, representatives, employees, servants or attorneys have made any representations or promises, whether express or implied, concerning the condition of the Additional Space, and agrees that Landlord shall have no obligation to make any alterations or improvements to the Additional Space for or during the remainder of the term of the Lease, except for Landlord's Work to be made by Landlord pursuant to Section 7 of this Amendment, other than Landlord's repair and maintenance obligations under the Lease.</w:t>
      </w:r>
    </w:p>
    <w:p>
      <w:pPr>
        <w:pStyle w:val="TextBody"/>
        <w:bidi w:val="0"/>
        <w:spacing w:before="0" w:after="240"/>
        <w:jc w:val="both"/>
        <w:rPr>
          <w:rFonts w:ascii="Arial" w:hAnsi="Arial"/>
          <w:color w:val="000000"/>
          <w:sz w:val="24"/>
        </w:rPr>
      </w:pPr>
      <w:r>
        <w:rPr>
          <w:rFonts w:ascii="Arial" w:hAnsi="Arial"/>
          <w:color w:val="000000"/>
          <w:sz w:val="24"/>
        </w:rPr>
        <w:t>(d)</w:t>
      </w:r>
    </w:p>
    <w:p>
      <w:pPr>
        <w:pStyle w:val="TextBody"/>
        <w:bidi w:val="0"/>
        <w:spacing w:before="0" w:after="240"/>
        <w:jc w:val="both"/>
        <w:rPr>
          <w:rFonts w:ascii="Arial" w:hAnsi="Arial"/>
          <w:color w:val="000000"/>
          <w:sz w:val="24"/>
        </w:rPr>
      </w:pPr>
      <w:r>
        <w:rPr>
          <w:rFonts w:ascii="Arial" w:hAnsi="Arial"/>
          <w:color w:val="000000"/>
          <w:sz w:val="24"/>
        </w:rPr>
        <w:t>Landlord and Tenant agree that effective on the Additional Space Commencement Date, (i) the Additional Space shall be deemed to be part of the "Premises" leased by Tenant from Landlord under the Lease, (ii) the combined Premises shall consist of approximately 8,104 rentable square feet, and (iii) the Additional Space shall be governed by all of the provisions of the Lease, as amended hereby.</w:t>
      </w:r>
    </w:p>
    <w:p>
      <w:pPr>
        <w:pStyle w:val="TextBody"/>
        <w:bidi w:val="0"/>
        <w:spacing w:before="0" w:after="120"/>
        <w:jc w:val="both"/>
        <w:rPr>
          <w:rFonts w:ascii="Arial" w:hAnsi="Arial"/>
          <w:color w:val="000000"/>
          <w:sz w:val="24"/>
        </w:rPr>
      </w:pPr>
      <w:r>
        <w:rPr>
          <w:rFonts w:ascii="Arial" w:hAnsi="Arial"/>
          <w:color w:val="000000"/>
          <w:sz w:val="24"/>
        </w:rPr>
        <w:t>5.</w:t>
      </w:r>
    </w:p>
    <w:p>
      <w:pPr>
        <w:pStyle w:val="TextBody"/>
        <w:bidi w:val="0"/>
        <w:spacing w:before="0" w:after="120"/>
        <w:jc w:val="both"/>
        <w:rPr/>
      </w:pPr>
      <w:r>
        <w:rPr>
          <w:rFonts w:ascii="Arial" w:hAnsi="Arial"/>
          <w:color w:val="000000"/>
          <w:sz w:val="24"/>
          <w:u w:val="single"/>
        </w:rPr>
        <w:t>Adjustment of Base Rent and Additional Rent</w:t>
      </w:r>
      <w:r>
        <w:rPr>
          <w:rFonts w:ascii="Arial" w:hAnsi="Arial"/>
          <w:color w:val="000000"/>
          <w:sz w:val="24"/>
        </w:rPr>
        <w:t>.</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rFonts w:ascii="Arial" w:hAnsi="Arial"/>
          <w:color w:val="000000"/>
          <w:sz w:val="24"/>
        </w:rPr>
      </w:pPr>
      <w:r>
        <w:rPr>
          <w:rFonts w:ascii="Arial" w:hAnsi="Arial"/>
          <w:color w:val="000000"/>
          <w:sz w:val="24"/>
        </w:rPr>
        <w:t>Effective on September 1, 2023 and continuing through the Expiration Date, Tenant shall pay Landlord annual Fixed Rent and monthly installments thereof with respect to the Original Premises only as follows:</w:t>
      </w:r>
    </w:p>
    <w:tbl>
      <w:tblPr>
        <w:tblW w:w="10205" w:type="dxa"/>
        <w:jc w:val="left"/>
        <w:tblInd w:w="0" w:type="dxa"/>
        <w:tblLayout w:type="fixed"/>
        <w:tblCellMar>
          <w:top w:w="28" w:type="dxa"/>
          <w:left w:w="28" w:type="dxa"/>
          <w:bottom w:w="28" w:type="dxa"/>
          <w:right w:w="28" w:type="dxa"/>
        </w:tblCellMar>
      </w:tblPr>
      <w:tblGrid>
        <w:gridCol w:w="3758"/>
        <w:gridCol w:w="2109"/>
        <w:gridCol w:w="2166"/>
        <w:gridCol w:w="2172"/>
      </w:tblGrid>
      <w:tr>
        <w:trPr/>
        <w:tc>
          <w:tcPr>
            <w:tcW w:w="3758"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r>
      <w:tr>
        <w:trPr/>
        <w:tc>
          <w:tcPr>
            <w:tcW w:w="3758" w:type="dxa"/>
            <w:tcBorders>
              <w:left w:val="single" w:sz="4" w:space="0" w:color="000000"/>
            </w:tcBorders>
            <w:shd w:fill="244C6F" w:val="clear"/>
            <w:tcMar>
              <w:top w:w="0" w:type="dxa"/>
              <w:bottom w:w="0" w:type="dxa"/>
              <w:right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Period</w:t>
            </w:r>
          </w:p>
        </w:tc>
        <w:tc>
          <w:tcPr>
            <w:tcW w:w="2109" w:type="dxa"/>
            <w:tcBorders>
              <w:left w:val="single" w:sz="4" w:space="0" w:color="000000"/>
            </w:tcBorders>
            <w:shd w:fill="244C6F" w:val="clear"/>
            <w:tcMar>
              <w:top w:w="0" w:type="dxa"/>
              <w:bottom w:w="0" w:type="dxa"/>
              <w:right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Annual Fixed Rent</w:t>
            </w:r>
          </w:p>
        </w:tc>
        <w:tc>
          <w:tcPr>
            <w:tcW w:w="2166" w:type="dxa"/>
            <w:tcBorders>
              <w:left w:val="single" w:sz="4" w:space="0" w:color="000000"/>
            </w:tcBorders>
            <w:shd w:fill="244C6F" w:val="clear"/>
            <w:tcMar>
              <w:top w:w="0" w:type="dxa"/>
              <w:bottom w:w="0" w:type="dxa"/>
              <w:right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Monthly Fixed Rent</w:t>
            </w:r>
          </w:p>
        </w:tc>
        <w:tc>
          <w:tcPr>
            <w:tcW w:w="2172" w:type="dxa"/>
            <w:tcBorders>
              <w:left w:val="single" w:sz="4" w:space="0" w:color="000000"/>
              <w:right w:val="single" w:sz="4" w:space="0" w:color="000000"/>
            </w:tcBorders>
            <w:shd w:fill="244C6F" w:val="clear"/>
            <w:tcMar>
              <w:top w:w="0" w:type="dxa"/>
              <w:bottom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Fixed Rent Per RSF</w:t>
            </w:r>
          </w:p>
        </w:tc>
      </w:tr>
      <w:tr>
        <w:trPr/>
        <w:tc>
          <w:tcPr>
            <w:tcW w:w="3758" w:type="dxa"/>
            <w:tcBorders>
              <w:left w:val="single" w:sz="4" w:space="0" w:color="000000"/>
            </w:tcBorders>
            <w:tcMar>
              <w:top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4"/>
              </w:rPr>
              <w:t xml:space="preserve">September </w:t>
            </w:r>
            <w:r>
              <w:rPr>
                <w:rFonts w:ascii="Arial" w:hAnsi="Arial"/>
                <w:color w:val="2D2D2D"/>
                <w:sz w:val="24"/>
              </w:rPr>
              <w:t xml:space="preserve">1, </w:t>
            </w:r>
            <w:r>
              <w:rPr>
                <w:rFonts w:ascii="Arial" w:hAnsi="Arial"/>
                <w:color w:val="000000"/>
                <w:sz w:val="24"/>
              </w:rPr>
              <w:t>2023 - August 31, 2024*</w:t>
            </w:r>
          </w:p>
        </w:tc>
        <w:tc>
          <w:tcPr>
            <w:tcW w:w="2109"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$163,823.92</w:t>
            </w:r>
          </w:p>
        </w:tc>
        <w:tc>
          <w:tcPr>
            <w:tcW w:w="2166"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$14,893.08</w:t>
            </w:r>
          </w:p>
        </w:tc>
        <w:tc>
          <w:tcPr>
            <w:tcW w:w="2172" w:type="dxa"/>
            <w:tcBorders>
              <w:left w:val="single" w:sz="4" w:space="0" w:color="000000"/>
              <w:right w:val="single" w:sz="4" w:space="0" w:color="000000"/>
            </w:tcBorders>
            <w:tcMar>
              <w:top w:w="0" w:type="dxa"/>
              <w:bottom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$38.50</w:t>
            </w:r>
          </w:p>
        </w:tc>
      </w:tr>
      <w:tr>
        <w:trPr/>
        <w:tc>
          <w:tcPr>
            <w:tcW w:w="3758"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2D2D2D"/>
                <w:sz w:val="24"/>
              </w:rPr>
              <w:t xml:space="preserve">September 1, 2024 </w:t>
            </w:r>
            <w:r>
              <w:rPr>
                <w:rFonts w:ascii="Arial" w:hAnsi="Arial"/>
                <w:color w:val="000000"/>
                <w:sz w:val="24"/>
              </w:rPr>
              <w:t xml:space="preserve">- </w:t>
            </w:r>
            <w:r>
              <w:rPr>
                <w:rFonts w:ascii="Arial" w:hAnsi="Arial"/>
                <w:color w:val="2D2D2D"/>
                <w:sz w:val="24"/>
              </w:rPr>
              <w:t>August 31, 2025</w:t>
            </w:r>
          </w:p>
        </w:tc>
        <w:tc>
          <w:tcPr>
            <w:tcW w:w="2109" w:type="dxa"/>
            <w:tcBorders>
              <w:top w:val="single" w:sz="4" w:space="0" w:color="000000"/>
              <w:left w:val="single" w:sz="4" w:space="0" w:color="000000"/>
            </w:tcBorders>
            <w:tcMar>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$182,198.50</w:t>
            </w:r>
          </w:p>
        </w:tc>
        <w:tc>
          <w:tcPr>
            <w:tcW w:w="2166" w:type="dxa"/>
            <w:tcBorders>
              <w:top w:val="single" w:sz="4" w:space="0" w:color="000000"/>
              <w:left w:val="single" w:sz="4" w:space="0" w:color="000000"/>
            </w:tcBorders>
            <w:tcMar>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$15,183.21</w:t>
            </w:r>
          </w:p>
        </w:tc>
        <w:tc>
          <w:tcPr>
            <w:tcW w:w="2172"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$39.25</w:t>
            </w:r>
          </w:p>
        </w:tc>
      </w:tr>
      <w:tr>
        <w:trPr/>
        <w:tc>
          <w:tcPr>
            <w:tcW w:w="3758"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4"/>
              </w:rPr>
              <w:t xml:space="preserve">September </w:t>
            </w:r>
            <w:r>
              <w:rPr>
                <w:rFonts w:ascii="Arial" w:hAnsi="Arial"/>
                <w:color w:val="2D2D2D"/>
                <w:sz w:val="24"/>
              </w:rPr>
              <w:t xml:space="preserve">1, </w:t>
            </w:r>
            <w:r>
              <w:rPr>
                <w:rFonts w:ascii="Arial" w:hAnsi="Arial"/>
                <w:color w:val="000000"/>
                <w:sz w:val="24"/>
              </w:rPr>
              <w:t>2025 - August 31, 2026</w:t>
            </w:r>
          </w:p>
        </w:tc>
        <w:tc>
          <w:tcPr>
            <w:tcW w:w="2109"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$185,680.00</w:t>
            </w:r>
          </w:p>
        </w:tc>
        <w:tc>
          <w:tcPr>
            <w:tcW w:w="2166"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$15,473.33</w:t>
            </w:r>
          </w:p>
        </w:tc>
        <w:tc>
          <w:tcPr>
            <w:tcW w:w="217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Arial" w:hAnsi="Arial"/>
                <w:color w:val="000000"/>
                <w:sz w:val="24"/>
              </w:rPr>
            </w:pPr>
            <w:r>
              <w:rPr>
                <w:rFonts w:ascii="Arial" w:hAnsi="Arial"/>
                <w:color w:val="000000"/>
                <w:sz w:val="24"/>
              </w:rPr>
              <w:t>$40.00</w:t>
            </w:r>
          </w:p>
        </w:tc>
      </w:tr>
    </w:tbl>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 Tenant does not have an obligation to pay Fixed Rent for the first (1st) month of this period (the Fixed Rent being abated), and, therefore, the Annual Fixed Rent amount for this period reflects eleven (11) months' of monthly Fixed Rent instead of twelve (12) months' of monthly Fixed Rent.</w:t>
      </w:r>
    </w:p>
    <w:p>
      <w:pPr>
        <w:pStyle w:val="TextBody"/>
        <w:bidi w:val="0"/>
        <w:jc w:val="center"/>
        <w:rPr>
          <w:rFonts w:ascii="Arial" w:hAnsi="Arial"/>
          <w:color w:val="000000"/>
          <w:sz w:val="24"/>
        </w:rPr>
      </w:pPr>
      <w:r>
        <w:rPr>
          <w:rFonts w:ascii="Arial" w:hAnsi="Arial"/>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rFonts w:ascii="Arial" w:hAnsi="Arial"/>
          <w:color w:val="000000"/>
          <w:sz w:val="24"/>
        </w:rPr>
      </w:pPr>
      <w:r>
        <w:rPr>
          <w:rFonts w:ascii="Arial" w:hAnsi="Arial"/>
          <w:color w:val="000000"/>
          <w:sz w:val="24"/>
        </w:rPr>
        <w:t>Effective on September 1, 2023, Tenant's Base Year under Article 1 of the Lease applicable to the Original Premises shall be the 2023 calendar year.</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rFonts w:ascii="Arial" w:hAnsi="Arial"/>
          <w:color w:val="000000"/>
          <w:sz w:val="24"/>
        </w:rPr>
      </w:pPr>
      <w:r>
        <w:rPr>
          <w:rFonts w:ascii="Arial" w:hAnsi="Arial"/>
          <w:color w:val="000000"/>
          <w:sz w:val="24"/>
        </w:rPr>
        <w:t>Effective on September 1, 2023, with respect to the Original Premises only, Tenant's Proportionate Share under Article 1 of the Lease shall continue to be 1.2057%.</w:t>
      </w:r>
    </w:p>
    <w:p>
      <w:pPr>
        <w:pStyle w:val="TextBody"/>
        <w:bidi w:val="0"/>
        <w:spacing w:before="0" w:after="240"/>
        <w:jc w:val="both"/>
        <w:rPr>
          <w:rFonts w:ascii="Arial" w:hAnsi="Arial"/>
          <w:color w:val="000000"/>
          <w:sz w:val="24"/>
        </w:rPr>
      </w:pPr>
      <w:r>
        <w:rPr>
          <w:rFonts w:ascii="Arial" w:hAnsi="Arial"/>
          <w:color w:val="000000"/>
          <w:sz w:val="24"/>
        </w:rPr>
        <w:t>6.</w:t>
      </w:r>
    </w:p>
    <w:p>
      <w:pPr>
        <w:pStyle w:val="TextBody"/>
        <w:bidi w:val="0"/>
        <w:spacing w:before="0" w:after="240"/>
        <w:jc w:val="both"/>
        <w:rPr/>
      </w:pPr>
      <w:r>
        <w:rPr>
          <w:rFonts w:ascii="Arial" w:hAnsi="Arial"/>
          <w:color w:val="000000"/>
          <w:sz w:val="24"/>
          <w:u w:val="single"/>
        </w:rPr>
        <w:t>Annual Fixed Rent and Additional Rent for Additional Space</w:t>
      </w:r>
      <w:r>
        <w:rPr>
          <w:rFonts w:ascii="Arial" w:hAnsi="Arial"/>
          <w:color w:val="000000"/>
          <w:sz w:val="24"/>
        </w:rPr>
        <w:t>.</w:t>
      </w:r>
    </w:p>
    <w:p>
      <w:pPr>
        <w:pStyle w:val="TextBody"/>
        <w:bidi w:val="0"/>
        <w:spacing w:before="0" w:after="240"/>
        <w:jc w:val="both"/>
        <w:rPr>
          <w:rFonts w:ascii="Arial" w:hAnsi="Arial"/>
          <w:color w:val="000000"/>
          <w:sz w:val="24"/>
        </w:rPr>
      </w:pPr>
      <w:r>
        <w:rPr>
          <w:rFonts w:ascii="Arial" w:hAnsi="Arial"/>
          <w:color w:val="000000"/>
          <w:sz w:val="24"/>
        </w:rPr>
        <w:t>(a)</w:t>
      </w:r>
    </w:p>
    <w:p>
      <w:pPr>
        <w:pStyle w:val="TextBody"/>
        <w:bidi w:val="0"/>
        <w:spacing w:before="0" w:after="240"/>
        <w:jc w:val="both"/>
        <w:rPr>
          <w:rFonts w:ascii="Arial" w:hAnsi="Arial"/>
          <w:color w:val="000000"/>
          <w:sz w:val="24"/>
        </w:rPr>
      </w:pPr>
      <w:r>
        <w:rPr>
          <w:rFonts w:ascii="Arial" w:hAnsi="Arial"/>
          <w:color w:val="000000"/>
          <w:sz w:val="24"/>
        </w:rPr>
        <w:t>Effective on the Additional Space Commencement Date and continuing through the Expiration Date, Tenant shall pay Landlord annual Fixed Rent and monthly installments thereof with respect to the Additional Space only as follows:</w:t>
      </w:r>
    </w:p>
    <w:tbl>
      <w:tblPr>
        <w:tblW w:w="10205" w:type="dxa"/>
        <w:jc w:val="left"/>
        <w:tblInd w:w="0" w:type="dxa"/>
        <w:tblLayout w:type="fixed"/>
        <w:tblCellMar>
          <w:top w:w="28" w:type="dxa"/>
          <w:left w:w="28" w:type="dxa"/>
          <w:bottom w:w="28" w:type="dxa"/>
          <w:right w:w="28" w:type="dxa"/>
        </w:tblCellMar>
      </w:tblPr>
      <w:tblGrid>
        <w:gridCol w:w="4425"/>
        <w:gridCol w:w="1884"/>
        <w:gridCol w:w="2157"/>
        <w:gridCol w:w="1739"/>
      </w:tblGrid>
      <w:tr>
        <w:trPr/>
        <w:tc>
          <w:tcPr>
            <w:tcW w:w="4425"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4425" w:type="dxa"/>
            <w:tcBorders>
              <w:left w:val="single" w:sz="4" w:space="0" w:color="000000"/>
            </w:tcBorders>
            <w:shd w:fill="244C6F" w:val="clear"/>
            <w:tcMar>
              <w:top w:w="0" w:type="dxa"/>
              <w:bottom w:w="0" w:type="dxa"/>
              <w:right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Period</w:t>
            </w:r>
          </w:p>
        </w:tc>
        <w:tc>
          <w:tcPr>
            <w:tcW w:w="1884" w:type="dxa"/>
            <w:tcBorders>
              <w:left w:val="single" w:sz="4" w:space="0" w:color="000000"/>
            </w:tcBorders>
            <w:shd w:fill="244C6F" w:val="clear"/>
            <w:tcMar>
              <w:top w:w="0" w:type="dxa"/>
              <w:bottom w:w="0" w:type="dxa"/>
              <w:right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Annual Fixed Rent</w:t>
            </w:r>
          </w:p>
        </w:tc>
        <w:tc>
          <w:tcPr>
            <w:tcW w:w="2157" w:type="dxa"/>
            <w:tcBorders>
              <w:left w:val="single" w:sz="4" w:space="0" w:color="000000"/>
            </w:tcBorders>
            <w:shd w:fill="244C6F" w:val="clear"/>
            <w:tcMar>
              <w:top w:w="0" w:type="dxa"/>
              <w:bottom w:w="0" w:type="dxa"/>
              <w:right w:w="0" w:type="dxa"/>
            </w:tcMar>
            <w:vAlign w:val="center"/>
          </w:tcPr>
          <w:p>
            <w:pPr>
              <w:pStyle w:val="TableContents"/>
              <w:bidi w:val="0"/>
              <w:spacing w:before="0" w:after="283"/>
              <w:ind w:left="0" w:right="0" w:firstLine="280"/>
              <w:jc w:val="center"/>
              <w:rPr>
                <w:rFonts w:ascii="Arial" w:hAnsi="Arial"/>
                <w:b/>
                <w:color w:val="FFFFFF"/>
                <w:sz w:val="24"/>
              </w:rPr>
            </w:pPr>
            <w:r>
              <w:rPr>
                <w:rFonts w:ascii="Arial" w:hAnsi="Arial"/>
                <w:b/>
                <w:color w:val="FFFFFF"/>
                <w:sz w:val="24"/>
              </w:rPr>
              <w:t>Monthly Fixed Rent</w:t>
            </w:r>
          </w:p>
        </w:tc>
        <w:tc>
          <w:tcPr>
            <w:tcW w:w="1739" w:type="dxa"/>
            <w:tcBorders>
              <w:left w:val="single" w:sz="4" w:space="0" w:color="000000"/>
              <w:right w:val="single" w:sz="4" w:space="0" w:color="000000"/>
            </w:tcBorders>
            <w:shd w:fill="244C6F" w:val="clear"/>
            <w:tcMar>
              <w:top w:w="0" w:type="dxa"/>
              <w:bottom w:w="0" w:type="dxa"/>
            </w:tcMar>
            <w:vAlign w:val="center"/>
          </w:tcPr>
          <w:p>
            <w:pPr>
              <w:pStyle w:val="TableContents"/>
              <w:bidi w:val="0"/>
              <w:spacing w:before="0" w:after="283"/>
              <w:jc w:val="center"/>
              <w:rPr>
                <w:rFonts w:ascii="Arial" w:hAnsi="Arial"/>
                <w:b/>
                <w:color w:val="FFFFFF"/>
                <w:sz w:val="24"/>
              </w:rPr>
            </w:pPr>
            <w:r>
              <w:rPr>
                <w:rFonts w:ascii="Arial" w:hAnsi="Arial"/>
                <w:b/>
                <w:color w:val="FFFFFF"/>
                <w:sz w:val="24"/>
              </w:rPr>
              <w:t>Fixed Rent Per RSF</w:t>
            </w:r>
          </w:p>
        </w:tc>
      </w:tr>
      <w:tr>
        <w:trPr/>
        <w:tc>
          <w:tcPr>
            <w:tcW w:w="4425" w:type="dxa"/>
            <w:tcBorders>
              <w:left w:val="single" w:sz="4" w:space="0" w:color="000000"/>
            </w:tcBorders>
            <w:tcMar>
              <w:top w:w="0" w:type="dxa"/>
              <w:bottom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Additional Space Commencement Date - August 31, 2024*</w:t>
            </w:r>
          </w:p>
        </w:tc>
        <w:tc>
          <w:tcPr>
            <w:tcW w:w="1884"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$122,179.75</w:t>
            </w:r>
          </w:p>
        </w:tc>
        <w:tc>
          <w:tcPr>
            <w:tcW w:w="2157" w:type="dxa"/>
            <w:tcBorders>
              <w:left w:val="single" w:sz="4" w:space="0" w:color="000000"/>
            </w:tcBorders>
            <w:tcMar>
              <w:top w:w="0" w:type="dxa"/>
              <w:bottom w:w="0" w:type="dxa"/>
              <w:right w:w="0" w:type="dxa"/>
            </w:tcMar>
            <w:vAlign w:val="center"/>
          </w:tcPr>
          <w:p>
            <w:pPr>
              <w:pStyle w:val="TableContents"/>
              <w:bidi w:val="0"/>
              <w:spacing w:before="0" w:after="283"/>
              <w:ind w:left="0" w:right="0" w:firstLine="280"/>
              <w:jc w:val="left"/>
              <w:rPr>
                <w:rFonts w:ascii="Arial" w:hAnsi="Arial"/>
                <w:color w:val="000000"/>
                <w:sz w:val="24"/>
              </w:rPr>
            </w:pPr>
            <w:r>
              <w:rPr>
                <w:rFonts w:ascii="Arial" w:hAnsi="Arial"/>
                <w:color w:val="000000"/>
                <w:sz w:val="24"/>
              </w:rPr>
              <w:t>$11,107.25</w:t>
            </w:r>
          </w:p>
        </w:tc>
        <w:tc>
          <w:tcPr>
            <w:tcW w:w="1739" w:type="dxa"/>
            <w:tcBorders>
              <w:left w:val="single" w:sz="4" w:space="0" w:color="000000"/>
              <w:right w:val="single" w:sz="4" w:space="0" w:color="000000"/>
            </w:tcBorders>
            <w:tcMar>
              <w:top w:w="0" w:type="dxa"/>
              <w:bottom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$38.50</w:t>
            </w:r>
          </w:p>
        </w:tc>
      </w:tr>
      <w:tr>
        <w:trPr/>
        <w:tc>
          <w:tcPr>
            <w:tcW w:w="4425"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2D2D2D"/>
                <w:sz w:val="24"/>
              </w:rPr>
              <w:t xml:space="preserve">September </w:t>
            </w:r>
            <w:r>
              <w:rPr>
                <w:rFonts w:ascii="Arial" w:hAnsi="Arial"/>
                <w:color w:val="000000"/>
                <w:sz w:val="24"/>
              </w:rPr>
              <w:t xml:space="preserve">1, </w:t>
            </w:r>
            <w:r>
              <w:rPr>
                <w:rFonts w:ascii="Arial" w:hAnsi="Arial"/>
                <w:color w:val="2D2D2D"/>
                <w:sz w:val="24"/>
              </w:rPr>
              <w:t>2024 - August 31</w:t>
            </w:r>
            <w:r>
              <w:rPr>
                <w:rFonts w:ascii="Arial" w:hAnsi="Arial"/>
                <w:color w:val="000000"/>
                <w:sz w:val="24"/>
              </w:rPr>
              <w:t xml:space="preserve">, </w:t>
            </w:r>
            <w:r>
              <w:rPr>
                <w:rFonts w:ascii="Arial" w:hAnsi="Arial"/>
                <w:color w:val="2D2D2D"/>
                <w:sz w:val="24"/>
              </w:rPr>
              <w:t>2025</w:t>
            </w:r>
          </w:p>
        </w:tc>
        <w:tc>
          <w:tcPr>
            <w:tcW w:w="1884" w:type="dxa"/>
            <w:tcBorders>
              <w:top w:val="single" w:sz="4" w:space="0" w:color="000000"/>
              <w:left w:val="single" w:sz="4" w:space="0" w:color="000000"/>
            </w:tcBorders>
            <w:tcMar>
              <w:bottom w:w="0" w:type="dxa"/>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$135,883.50</w:t>
            </w:r>
          </w:p>
        </w:tc>
        <w:tc>
          <w:tcPr>
            <w:tcW w:w="2157" w:type="dxa"/>
            <w:tcBorders>
              <w:top w:val="single" w:sz="4" w:space="0" w:color="000000"/>
              <w:left w:val="single" w:sz="4" w:space="0" w:color="000000"/>
            </w:tcBorders>
            <w:tcMar>
              <w:bottom w:w="0" w:type="dxa"/>
              <w:right w:w="0" w:type="dxa"/>
            </w:tcMar>
            <w:vAlign w:val="center"/>
          </w:tcPr>
          <w:p>
            <w:pPr>
              <w:pStyle w:val="TableContents"/>
              <w:bidi w:val="0"/>
              <w:spacing w:before="0" w:after="283"/>
              <w:ind w:left="0" w:right="0" w:firstLine="280"/>
              <w:jc w:val="left"/>
              <w:rPr>
                <w:rFonts w:ascii="Arial" w:hAnsi="Arial"/>
                <w:color w:val="000000"/>
                <w:sz w:val="24"/>
              </w:rPr>
            </w:pPr>
            <w:r>
              <w:rPr>
                <w:rFonts w:ascii="Arial" w:hAnsi="Arial"/>
                <w:color w:val="000000"/>
                <w:sz w:val="24"/>
              </w:rPr>
              <w:t>$11,323.63</w:t>
            </w:r>
          </w:p>
        </w:tc>
        <w:tc>
          <w:tcPr>
            <w:tcW w:w="1739"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$39.25</w:t>
            </w:r>
          </w:p>
        </w:tc>
      </w:tr>
      <w:tr>
        <w:trPr/>
        <w:tc>
          <w:tcPr>
            <w:tcW w:w="4425"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rFonts w:ascii="Times New Roman" w:hAnsi="Times New Roman"/>
                <w:sz w:val="24"/>
              </w:rPr>
            </w:pPr>
            <w:r>
              <w:rPr>
                <w:rFonts w:ascii="Arial" w:hAnsi="Arial"/>
                <w:color w:val="2D2D2D"/>
                <w:sz w:val="24"/>
              </w:rPr>
              <w:t xml:space="preserve">September </w:t>
            </w:r>
            <w:r>
              <w:rPr>
                <w:rFonts w:ascii="Arial" w:hAnsi="Arial"/>
                <w:color w:val="000000"/>
                <w:sz w:val="24"/>
              </w:rPr>
              <w:t xml:space="preserve">1, </w:t>
            </w:r>
            <w:r>
              <w:rPr>
                <w:rFonts w:ascii="Arial" w:hAnsi="Arial"/>
                <w:color w:val="2D2D2D"/>
                <w:sz w:val="24"/>
              </w:rPr>
              <w:t>2025 - August 31, 2026</w:t>
            </w:r>
          </w:p>
        </w:tc>
        <w:tc>
          <w:tcPr>
            <w:tcW w:w="1884"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center"/>
              <w:rPr>
                <w:rFonts w:ascii="Arial" w:hAnsi="Arial"/>
                <w:color w:val="000000"/>
                <w:sz w:val="24"/>
              </w:rPr>
            </w:pPr>
            <w:r>
              <w:rPr>
                <w:rFonts w:ascii="Arial" w:hAnsi="Arial"/>
                <w:color w:val="000000"/>
                <w:sz w:val="24"/>
              </w:rPr>
              <w:t>$138,480.00</w:t>
            </w:r>
          </w:p>
        </w:tc>
        <w:tc>
          <w:tcPr>
            <w:tcW w:w="2157"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ind w:left="0" w:right="0" w:firstLine="280"/>
              <w:jc w:val="left"/>
              <w:rPr>
                <w:rFonts w:ascii="Arial" w:hAnsi="Arial"/>
                <w:color w:val="2D2D2D"/>
                <w:sz w:val="24"/>
              </w:rPr>
            </w:pPr>
            <w:r>
              <w:rPr>
                <w:rFonts w:ascii="Arial" w:hAnsi="Arial"/>
                <w:color w:val="2D2D2D"/>
                <w:sz w:val="24"/>
              </w:rPr>
              <w:t>$11,540.00</w:t>
            </w:r>
          </w:p>
        </w:tc>
        <w:tc>
          <w:tcPr>
            <w:tcW w:w="1739"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Arial" w:hAnsi="Arial"/>
                <w:color w:val="000000"/>
                <w:sz w:val="24"/>
              </w:rPr>
            </w:pPr>
            <w:r>
              <w:rPr>
                <w:rFonts w:ascii="Arial" w:hAnsi="Arial"/>
                <w:color w:val="000000"/>
                <w:sz w:val="24"/>
              </w:rPr>
              <w:t>$40.00</w:t>
            </w:r>
          </w:p>
        </w:tc>
      </w:tr>
    </w:tbl>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 Tenant does not have an obligation to pay Fixed Rent for the first (1st) month of this period (the Fixed Rent being abated), and, therefore, the Annual Fixed Rent amount for this period reflects eleven (11) months' of monthly Fixed Rent instead of twelve (12) months' of monthly Fixed Rent. In the event the Additional Space Commencement Date is delayed beyond September 1, 2023, the above rental period dates shall be correspondingly adjusted.</w:t>
      </w:r>
    </w:p>
    <w:p>
      <w:pPr>
        <w:pStyle w:val="TextBody"/>
        <w:bidi w:val="0"/>
        <w:spacing w:before="0" w:after="240"/>
        <w:jc w:val="both"/>
        <w:rPr>
          <w:rFonts w:ascii="Arial" w:hAnsi="Arial"/>
          <w:color w:val="000000"/>
          <w:sz w:val="24"/>
        </w:rPr>
      </w:pPr>
      <w:r>
        <w:rPr>
          <w:rFonts w:ascii="Arial" w:hAnsi="Arial"/>
          <w:color w:val="000000"/>
          <w:sz w:val="24"/>
        </w:rPr>
        <w:t>(b)</w:t>
      </w:r>
    </w:p>
    <w:p>
      <w:pPr>
        <w:pStyle w:val="TextBody"/>
        <w:bidi w:val="0"/>
        <w:spacing w:before="0" w:after="240"/>
        <w:jc w:val="both"/>
        <w:rPr/>
      </w:pPr>
      <w:r>
        <w:rPr>
          <w:rFonts w:ascii="Arial" w:hAnsi="Arial"/>
          <w:color w:val="000000"/>
          <w:sz w:val="24"/>
        </w:rPr>
        <w:t xml:space="preserve">Effective on the Additional Space Commencement Date, Tenant's Base Year under Article 1 of the Lease applicable to the Additional Space shall be the 2023 calendar year. The Base Year for the entire Premises </w:t>
      </w:r>
      <w:r>
        <w:rPr>
          <w:rFonts w:ascii="Arial" w:hAnsi="Arial"/>
          <w:color w:val="2D2D2D"/>
          <w:sz w:val="24"/>
        </w:rPr>
        <w:t xml:space="preserve">will </w:t>
      </w:r>
      <w:r>
        <w:rPr>
          <w:rFonts w:ascii="Arial" w:hAnsi="Arial"/>
          <w:color w:val="000000"/>
          <w:sz w:val="24"/>
        </w:rPr>
        <w:t>therefore be the 2023 calendar year.</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rFonts w:ascii="Arial" w:hAnsi="Arial"/>
          <w:color w:val="000000"/>
          <w:sz w:val="24"/>
        </w:rPr>
      </w:pPr>
      <w:r>
        <w:rPr>
          <w:rFonts w:ascii="Arial" w:hAnsi="Arial"/>
          <w:color w:val="000000"/>
          <w:sz w:val="24"/>
        </w:rPr>
        <w:t>Effective on the Additional Space Commencement Date, with respect to the Additional Space only, Tenant's Proportionate Share under Article 1 of the Lease shall be 0.8992%. Effective on the Additional Space Commencement Date, the total rentable square footage of the Premises shall be 8,104 rentable square feet and Tenant's Proportionate Share for the entire Premises shall be 2.1049%.</w:t>
      </w:r>
    </w:p>
    <w:p>
      <w:pPr>
        <w:pStyle w:val="TextBody"/>
        <w:bidi w:val="0"/>
        <w:spacing w:before="0" w:after="240"/>
        <w:jc w:val="both"/>
        <w:rPr>
          <w:rFonts w:ascii="Arial" w:hAnsi="Arial"/>
          <w:color w:val="000000"/>
          <w:sz w:val="24"/>
        </w:rPr>
      </w:pPr>
      <w:r>
        <w:rPr>
          <w:rFonts w:ascii="Arial" w:hAnsi="Arial"/>
          <w:color w:val="000000"/>
          <w:sz w:val="24"/>
        </w:rPr>
        <w:t>(d)</w:t>
      </w:r>
    </w:p>
    <w:p>
      <w:pPr>
        <w:pStyle w:val="TextBody"/>
        <w:bidi w:val="0"/>
        <w:spacing w:before="0" w:after="240"/>
        <w:jc w:val="both"/>
        <w:rPr/>
      </w:pPr>
      <w:r>
        <w:rPr>
          <w:rFonts w:ascii="Arial" w:hAnsi="Arial"/>
          <w:color w:val="000000"/>
          <w:sz w:val="24"/>
        </w:rPr>
        <w:t xml:space="preserve">Landlord currently holds $27,078.34 as the Security Deposit under Articles </w:t>
      </w:r>
      <w:r>
        <w:rPr>
          <w:rFonts w:ascii="Arial" w:hAnsi="Arial"/>
          <w:color w:val="2D2D2D"/>
          <w:sz w:val="24"/>
        </w:rPr>
        <w:t xml:space="preserve">1 </w:t>
      </w:r>
      <w:r>
        <w:rPr>
          <w:rFonts w:ascii="Arial" w:hAnsi="Arial"/>
          <w:color w:val="000000"/>
          <w:sz w:val="24"/>
        </w:rPr>
        <w:t xml:space="preserve">and 27 of the Lease. That amount is subject to reduction in accordance with, and subject to, the provisions of Article 27. As an additional Security Deposit, on or before the Effective Date, Tenant shall deposit with Landlord an amount equal to $22,214.50 to be held by Landlord as a Security Deposit pursuant to Article 27 of the Lease except that this additional Security Deposit shall be in addition to the initial Security Deposit under the Lease and shall not be subject to the reduction terms and conditions set forth </w:t>
      </w:r>
      <w:r>
        <w:rPr>
          <w:rFonts w:ascii="Arial" w:hAnsi="Arial"/>
          <w:color w:val="2D2D2D"/>
          <w:sz w:val="24"/>
        </w:rPr>
        <w:t xml:space="preserve">in </w:t>
      </w:r>
      <w:r>
        <w:rPr>
          <w:rFonts w:ascii="Arial" w:hAnsi="Arial"/>
          <w:color w:val="000000"/>
          <w:sz w:val="24"/>
        </w:rPr>
        <w:t>Article 27. As of the Effective Date, Landlord will hold a combined security deposit of $49,292.84 through the remainder of the Term.</w:t>
      </w:r>
    </w:p>
    <w:p>
      <w:pPr>
        <w:pStyle w:val="TextBody"/>
        <w:bidi w:val="0"/>
        <w:jc w:val="center"/>
        <w:rPr>
          <w:rFonts w:ascii="Arial" w:hAnsi="Arial"/>
          <w:color w:val="000000"/>
          <w:sz w:val="24"/>
        </w:rPr>
      </w:pPr>
      <w:r>
        <w:rPr>
          <w:rFonts w:ascii="Arial" w:hAnsi="Arial"/>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Arial" w:hAnsi="Arial"/>
          <w:color w:val="000000"/>
          <w:sz w:val="24"/>
        </w:rPr>
      </w:pPr>
      <w:r>
        <w:rPr>
          <w:rFonts w:ascii="Arial" w:hAnsi="Arial"/>
          <w:color w:val="000000"/>
          <w:sz w:val="24"/>
        </w:rPr>
        <w:t>7.</w:t>
      </w:r>
    </w:p>
    <w:p>
      <w:pPr>
        <w:pStyle w:val="TextBody"/>
        <w:bidi w:val="0"/>
        <w:spacing w:before="0" w:after="120"/>
        <w:jc w:val="both"/>
        <w:rPr>
          <w:rFonts w:ascii="Arial" w:hAnsi="Arial"/>
          <w:color w:val="000000"/>
          <w:sz w:val="24"/>
          <w:u w:val="single"/>
        </w:rPr>
      </w:pPr>
      <w:r>
        <w:rPr>
          <w:rFonts w:ascii="Arial" w:hAnsi="Arial"/>
          <w:color w:val="000000"/>
          <w:sz w:val="24"/>
          <w:u w:val="single"/>
        </w:rPr>
        <w:t>Landlord's Work.</w:t>
      </w:r>
    </w:p>
    <w:p>
      <w:pPr>
        <w:pStyle w:val="TextBody"/>
        <w:bidi w:val="0"/>
        <w:spacing w:before="0" w:after="120"/>
        <w:jc w:val="both"/>
        <w:rPr>
          <w:rFonts w:ascii="Arial" w:hAnsi="Arial"/>
          <w:color w:val="000000"/>
          <w:sz w:val="24"/>
        </w:rPr>
      </w:pPr>
      <w:r>
        <w:rPr>
          <w:rFonts w:ascii="Arial" w:hAnsi="Arial"/>
          <w:color w:val="000000"/>
          <w:sz w:val="24"/>
        </w:rPr>
        <w:t>(a)</w:t>
      </w:r>
    </w:p>
    <w:p>
      <w:pPr>
        <w:pStyle w:val="TextBody"/>
        <w:bidi w:val="0"/>
        <w:spacing w:before="0" w:after="120"/>
        <w:jc w:val="both"/>
        <w:rPr/>
      </w:pPr>
      <w:r>
        <w:rPr>
          <w:rFonts w:ascii="Arial" w:hAnsi="Arial"/>
          <w:color w:val="000000"/>
          <w:sz w:val="24"/>
        </w:rPr>
        <w:t>At Landlord's expense, Landlord agrees to construct Landlord's Work and improvements to the Additional Space (the “</w:t>
      </w:r>
      <w:r>
        <w:rPr>
          <w:rFonts w:ascii="Arial" w:hAnsi="Arial"/>
          <w:b/>
          <w:color w:val="000000"/>
          <w:sz w:val="24"/>
        </w:rPr>
        <w:t>Landlord's Work</w:t>
      </w:r>
      <w:r>
        <w:rPr>
          <w:color w:val="000000"/>
        </w:rPr>
        <w:t>”</w:t>
      </w:r>
      <w:r>
        <w:rPr>
          <w:rFonts w:ascii="Arial" w:hAnsi="Arial"/>
          <w:color w:val="000000"/>
          <w:sz w:val="24"/>
        </w:rPr>
        <w:t>)</w:t>
      </w:r>
      <w:r>
        <w:rPr>
          <w:color w:val="000000"/>
        </w:rPr>
        <w:t xml:space="preserve"> </w:t>
      </w:r>
      <w:r>
        <w:rPr>
          <w:rFonts w:ascii="Arial" w:hAnsi="Arial"/>
          <w:color w:val="000000"/>
          <w:sz w:val="24"/>
        </w:rPr>
        <w:t xml:space="preserve">in Landlord's Building standard manner, in a good and workmanlike manner, in compliance with all applicable laws and in accordance with (i) Nelson Architecture and Interiors space plan dated November 10, 2022 and revised January 6, 2023 - Project #PR1 R10/5 Plan #22.0022013.013/JNP/CFA including all Alternates on the Alternates list except for Alternate #5 attached hereto and made a part hereof as </w:t>
      </w:r>
      <w:r>
        <w:rPr>
          <w:rFonts w:ascii="Arial" w:hAnsi="Arial"/>
          <w:b/>
          <w:color w:val="000000"/>
          <w:sz w:val="24"/>
          <w:u w:val="single"/>
        </w:rPr>
        <w:t>Exhibit C</w:t>
      </w:r>
      <w:r>
        <w:rPr>
          <w:color w:val="000000"/>
        </w:rPr>
        <w:t xml:space="preserve"> </w:t>
      </w:r>
      <w:r>
        <w:rPr>
          <w:rFonts w:ascii="Arial" w:hAnsi="Arial"/>
          <w:color w:val="000000"/>
          <w:sz w:val="24"/>
        </w:rPr>
        <w:t>(the “</w:t>
      </w:r>
      <w:r>
        <w:rPr>
          <w:rFonts w:ascii="Arial" w:hAnsi="Arial"/>
          <w:b/>
          <w:color w:val="000000"/>
          <w:sz w:val="24"/>
        </w:rPr>
        <w:t>Plans</w:t>
      </w:r>
      <w:r>
        <w:rPr>
          <w:color w:val="000000"/>
        </w:rPr>
        <w:t>”</w:t>
      </w:r>
      <w:r>
        <w:rPr>
          <w:rFonts w:ascii="Arial" w:hAnsi="Arial"/>
          <w:color w:val="000000"/>
          <w:sz w:val="24"/>
        </w:rPr>
        <w:t>),</w:t>
      </w:r>
      <w:r>
        <w:rPr>
          <w:color w:val="000000"/>
        </w:rPr>
        <w:t xml:space="preserve"> </w:t>
      </w:r>
      <w:r>
        <w:rPr>
          <w:rFonts w:ascii="Arial" w:hAnsi="Arial"/>
          <w:color w:val="000000"/>
          <w:sz w:val="24"/>
        </w:rPr>
        <w:t>and (ii) mechanical and engineering drawings (“</w:t>
      </w:r>
      <w:r>
        <w:rPr>
          <w:rFonts w:ascii="Arial" w:hAnsi="Arial"/>
          <w:b/>
          <w:color w:val="000000"/>
          <w:sz w:val="24"/>
        </w:rPr>
        <w:t>MEPs</w:t>
      </w:r>
      <w:r>
        <w:rPr>
          <w:color w:val="000000"/>
        </w:rPr>
        <w:t>”</w:t>
      </w:r>
      <w:r>
        <w:rPr>
          <w:rFonts w:ascii="Arial" w:hAnsi="Arial"/>
          <w:color w:val="000000"/>
          <w:sz w:val="24"/>
        </w:rPr>
        <w:t>)</w:t>
      </w:r>
      <w:r>
        <w:rPr>
          <w:color w:val="000000"/>
        </w:rPr>
        <w:t xml:space="preserve"> </w:t>
      </w:r>
      <w:r>
        <w:rPr>
          <w:rFonts w:ascii="Arial" w:hAnsi="Arial"/>
          <w:color w:val="000000"/>
          <w:sz w:val="24"/>
        </w:rPr>
        <w:t>to be prepared based upon the Plans.</w:t>
      </w:r>
    </w:p>
    <w:p>
      <w:pPr>
        <w:pStyle w:val="TextBody"/>
        <w:bidi w:val="0"/>
        <w:spacing w:before="0" w:after="120"/>
        <w:jc w:val="both"/>
        <w:rPr>
          <w:rFonts w:ascii="Arial" w:hAnsi="Arial"/>
          <w:color w:val="000000"/>
          <w:sz w:val="24"/>
        </w:rPr>
      </w:pPr>
      <w:r>
        <w:rPr>
          <w:rFonts w:ascii="Arial" w:hAnsi="Arial"/>
          <w:color w:val="000000"/>
          <w:sz w:val="24"/>
        </w:rPr>
        <w:t>(b)</w:t>
      </w:r>
    </w:p>
    <w:p>
      <w:pPr>
        <w:pStyle w:val="TextBody"/>
        <w:bidi w:val="0"/>
        <w:spacing w:before="0" w:after="120"/>
        <w:jc w:val="both"/>
        <w:rPr>
          <w:rFonts w:ascii="Arial" w:hAnsi="Arial"/>
          <w:color w:val="000000"/>
          <w:sz w:val="24"/>
        </w:rPr>
      </w:pPr>
      <w:r>
        <w:rPr>
          <w:rFonts w:ascii="Arial" w:hAnsi="Arial"/>
          <w:color w:val="000000"/>
          <w:sz w:val="24"/>
        </w:rPr>
        <w:t>Neither the preparation of the Plans and the MEPs, nor the review or approval thereof by Landlord constitutes a representation or warranty by Landlord that any such documents (i) are complete or suitable for their intended purpose, or (ii) comply with Requirements; it being expressly agreed by Tenant that Landlord assumes no responsibility or liability whatsoever to Tenant or to any other person or entity for such completeness or suitability.</w:t>
      </w:r>
    </w:p>
    <w:p>
      <w:pPr>
        <w:pStyle w:val="TextBody"/>
        <w:bidi w:val="0"/>
        <w:spacing w:before="0" w:after="240"/>
        <w:jc w:val="both"/>
        <w:rPr>
          <w:rFonts w:ascii="Arial" w:hAnsi="Arial"/>
          <w:color w:val="000000"/>
          <w:sz w:val="24"/>
        </w:rPr>
      </w:pPr>
      <w:r>
        <w:rPr>
          <w:rFonts w:ascii="Arial" w:hAnsi="Arial"/>
          <w:color w:val="000000"/>
          <w:sz w:val="24"/>
        </w:rPr>
        <w:t>(c)</w:t>
      </w:r>
    </w:p>
    <w:p>
      <w:pPr>
        <w:pStyle w:val="TextBody"/>
        <w:bidi w:val="0"/>
        <w:spacing w:before="0" w:after="240"/>
        <w:jc w:val="both"/>
        <w:rPr/>
      </w:pPr>
      <w:r>
        <w:rPr>
          <w:rFonts w:ascii="Arial" w:hAnsi="Arial"/>
          <w:color w:val="000000"/>
          <w:sz w:val="24"/>
        </w:rPr>
        <w:t>If Tenant requests any changes to the Plans, Landlord shall not unreasonably withhold its consent to any such changes, provided the changes do not adversely affect the Building's structure, systems, equipment, appearance or value. Upon such a request by Tenant, and prior to Tenant being bound by the applicable proposed change order, Landlord shall reasonably promptly provide Tenant with written estimates of the increased construction costs and the time delay associated with any proposed change order. If ordered by Tenant, Landlord shall implement such change order and Tenant shall bear such costs and shall pay such estimated increased costs to Landlord within 10 days of receipt of an invoice therefor at such time as the request is approved by Landlord. If the actual increased costs are greater than the estimated increased costs, Tenant shall pay the difference in increased costs to Landlord within 30 days of an invoice promptly upon demand therefor. The costs charged by Landlord to Tenant caused by Tenant's requesting changes to the Landlord's Work or the Plans shall be equal to the sum of (i) the amount of money Landlord has to pay to cause the Landlord's Work, as reflected by revised Plans, to be constructed above the costs that Landlord would have had to pay to cause the Landlord's Work to be constructed if no changes had been made to the Plans (“</w:t>
      </w:r>
      <w:r>
        <w:rPr>
          <w:rFonts w:ascii="Arial" w:hAnsi="Arial"/>
          <w:b/>
          <w:color w:val="000000"/>
          <w:sz w:val="24"/>
        </w:rPr>
        <w:t>Differential</w:t>
      </w:r>
      <w:r>
        <w:rPr>
          <w:color w:val="000000"/>
        </w:rPr>
        <w:t>”</w:t>
      </w:r>
      <w:r>
        <w:rPr>
          <w:rFonts w:ascii="Arial" w:hAnsi="Arial"/>
          <w:color w:val="000000"/>
          <w:sz w:val="24"/>
        </w:rPr>
        <w:t>),</w:t>
      </w:r>
      <w:r>
        <w:rPr>
          <w:color w:val="000000"/>
        </w:rPr>
        <w:t xml:space="preserve"> </w:t>
      </w:r>
      <w:r>
        <w:rPr>
          <w:rFonts w:ascii="Arial" w:hAnsi="Arial"/>
          <w:color w:val="000000"/>
          <w:sz w:val="24"/>
        </w:rPr>
        <w:t xml:space="preserve">(ii) any cancellation fees, reshipping charges or any other similar costs incurred by Landlord in connection therewith, and (iii) an amount equal to 5% of the Differential to compensate Landlord for its time and effort in connection with such changes. If such changes delay Landlord's performance of the work shown on the Plans, then such delay shall constitute a Tenant Delay. Any other actions of Tenant, or inaction by Tenant, which delays Landlord in completing the Landlord's Work shown on such Plans shall also constitute a Tenant Delay. Whenever possible and practical, Landlord will utilize, for the construction of the Landlord's Work, the items and materials designated in the Plans; provided, however, that whenever Landlord reasonably determines in its judgment that it is not practical or efficient to use such materials, Landlord shall have the right to substitute comparable items and materials (or of better quality at no cost to Tenant if no such comparable item exists or is readily obtainable; at no time shall Tenant be required to accept an inferior substitute because of the unavailability of the item specified). If Tenant refuses to grant such consent, and Landlord is reasonably delayed in causing the Premises, or any part thereof, to be Substantially Complete because of Tenant's failure to permit the substitution of comparable items and </w:t>
      </w:r>
    </w:p>
    <w:p>
      <w:pPr>
        <w:pStyle w:val="TextBody"/>
        <w:bidi w:val="0"/>
        <w:jc w:val="center"/>
        <w:rPr>
          <w:rFonts w:ascii="Arial" w:hAnsi="Arial"/>
          <w:color w:val="000000"/>
          <w:sz w:val="24"/>
        </w:rPr>
      </w:pPr>
      <w:r>
        <w:rPr>
          <w:rFonts w:ascii="Arial" w:hAnsi="Arial"/>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materials (or of better quality at no cost to Tenant if no such comparable item exists or is readily available), such delay shall constitute a Tenant Delay.</w:t>
      </w:r>
    </w:p>
    <w:p>
      <w:pPr>
        <w:pStyle w:val="TextBody"/>
        <w:bidi w:val="0"/>
        <w:spacing w:before="0" w:after="240"/>
        <w:jc w:val="both"/>
        <w:rPr>
          <w:rFonts w:ascii="Arial" w:hAnsi="Arial"/>
          <w:color w:val="000000"/>
          <w:sz w:val="24"/>
        </w:rPr>
      </w:pPr>
      <w:r>
        <w:rPr>
          <w:rFonts w:ascii="Arial" w:hAnsi="Arial"/>
          <w:color w:val="000000"/>
          <w:sz w:val="24"/>
        </w:rPr>
        <w:t>(d)</w:t>
      </w:r>
    </w:p>
    <w:p>
      <w:pPr>
        <w:pStyle w:val="TextBody"/>
        <w:bidi w:val="0"/>
        <w:spacing w:before="0" w:after="240"/>
        <w:jc w:val="both"/>
        <w:rPr>
          <w:rFonts w:ascii="Arial" w:hAnsi="Arial"/>
          <w:color w:val="000000"/>
          <w:sz w:val="24"/>
        </w:rPr>
      </w:pPr>
      <w:r>
        <w:rPr>
          <w:rFonts w:ascii="Arial" w:hAnsi="Arial"/>
          <w:color w:val="000000"/>
          <w:sz w:val="24"/>
        </w:rPr>
        <w:t>Tenant shall pay to Landlord a sum equal to any actual cost to Landlord in completing the Landlord's Work resulting from any Tenant Delay.</w:t>
      </w:r>
    </w:p>
    <w:p>
      <w:pPr>
        <w:pStyle w:val="TextBody"/>
        <w:bidi w:val="0"/>
        <w:spacing w:before="0" w:after="240"/>
        <w:jc w:val="both"/>
        <w:rPr>
          <w:rFonts w:ascii="Arial" w:hAnsi="Arial"/>
          <w:color w:val="000000"/>
          <w:sz w:val="24"/>
        </w:rPr>
      </w:pPr>
      <w:r>
        <w:rPr>
          <w:rFonts w:ascii="Arial" w:hAnsi="Arial"/>
          <w:color w:val="000000"/>
          <w:sz w:val="24"/>
        </w:rPr>
        <w:t>(e)</w:t>
      </w:r>
    </w:p>
    <w:p>
      <w:pPr>
        <w:pStyle w:val="TextBody"/>
        <w:bidi w:val="0"/>
        <w:spacing w:before="0" w:after="240"/>
        <w:jc w:val="both"/>
        <w:rPr/>
      </w:pPr>
      <w:r>
        <w:rPr>
          <w:rFonts w:ascii="Arial" w:hAnsi="Arial"/>
          <w:color w:val="000000"/>
          <w:sz w:val="24"/>
        </w:rPr>
        <w:t>Except as hereinafter provided, no Tenant Parties shall enter the Additional Space during the performance of the Landlord's Work. Tenant hereby designates John Berman as its authorized agent (“</w:t>
      </w:r>
      <w:r>
        <w:rPr>
          <w:rFonts w:ascii="Arial" w:hAnsi="Arial"/>
          <w:b/>
          <w:color w:val="000000"/>
          <w:sz w:val="24"/>
        </w:rPr>
        <w:t>Tenant's Construction Agent</w:t>
      </w:r>
      <w:r>
        <w:rPr>
          <w:color w:val="000000"/>
        </w:rPr>
        <w:t>”</w:t>
      </w:r>
      <w:r>
        <w:rPr>
          <w:rFonts w:ascii="Arial" w:hAnsi="Arial"/>
          <w:color w:val="000000"/>
          <w:sz w:val="24"/>
        </w:rPr>
        <w:t>)</w:t>
      </w:r>
      <w:r>
        <w:rPr>
          <w:color w:val="000000"/>
        </w:rPr>
        <w:t xml:space="preserve"> </w:t>
      </w:r>
      <w:r>
        <w:rPr>
          <w:rFonts w:ascii="Arial" w:hAnsi="Arial"/>
          <w:color w:val="000000"/>
          <w:sz w:val="24"/>
        </w:rPr>
        <w:t>for the purpose of submitting to Landlord and authorizing any Change Orders and for the purpose of consulting with Landlord as to any and all aspects of Landlord's Work. Tenant's Construction Agent shall have the right to inspect the Additional Space during the course of the Landlord's Work provided Tenant's Construction Agent shall make a prior appointment with Landlord and/or its contractor at a mutually convenient time.</w:t>
      </w:r>
    </w:p>
    <w:p>
      <w:pPr>
        <w:pStyle w:val="TextBody"/>
        <w:bidi w:val="0"/>
        <w:spacing w:before="0" w:after="120"/>
        <w:jc w:val="both"/>
        <w:rPr>
          <w:rFonts w:ascii="Arial" w:hAnsi="Arial"/>
          <w:color w:val="000000"/>
          <w:sz w:val="24"/>
        </w:rPr>
      </w:pPr>
      <w:r>
        <w:rPr>
          <w:rFonts w:ascii="Arial" w:hAnsi="Arial"/>
          <w:color w:val="000000"/>
          <w:sz w:val="24"/>
        </w:rPr>
        <w:t>(f)</w:t>
      </w:r>
    </w:p>
    <w:p>
      <w:pPr>
        <w:pStyle w:val="TextBody"/>
        <w:bidi w:val="0"/>
        <w:spacing w:before="0" w:after="120"/>
        <w:jc w:val="both"/>
        <w:rPr>
          <w:rFonts w:ascii="Arial" w:hAnsi="Arial"/>
          <w:color w:val="000000"/>
          <w:sz w:val="24"/>
        </w:rPr>
      </w:pPr>
      <w:r>
        <w:rPr>
          <w:rFonts w:ascii="Arial" w:hAnsi="Arial"/>
          <w:color w:val="000000"/>
          <w:sz w:val="24"/>
        </w:rPr>
        <w:t>Subject to a mutually acceptable schedule, Tenant will have access to the Additional Space ten (10) days prior to the Additional Space Commencement Date, solely for the purpose of installing telephone and communication systems, security equipment, related cabling, moving furniture, and other similar requirements, at no charge to Tenant. If Tenant enters upon the Additional Space prior to the completion of the Landlord's Work, (a) Tenant shall comply with the provisions of this Lease, and (b) Tenant shall indemnify and save Landlord harmless from and against any and all Losses arising from or claimed to arise as a result of (i) any act, neglect or failure to act of Tenant or anyone entering the Additional Space with Tenant's permission, or (ii) any other reason whatsoever arising out of Tenant's entry upon the Additional Space prior to the Additional Space Commencement Date.</w:t>
      </w:r>
    </w:p>
    <w:p>
      <w:pPr>
        <w:pStyle w:val="TextBody"/>
        <w:bidi w:val="0"/>
        <w:spacing w:before="0" w:after="120"/>
        <w:jc w:val="both"/>
        <w:rPr>
          <w:rFonts w:ascii="Arial" w:hAnsi="Arial"/>
          <w:color w:val="000000"/>
          <w:sz w:val="24"/>
        </w:rPr>
      </w:pPr>
      <w:r>
        <w:rPr>
          <w:rFonts w:ascii="Arial" w:hAnsi="Arial"/>
          <w:color w:val="000000"/>
          <w:sz w:val="24"/>
        </w:rPr>
        <w:t>(g)</w:t>
      </w:r>
    </w:p>
    <w:p>
      <w:pPr>
        <w:pStyle w:val="TextBody"/>
        <w:bidi w:val="0"/>
        <w:spacing w:before="0" w:after="120"/>
        <w:jc w:val="both"/>
        <w:rPr>
          <w:rFonts w:ascii="Arial" w:hAnsi="Arial"/>
          <w:color w:val="000000"/>
          <w:sz w:val="24"/>
        </w:rPr>
      </w:pPr>
      <w:r>
        <w:rPr>
          <w:rFonts w:ascii="Arial" w:hAnsi="Arial"/>
          <w:color w:val="000000"/>
          <w:sz w:val="24"/>
        </w:rPr>
        <w:t>Because Tenant will be in possession of the Premises during the performance of the Landlord's Work and a portion of the Landlord's Work will impact the Original Premises, Tenant shall (i) not interfere with the execution and performance of any of the Landlord's Work, and (ii) take all reasonable steps requested by Landlord or its contractor(s) to provide working areas within the Original Premises required by Landlord or its contractors, so that the Landlord's Work will not be delayed by the presence of Tenant's personnel in the Original Premises. Landlord shall use reasonable efforts to minimize interference with Tenant's use and occupancy of the Original Premises during the performance of the Landlord's Work. Notwithstanding anything to the contrary contained in the Lease, in no event shall Landlord's (or its contractors') entry upon the Original Premises for the purposes of performing the Landlord's Work be deemed to be an eviction, actual or constructive, of Tenant from the Original Premises or any portion thereof, nor shall anything contained in this Section 7 or any action of Landlord in accordance herewith relieve or excuse Tenant from its obligations and duties under the Lease, as amended by this Amendment.</w:t>
      </w:r>
    </w:p>
    <w:p>
      <w:pPr>
        <w:pStyle w:val="TextBody"/>
        <w:bidi w:val="0"/>
        <w:spacing w:before="0" w:after="240"/>
        <w:jc w:val="both"/>
        <w:rPr>
          <w:rFonts w:ascii="Arial" w:hAnsi="Arial"/>
          <w:color w:val="000000"/>
          <w:sz w:val="24"/>
        </w:rPr>
      </w:pPr>
      <w:r>
        <w:rPr>
          <w:rFonts w:ascii="Arial" w:hAnsi="Arial"/>
          <w:color w:val="000000"/>
          <w:sz w:val="24"/>
        </w:rPr>
        <w:t>(h)</w:t>
      </w:r>
    </w:p>
    <w:p>
      <w:pPr>
        <w:pStyle w:val="TextBody"/>
        <w:bidi w:val="0"/>
        <w:spacing w:before="0" w:after="240"/>
        <w:jc w:val="both"/>
        <w:rPr/>
      </w:pPr>
      <w:r>
        <w:rPr>
          <w:rFonts w:ascii="Arial" w:hAnsi="Arial"/>
          <w:color w:val="000000"/>
          <w:sz w:val="24"/>
        </w:rPr>
        <w:t>Tenant hereby assumes all risk to Tenant's trade fixtures, fixtures and other personal property (“</w:t>
      </w:r>
      <w:r>
        <w:rPr>
          <w:rFonts w:ascii="Arial" w:hAnsi="Arial"/>
          <w:b/>
          <w:color w:val="000000"/>
          <w:sz w:val="24"/>
        </w:rPr>
        <w:t>Tenant's Property</w:t>
      </w:r>
      <w:r>
        <w:rPr>
          <w:color w:val="000000"/>
        </w:rPr>
        <w:t>”</w:t>
      </w:r>
      <w:r>
        <w:rPr>
          <w:rFonts w:ascii="Arial" w:hAnsi="Arial"/>
          <w:color w:val="000000"/>
          <w:sz w:val="24"/>
        </w:rPr>
        <w:t>)</w:t>
      </w:r>
      <w:r>
        <w:rPr>
          <w:color w:val="000000"/>
        </w:rPr>
        <w:t xml:space="preserve"> </w:t>
      </w:r>
      <w:r>
        <w:rPr>
          <w:rFonts w:ascii="Arial" w:hAnsi="Arial"/>
          <w:color w:val="000000"/>
          <w:sz w:val="24"/>
        </w:rPr>
        <w:t xml:space="preserve">arising in connection with the performance of the Landlord's Work, except to the extent caused by the gross negligence or willful misconduct of Landlord, its agents, employees or contractors. Tenant hereby releases Landlord, its agents, employees and contractors, from and against any claim, loss, cost or liability for damage to Tenant's Property or for injury to any persons resulting or claimed to have resulted in connection with the Landlord's Work, except to the extent caused by the gross negligence or willful misconduct of Landlord, its agents, employees or </w:t>
      </w:r>
    </w:p>
    <w:p>
      <w:pPr>
        <w:pStyle w:val="TextBody"/>
        <w:bidi w:val="0"/>
        <w:jc w:val="center"/>
        <w:rPr>
          <w:rFonts w:ascii="Arial" w:hAnsi="Arial"/>
          <w:color w:val="000000"/>
          <w:sz w:val="24"/>
        </w:rPr>
      </w:pPr>
      <w:r>
        <w:rPr>
          <w:rFonts w:ascii="Arial" w:hAnsi="Arial"/>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contractors. In accordance with the foregoing, Tenant shall (i) obtain property and liability insurance, or confirm that its current insurance policies are effective, against such risks in the amounts required under the Lease, and Tenant shall provide Landlord with evidence of such insurance prior to the commencement of the Landlord's Work, which insurance policies shall include a waiver of subrogation in favor of Landlord whereby Tenant and its insurer(s) each waive any right of recovery against Landlord for any loss or damage suffered in connection with the performance of the Landlord's Work, whether or not such loss or damage is caused by the fault or negligence of Landlord, and (ii) indemnify and hold harmless Landlord, its agents, employees and contractors from any claim, loss, cost or liability for damage to Tenant's Property or, except to the extent caused by the gross negligence or willful misconduct of Landlord, its agents, employees or contractors, for injury to any persons resulting or claimed to have resulted in connection with the performance of the Landlord's Work.</w:t>
      </w:r>
    </w:p>
    <w:p>
      <w:pPr>
        <w:pStyle w:val="TextBody"/>
        <w:bidi w:val="0"/>
        <w:spacing w:before="0" w:after="240"/>
        <w:jc w:val="both"/>
        <w:rPr>
          <w:rFonts w:ascii="Arial" w:hAnsi="Arial"/>
          <w:color w:val="000000"/>
          <w:sz w:val="24"/>
        </w:rPr>
      </w:pPr>
      <w:r>
        <w:rPr>
          <w:rFonts w:ascii="Arial" w:hAnsi="Arial"/>
          <w:color w:val="000000"/>
          <w:sz w:val="24"/>
        </w:rPr>
        <w:t>(i)</w:t>
      </w:r>
    </w:p>
    <w:p>
      <w:pPr>
        <w:pStyle w:val="TextBody"/>
        <w:bidi w:val="0"/>
        <w:spacing w:before="0" w:after="240"/>
        <w:jc w:val="both"/>
        <w:rPr>
          <w:rFonts w:ascii="Arial" w:hAnsi="Arial"/>
          <w:color w:val="000000"/>
          <w:sz w:val="24"/>
        </w:rPr>
      </w:pPr>
      <w:r>
        <w:rPr>
          <w:rFonts w:ascii="Arial" w:hAnsi="Arial"/>
          <w:color w:val="000000"/>
          <w:sz w:val="24"/>
        </w:rPr>
        <w:t>Landlord shall use commercially reasonable efforts to Substantially Complete Landlord's Work on or prior to September 1, 2023. Landlord and Tenant further agree that if the Additional Space Commencement Date does not occur by March 1, 2024, as may be extended by Unavoidable Delays and Tenant Delays, Tenant may, at any time thereafter until the Additional Space Commencement Date, terminate this Lease by giving written notice to Landlord in which case this Lease shall terminate and neither party shall have any further liability to the other except (i) those obligations expressly intended to survive the termination of this Lease, and (ii) an obligation on the part of Landlord to return to Tenant any amounts deposited by Tenant under this Lease.</w:t>
      </w:r>
    </w:p>
    <w:p>
      <w:pPr>
        <w:pStyle w:val="TextBody"/>
        <w:bidi w:val="0"/>
        <w:spacing w:before="0" w:after="240"/>
        <w:jc w:val="both"/>
        <w:rPr>
          <w:rFonts w:ascii="Arial" w:hAnsi="Arial"/>
          <w:color w:val="000000"/>
          <w:sz w:val="24"/>
        </w:rPr>
      </w:pPr>
      <w:r>
        <w:rPr>
          <w:rFonts w:ascii="Arial" w:hAnsi="Arial"/>
          <w:color w:val="000000"/>
          <w:sz w:val="24"/>
        </w:rPr>
        <w:t>(j)</w:t>
      </w:r>
    </w:p>
    <w:p>
      <w:pPr>
        <w:pStyle w:val="TextBody"/>
        <w:bidi w:val="0"/>
        <w:spacing w:before="0" w:after="240"/>
        <w:jc w:val="both"/>
        <w:rPr/>
      </w:pPr>
      <w:r>
        <w:rPr>
          <w:rFonts w:ascii="Arial" w:hAnsi="Arial"/>
          <w:color w:val="000000"/>
          <w:sz w:val="24"/>
        </w:rPr>
        <w:t>Landlord warrants that the Landlord's Work shall be free from defects in design, materials and workmanship that arise during the Warranty Period. If Tenant gives Landlord written notice during the Warranty Period (time being of the essence) of any such defect, as Tenant's sole remedy and Landlord's sole obligation, Landlord shall perform (or cause to be performed) the work necessary to correct or fix such defect at Landlord's sole cost and expense and as soon as practicable under the circumstances, but in any event, within 30 days following receipt of the notice, subject to Tenant Delays and Unavoidable Delays. As used in this Amendment, the “</w:t>
      </w:r>
      <w:r>
        <w:rPr>
          <w:rFonts w:ascii="Arial" w:hAnsi="Arial"/>
          <w:b/>
          <w:color w:val="000000"/>
          <w:sz w:val="24"/>
        </w:rPr>
        <w:t>Warranty Period</w:t>
      </w:r>
      <w:r>
        <w:rPr>
          <w:color w:val="000000"/>
        </w:rPr>
        <w:t xml:space="preserve">” </w:t>
      </w:r>
      <w:r>
        <w:rPr>
          <w:rFonts w:ascii="Arial" w:hAnsi="Arial"/>
          <w:color w:val="000000"/>
          <w:sz w:val="24"/>
        </w:rPr>
        <w:t>means the one year period that begins on the date that the Landlord's Work is Substantially Completed.</w:t>
      </w:r>
    </w:p>
    <w:p>
      <w:pPr>
        <w:pStyle w:val="TextBody"/>
        <w:bidi w:val="0"/>
        <w:spacing w:before="0" w:after="120"/>
        <w:jc w:val="both"/>
        <w:rPr>
          <w:rFonts w:ascii="Arial" w:hAnsi="Arial"/>
          <w:color w:val="000000"/>
          <w:sz w:val="24"/>
        </w:rPr>
      </w:pPr>
      <w:r>
        <w:rPr>
          <w:rFonts w:ascii="Arial" w:hAnsi="Arial"/>
          <w:color w:val="000000"/>
          <w:sz w:val="24"/>
        </w:rPr>
        <w:t>8.</w:t>
      </w:r>
    </w:p>
    <w:p>
      <w:pPr>
        <w:pStyle w:val="TextBody"/>
        <w:bidi w:val="0"/>
        <w:spacing w:before="0" w:after="120"/>
        <w:jc w:val="both"/>
        <w:rPr/>
      </w:pPr>
      <w:r>
        <w:rPr>
          <w:rFonts w:ascii="Arial" w:hAnsi="Arial"/>
          <w:color w:val="000000"/>
          <w:sz w:val="24"/>
          <w:u w:val="single"/>
        </w:rPr>
        <w:t>Reserved Parking</w:t>
      </w:r>
      <w:r>
        <w:rPr>
          <w:rFonts w:ascii="Arial" w:hAnsi="Arial"/>
          <w:color w:val="000000"/>
          <w:sz w:val="24"/>
        </w:rPr>
        <w:t xml:space="preserve">. At no cost to Tenant throughout the Term of the Lease, Landlord shall reserve for Tenant's exclusive use two (2) of the parking spaces in the reserved parking area at the back of Three Bala East, as such spaces are outlined and hatched on the drawing of such lot attached hereto and made a part hereof as </w:t>
      </w:r>
      <w:r>
        <w:rPr>
          <w:rFonts w:ascii="Arial" w:hAnsi="Arial"/>
          <w:b/>
          <w:color w:val="000000"/>
          <w:sz w:val="24"/>
          <w:u w:val="single"/>
        </w:rPr>
        <w:t>Exhibit D</w:t>
      </w:r>
      <w:r>
        <w:rPr>
          <w:rFonts w:ascii="Arial" w:hAnsi="Arial"/>
          <w:color w:val="000000"/>
          <w:sz w:val="24"/>
        </w:rPr>
        <w:t>. by identifying each such space with a Building standard sign with Tenant's name. Tenant shall comply with the reasonable rules and regulations relating to the use of such reserved parking areas that are established from time to time by Landlord.</w:t>
      </w:r>
    </w:p>
    <w:p>
      <w:pPr>
        <w:pStyle w:val="TextBody"/>
        <w:bidi w:val="0"/>
        <w:spacing w:before="0" w:after="120"/>
        <w:jc w:val="both"/>
        <w:rPr>
          <w:rFonts w:ascii="Arial" w:hAnsi="Arial"/>
          <w:color w:val="000000"/>
          <w:sz w:val="24"/>
        </w:rPr>
      </w:pPr>
      <w:r>
        <w:rPr>
          <w:rFonts w:ascii="Arial" w:hAnsi="Arial"/>
          <w:color w:val="000000"/>
          <w:sz w:val="24"/>
        </w:rPr>
        <w:t>9.</w:t>
      </w:r>
    </w:p>
    <w:p>
      <w:pPr>
        <w:pStyle w:val="TextBody"/>
        <w:bidi w:val="0"/>
        <w:spacing w:before="0" w:after="120"/>
        <w:jc w:val="both"/>
        <w:rPr/>
      </w:pPr>
      <w:r>
        <w:rPr>
          <w:rFonts w:ascii="Arial" w:hAnsi="Arial"/>
          <w:color w:val="000000"/>
          <w:sz w:val="24"/>
          <w:u w:val="single"/>
        </w:rPr>
        <w:t>Substitution of Other Premises</w:t>
      </w:r>
      <w:r>
        <w:rPr>
          <w:rFonts w:ascii="Arial" w:hAnsi="Arial"/>
          <w:color w:val="000000"/>
          <w:sz w:val="24"/>
        </w:rPr>
        <w:t>. Notwithstanding anything to the contrary contained in the Lease, including, without limitation, Section 14.3 of the Lease, Landlord may exercise its substitution right under the Lease no more than once during the Term.</w:t>
      </w:r>
    </w:p>
    <w:p>
      <w:pPr>
        <w:pStyle w:val="TextBody"/>
        <w:bidi w:val="0"/>
        <w:spacing w:before="0" w:after="120"/>
        <w:jc w:val="both"/>
        <w:rPr>
          <w:rFonts w:ascii="Arial" w:hAnsi="Arial"/>
          <w:color w:val="000000"/>
          <w:sz w:val="24"/>
        </w:rPr>
      </w:pPr>
      <w:r>
        <w:rPr>
          <w:rFonts w:ascii="Arial" w:hAnsi="Arial"/>
          <w:color w:val="000000"/>
          <w:sz w:val="24"/>
        </w:rPr>
        <w:t>10.</w:t>
      </w:r>
    </w:p>
    <w:p>
      <w:pPr>
        <w:pStyle w:val="TextBody"/>
        <w:bidi w:val="0"/>
        <w:spacing w:before="0" w:after="120"/>
        <w:jc w:val="both"/>
        <w:rPr/>
      </w:pPr>
      <w:r>
        <w:rPr>
          <w:rFonts w:ascii="Arial" w:hAnsi="Arial"/>
          <w:color w:val="000000"/>
          <w:sz w:val="24"/>
          <w:u w:val="single"/>
        </w:rPr>
        <w:t>Restatement of Remedy</w:t>
      </w:r>
      <w:r>
        <w:rPr>
          <w:rFonts w:ascii="Arial" w:hAnsi="Arial"/>
          <w:color w:val="000000"/>
          <w:sz w:val="24"/>
        </w:rPr>
        <w:t>. Section 15.2(e) of the Lease is hereby restated in its entirety as follows:</w:t>
      </w:r>
    </w:p>
    <w:p>
      <w:pPr>
        <w:pStyle w:val="TextBody"/>
        <w:bidi w:val="0"/>
        <w:jc w:val="center"/>
        <w:rPr>
          <w:rFonts w:ascii="Arial" w:hAnsi="Arial"/>
          <w:color w:val="000000"/>
          <w:sz w:val="24"/>
        </w:rPr>
      </w:pPr>
      <w:r>
        <w:rPr>
          <w:rFonts w:ascii="Arial" w:hAnsi="Arial"/>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r>
        <w:rPr>
          <w:rFonts w:ascii="Arial" w:hAnsi="Arial"/>
          <w:b/>
          <w:color w:val="000000"/>
          <w:sz w:val="24"/>
        </w:rPr>
        <w:t>15.2(e) CONFESSION OF JUDGMENT FOR POSSESSION OF PREMISES. TENANT HEREBY EXPRESSLY AUTHORIZES THE PROTHONOTARY, CLERK OR ANY ATTORNEY OF ANY COURT OF RECORD TO ACCEPT SERVICE OF PROCESS FOR, TO APPEAR FOR, AND TO CONFESS JUDGMENT AGAINST TENANT AND ALL PERSONS CLAIMING UNDER TENANT IN ANY AND ALL ACTIONS BROUGHT HEREUNDER BY LANDLORD AGAINST TENANT TO RECOVER POSSESSION OF THE PREMISES (IN EJECTMENT OR OTHERWISE), WITHOUT ANY LIABILITY ON THE PART OF SAID ATTORNEY, FOR WHICH THIS LEASE SHALL BE SUFFICIENT WARRANT, AND TENANT AGREES THAT UPON THE ENTRY OF SUCH JUDGMENT, A WRIT OF POSSESSION OR OTHER APPROPRIATE PROCESS MAY ISSUE FORTHWITH (WITHOUT ANY PRIOR WRIT OR PROCEEDING WHATSOEVER).</w:t>
      </w:r>
    </w:p>
    <w:p>
      <w:pPr>
        <w:pStyle w:val="TextBody"/>
        <w:bidi w:val="0"/>
        <w:spacing w:before="0" w:after="240"/>
        <w:jc w:val="both"/>
        <w:rPr>
          <w:rFonts w:ascii="Arial" w:hAnsi="Arial"/>
          <w:b/>
          <w:color w:val="000000"/>
          <w:sz w:val="24"/>
        </w:rPr>
      </w:pPr>
      <w:r>
        <w:rPr>
          <w:rFonts w:ascii="Arial" w:hAnsi="Arial"/>
          <w:b/>
          <w:color w:val="000000"/>
          <w:sz w:val="24"/>
        </w:rPr>
        <w:t>IN ANY SUCH ACTION, LANDLORD SHALL FIRST CAUSE TO BE FILED IN SUCH ACTION AN AFFIDAVIT MADE BY LANDLORD OR SOMEONE ACTING FOR IT SETTING FORTH FACTS NECESSARY TO AUTHORIZE THE ENTRY OF JUDGMENT, OF WHICH FACTS SUCH AFFIDAVIT SHALL BE CONCLUSIVE EVIDENCE, AND IF A TRUE COPY OF THIS LEASE BE FILED IN SUCH ACTION (AND OF THE TRUTH OF THE COPY SUCH AFFIDAVIT SHALL BE SUFFICIENT EVIDENCE), IT SHALL NOT BE NECESSARY TO FILE THE ORIGINAL, AS A WARRANT OF ATTORNEY, ANY RULE OF COURT, CUSTOM OR PRACTICE TO THE CONTRARY NOTWITHSTANDING. TENANT AND ALL PERSONS CLAIMING UNDER TENANT HEREBY RELEASE LANDLORD FROM ANY CLAIMS ARISING FROM ANY ERRORS OR DEFECTS WHATSOEVER IN ENTERING SUCH ACTION OR JUDGMENT, IN CAUSING SUCH WRIT OF POSSESSION OR OTHER PROCESS TO BE ISSUED OR IN ANY PROCEEDING THEREON OR CONCERNING THE SAME, AND HEREBY AGREE THAT NO WRIT OF ERROR OR OBJECTION SHALL BE MADE OR TAKEN THERETO.</w:t>
      </w:r>
    </w:p>
    <w:p>
      <w:pPr>
        <w:pStyle w:val="TextBody"/>
        <w:bidi w:val="0"/>
        <w:spacing w:before="0" w:after="240"/>
        <w:jc w:val="both"/>
        <w:rPr>
          <w:rFonts w:ascii="Arial" w:hAnsi="Arial"/>
          <w:b/>
          <w:color w:val="000000"/>
          <w:sz w:val="24"/>
        </w:rPr>
      </w:pPr>
      <w:r>
        <w:rPr>
          <w:rFonts w:ascii="Arial" w:hAnsi="Arial"/>
          <w:b/>
          <w:color w:val="000000"/>
          <w:sz w:val="24"/>
        </w:rPr>
        <w:t>THIS WARRANT OF ATTORNEY SHALL NOT BE EXHAUSTED BY ONE EXERCISE, BUT JUDGMENT MAY BE CONFESSED FROM TIME TO TIME, AS OFTEN AS OCCASION THEREFOR SHALL EXIST. SUCH POWERS MAY BE EXERCISED DURING AS WELL AS AFTER THE EXPIRATION OR TERMINATION OF THE TERM AND DURING AND AT ANY TIME AFTER ANY EXTENSION OR RENEWAL OF THE TERM.</w:t>
      </w:r>
    </w:p>
    <w:p>
      <w:pPr>
        <w:pStyle w:val="TextBody"/>
        <w:bidi w:val="0"/>
        <w:spacing w:before="0" w:after="240"/>
        <w:jc w:val="both"/>
        <w:rPr>
          <w:rFonts w:ascii="Arial" w:hAnsi="Arial"/>
          <w:b/>
          <w:color w:val="000000"/>
          <w:sz w:val="24"/>
        </w:rPr>
      </w:pPr>
      <w:r>
        <w:rPr>
          <w:rFonts w:ascii="Arial" w:hAnsi="Arial"/>
          <w:b/>
          <w:color w:val="000000"/>
          <w:sz w:val="24"/>
        </w:rPr>
        <w:t>THIS SECTION 15.2(e) SETS FORTH A WARRANT OF ATTORNEY FOR AN ATTORNEY TO CONFESS JUDGMENT AGAINST TENANT. IN GRANTING THIS WARRANT OF ATTORNEY TO CONFESS JUDGMENT AGAINST TENANT, TENANT, FOLLOWING CONSULTATION WITH (OR DECISION NOT TO CONSULT WITH) SEPARATE COUNSEL FOR TENANT AND WITH KNOWLEDGE OF THE LEGAL EFFECT HEREOF, HEREBY KNOWINGLY, INTENTIONALLY AND VOLUNTARILY WAIVES UNCONDITIONALLY ANY AND ALL RIGHTS TENANT HAS OR MAY HAVE TO PRE-JUDGMENT AND PRE-EXECUTION NOTICE AND AN OPPORTUNITY FOR HEARING UNDER THE RESPECTIVE CONSTITUTIONS AND LAWS OF THE UNITED STATES OF AMERICA, THE COMMONWEALTH OF PENNSYLVANIA, OR ELSEWHERE.</w:t>
      </w:r>
    </w:p>
    <w:p>
      <w:pPr>
        <w:pStyle w:val="TextBody"/>
        <w:bidi w:val="0"/>
        <w:spacing w:before="0" w:after="240"/>
        <w:jc w:val="both"/>
        <w:rPr>
          <w:rFonts w:ascii="Times New Roman" w:hAnsi="Times New Roman"/>
          <w:sz w:val="20"/>
        </w:rPr>
      </w:pPr>
      <w:r>
        <w:rPr>
          <w:rFonts w:ascii="Arial" w:hAnsi="Arial"/>
          <w:b/>
          <w:color w:val="000000"/>
          <w:sz w:val="24"/>
        </w:rPr>
        <w:t>TENANT SPECIFICALLY ACKNOWLEDGES THAT LANDLORD HAS RELIED ON THE WARRANT OF ATTORNEY SET FORTH IN THIS SECTION 15.2(e) IN</w:t>
      </w:r>
      <w:r>
        <w:rPr>
          <w:rFonts w:ascii="Times New Roman" w:hAnsi="Times New Roman"/>
          <w:color w:val="000000"/>
          <w:sz w:val="20"/>
        </w:rPr>
        <w:t xml:space="preserve"> </w:t>
      </w:r>
    </w:p>
    <w:p>
      <w:pPr>
        <w:pStyle w:val="TextBody"/>
        <w:bidi w:val="0"/>
        <w:jc w:val="center"/>
        <w:rPr>
          <w:rFonts w:ascii="Arial" w:hAnsi="Arial"/>
          <w:color w:val="000000"/>
          <w:sz w:val="24"/>
        </w:rPr>
      </w:pPr>
      <w:r>
        <w:rPr>
          <w:rFonts w:ascii="Arial" w:hAnsi="Arial"/>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b/>
          <w:color w:val="000000"/>
          <w:sz w:val="24"/>
        </w:rPr>
      </w:pPr>
      <w:r>
        <w:rPr>
          <w:rFonts w:ascii="Arial" w:hAnsi="Arial"/>
          <w:b/>
          <w:color w:val="000000"/>
          <w:sz w:val="24"/>
        </w:rPr>
        <w:t>ENTERING INTO THIS LEASE WITH TENANT AND THAT THE LANDLORD-TENANT RELATIONSHIP CREATED HEREBY IS COMMERCIAL IN NATURE.”</w:t>
      </w:r>
    </w:p>
    <w:p>
      <w:pPr>
        <w:pStyle w:val="TextBody"/>
        <w:bidi w:val="0"/>
        <w:spacing w:before="0" w:after="120"/>
        <w:jc w:val="both"/>
        <w:rPr>
          <w:rFonts w:ascii="Arial" w:hAnsi="Arial"/>
          <w:color w:val="000000"/>
          <w:sz w:val="24"/>
        </w:rPr>
      </w:pPr>
      <w:r>
        <w:rPr>
          <w:rFonts w:ascii="Arial" w:hAnsi="Arial"/>
          <w:color w:val="000000"/>
          <w:sz w:val="24"/>
        </w:rPr>
        <w:t>11.</w:t>
      </w:r>
    </w:p>
    <w:p>
      <w:pPr>
        <w:pStyle w:val="TextBody"/>
        <w:bidi w:val="0"/>
        <w:spacing w:before="0" w:after="120"/>
        <w:jc w:val="both"/>
        <w:rPr/>
      </w:pPr>
      <w:r>
        <w:rPr>
          <w:rFonts w:ascii="Arial" w:hAnsi="Arial"/>
          <w:color w:val="000000"/>
          <w:sz w:val="24"/>
          <w:u w:val="single"/>
        </w:rPr>
        <w:t>Exercise of Option to Renew</w:t>
      </w:r>
      <w:r>
        <w:rPr>
          <w:rFonts w:ascii="Arial" w:hAnsi="Arial"/>
          <w:color w:val="000000"/>
          <w:sz w:val="24"/>
        </w:rPr>
        <w:t>. Tenant and Landlord acknowledge and agree that the extension of the term of the Lease pursuant to this Amendment is in lieu of an exercise by Tenant of Tenant's renewal option under Section R1-A of Rider One of the Lease and, therefore, Section R1-A of Rider One of the Lease is hereby deleted from the Lease and rendered of no further force or effect.</w:t>
      </w:r>
    </w:p>
    <w:p>
      <w:pPr>
        <w:pStyle w:val="TextBody"/>
        <w:bidi w:val="0"/>
        <w:spacing w:before="0" w:after="120"/>
        <w:jc w:val="both"/>
        <w:rPr>
          <w:rFonts w:ascii="Arial" w:hAnsi="Arial"/>
          <w:color w:val="000000"/>
          <w:sz w:val="24"/>
        </w:rPr>
      </w:pPr>
      <w:r>
        <w:rPr>
          <w:rFonts w:ascii="Arial" w:hAnsi="Arial"/>
          <w:color w:val="000000"/>
          <w:sz w:val="24"/>
        </w:rPr>
        <w:t>12.</w:t>
      </w:r>
    </w:p>
    <w:p>
      <w:pPr>
        <w:pStyle w:val="TextBody"/>
        <w:bidi w:val="0"/>
        <w:spacing w:before="0" w:after="120"/>
        <w:jc w:val="both"/>
        <w:rPr/>
      </w:pPr>
      <w:r>
        <w:rPr>
          <w:rFonts w:ascii="Arial" w:hAnsi="Arial"/>
          <w:color w:val="000000"/>
          <w:sz w:val="24"/>
          <w:u w:val="single"/>
        </w:rPr>
        <w:t>Option to Renew</w:t>
      </w:r>
      <w:r>
        <w:rPr>
          <w:rFonts w:ascii="Arial" w:hAnsi="Arial"/>
          <w:color w:val="000000"/>
          <w:sz w:val="24"/>
        </w:rPr>
        <w:t>. Provided and upon the conditions that, (a) at the time Tenant exercises its right and option (described below) to extend the term of the Lease and immediately prior to the commencement date of the applicable extension term, the Lease shall be in full force and effect and Tenant shall not be in breach of any of the provisions of the Lease (whether or not the same constitutes an "Event of Default" as defined in Article 15 of the Lease), and (b) during the twelve (12) months prior to such commencement date no such Event of Default shall have occurred, Tenant shall have the right and option, exercisable by giving Landlord prior written notice thereof at least nine (9) months before the commencement date of the extension term, to extend the term of the Lease for one term of three (3) years, commencing on September 1, 2026 and expiring on August 31, 2029, at a monthly Fixed Rent (expressed as an annual amount per square foot of the total rentable square feet of the Premises) equal to the greater of (1) the monthly Fixed Rent payable by Tenant for the month immediately preceding the commencement date of the extension term, and (2) the Fair Market Rent (defined below) as of the commencement date of the extension term, but otherwise upon the same terms, conditions and provisions contained in the Lease including, without limitation, the obligation of Tenant to pay Additional Rent under Section 2.3 of the Lease (except that (A) Landlord shall have no obligation to perform any improvements to the Premises or provide any contribution therefor, (B) there shall be no waiver or abatement of Rent, and (C) there shall be no further right and option to extend). As used herein, "Fair Market Rent" means the monthly base rent, per square foot (with a tenant to pay Additional Rent of the same types described in the Lease), for a lease term equivalent to the extension term, at which Landlord is renewing leases for comparable improved office space in the complex of which the Building is a part and landlords are leasing comparable improved office space in buildings that are comparable to the Building and located in the Bala Cynwyd and Conshohocken, Pennsylvania markets (with appropriate adjustments to take account of variations in location, size and tenant fit-up costs undertaken by Landlord and such landlords) as provided to Tenant by Landlord's written notice within thirty (30) days of receipt of Tenant's notice of exercise. Within ten (10) days after Tenant's receipt of such notice from Landlord to Tenant, Tenant shall give notice to Landlord either accepting or rejecting the Fair Market Rent (if greater than the monthly Fixed Rent payable by Tenant for the month immediately preceding the commencement date of the extension term). If Tenant rejects such terms or if Tenant fails to notify Landlord within such ten (10) day period, then the Lease shall terminate absolutely, without the necessity of any further notice from either party, at the end of the then existing Term of the Lease. If Tenant accepts such terms, then Landlord shall prepare, and the parties shall execute, an appropriate amendment to the Lease reflecting the amendment.</w:t>
      </w:r>
    </w:p>
    <w:p>
      <w:pPr>
        <w:pStyle w:val="TextBody"/>
        <w:bidi w:val="0"/>
        <w:spacing w:before="0" w:after="120"/>
        <w:jc w:val="both"/>
        <w:rPr>
          <w:rFonts w:ascii="Arial" w:hAnsi="Arial"/>
          <w:color w:val="000000"/>
          <w:sz w:val="24"/>
        </w:rPr>
      </w:pPr>
      <w:r>
        <w:rPr>
          <w:rFonts w:ascii="Arial" w:hAnsi="Arial"/>
          <w:color w:val="000000"/>
          <w:sz w:val="24"/>
        </w:rPr>
        <w:t>13.</w:t>
      </w:r>
    </w:p>
    <w:p>
      <w:pPr>
        <w:pStyle w:val="TextBody"/>
        <w:bidi w:val="0"/>
        <w:spacing w:before="0" w:after="120"/>
        <w:jc w:val="both"/>
        <w:rPr/>
      </w:pPr>
      <w:r>
        <w:rPr>
          <w:rFonts w:ascii="Arial" w:hAnsi="Arial"/>
          <w:color w:val="000000"/>
          <w:sz w:val="24"/>
          <w:u w:val="single"/>
        </w:rPr>
        <w:t>Brokers</w:t>
      </w:r>
      <w:r>
        <w:rPr>
          <w:rFonts w:ascii="Arial" w:hAnsi="Arial"/>
          <w:color w:val="000000"/>
          <w:sz w:val="24"/>
        </w:rPr>
        <w:t xml:space="preserve">. Tenant represents and warrants that Tenant has not dealt with any broker, agent, finder or other person in connection with the negotiation for or the obtaining of this Amendment, and that no broker, agent, finder or other person brought about the </w:t>
      </w:r>
    </w:p>
    <w:p>
      <w:pPr>
        <w:pStyle w:val="TextBody"/>
        <w:bidi w:val="0"/>
        <w:jc w:val="center"/>
        <w:rPr>
          <w:rFonts w:ascii="Arial" w:hAnsi="Arial"/>
          <w:color w:val="000000"/>
          <w:sz w:val="24"/>
        </w:rPr>
      </w:pPr>
      <w:r>
        <w:rPr>
          <w:rFonts w:ascii="Arial" w:hAnsi="Arial"/>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Arial" w:hAnsi="Arial"/>
          <w:color w:val="000000"/>
          <w:sz w:val="24"/>
        </w:rPr>
      </w:pPr>
      <w:r>
        <w:rPr>
          <w:rFonts w:ascii="Arial" w:hAnsi="Arial"/>
          <w:color w:val="000000"/>
          <w:sz w:val="24"/>
        </w:rPr>
        <w:t>transaction contemplated by this Amendment, other than Tishman Speyer Properties, L.L.C. and Tactix Real Estate Advisors, LLC. Tenant shall indemnify, defend and hold Landlord harmless from and against any and all claims, lawsuits, liabilities, damages and costs, including attorneys' fees, incurred by Landlord by reason of any breach of Tenant's foregoing warranty. Landlord shall pay Tishman Speyer Properties, L.L.C. and Tactix Real Estate Advisors, LLC. the respective commissions earned by them (if any) in connection with this Amendment pursuant to separate agreements. Landlord shall indemnify, defend and hold Tenant harmless from any claim of any other broker, agent, finder or other person with whom Landlord may have dealt in connection with this Amendment.</w:t>
      </w:r>
    </w:p>
    <w:p>
      <w:pPr>
        <w:pStyle w:val="TextBody"/>
        <w:bidi w:val="0"/>
        <w:spacing w:before="0" w:after="240"/>
        <w:jc w:val="both"/>
        <w:rPr>
          <w:rFonts w:ascii="Arial" w:hAnsi="Arial"/>
          <w:color w:val="000000"/>
          <w:sz w:val="24"/>
        </w:rPr>
      </w:pPr>
      <w:r>
        <w:rPr>
          <w:rFonts w:ascii="Arial" w:hAnsi="Arial"/>
          <w:color w:val="000000"/>
          <w:sz w:val="24"/>
        </w:rPr>
        <w:t>14.</w:t>
      </w:r>
    </w:p>
    <w:p>
      <w:pPr>
        <w:pStyle w:val="TextBody"/>
        <w:bidi w:val="0"/>
        <w:spacing w:before="0" w:after="240"/>
        <w:jc w:val="both"/>
        <w:rPr/>
      </w:pPr>
      <w:r>
        <w:rPr>
          <w:rFonts w:ascii="Arial" w:hAnsi="Arial"/>
          <w:color w:val="000000"/>
          <w:sz w:val="24"/>
          <w:u w:val="single"/>
        </w:rPr>
        <w:t>Ratification of Lease</w:t>
      </w:r>
      <w:r>
        <w:rPr>
          <w:rFonts w:ascii="Arial" w:hAnsi="Arial"/>
          <w:color w:val="000000"/>
          <w:sz w:val="24"/>
        </w:rPr>
        <w:t>. Except as specifically modified by this Amendment, all of the provisions of the Lease are hereby ratified and confirmed to be in full force and effect, and shall remain in full force and effect, including, without limitation, all remedies reserved to Landlord, with which remedies Tenant hereby acknowledges complete familiarity, and which remedies are incorporated herein by reference as though set forth in their entirety.</w:t>
      </w:r>
    </w:p>
    <w:p>
      <w:pPr>
        <w:pStyle w:val="TextBody"/>
        <w:bidi w:val="0"/>
        <w:spacing w:before="0" w:after="240"/>
        <w:jc w:val="both"/>
        <w:rPr>
          <w:rFonts w:ascii="Arial" w:hAnsi="Arial"/>
          <w:color w:val="000000"/>
          <w:sz w:val="24"/>
        </w:rPr>
      </w:pPr>
      <w:r>
        <w:rPr>
          <w:rFonts w:ascii="Arial" w:hAnsi="Arial"/>
          <w:color w:val="000000"/>
          <w:sz w:val="24"/>
        </w:rPr>
        <w:t>15.</w:t>
      </w:r>
    </w:p>
    <w:p>
      <w:pPr>
        <w:pStyle w:val="TextBody"/>
        <w:bidi w:val="0"/>
        <w:spacing w:before="0" w:after="240"/>
        <w:jc w:val="both"/>
        <w:rPr/>
      </w:pPr>
      <w:r>
        <w:rPr>
          <w:rFonts w:ascii="Arial" w:hAnsi="Arial"/>
          <w:color w:val="000000"/>
          <w:sz w:val="24"/>
          <w:u w:val="single"/>
        </w:rPr>
        <w:t>Acknowledgements</w:t>
      </w:r>
      <w:r>
        <w:rPr>
          <w:rFonts w:ascii="Arial" w:hAnsi="Arial"/>
          <w:color w:val="000000"/>
          <w:sz w:val="24"/>
        </w:rPr>
        <w:t>. Tenant hereby acknowledges that, as of the date of this Amendment, (a) except as modified by this Amendment, the Lease is in full force and effect; (b) the Lease has been assigned or encumbered by Tenant; (c) Tenant knows of no current defense or counterclaim to the enforcement of the Lease; (d) Tenant is not currently entitled, to Tenant's knowledge, to any offset, abatement or reduction of rent under the Lease; (e) Landlord has completed all work to be performed by Landlord, except for the work to be performed by Landlord in accordance with the provisions of this Amendment and paid all contributions and other sums due to Tenant under the Lease, if any, and (f) there are no existing defaults by Tenant or, to Tenant's knowledge, by Landlord in the performance of their obligations under the Lease, nor to the best of Tenant's knowledge, is there now any fact or condition which, with notice or lapse of time or both, will become such a default, and to the best of Tenant's knowledge there is no offset, defense, counterclaim or credit against any rental or other payment due under the Lease.</w:t>
      </w:r>
    </w:p>
    <w:p>
      <w:pPr>
        <w:pStyle w:val="TextBody"/>
        <w:bidi w:val="0"/>
        <w:spacing w:before="0" w:after="240"/>
        <w:jc w:val="both"/>
        <w:rPr>
          <w:rFonts w:ascii="Arial" w:hAnsi="Arial"/>
          <w:color w:val="000000"/>
          <w:sz w:val="24"/>
        </w:rPr>
      </w:pPr>
      <w:r>
        <w:rPr>
          <w:rFonts w:ascii="Arial" w:hAnsi="Arial"/>
          <w:color w:val="000000"/>
          <w:sz w:val="24"/>
        </w:rPr>
        <w:t>16.</w:t>
      </w:r>
    </w:p>
    <w:p>
      <w:pPr>
        <w:pStyle w:val="TextBody"/>
        <w:bidi w:val="0"/>
        <w:spacing w:before="0" w:after="240"/>
        <w:jc w:val="both"/>
        <w:rPr/>
      </w:pPr>
      <w:r>
        <w:rPr>
          <w:rFonts w:ascii="Arial" w:hAnsi="Arial"/>
          <w:color w:val="000000"/>
          <w:sz w:val="24"/>
          <w:u w:val="single"/>
        </w:rPr>
        <w:t>Limitation of Liability</w:t>
      </w:r>
      <w:r>
        <w:rPr>
          <w:rFonts w:ascii="Arial" w:hAnsi="Arial"/>
          <w:color w:val="000000"/>
          <w:sz w:val="24"/>
        </w:rPr>
        <w:t>. Notwithstanding anything appearing to the contrary in the Lease or this Amendment, the officers, directors, agents, managers, employees, and direct and indirect shareholders, partners, members and owners of Landlord and Landlord's Agent, respectively (or any officer, director, agent, manager, personal representative, trustee or employee of any direct or indirect shareholder, partner, member or owner of Landlord or Landlord's Agent, respectively) (collectively, the “</w:t>
      </w:r>
      <w:r>
        <w:rPr>
          <w:rFonts w:ascii="Arial" w:hAnsi="Arial"/>
          <w:b/>
          <w:color w:val="000000"/>
          <w:sz w:val="24"/>
        </w:rPr>
        <w:t>Landlord Parties</w:t>
      </w:r>
      <w:r>
        <w:rPr>
          <w:color w:val="000000"/>
        </w:rPr>
        <w:t>”</w:t>
      </w:r>
      <w:r>
        <w:rPr>
          <w:rFonts w:ascii="Arial" w:hAnsi="Arial"/>
          <w:color w:val="000000"/>
          <w:sz w:val="24"/>
        </w:rPr>
        <w:t>),</w:t>
      </w:r>
      <w:r>
        <w:rPr>
          <w:color w:val="000000"/>
        </w:rPr>
        <w:t xml:space="preserve"> </w:t>
      </w:r>
      <w:r>
        <w:rPr>
          <w:rFonts w:ascii="Arial" w:hAnsi="Arial"/>
          <w:color w:val="000000"/>
          <w:sz w:val="24"/>
        </w:rPr>
        <w:t>shall not be personally liable for any debts or other obligations of Landlord or in respect of any claims against Landlord arising under the Lease or this Amendment, and any such debts, obligations or claims shall be satisfied solely out of the interest of Landlord in the Building. No personal judgment shall be sought or obtained against any Landlord Party. "Landlord's Agent" means Landlord's agent for leasing and management functions at the Building, Tishman Speyer Properties, L.L.C., and any successor thereto.</w:t>
      </w:r>
    </w:p>
    <w:p>
      <w:pPr>
        <w:pStyle w:val="TextBody"/>
        <w:bidi w:val="0"/>
        <w:spacing w:before="0" w:after="240"/>
        <w:jc w:val="both"/>
        <w:rPr>
          <w:rFonts w:ascii="Arial" w:hAnsi="Arial"/>
          <w:color w:val="000000"/>
          <w:sz w:val="24"/>
        </w:rPr>
      </w:pPr>
      <w:r>
        <w:rPr>
          <w:rFonts w:ascii="Arial" w:hAnsi="Arial"/>
          <w:color w:val="000000"/>
          <w:sz w:val="24"/>
        </w:rPr>
        <w:t>17.</w:t>
      </w:r>
    </w:p>
    <w:p>
      <w:pPr>
        <w:pStyle w:val="TextBody"/>
        <w:bidi w:val="0"/>
        <w:spacing w:before="0" w:after="240"/>
        <w:jc w:val="both"/>
        <w:rPr/>
      </w:pPr>
      <w:r>
        <w:rPr>
          <w:rFonts w:ascii="Arial" w:hAnsi="Arial"/>
          <w:color w:val="000000"/>
          <w:sz w:val="24"/>
          <w:u w:val="single"/>
        </w:rPr>
        <w:t>Binding Effect</w:t>
      </w:r>
      <w:r>
        <w:rPr>
          <w:rFonts w:ascii="Arial" w:hAnsi="Arial"/>
          <w:color w:val="000000"/>
          <w:sz w:val="24"/>
        </w:rPr>
        <w:t>. This Amendment shall be binding upon, and shall inure to the benefit of Landlord and Tenant and their respective heirs, executors, personal representatives, administrators, successors and permitted assigns.</w:t>
      </w:r>
    </w:p>
    <w:p>
      <w:pPr>
        <w:pStyle w:val="TextBody"/>
        <w:bidi w:val="0"/>
        <w:jc w:val="center"/>
        <w:rPr>
          <w:rFonts w:ascii="Arial" w:hAnsi="Arial"/>
          <w:color w:val="000000"/>
          <w:sz w:val="24"/>
        </w:rPr>
      </w:pPr>
      <w:r>
        <w:rPr>
          <w:rFonts w:ascii="Arial" w:hAnsi="Arial"/>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18.</w:t>
      </w:r>
    </w:p>
    <w:p>
      <w:pPr>
        <w:pStyle w:val="TextBody"/>
        <w:bidi w:val="0"/>
        <w:spacing w:before="0" w:after="240"/>
        <w:jc w:val="both"/>
        <w:rPr/>
      </w:pPr>
      <w:r>
        <w:rPr>
          <w:rFonts w:ascii="Arial" w:hAnsi="Arial"/>
          <w:color w:val="000000"/>
          <w:sz w:val="24"/>
          <w:u w:val="single"/>
        </w:rPr>
        <w:t>Governing Law</w:t>
      </w:r>
      <w:r>
        <w:rPr>
          <w:rFonts w:ascii="Arial" w:hAnsi="Arial"/>
          <w:color w:val="000000"/>
          <w:sz w:val="24"/>
        </w:rPr>
        <w:t>. This Amendment shall be governed by and construed in accordance with the laws of the Commonwealth of Pennsylvania.</w:t>
      </w:r>
    </w:p>
    <w:p>
      <w:pPr>
        <w:pStyle w:val="TextBody"/>
        <w:bidi w:val="0"/>
        <w:spacing w:before="0" w:after="240"/>
        <w:jc w:val="both"/>
        <w:rPr>
          <w:rFonts w:ascii="Arial" w:hAnsi="Arial"/>
          <w:color w:val="000000"/>
          <w:sz w:val="24"/>
        </w:rPr>
      </w:pPr>
      <w:r>
        <w:rPr>
          <w:rFonts w:ascii="Arial" w:hAnsi="Arial"/>
          <w:color w:val="000000"/>
          <w:sz w:val="24"/>
        </w:rPr>
        <w:t>19.</w:t>
      </w:r>
    </w:p>
    <w:p>
      <w:pPr>
        <w:pStyle w:val="TextBody"/>
        <w:bidi w:val="0"/>
        <w:spacing w:before="0" w:after="240"/>
        <w:jc w:val="both"/>
        <w:rPr/>
      </w:pPr>
      <w:r>
        <w:rPr>
          <w:rFonts w:ascii="Arial" w:hAnsi="Arial"/>
          <w:color w:val="000000"/>
          <w:sz w:val="24"/>
          <w:u w:val="single"/>
        </w:rPr>
        <w:t>Counterparts</w:t>
      </w:r>
      <w:r>
        <w:rPr>
          <w:rFonts w:ascii="Arial" w:hAnsi="Arial"/>
          <w:color w:val="000000"/>
          <w:sz w:val="24"/>
        </w:rPr>
        <w:t>. This Amendment may be executed in any number of counterparts, each of which shall be deemed to be an original and all of which shall constitute one and the same instrument.</w:t>
      </w:r>
    </w:p>
    <w:p>
      <w:pPr>
        <w:pStyle w:val="TextBody"/>
        <w:bidi w:val="0"/>
        <w:spacing w:before="0" w:after="240"/>
        <w:jc w:val="center"/>
        <w:rPr>
          <w:rFonts w:ascii="Arial" w:hAnsi="Arial"/>
          <w:b/>
          <w:i/>
          <w:color w:val="000000"/>
          <w:sz w:val="24"/>
        </w:rPr>
      </w:pPr>
      <w:r>
        <w:rPr>
          <w:rFonts w:ascii="Arial" w:hAnsi="Arial"/>
          <w:b/>
          <w:i/>
          <w:color w:val="000000"/>
          <w:sz w:val="24"/>
        </w:rPr>
        <w:t>[Signature page follows.]</w:t>
      </w:r>
    </w:p>
    <w:p>
      <w:pPr>
        <w:pStyle w:val="TextBody"/>
        <w:bidi w:val="0"/>
        <w:spacing w:before="0" w:after="240"/>
        <w:jc w:val="both"/>
        <w:rPr/>
      </w:pPr>
      <w:r>
        <w:rPr/>
        <w:t> </w:t>
      </w:r>
    </w:p>
    <w:p>
      <w:pPr>
        <w:pStyle w:val="TextBody"/>
        <w:bidi w:val="0"/>
        <w:jc w:val="center"/>
        <w:rPr>
          <w:rFonts w:ascii="Arial" w:hAnsi="Arial"/>
          <w:color w:val="000000"/>
          <w:sz w:val="24"/>
        </w:rPr>
      </w:pPr>
      <w:r>
        <w:rPr>
          <w:rFonts w:ascii="Arial" w:hAnsi="Arial"/>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Arial" w:hAnsi="Arial"/>
          <w:color w:val="000000"/>
          <w:sz w:val="24"/>
        </w:rPr>
      </w:pPr>
      <w:r>
        <w:rPr>
          <w:rFonts w:ascii="Arial" w:hAnsi="Arial"/>
          <w:color w:val="000000"/>
          <w:sz w:val="24"/>
        </w:rPr>
        <w:t>IN WITNESS WHEREOF, Landlord and Tenant have caused this Amendment to be executed by their respective duly authorized officers as of the day and year first above written.</w:t>
      </w:r>
    </w:p>
    <w:p>
      <w:pPr>
        <w:pStyle w:val="TextBody"/>
        <w:bidi w:val="0"/>
        <w:jc w:val="both"/>
        <w:rPr>
          <w:rFonts w:ascii="Arial" w:hAnsi="Arial"/>
          <w:color w:val="000000"/>
          <w:sz w:val="24"/>
        </w:rPr>
      </w:pPr>
      <w:r>
        <w:rPr>
          <w:rFonts w:ascii="Arial" w:hAnsi="Arial"/>
          <w:color w:val="000000"/>
          <w:sz w:val="24"/>
        </w:rPr>
        <w:t>LANDLORD:</w:t>
      </w:r>
    </w:p>
    <w:p>
      <w:pPr>
        <w:pStyle w:val="TextBody"/>
        <w:bidi w:val="0"/>
        <w:jc w:val="both"/>
        <w:rPr>
          <w:rFonts w:ascii="Arial" w:hAnsi="Arial"/>
          <w:color w:val="000000"/>
          <w:sz w:val="24"/>
        </w:rPr>
      </w:pPr>
      <w:r>
        <w:rPr>
          <w:rFonts w:ascii="Arial" w:hAnsi="Arial"/>
          <w:color w:val="000000"/>
          <w:sz w:val="24"/>
        </w:rPr>
        <w:t>Bala Plaza Property, Inc.,</w:t>
      </w:r>
    </w:p>
    <w:p>
      <w:pPr>
        <w:pStyle w:val="TextBody"/>
        <w:bidi w:val="0"/>
        <w:spacing w:before="0" w:after="240"/>
        <w:jc w:val="both"/>
        <w:rPr>
          <w:rFonts w:ascii="Arial" w:hAnsi="Arial"/>
          <w:color w:val="000000"/>
          <w:sz w:val="24"/>
        </w:rPr>
      </w:pPr>
      <w:r>
        <w:rPr>
          <w:rFonts w:ascii="Arial" w:hAnsi="Arial"/>
          <w:color w:val="000000"/>
          <w:sz w:val="24"/>
        </w:rPr>
        <w:t>a Delaware corporation</w:t>
      </w:r>
    </w:p>
    <w:p>
      <w:pPr>
        <w:pStyle w:val="TextBody"/>
        <w:bidi w:val="0"/>
        <w:spacing w:before="0" w:after="240"/>
        <w:jc w:val="both"/>
        <w:rPr>
          <w:rFonts w:ascii="Times New Roman" w:hAnsi="Times New Roman"/>
          <w:sz w:val="20"/>
        </w:rPr>
      </w:pPr>
      <w:r>
        <w:rPr>
          <w:rFonts w:ascii="Arial" w:hAnsi="Arial"/>
          <w:color w:val="000000"/>
          <w:sz w:val="24"/>
        </w:rPr>
        <w:t xml:space="preserve">By: </w:t>
      </w:r>
      <w:r>
        <w:rPr>
          <w:rFonts w:ascii="Arial" w:hAnsi="Arial"/>
          <w:color w:val="000000"/>
          <w:sz w:val="24"/>
          <w:u w:val="single"/>
        </w:rPr>
        <w:t xml:space="preserve">/s/ Paul A. Galiano </w:t>
      </w:r>
    </w:p>
    <w:p>
      <w:pPr>
        <w:pStyle w:val="TextBody"/>
        <w:bidi w:val="0"/>
        <w:spacing w:before="0" w:after="480"/>
        <w:jc w:val="both"/>
        <w:rPr>
          <w:rFonts w:ascii="Times New Roman" w:hAnsi="Times New Roman"/>
          <w:sz w:val="20"/>
        </w:rPr>
      </w:pPr>
      <w:r>
        <w:rPr>
          <w:rFonts w:ascii="Arial" w:hAnsi="Arial"/>
          <w:color w:val="000000"/>
          <w:sz w:val="24"/>
        </w:rPr>
        <w:t>Its:</w:t>
      </w:r>
      <w:r>
        <w:rPr>
          <w:rFonts w:ascii="Times New Roman" w:hAnsi="Times New Roman"/>
          <w:color w:val="000000"/>
          <w:sz w:val="20"/>
          <w:u w:val="single"/>
        </w:rPr>
        <w:t xml:space="preserve"> </w:t>
      </w:r>
      <w:r>
        <w:rPr>
          <w:rFonts w:ascii="Arial" w:hAnsi="Arial"/>
          <w:color w:val="000000"/>
          <w:sz w:val="24"/>
          <w:u w:val="single"/>
        </w:rPr>
        <w:t xml:space="preserve">Senior Managing Director </w:t>
      </w:r>
    </w:p>
    <w:p>
      <w:pPr>
        <w:pStyle w:val="TextBody"/>
        <w:bidi w:val="0"/>
        <w:spacing w:before="0" w:after="240"/>
        <w:jc w:val="both"/>
        <w:rPr>
          <w:rFonts w:ascii="Arial" w:hAnsi="Arial"/>
          <w:b/>
          <w:color w:val="000000"/>
          <w:sz w:val="24"/>
        </w:rPr>
      </w:pPr>
      <w:r>
        <w:rPr>
          <w:rFonts w:ascii="Arial" w:hAnsi="Arial"/>
          <w:b/>
          <w:color w:val="000000"/>
          <w:sz w:val="24"/>
        </w:rPr>
        <w:t>THE UNDERSIGNED TENANT ACKNOWLEDGES THAT IT FULLY UNDERSTANDS THE CONFESSION OF JUDGMENT CONTAINED IN SECTION 15.2(e) OF THE LEASE, AS RESTATED BY THIS AMENDMENT, AND KNOWINGLY, INTELLIGENTLY AND VOLUNTARILY ENTERS INTO THIS AMENDMENT FULLY COMPREHENDING THE RELINQUISHMENT OF CERTAIN RIGHTS BY VIRTUE OF SUCH CONFESSION OF JUDGMENT.</w:t>
      </w:r>
    </w:p>
    <w:p>
      <w:pPr>
        <w:pStyle w:val="TextBody"/>
        <w:bidi w:val="0"/>
        <w:jc w:val="both"/>
        <w:rPr>
          <w:rFonts w:ascii="Arial" w:hAnsi="Arial"/>
          <w:color w:val="000000"/>
          <w:sz w:val="24"/>
        </w:rPr>
      </w:pPr>
      <w:r>
        <w:rPr>
          <w:rFonts w:ascii="Arial" w:hAnsi="Arial"/>
          <w:color w:val="000000"/>
          <w:sz w:val="24"/>
        </w:rPr>
        <w:t>TENANT:</w:t>
      </w:r>
    </w:p>
    <w:p>
      <w:pPr>
        <w:pStyle w:val="TextBody"/>
        <w:bidi w:val="0"/>
        <w:jc w:val="both"/>
        <w:rPr>
          <w:rFonts w:ascii="Arial" w:hAnsi="Arial"/>
          <w:color w:val="000000"/>
          <w:sz w:val="24"/>
        </w:rPr>
      </w:pPr>
      <w:r>
        <w:rPr>
          <w:rFonts w:ascii="Arial" w:hAnsi="Arial"/>
          <w:color w:val="000000"/>
          <w:sz w:val="24"/>
        </w:rPr>
        <w:t>Larimar Therapeutics, Inc.,</w:t>
      </w:r>
    </w:p>
    <w:p>
      <w:pPr>
        <w:pStyle w:val="TextBody"/>
        <w:bidi w:val="0"/>
        <w:spacing w:before="0" w:after="240"/>
        <w:jc w:val="both"/>
        <w:rPr>
          <w:rFonts w:ascii="Arial" w:hAnsi="Arial"/>
          <w:color w:val="000000"/>
          <w:sz w:val="24"/>
        </w:rPr>
      </w:pPr>
      <w:r>
        <w:rPr>
          <w:rFonts w:ascii="Arial" w:hAnsi="Arial"/>
          <w:color w:val="000000"/>
          <w:sz w:val="24"/>
        </w:rPr>
        <w:t>a Delaware corporation</w:t>
      </w:r>
    </w:p>
    <w:p>
      <w:pPr>
        <w:pStyle w:val="TextBody"/>
        <w:bidi w:val="0"/>
        <w:spacing w:before="0" w:after="240"/>
        <w:jc w:val="both"/>
        <w:rPr>
          <w:rFonts w:ascii="Times New Roman" w:hAnsi="Times New Roman"/>
          <w:sz w:val="20"/>
        </w:rPr>
      </w:pPr>
      <w:r>
        <w:rPr>
          <w:rFonts w:ascii="Arial" w:hAnsi="Arial"/>
          <w:color w:val="000000"/>
          <w:sz w:val="24"/>
        </w:rPr>
        <w:t xml:space="preserve">By: </w:t>
      </w:r>
      <w:r>
        <w:rPr>
          <w:rFonts w:ascii="Arial" w:hAnsi="Arial"/>
          <w:color w:val="000000"/>
          <w:sz w:val="24"/>
          <w:u w:val="single"/>
        </w:rPr>
        <w:t xml:space="preserve">/s/ Carole Ben-Maimon </w:t>
      </w:r>
    </w:p>
    <w:p>
      <w:pPr>
        <w:pStyle w:val="TextBody"/>
        <w:bidi w:val="0"/>
        <w:spacing w:before="0" w:after="240"/>
        <w:jc w:val="both"/>
        <w:rPr>
          <w:rFonts w:ascii="Arial" w:hAnsi="Arial"/>
          <w:color w:val="000000"/>
          <w:sz w:val="24"/>
        </w:rPr>
      </w:pPr>
      <w:r>
        <w:rPr>
          <w:rFonts w:ascii="Arial" w:hAnsi="Arial"/>
          <w:color w:val="000000"/>
          <w:sz w:val="24"/>
        </w:rPr>
        <w:t>Its: President and CEO</w:t>
      </w:r>
    </w:p>
    <w:p>
      <w:pPr>
        <w:pStyle w:val="TextBody"/>
        <w:bidi w:val="0"/>
        <w:jc w:val="center"/>
        <w:rPr>
          <w:rFonts w:ascii="Arial" w:hAnsi="Arial"/>
          <w:color w:val="000000"/>
          <w:sz w:val="24"/>
        </w:rPr>
      </w:pPr>
      <w:r>
        <w:rPr>
          <w:rFonts w:ascii="Arial" w:hAnsi="Arial"/>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4"/>
          <w:u w:val="single"/>
        </w:rPr>
      </w:pPr>
      <w:r>
        <w:rPr>
          <w:rFonts w:ascii="Arial" w:hAnsi="Arial"/>
          <w:b/>
          <w:color w:val="000000"/>
          <w:sz w:val="24"/>
          <w:u w:val="single"/>
        </w:rPr>
        <w:t>EXHIBIT A</w:t>
      </w:r>
    </w:p>
    <w:p>
      <w:pPr>
        <w:pStyle w:val="TextBody"/>
        <w:bidi w:val="0"/>
        <w:jc w:val="center"/>
        <w:rPr/>
      </w:pPr>
      <w:r>
        <w:rPr/>
        <w:t> </w:t>
      </w:r>
    </w:p>
    <w:p>
      <w:pPr>
        <w:pStyle w:val="TextBody"/>
        <w:bidi w:val="0"/>
        <w:jc w:val="center"/>
        <w:rPr>
          <w:rFonts w:ascii="Arial" w:hAnsi="Arial"/>
          <w:b/>
          <w:color w:val="000000"/>
          <w:sz w:val="24"/>
          <w:u w:val="single"/>
        </w:rPr>
      </w:pPr>
      <w:r>
        <w:rPr>
          <w:rFonts w:ascii="Arial" w:hAnsi="Arial"/>
          <w:b/>
          <w:color w:val="000000"/>
          <w:sz w:val="24"/>
          <w:u w:val="single"/>
        </w:rPr>
        <w:t>Additional Space</w:t>
      </w:r>
    </w:p>
    <w:p>
      <w:pPr>
        <w:pStyle w:val="TextBody"/>
        <w:bidi w:val="0"/>
        <w:jc w:val="center"/>
        <w:rPr/>
      </w:pPr>
      <w:r>
        <w:rPr/>
        <w:t> </w:t>
      </w:r>
    </w:p>
    <w:p>
      <w:pPr>
        <w:pStyle w:val="TextBody"/>
        <w:bidi w:val="0"/>
        <w:jc w:val="center"/>
        <w:rPr>
          <w:rFonts w:ascii="Arial" w:hAnsi="Arial"/>
          <w:color w:val="000000"/>
          <w:sz w:val="24"/>
        </w:rPr>
      </w:pPr>
      <w:r>
        <w:rPr>
          <w:rFonts w:ascii="Arial" w:hAnsi="Arial"/>
          <w:color w:val="000000"/>
          <w:sz w:val="24"/>
        </w:rPr>
        <w:t>[Omitted]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4"/>
          <w:u w:val="single"/>
        </w:rPr>
      </w:pPr>
      <w:r>
        <w:rPr>
          <w:rFonts w:ascii="Arial" w:hAnsi="Arial"/>
          <w:b/>
          <w:color w:val="000000"/>
          <w:sz w:val="24"/>
          <w:u w:val="single"/>
        </w:rPr>
        <w:t>EXHIBIT B</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4"/>
        </w:rPr>
        <w:t>CONFIRMATION OF ADDITIONAL SPACE COMMENCEMENT DATE AND EXPIRATION DATE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4"/>
        </w:rPr>
      </w:pPr>
      <w:r>
        <w:rPr>
          <w:rFonts w:ascii="Arial" w:hAnsi="Arial"/>
          <w:color w:val="000000"/>
          <w:sz w:val="24"/>
        </w:rPr>
        <w:t>[Omitted]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4"/>
          <w:u w:val="single"/>
        </w:rPr>
        <w:t>EXHIBIT 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4"/>
          <w:u w:val="single"/>
        </w:rPr>
        <w:t>Space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4"/>
        </w:rPr>
      </w:pPr>
      <w:r>
        <w:rPr>
          <w:rFonts w:ascii="Arial" w:hAnsi="Arial"/>
          <w:color w:val="000000"/>
          <w:sz w:val="24"/>
        </w:rPr>
        <w:t>[Omitted]</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4"/>
          <w:u w:val="single"/>
        </w:rPr>
        <w:t>EXHIBIT 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4"/>
          <w:u w:val="single"/>
        </w:rPr>
      </w:pPr>
      <w:r>
        <w:rPr>
          <w:rFonts w:ascii="Arial" w:hAnsi="Arial"/>
          <w:b/>
          <w:color w:val="000000"/>
          <w:sz w:val="24"/>
          <w:u w:val="single"/>
        </w:rPr>
        <w:t>Reserved Parking</w:t>
      </w:r>
    </w:p>
    <w:p>
      <w:pPr>
        <w:pStyle w:val="TextBody"/>
        <w:bidi w:val="0"/>
        <w:jc w:val="center"/>
        <w:rPr/>
      </w:pPr>
      <w:r>
        <w:rPr/>
        <w:t> </w:t>
      </w:r>
    </w:p>
    <w:p>
      <w:pPr>
        <w:pStyle w:val="TextBody"/>
        <w:bidi w:val="0"/>
        <w:jc w:val="center"/>
        <w:rPr>
          <w:rFonts w:ascii="Arial" w:hAnsi="Arial"/>
          <w:color w:val="000000"/>
          <w:sz w:val="24"/>
        </w:rPr>
      </w:pPr>
      <w:r>
        <w:rPr>
          <w:rFonts w:ascii="Arial" w:hAnsi="Arial"/>
          <w:color w:val="000000"/>
          <w:sz w:val="24"/>
        </w:rPr>
        <w:t>[Omitted]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lrmr-ex21_1.htm"/>
      <w:bookmarkStart w:id="50" w:name="kslrmrex21_1"/>
      <w:bookmarkEnd w:id="49"/>
      <w:bookmarkEnd w:id="50"/>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21.1</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LIST OF SUBSIDIARIES</w:t>
      </w:r>
    </w:p>
    <w:p>
      <w:pPr>
        <w:pStyle w:val="TextBody"/>
        <w:bidi w:val="0"/>
        <w:jc w:val="left"/>
        <w:rPr/>
      </w:pPr>
      <w:r>
        <w:rPr/>
        <w:t> </w:t>
      </w:r>
    </w:p>
    <w:p>
      <w:pPr>
        <w:pStyle w:val="TextBody"/>
        <w:bidi w:val="0"/>
        <w:jc w:val="left"/>
        <w:rPr/>
      </w:pPr>
      <w:r>
        <w:rPr/>
        <w:t> </w:t>
      </w:r>
    </w:p>
    <w:tbl>
      <w:tblPr>
        <w:tblW w:w="9723" w:type="dxa"/>
        <w:jc w:val="left"/>
        <w:tblInd w:w="0" w:type="dxa"/>
        <w:tblLayout w:type="fixed"/>
        <w:tblCellMar>
          <w:top w:w="28" w:type="dxa"/>
          <w:left w:w="28" w:type="dxa"/>
          <w:bottom w:w="28" w:type="dxa"/>
          <w:right w:w="28" w:type="dxa"/>
        </w:tblCellMar>
      </w:tblPr>
      <w:tblGrid>
        <w:gridCol w:w="2536"/>
        <w:gridCol w:w="2416"/>
        <w:gridCol w:w="4771"/>
      </w:tblGrid>
      <w:tr>
        <w:trPr/>
        <w:tc>
          <w:tcPr>
            <w:tcW w:w="253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4771" w:type="dxa"/>
            <w:tcBorders/>
            <w:vAlign w:val="center"/>
          </w:tcPr>
          <w:p>
            <w:pPr>
              <w:pStyle w:val="TableContents"/>
              <w:bidi w:val="0"/>
              <w:spacing w:before="0" w:after="283"/>
              <w:jc w:val="left"/>
              <w:rPr>
                <w:sz w:val="4"/>
                <w:szCs w:val="4"/>
              </w:rPr>
            </w:pPr>
            <w:r>
              <w:rPr>
                <w:sz w:val="4"/>
                <w:szCs w:val="4"/>
              </w:rPr>
            </w:r>
          </w:p>
        </w:tc>
      </w:tr>
      <w:tr>
        <w:trPr/>
        <w:tc>
          <w:tcPr>
            <w:tcW w:w="25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Subsidiary</w:t>
            </w:r>
          </w:p>
        </w:tc>
        <w:tc>
          <w:tcPr>
            <w:tcW w:w="24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Ownership Percentage</w:t>
            </w:r>
          </w:p>
        </w:tc>
        <w:tc>
          <w:tcPr>
            <w:tcW w:w="47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Jurisdiction of Incorporation or Organization</w:t>
            </w:r>
          </w:p>
        </w:tc>
      </w:tr>
      <w:tr>
        <w:trPr/>
        <w:tc>
          <w:tcPr>
            <w:tcW w:w="2536" w:type="dxa"/>
            <w:tcBorders>
              <w:left w:val="single" w:sz="4" w:space="0" w:color="000000"/>
              <w:bottom w:val="single" w:sz="4" w:space="0" w:color="000000"/>
              <w:right w:val="single" w:sz="4" w:space="0" w:color="000000"/>
            </w:tcBorders>
            <w:shd w:fill="BDD6EE" w:val="clear"/>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Zafgen Australia Pty Ltd.</w:t>
            </w:r>
          </w:p>
        </w:tc>
        <w:tc>
          <w:tcPr>
            <w:tcW w:w="2416" w:type="dxa"/>
            <w:tcBorders>
              <w:bottom w:val="single" w:sz="4" w:space="0" w:color="000000"/>
              <w:right w:val="single" w:sz="4" w:space="0" w:color="000000"/>
            </w:tcBorders>
            <w:shd w:fill="BDD6EE"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100%</w:t>
            </w:r>
          </w:p>
        </w:tc>
        <w:tc>
          <w:tcPr>
            <w:tcW w:w="4771" w:type="dxa"/>
            <w:tcBorders>
              <w:bottom w:val="single" w:sz="4" w:space="0" w:color="000000"/>
              <w:right w:val="single" w:sz="4" w:space="0" w:color="000000"/>
            </w:tcBorders>
            <w:shd w:fill="BDD6EE" w:val="clear"/>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Australia</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lrmr-ex23_1.htm"/>
      <w:bookmarkStart w:id="52" w:name="kslrmrex23_1"/>
      <w:bookmarkEnd w:id="51"/>
      <w:bookmarkEnd w:id="52"/>
      <w:r>
        <w:rPr/>
        <w:t> </w:t>
      </w:r>
      <w:r>
        <w:br w:type="page"/>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jc w:val="left"/>
        <w:rPr>
          <w:rFonts w:ascii="Georgia;serif" w:hAnsi="Georgia;serif"/>
          <w:color w:val="000000"/>
          <w:sz w:val="20"/>
        </w:rPr>
      </w:pPr>
      <w:r>
        <w:rPr>
          <w:rFonts w:ascii="Georgia;serif" w:hAnsi="Georgia;serif"/>
          <w:color w:val="000000"/>
          <w:sz w:val="20"/>
        </w:rPr>
        <w:t>We hereby consent to the incorporation by reference in the Registration Statements on Form S-3 (Nos. 333-239510, 333-268312) and Form S-8 (Nos. 333-239509, 333-249287, 333-270535, 333-270536) of Larimar Therapeutics, Inc. of our report dated March 14, 2024 relating to the financial statements, which appears in this Form 10-K.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Georgia;serif" w:hAnsi="Georgia;serif"/>
          <w:color w:val="000000"/>
          <w:sz w:val="20"/>
        </w:rPr>
      </w:pPr>
      <w:r>
        <w:rPr>
          <w:rFonts w:ascii="Georgia;serif" w:hAnsi="Georgia;serif"/>
          <w:color w:val="000000"/>
          <w:sz w:val="20"/>
        </w:rPr>
        <w:t>/s/ PricewaterhouseCoopers LLP</w:t>
      </w:r>
    </w:p>
    <w:p>
      <w:pPr>
        <w:pStyle w:val="TextBody"/>
        <w:bidi w:val="0"/>
        <w:jc w:val="left"/>
        <w:rPr>
          <w:rFonts w:ascii="Georgia;serif" w:hAnsi="Georgia;serif"/>
          <w:color w:val="000000"/>
          <w:sz w:val="20"/>
        </w:rPr>
      </w:pPr>
      <w:r>
        <w:rPr>
          <w:rFonts w:ascii="Georgia;serif" w:hAnsi="Georgia;serif"/>
          <w:color w:val="000000"/>
          <w:sz w:val="20"/>
        </w:rPr>
        <w:t>Philadelphia, Pennsylvania</w:t>
      </w:r>
    </w:p>
    <w:p>
      <w:pPr>
        <w:pStyle w:val="TextBody"/>
        <w:bidi w:val="0"/>
        <w:jc w:val="left"/>
        <w:rPr>
          <w:rFonts w:ascii="Georgia;serif" w:hAnsi="Georgia;serif"/>
          <w:color w:val="000000"/>
          <w:sz w:val="20"/>
        </w:rPr>
      </w:pPr>
      <w:r>
        <w:rPr>
          <w:rFonts w:ascii="Georgia;serif" w:hAnsi="Georgia;serif"/>
          <w:color w:val="000000"/>
          <w:sz w:val="20"/>
        </w:rPr>
        <w:t>March 14, 2024</w:t>
      </w:r>
    </w:p>
    <w:p>
      <w:pPr>
        <w:pStyle w:val="TextBody"/>
        <w:bidi w:val="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rFonts w:ascii="Georgia;serif" w:hAnsi="Georgia;serif"/>
          <w:color w:val="000000"/>
          <w:sz w:val="20"/>
        </w:rPr>
      </w:pPr>
      <w:r>
        <w:rPr>
          <w:rFonts w:ascii="Georgia;serif" w:hAnsi="Georgia;serif"/>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lrmr-ex31_1.htm"/>
      <w:bookmarkStart w:id="54" w:name="kslrmrex31_1"/>
      <w:bookmarkEnd w:id="53"/>
      <w:bookmarkEnd w:id="54"/>
      <w:r>
        <w:rPr/>
        <w:t> </w:t>
      </w:r>
      <w:r>
        <w:br w:type="page"/>
      </w:r>
    </w:p>
    <w:p>
      <w:pPr>
        <w:pStyle w:val="TextBody"/>
        <w:bidi w:val="0"/>
        <w:spacing w:before="0" w:after="12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Carole S. Ben-Maimon, M.D.,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Annual Report on Form 10-K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Date: March 14, 2024</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322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Carole S. Ben-Maimon, M.D.</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lrmr-ex31_2.htm"/>
      <w:bookmarkStart w:id="56" w:name="kslrmrex31_2"/>
      <w:bookmarkEnd w:id="55"/>
      <w:bookmarkEnd w:id="56"/>
      <w:r>
        <w:rPr/>
        <w:t> </w:t>
      </w:r>
      <w:r>
        <w:br w:type="page"/>
      </w:r>
    </w:p>
    <w:p>
      <w:pPr>
        <w:pStyle w:val="TextBody"/>
        <w:bidi w:val="0"/>
        <w:spacing w:before="0" w:after="12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I, Michael Celano, certify that: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1. I have reviewed this Annual Report on Form 10-K of Larimar Therapeutics, Inc.;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 xml:space="preserve">Date: March 14, 2024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Celano</w:t>
            </w:r>
          </w:p>
        </w:tc>
      </w:tr>
      <w:tr>
        <w:trPr/>
        <w:tc>
          <w:tcPr>
            <w:tcW w:w="43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Celano</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 and Accounting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Times New Roman" w:hAnsi="Times New Roman"/>
          <w:b/>
          <w:color w:val="000000"/>
          <w:sz w:val="20"/>
        </w:rPr>
      </w:pPr>
      <w:bookmarkStart w:id="57" w:name="lrmr-ex32_1.htm"/>
      <w:bookmarkStart w:id="58" w:name="kslrmrex32_1"/>
      <w:bookmarkEnd w:id="57"/>
      <w:bookmarkEnd w:id="58"/>
      <w:r>
        <w:rPr>
          <w:rFonts w:ascii="Times New Roman" w:hAnsi="Times New Roman"/>
          <w:b/>
          <w:color w:val="000000"/>
          <w:sz w:val="20"/>
        </w:rPr>
        <w:t>Exhibit 32.1</w:t>
      </w:r>
      <w:r>
        <w:br w:type="page"/>
      </w:r>
    </w:p>
    <w:p>
      <w:pPr>
        <w:pStyle w:val="TextBody"/>
        <w:bidi w:val="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jc w:val="center"/>
        <w:rPr>
          <w:rFonts w:ascii="Times New Roman" w:hAnsi="Times New Roman"/>
          <w:b/>
          <w:color w:val="000000"/>
          <w:sz w:val="20"/>
        </w:rPr>
      </w:pPr>
      <w:r>
        <w:rPr>
          <w:rFonts w:ascii="Times New Roman" w:hAnsi="Times New Roman"/>
          <w:b/>
          <w:color w:val="000000"/>
          <w:sz w:val="20"/>
        </w:rPr>
        <w:t>(Subsections (a) and (b) of Section 1350, Chapter 63 of Title 18, United States Code)</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(1) The Annual Report on Form 10-K for the period ended December 31, 2023 (the “Report”) of the Company fully complies with the requirements of Section 13(a) or 15(d) of the Securities Exchange Act of 1934;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6215" w:type="dxa"/>
        <w:jc w:val="left"/>
        <w:tblInd w:w="0" w:type="dxa"/>
        <w:tblLayout w:type="fixed"/>
        <w:tblCellMar>
          <w:top w:w="28" w:type="dxa"/>
          <w:left w:w="28" w:type="dxa"/>
          <w:bottom w:w="28" w:type="dxa"/>
          <w:right w:w="28" w:type="dxa"/>
        </w:tblCellMar>
      </w:tblPr>
      <w:tblGrid>
        <w:gridCol w:w="1891"/>
        <w:gridCol w:w="146"/>
        <w:gridCol w:w="146"/>
        <w:gridCol w:w="146"/>
        <w:gridCol w:w="388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14, 2024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Carole S. Ben-Maimon, M.D.</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Carole S. Ben-Maimon, M.D.</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and Chief Executive Officer</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pPr>
            <w:r>
              <w:rPr/>
              <w:t> </w:t>
            </w:r>
          </w:p>
        </w:tc>
      </w:tr>
      <w:tr>
        <w:trPr/>
        <w:tc>
          <w:tcPr>
            <w:tcW w:w="189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14, 2024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Michael Celano</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Michael Celano</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w:t>
            </w:r>
          </w:p>
        </w:tc>
      </w:tr>
      <w:tr>
        <w:trPr/>
        <w:tc>
          <w:tcPr>
            <w:tcW w:w="18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86"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bookmarkStart w:id="59" w:name="lrmr-ex97_1.htm"/>
      <w:bookmarkStart w:id="60" w:name="kslrmrex97_1"/>
      <w:bookmarkEnd w:id="59"/>
      <w:bookmarkEnd w:id="60"/>
      <w:r>
        <w:rPr/>
        <w:t> </w:t>
      </w:r>
      <w:r>
        <w:br w:type="page"/>
      </w:r>
    </w:p>
    <w:p>
      <w:pPr>
        <w:pStyle w:val="TextBody"/>
        <w:bidi w:val="0"/>
        <w:spacing w:before="0" w:after="200"/>
        <w:jc w:val="center"/>
        <w:rPr>
          <w:rFonts w:ascii="Times New Roman" w:hAnsi="Times New Roman"/>
          <w:b/>
          <w:caps/>
          <w:color w:val="000000"/>
          <w:sz w:val="24"/>
        </w:rPr>
      </w:pPr>
      <w:r>
        <w:rPr>
          <w:rFonts w:ascii="Times New Roman" w:hAnsi="Times New Roman"/>
          <w:b/>
          <w:caps/>
          <w:color w:val="000000"/>
          <w:sz w:val="24"/>
        </w:rPr>
        <w:t>LARIMAR THERAPEUTICS, INC.</w:t>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COMPENSATION RECOVERY POLICY</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Adopted as of September 21, 2023</w:t>
      </w:r>
    </w:p>
    <w:p>
      <w:pPr>
        <w:pStyle w:val="TextBody"/>
        <w:bidi w:val="0"/>
        <w:spacing w:before="0" w:after="240"/>
        <w:jc w:val="both"/>
        <w:rPr>
          <w:rFonts w:ascii="Times New Roman" w:hAnsi="Times New Roman"/>
          <w:sz w:val="20"/>
        </w:rPr>
      </w:pPr>
      <w:r>
        <w:rPr>
          <w:rFonts w:ascii="Times New Roman" w:hAnsi="Times New Roman"/>
          <w:color w:val="000000"/>
          <w:sz w:val="24"/>
        </w:rPr>
        <w:t>Larimar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has adopted this Compensation Recovery Policy (this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as described below.</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 Overview</w:t>
      </w:r>
    </w:p>
    <w:p>
      <w:pPr>
        <w:pStyle w:val="TextBody"/>
        <w:bidi w:val="0"/>
        <w:spacing w:before="0" w:after="240"/>
        <w:jc w:val="both"/>
        <w:rPr>
          <w:rFonts w:ascii="Times New Roman" w:hAnsi="Times New Roman"/>
          <w:sz w:val="20"/>
        </w:rPr>
      </w:pPr>
      <w:r>
        <w:rPr>
          <w:rFonts w:ascii="Times New Roman" w:hAnsi="Times New Roman"/>
          <w:color w:val="000000"/>
          <w:sz w:val="24"/>
        </w:rPr>
        <w:t>This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 under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and the Exchange. Capitalized terms used and not otherwise defined herein shall have the meanings set forth in Section 3 below.</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 Compensation Recovery Requirement</w:t>
      </w:r>
    </w:p>
    <w:p>
      <w:pPr>
        <w:pStyle w:val="TextBody"/>
        <w:bidi w:val="0"/>
        <w:spacing w:before="0" w:after="240"/>
        <w:jc w:val="both"/>
        <w:rPr>
          <w:rFonts w:ascii="Times New Roman" w:hAnsi="Times New Roman"/>
          <w:sz w:val="20"/>
        </w:rPr>
      </w:pPr>
      <w:r>
        <w:rPr>
          <w:rFonts w:ascii="Times New Roman" w:hAnsi="Times New Roman"/>
          <w:color w:val="000000"/>
          <w:sz w:val="24"/>
        </w:rPr>
        <w:t>In the event the Company is required to prepare a Financial Restatement, the Company shall recover reasonably promptly all Erroneously Awarded Compensation with respect to such Financial Restatement.</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 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color w:val="000000"/>
          <w:sz w:val="24"/>
          <w:u w:val="single"/>
        </w:rPr>
        <w:t>Applicable Recovery Period</w:t>
      </w:r>
      <w:r>
        <w:rPr>
          <w:color w:val="000000"/>
        </w:rPr>
        <w:t xml:space="preserve">” </w:t>
      </w:r>
      <w:r>
        <w:rPr>
          <w:rFonts w:ascii="Times New Roman" w:hAnsi="Times New Roman"/>
          <w:color w:val="000000"/>
          <w:sz w:val="24"/>
        </w:rPr>
        <w:t>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color w:val="000000"/>
          <w:sz w:val="24"/>
          <w:u w:val="single"/>
        </w:rPr>
        <w:t>Applicable Rules</w:t>
      </w:r>
      <w:r>
        <w:rPr>
          <w:color w:val="000000"/>
        </w:rPr>
        <w:t xml:space="preserve">” </w:t>
      </w:r>
      <w:r>
        <w:rPr>
          <w:rFonts w:ascii="Times New Roman" w:hAnsi="Times New Roman"/>
          <w:color w:val="000000"/>
          <w:sz w:val="24"/>
        </w:rPr>
        <w:t>means any rules or regulations adopted by the Exchange pursuant to Rule 10D-1 under the Exchange Act and any applicable rules or regulations adopted by the SEC pursuant to Section 10D of the Exchange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left"/>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the Compensation Committee of the Board or, in the absence of such committee, a majority of independent directors serving on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color w:val="000000"/>
          <w:sz w:val="24"/>
          <w:u w:val="single"/>
        </w:rPr>
        <w:t>Covered Person</w:t>
      </w:r>
      <w:r>
        <w:rPr>
          <w:color w:val="000000"/>
        </w:rPr>
        <w:t xml:space="preserve">” </w:t>
      </w:r>
      <w:r>
        <w:rPr>
          <w:rFonts w:ascii="Times New Roman" w:hAnsi="Times New Roman"/>
          <w:color w:val="000000"/>
          <w:sz w:val="24"/>
        </w:rPr>
        <w:t xml:space="preserve">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left"/>
        <w:rPr/>
      </w:pPr>
      <w:r>
        <w:rPr>
          <w:color w:val="000000"/>
        </w:rPr>
        <w:t>“</w:t>
      </w:r>
      <w:r>
        <w:rPr>
          <w:rFonts w:ascii="Times New Roman" w:hAnsi="Times New Roman"/>
          <w:color w:val="000000"/>
          <w:sz w:val="24"/>
          <w:u w:val="single"/>
        </w:rPr>
        <w:t>Effective Date</w:t>
      </w:r>
      <w:r>
        <w:rPr>
          <w:color w:val="000000"/>
        </w:rPr>
        <w:t xml:space="preserve">” </w:t>
      </w:r>
      <w:r>
        <w:rPr>
          <w:rFonts w:ascii="Times New Roman" w:hAnsi="Times New Roman"/>
          <w:color w:val="000000"/>
          <w:sz w:val="24"/>
        </w:rPr>
        <w:t>means October 2, 2023.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color w:val="000000"/>
          <w:sz w:val="24"/>
          <w:u w:val="single"/>
        </w:rPr>
        <w:t>Erroneously Awarded Compensation</w:t>
      </w:r>
      <w:r>
        <w:rPr>
          <w:color w:val="000000"/>
        </w:rPr>
        <w:t xml:space="preserve">” </w:t>
      </w:r>
      <w:r>
        <w:rPr>
          <w:rFonts w:ascii="Times New Roman" w:hAnsi="Times New Roman"/>
          <w:color w:val="000000"/>
          <w:sz w:val="24"/>
        </w:rPr>
        <w:t>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left"/>
        <w:rPr/>
      </w:pPr>
      <w:r>
        <w:rPr>
          <w:color w:val="000000"/>
        </w:rPr>
        <w:t>“</w:t>
      </w:r>
      <w:r>
        <w:rPr>
          <w:rFonts w:ascii="Times New Roman" w:hAnsi="Times New Roman"/>
          <w:color w:val="000000"/>
          <w:sz w:val="24"/>
          <w:u w:val="single"/>
        </w:rPr>
        <w:t>Exchange</w:t>
      </w:r>
      <w:r>
        <w:rPr>
          <w:color w:val="000000"/>
        </w:rPr>
        <w:t xml:space="preserve">” </w:t>
      </w:r>
      <w:r>
        <w:rPr>
          <w:rFonts w:ascii="Times New Roman" w:hAnsi="Times New Roman"/>
          <w:color w:val="000000"/>
          <w:sz w:val="24"/>
        </w:rPr>
        <w:t>means the Nasdaq Stock Market LLC.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An “</w:t>
      </w:r>
      <w:r>
        <w:rPr>
          <w:rFonts w:ascii="Times New Roman" w:hAnsi="Times New Roman"/>
          <w:color w:val="000000"/>
          <w:sz w:val="24"/>
          <w:u w:val="single"/>
        </w:rPr>
        <w:t>Executive Officer</w:t>
      </w:r>
      <w:r>
        <w:rPr>
          <w:color w:val="000000"/>
        </w:rPr>
        <w:t xml:space="preserve">” </w:t>
      </w:r>
      <w:r>
        <w:rPr>
          <w:rFonts w:ascii="Times New Roman" w:hAnsi="Times New Roman"/>
          <w:color w:val="000000"/>
          <w:sz w:val="24"/>
        </w:rPr>
        <w:t>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color w:val="000000"/>
          <w:sz w:val="24"/>
          <w:u w:val="single"/>
        </w:rPr>
        <w:t>Financial Reporting Measures</w:t>
      </w:r>
      <w:r>
        <w:rPr>
          <w:color w:val="000000"/>
        </w:rPr>
        <w:t xml:space="preserve">” </w:t>
      </w:r>
      <w:r>
        <w:rPr>
          <w:rFonts w:ascii="Times New Roman" w:hAnsi="Times New Roman"/>
          <w:color w:val="000000"/>
          <w:sz w:val="24"/>
        </w:rPr>
        <w:t xml:space="preserve">mean measures that are determined and presented in accordance with the accounting principles used in preparing the Company’s financial statements, any measures that are derived wholly or in part from such measures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both"/>
        <w:rPr/>
      </w:pPr>
      <w:r>
        <w:rPr>
          <w:rFonts w:ascii="Times New Roman" w:hAnsi="Times New Roman"/>
          <w:color w:val="000000"/>
          <w:sz w:val="24"/>
        </w:rPr>
        <w:t>(including, for example, a non-GAAP financial measure), and stock price and total shareholder return.</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color w:val="000000"/>
          <w:sz w:val="24"/>
          <w:u w:val="single"/>
        </w:rPr>
        <w:t>Incentive-Based Compensation</w:t>
      </w:r>
      <w:r>
        <w:rPr>
          <w:color w:val="000000"/>
        </w:rPr>
        <w:t xml:space="preserve">” </w:t>
      </w:r>
      <w:r>
        <w:rPr>
          <w:rFonts w:ascii="Times New Roman" w:hAnsi="Times New Roman"/>
          <w:color w:val="000000"/>
          <w:sz w:val="24"/>
        </w:rPr>
        <w:t xml:space="preserve">means any compensation provided, directly or indirectly, by the Company or any of its subsidiaries that is granted, earned, or vested based, in whole or in part, upon the attainment of a Financial Reporting Measure.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rPr>
        <w:t>A “</w:t>
      </w:r>
      <w:r>
        <w:rPr>
          <w:rFonts w:ascii="Times New Roman" w:hAnsi="Times New Roman"/>
          <w:color w:val="000000"/>
          <w:sz w:val="24"/>
          <w:u w:val="single"/>
        </w:rPr>
        <w:t>Financial Restatement</w:t>
      </w:r>
      <w:r>
        <w:rPr>
          <w:color w:val="000000"/>
        </w:rPr>
        <w:t xml:space="preserve">” </w:t>
      </w:r>
      <w:r>
        <w:rPr>
          <w:rFonts w:ascii="Times New Roman" w:hAnsi="Times New Roman"/>
          <w:color w:val="000000"/>
          <w:sz w:val="24"/>
        </w:rPr>
        <w:t xml:space="preserve">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color w:val="000000"/>
          <w:sz w:val="24"/>
          <w:u w:val="single"/>
        </w:rPr>
        <w:t>Restatement Date</w:t>
      </w:r>
      <w:r>
        <w:rPr>
          <w:color w:val="000000"/>
        </w:rPr>
        <w:t xml:space="preserve">” </w:t>
      </w:r>
      <w:r>
        <w:rPr>
          <w:rFonts w:ascii="Times New Roman" w:hAnsi="Times New Roman"/>
          <w:color w:val="000000"/>
          <w:sz w:val="24"/>
        </w:rPr>
        <w:t>means, with respect to a Financial Restatement, the earlier to occur of: (i) the date the Board, a committee of the Board or the officer or officers of the Company authorized to take such action if Board action is not required, concludes, or reasonably should have concluded, that the Company is required to prepare the Financial Restatement or (ii) the date a court, regulator or other legally authorized body directs the Company to prepare the Financial Restatement.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 Exception to Compensation Recovery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 Tax Considerations</w:t>
      </w:r>
    </w:p>
    <w:p>
      <w:pPr>
        <w:pStyle w:val="TextBody"/>
        <w:bidi w:val="0"/>
        <w:spacing w:before="0" w:after="240"/>
        <w:jc w:val="both"/>
        <w:rPr>
          <w:rFonts w:ascii="Times New Roman" w:hAnsi="Times New Roman"/>
          <w:sz w:val="20"/>
        </w:rPr>
      </w:pPr>
      <w:r>
        <w:rPr>
          <w:rFonts w:ascii="Times New Roman" w:hAnsi="Times New Roman"/>
          <w:color w:val="000000"/>
          <w:sz w:val="24"/>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8. Method of Compensation Recovery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requiring reimbursement of cash Incentive-Based Compensation previously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seeking recovery of any gain realized on the vesting, exercise, settlement, sale, transfer or other disposition of any equity-based awards;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cancelling or rescinding some or all outstanding vested or unvested equity-based awards;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adjusting or withholding from unpaid compensation or other set-off;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cancelling or offsetting against planned future grants of equity-based awards; and/or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method permitted by applicable law or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 Policy Interpretation</w:t>
      </w:r>
    </w:p>
    <w:p>
      <w:pPr>
        <w:pStyle w:val="TextBody"/>
        <w:bidi w:val="0"/>
        <w:spacing w:before="0" w:after="240"/>
        <w:jc w:val="both"/>
        <w:rPr>
          <w:rFonts w:ascii="Times New Roman" w:hAnsi="Times New Roman"/>
          <w:sz w:val="20"/>
        </w:rPr>
      </w:pPr>
      <w:r>
        <w:rPr>
          <w:rFonts w:ascii="Times New Roman" w:hAnsi="Times New Roman"/>
          <w:color w:val="000000"/>
          <w:sz w:val="24"/>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10. Policy Administration</w:t>
      </w:r>
    </w:p>
    <w:p>
      <w:pPr>
        <w:pStyle w:val="TextBody"/>
        <w:bidi w:val="0"/>
        <w:spacing w:before="0" w:after="240"/>
        <w:jc w:val="both"/>
        <w:rPr>
          <w:rFonts w:ascii="Times New Roman" w:hAnsi="Times New Roman"/>
          <w:sz w:val="20"/>
        </w:rPr>
      </w:pPr>
      <w:r>
        <w:rPr>
          <w:rFonts w:ascii="Times New Roman" w:hAnsi="Times New Roman"/>
          <w:color w:val="000000"/>
          <w:sz w:val="24"/>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 Compensation Recovery Repayments not Subject to 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s://www.sec.gov/Archives/edgar/data/0001374690/000119312519316828/d845901dex21.htm" TargetMode="External"/><Relationship Id="rId18" Type="http://schemas.openxmlformats.org/officeDocument/2006/relationships/hyperlink" Target="https://www.sec.gov/Archives/edgar/data/0001374690/000119312520065288/d846972dex21.htm" TargetMode="External"/><Relationship Id="rId19" Type="http://schemas.openxmlformats.org/officeDocument/2006/relationships/hyperlink" Target="https://www.sec.gov/Archives/edgar/data/1374690/000119312514247362/d747935dex31.htm" TargetMode="External"/><Relationship Id="rId20" Type="http://schemas.openxmlformats.org/officeDocument/2006/relationships/hyperlink" Target="https://www.sec.gov/Archives/edgar/data/1374690/000119312514247362/d747935dex31.htm" TargetMode="External"/><Relationship Id="rId21" Type="http://schemas.openxmlformats.org/officeDocument/2006/relationships/hyperlink" Target="https://www.sec.gov/Archives/edgar/data/1374690/000119312514247362/d747935dex31.htm" TargetMode="External"/><Relationship Id="rId22" Type="http://schemas.openxmlformats.org/officeDocument/2006/relationships/hyperlink" Target="https://www.sec.gov/Archives/edgar/data/1374690/000119312520157924/d936040dex31.htm" TargetMode="External"/><Relationship Id="rId23" Type="http://schemas.openxmlformats.org/officeDocument/2006/relationships/hyperlink" Target="https://www.sec.gov/Archives/edgar/data/1374690/000119312520157924/d936040dex32.htm" TargetMode="External"/><Relationship Id="rId24" Type="http://schemas.openxmlformats.org/officeDocument/2006/relationships/hyperlink" Target="https://www.sec.gov/Archives/edgar/data/1374690/000119312514247362/d747935dex32.htm" TargetMode="External"/><Relationship Id="rId25" Type="http://schemas.openxmlformats.org/officeDocument/2006/relationships/hyperlink" Target="https://www.sec.gov/Archives/edgar/data/1374690/000156459021011003/lrmr-ex42_407.htm" TargetMode="External"/><Relationship Id="rId26" Type="http://schemas.openxmlformats.org/officeDocument/2006/relationships/hyperlink" Target="https://www.sec.gov/Archives/edgar/data/1374690/000119312520257168/d887315dex101.htm" TargetMode="External"/><Relationship Id="rId27" Type="http://schemas.openxmlformats.org/officeDocument/2006/relationships/hyperlink" Target="https://www.sec.gov/Archives/edgar/data/1374690/000119312520257168/d887315dex102.htm" TargetMode="External"/><Relationship Id="rId28" Type="http://schemas.openxmlformats.org/officeDocument/2006/relationships/hyperlink" Target="https://www.sec.gov/Archives/edgar/data/0001374690/000119312520157924/d936040dex102.htm" TargetMode="External"/><Relationship Id="rId29" Type="http://schemas.openxmlformats.org/officeDocument/2006/relationships/hyperlink" Target="https://www.sec.gov/Archives/edgar/data/0001374690/000119312520181162/d926045dex103.htm" TargetMode="External"/><Relationship Id="rId30" Type="http://schemas.openxmlformats.org/officeDocument/2006/relationships/hyperlink" Target="https://www.sec.gov/Archives/edgar/data/0001374690/000119312520157924/d936040dex103.htm" TargetMode="External"/><Relationship Id="rId31" Type="http://schemas.openxmlformats.org/officeDocument/2006/relationships/hyperlink" Target="https://www.sec.gov/Archives/edgar/data/1374690/000119312520211426/d82303dex101.htm" TargetMode="External"/><Relationship Id="rId32" Type="http://schemas.openxmlformats.org/officeDocument/2006/relationships/hyperlink" Target="https://www.sec.gov/Archives/edgar/data/0001374690/000119312520157924/d936040dex104.htm" TargetMode="External"/><Relationship Id="rId33" Type="http://schemas.openxmlformats.org/officeDocument/2006/relationships/hyperlink" Target="https://www.sec.gov/ix?doc=/Archives/edgar/data/1374690/000119312523026958/d399840d8k.htm" TargetMode="External"/><Relationship Id="rId34" Type="http://schemas.openxmlformats.org/officeDocument/2006/relationships/hyperlink" Target="https://www.sec.gov/Archives/edgar/data/1374690/000095017023041293/lrmr-ex10_1.htm" TargetMode="External"/><Relationship Id="rId35" Type="http://schemas.openxmlformats.org/officeDocument/2006/relationships/hyperlink" Target="https://www.sec.gov/Archives/edgar/data/1374690/000156459020040314/lrmr-ex106_306.htm" TargetMode="External"/><Relationship Id="rId36" Type="http://schemas.openxmlformats.org/officeDocument/2006/relationships/hyperlink" Target="https://www.sec.gov/Archives/edgar/data/1374690/000156459020040314/lrmr-ex107_305.htm" TargetMode="External"/><Relationship Id="rId37" Type="http://schemas.openxmlformats.org/officeDocument/2006/relationships/hyperlink" Target="https://www.sec.gov/Archives/edgar/data/1374690/000156459020040314/lrmr-ex108_304.htm" TargetMode="External"/><Relationship Id="rId38" Type="http://schemas.openxmlformats.org/officeDocument/2006/relationships/hyperlink" Target="https://www.sec.gov/Archives/edgar/data/1374690/000156459020040314/lrmr-ex109_303.htm" TargetMode="External"/><Relationship Id="rId39" Type="http://schemas.openxmlformats.org/officeDocument/2006/relationships/hyperlink" Target="https://www.sec.gov/Archives/edgar/data/1374690/000156459020040314/lrmr-ex1010_302.htm" TargetMode="External"/><Relationship Id="rId40" Type="http://schemas.openxmlformats.org/officeDocument/2006/relationships/hyperlink" Target="https://www.sec.gov/Archives/edgar/data/1374690/000095017022016917/lrmr-ex10_1.htm" TargetMode="External"/><Relationship Id="rId41" Type="http://schemas.openxmlformats.org/officeDocument/2006/relationships/hyperlink" Target="https://www.sec.gov/Archives/edgar/data/1374690/000095017022016917/lrmr-ex10_2.htm" TargetMode="External"/><Relationship Id="rId42" Type="http://schemas.openxmlformats.org/officeDocument/2006/relationships/hyperlink" Target="https://www.sec.gov/Archives/edgar/data/0001374690/000119312520181158/d913803dex45.htm" TargetMode="External"/><Relationship Id="rId43" Type="http://schemas.openxmlformats.org/officeDocument/2006/relationships/hyperlink" Target="https://www.sec.gov/Archives/edgar/data/1374690/000156459019018086/zfgn-ex104_74.htm" TargetMode="External"/><Relationship Id="rId44" Type="http://schemas.openxmlformats.org/officeDocument/2006/relationships/hyperlink" Target="https://www.sec.gov/Archives/edgar/data/1374690/000119312520282731/d37391dex101.htm" TargetMode="External"/><Relationship Id="rId45" Type="http://schemas.openxmlformats.org/officeDocument/2006/relationships/hyperlink" Target="https://www.sec.gov/Archives/edgar/data/0001374690/000156459021026084/lrmr-ex101_148.htm" TargetMode="External"/><Relationship Id="rId46" Type="http://schemas.openxmlformats.org/officeDocument/2006/relationships/hyperlink" Target="https://www.sec.gov/Archives/edgar/data/0001374690/000156459021026084/lrmr-ex102_147.htm" TargetMode="External"/><Relationship Id="rId47" Type="http://schemas.openxmlformats.org/officeDocument/2006/relationships/hyperlink" Target="https://www.sec.gov/Archives/edgar/data/1374690/000095017023007855/lrmr-ex10_23.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119500</Words>
  <Characters>655364</Characters>
  <CharactersWithSpaces>773882</CharactersWithSpaces>
  <Paragraphs>6648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