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16,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Austin Stephenson</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Dan Greenspan</w:t>
      </w:r>
    </w:p>
    <w:p>
      <w:pPr>
        <w:spacing w:after="0" w:line="35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Zafgen,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Acceleration Request for 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333-195391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Stephenson:</w:t>
      </w:r>
    </w:p>
    <w:p>
      <w:pPr>
        <w:spacing w:after="0" w:line="113" w:lineRule="exact"/>
        <w:rPr>
          <w:sz w:val="24"/>
          <w:szCs w:val="24"/>
          <w:color w:val="auto"/>
        </w:rPr>
      </w:pPr>
    </w:p>
    <w:p>
      <w:pPr>
        <w:ind w:firstLine="456"/>
        <w:spacing w:after="0" w:line="281" w:lineRule="auto"/>
        <w:rPr>
          <w:sz w:val="20"/>
          <w:szCs w:val="20"/>
          <w:color w:val="auto"/>
        </w:rPr>
      </w:pPr>
      <w:r>
        <w:rPr>
          <w:rFonts w:ascii="Arial" w:cs="Arial" w:eastAsia="Arial" w:hAnsi="Arial"/>
          <w:sz w:val="17"/>
          <w:szCs w:val="17"/>
          <w:color w:val="auto"/>
        </w:rPr>
        <w:t>Pursuant to Rule 461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Zafgen, Inc. (the “</w:t>
      </w:r>
      <w:r>
        <w:rPr>
          <w:rFonts w:ascii="Arial" w:cs="Arial" w:eastAsia="Arial" w:hAnsi="Arial"/>
          <w:sz w:val="17"/>
          <w:szCs w:val="17"/>
          <w:b w:val="1"/>
          <w:bCs w:val="1"/>
          <w:color w:val="auto"/>
        </w:rPr>
        <w:t>Company</w:t>
      </w:r>
      <w:r>
        <w:rPr>
          <w:rFonts w:ascii="Arial" w:cs="Arial" w:eastAsia="Arial" w:hAnsi="Arial"/>
          <w:sz w:val="17"/>
          <w:szCs w:val="17"/>
          <w:color w:val="auto"/>
        </w:rPr>
        <w:t>”) hereby requests that the effective date of the above-referenced registration statement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accelerated to June 18, at 5:00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6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Once the Registration Statement is effective, please orally confirm the event with our counsel, Goodwin Procter LLP by calling Michael J. Minahan at</w:t>
      </w:r>
    </w:p>
    <w:p>
      <w:pPr>
        <w:spacing w:after="0" w:line="46" w:lineRule="exact"/>
        <w:rPr>
          <w:sz w:val="24"/>
          <w:szCs w:val="24"/>
          <w:color w:val="auto"/>
        </w:rPr>
      </w:pPr>
    </w:p>
    <w:p>
      <w:pPr>
        <w:ind w:right="220" w:firstLine="8"/>
        <w:spacing w:after="0" w:line="281"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570-1021. We also respectfully request that a copy of the written order from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verifying the effective time and date of the Registration Statement be sent to our counsel, Goodwin Procter LLP, Attention: Michael J. Minahan, by facsimile to</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523-1231.</w:t>
      </w:r>
    </w:p>
    <w:p>
      <w:pPr>
        <w:spacing w:after="0" w:line="21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the foregoing, the Company hereby acknowledges the following:</w:t>
      </w:r>
    </w:p>
    <w:p>
      <w:pPr>
        <w:spacing w:after="0" w:line="131" w:lineRule="exact"/>
        <w:rPr>
          <w:sz w:val="24"/>
          <w:szCs w:val="24"/>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acting pursuant to delegated authority, declare the Registration Statement effective, it does not foreclose the Commission from taking any action with respect to the Registration Statement;</w:t>
      </w:r>
    </w:p>
    <w:p>
      <w:pPr>
        <w:spacing w:after="0" w:line="75" w:lineRule="exact"/>
        <w:rPr>
          <w:rFonts w:ascii="Arial" w:cs="Arial" w:eastAsia="Arial" w:hAnsi="Arial"/>
          <w:sz w:val="18"/>
          <w:szCs w:val="18"/>
          <w:color w:val="auto"/>
        </w:rPr>
      </w:pPr>
    </w:p>
    <w:p>
      <w:pPr>
        <w:ind w:left="460" w:right="200" w:hanging="452"/>
        <w:spacing w:after="0" w:line="34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action of the Commission or the staff of the Commission, acting pursuant to delegated authority, in declaring the Registration Statement effective, does not relieve the Company from its full responsibility for the adequacy and accuracy of the disclosure in the Registration Statement; and</w:t>
      </w:r>
    </w:p>
    <w:p>
      <w:pPr>
        <w:spacing w:after="0" w:line="124" w:lineRule="exact"/>
        <w:rPr>
          <w:sz w:val="24"/>
          <w:szCs w:val="24"/>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regarding this request, please contact Michael J. Minahan of Goodwin Procter LLP at (617) 570-1021.</w:t>
      </w:r>
    </w:p>
    <w:p>
      <w:pPr>
        <w:sectPr>
          <w:pgSz w:w="11900" w:h="16838" w:orient="portrait"/>
          <w:cols w:equalWidth="0" w:num="1">
            <w:col w:w="11420"/>
          </w:cols>
          <w:pgMar w:left="240" w:top="229" w:right="23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ZAFGEN, INC.</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Thomas E. Hughes, Ph.D.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E. Hughes,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040" w:hanging="385"/>
        <w:spacing w:after="0"/>
        <w:tabs>
          <w:tab w:leader="none" w:pos="6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Patricia Allen, </w:t>
      </w:r>
      <w:r>
        <w:rPr>
          <w:rFonts w:ascii="Arial" w:cs="Arial" w:eastAsia="Arial" w:hAnsi="Arial"/>
          <w:sz w:val="18"/>
          <w:szCs w:val="18"/>
          <w:i w:val="1"/>
          <w:iCs w:val="1"/>
          <w:color w:val="auto"/>
        </w:rPr>
        <w:t>Zafgen, Inc.</w:t>
      </w:r>
    </w:p>
    <w:p>
      <w:pPr>
        <w:spacing w:after="0" w:line="23" w:lineRule="exact"/>
        <w:rPr>
          <w:rFonts w:ascii="Arial" w:cs="Arial" w:eastAsia="Arial" w:hAnsi="Arial"/>
          <w:sz w:val="18"/>
          <w:szCs w:val="18"/>
          <w:color w:val="auto"/>
        </w:rPr>
      </w:pPr>
    </w:p>
    <w:p>
      <w:pPr>
        <w:ind w:left="606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Mitchell S. Bloom, </w:t>
      </w:r>
      <w:r>
        <w:rPr>
          <w:rFonts w:ascii="Arial" w:cs="Arial" w:eastAsia="Arial" w:hAnsi="Arial"/>
          <w:sz w:val="16"/>
          <w:szCs w:val="16"/>
          <w:i w:val="1"/>
          <w:iCs w:val="1"/>
          <w:color w:val="auto"/>
        </w:rPr>
        <w:t>Goodwin Procter LLP</w:t>
      </w:r>
      <w:r>
        <w:rPr>
          <w:rFonts w:ascii="Arial" w:cs="Arial" w:eastAsia="Arial" w:hAnsi="Arial"/>
          <w:sz w:val="16"/>
          <w:szCs w:val="16"/>
          <w:color w:val="auto"/>
        </w:rPr>
        <w:t xml:space="preserve"> Michael J. Minahan, </w:t>
      </w:r>
      <w:r>
        <w:rPr>
          <w:rFonts w:ascii="Arial" w:cs="Arial" w:eastAsia="Arial" w:hAnsi="Arial"/>
          <w:sz w:val="16"/>
          <w:szCs w:val="16"/>
          <w:i w:val="1"/>
          <w:iCs w:val="1"/>
          <w:color w:val="auto"/>
        </w:rPr>
        <w:t>Goodwin Procter LLP</w:t>
      </w:r>
    </w:p>
    <w:sectPr>
      <w:pgSz w:w="11900" w:h="16838" w:orient="portrait"/>
      <w:cols w:equalWidth="0" w:num="1">
        <w:col w:w="9180"/>
      </w:cols>
      <w:pgMar w:left="1440" w:top="27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17"/>
    </w:lvl>
  </w:abstractNum>
  <w:abstractNum w:abstractNumId="1">
    <w:nsid w:val="19495CFF"/>
    <w:multiLevelType w:val="hybridMultilevel"/>
    <w:lvl w:ilvl="0">
      <w:lvlJc w:val="left"/>
      <w:lvlText w:val="(%1)"/>
      <w:numFmt w:val="decimal"/>
      <w:start w:val="61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2019-12-07T14:06:50Z</dcterms:created>
  <dcterms:modified xsi:type="dcterms:W3CDTF">2019-12-07T14:06:50Z</dcterms:modified>
</cp:coreProperties>
</file>