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Three Bala Plaza East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LRMR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14, 2024, Larimar Therapeutics, Inc. announced its financial results and operational highlights for the fourth quarter of 2023 and for the year ended December 31, 2023. A copy of the press release is being furnished as Exhibit 99.1 to this Current Report on Form 8-K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40" w:type="dxa"/>
            <w:vAlign w:val="bottom"/>
            <w:gridSpan w:val="2"/>
          </w:tcPr>
          <w:p>
            <w:pPr>
              <w:ind w:left="480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155"/>
        </w:trPr>
        <w:tc>
          <w:tcPr>
            <w:tcW w:w="9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No.</w:t>
            </w:r>
          </w:p>
        </w:tc>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54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issued by Larimar Therapeutics, Inc. on March 14, 2024*</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5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9" w:lineRule="exact"/>
        <w:rPr>
          <w:sz w:val="20"/>
          <w:szCs w:val="20"/>
          <w:color w:val="auto"/>
        </w:rPr>
      </w:pPr>
    </w:p>
    <w:p>
      <w:pPr>
        <w:ind w:right="4480" w:firstLine="21"/>
        <w:spacing w:after="0" w:line="532" w:lineRule="auto"/>
        <w:tabs>
          <w:tab w:leader="none" w:pos="9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137985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80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auto"/>
        </w:rPr>
        <w:t>Larimar Therapeutics Reports Fourth Quarter and Full Year 2023 Operating and Financial Results and Provides Update on Nomlabofusp Development</w:t>
      </w:r>
    </w:p>
    <w:p>
      <w:pPr>
        <w:spacing w:after="0" w:line="124" w:lineRule="exact"/>
        <w:rPr>
          <w:sz w:val="20"/>
          <w:szCs w:val="20"/>
          <w:color w:val="auto"/>
        </w:rPr>
      </w:pPr>
    </w:p>
    <w:p>
      <w:pPr>
        <w:ind w:left="760" w:hanging="378"/>
        <w:spacing w:after="0" w:line="24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Positive top-line data from Phase 2 dose exploration study of nomlabofusp, which was generally well-tolerated, with dose-dependent increases in tissue frataxin levels observed</w:t>
      </w:r>
    </w:p>
    <w:p>
      <w:pPr>
        <w:spacing w:after="0" w:line="1" w:lineRule="exact"/>
        <w:rPr>
          <w:rFonts w:ascii="Times New Roman" w:cs="Times New Roman" w:eastAsia="Times New Roman" w:hAnsi="Times New Roman"/>
          <w:sz w:val="18"/>
          <w:szCs w:val="18"/>
          <w:color w:val="auto"/>
        </w:rPr>
      </w:pPr>
    </w:p>
    <w:p>
      <w:pPr>
        <w:ind w:left="760" w:hanging="378"/>
        <w:spacing w:after="0" w:line="23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Initiated discussions with the Food and Drug Administration (FDA) on the potential use of tissue frataxin levels as a novel surrogate endpoint to support a Biologics License Application (“BLA”) submission for accelerated approval targeted for 2H 2025</w:t>
      </w:r>
    </w:p>
    <w:p>
      <w:pPr>
        <w:ind w:left="760" w:hanging="378"/>
        <w:spacing w:after="0" w:line="23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 January 2024, initiated open label extension (OLE) study with 25 mg daily dosing of nomlabofusp, with first patient dosed in March 2024; interim data expected in Q4 2024</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Recent successful financing that raised $161.6 million extends expected operating runway into 2026.</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Bala Cynwyd, PA, </w:t>
      </w:r>
      <w:r>
        <w:rPr>
          <w:rFonts w:ascii="Arial" w:cs="Arial" w:eastAsia="Arial" w:hAnsi="Arial"/>
          <w:sz w:val="18"/>
          <w:szCs w:val="18"/>
          <w:color w:val="auto"/>
        </w:rPr>
        <w:t>March 14, 2024 – Larimar Therapeutics, Inc. (“Larimar”) (Nasdaq: LRMR), a clinical-stage biotechnology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developing treatments for complex rare diseases, today reported its fourth quarter and full year 2023 operating and financial results.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year we made tremendous progress across key clinical and regulatory milestones for our nomlabofusp program. We were thrilled to recently report positive top-line data and successful completion of our Phase 2 dose exploration study. Nomlabofusp was generally well-tolerated and demonstrated dose-dependent increases in skin and buccal cell frataxin levels. Importantly, skin frataxin levels as a percentage of levels in healthy volunteers more than doubled in all patients after 14 days of daily treatment with 50 mg. The clear dose-response and the magnitude of increase in tissue frataxin levels further reinforces the therapeutic potential of nomlabofusp to address frataxin deficiency, the known root cause of disease in patients with Friedreich’s ataxia (FA),” said Carole Ben-Maimon, MD, President, and Chief Executive Officer of Larimar. “Additionally, the first patient in our OLE study has been dosed. The OLE study will inform on the long-term safety profile and long-term tissue frataxin levels. We remain on track to report interim data from the OLE study in the fourth quarter of 2024.”</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Dr. Ben-Maimon continued, “On the regulatory front, we are continuing discussions with the FDA on the potential use of frataxin as a novel surrogate endpoint to support accelerated approval. We are also beginning to plan for a global double-blind placebo-controlled confirmatory study expected to be initiated prior to a potential BLA submission. The BLA submission is targeted for the second half of 2025. We believe our clinical datasets supporting nomlabofusp’s differentiated mechanism of action, coupled with our strengthened balance sheet and expected runway into 2026, strongly position us for execution of our upcoming pivotal milestones designed to help address the urgent unmet needs of the FA community.”</w:t>
      </w:r>
    </w:p>
    <w:p>
      <w:pPr>
        <w:spacing w:after="0" w:line="3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Highlights</w:t>
      </w:r>
    </w:p>
    <w:p>
      <w:pPr>
        <w:spacing w:after="0" w:line="198" w:lineRule="exact"/>
        <w:rPr>
          <w:sz w:val="20"/>
          <w:szCs w:val="20"/>
          <w:color w:val="auto"/>
        </w:rPr>
      </w:pPr>
    </w:p>
    <w:p>
      <w:pPr>
        <w:jc w:val="both"/>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 February 2024, Larimar announced positive top-line data and successful completion of its four-week, placebo-controlled Phase 2 dose exploration study of nomlabofusp (CTI-1601) in patients with FA. Nomlabofusp was generally well-tolerated up to 4-weeks, had a predictable pharmacokinetic profile, and led to dose-dependent increases in frataxin in skin and buccal cells after daily dosing of 14 days followed by every other day dosing until day 28 in the 25 mg and 50 mg cohorts. Increases in frataxin levels in skin cells were seen in all treated patients, and in buccal cells for the majority of patients. At Day 14, all patients (with quantifiable levels at baseline and Day 14) treated with 50 mg of nomlabofusp achieved frataxin levels in skin cells greater than 33% of the average level found in healthy volunteers, with 3 patients achieving levels greater than 50% of the average healthy volunteer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1144905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ind w:left="760" w:hanging="378"/>
        <w:spacing w:after="0" w:line="246"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February 2024, Larimar announced that it had initiated discussions with the FDA on use of tissue frataxin levels as a potential novel surrogate endpoint. Larimar received FDA acknowledgement that frataxin deficiency appears to be critical to the pathogenic mechanism of FA, and that there continues to be an unmet need for treatments that address the underlying disease pathophysiology. Discussions to support an accelerated approval are ongoing with a BLA submission targeted for 2H 2025.</w:t>
      </w:r>
    </w:p>
    <w:p>
      <w:pPr>
        <w:spacing w:after="0" w:line="200" w:lineRule="exact"/>
        <w:rPr>
          <w:rFonts w:ascii="Times New Roman" w:cs="Times New Roman" w:eastAsia="Times New Roman" w:hAnsi="Times New Roman"/>
          <w:sz w:val="18"/>
          <w:szCs w:val="18"/>
          <w:color w:val="auto"/>
        </w:rPr>
      </w:pPr>
    </w:p>
    <w:p>
      <w:pPr>
        <w:spacing w:after="0" w:line="3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February 2024, Larimar raised net proceeds of approximately $161.6 million through a public offering of common stock.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jc w:val="both"/>
        <w:ind w:left="760" w:hanging="378"/>
        <w:spacing w:after="0" w:line="251"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2024, the first patient in the OLE study evaluating daily subcutaneous injections of 25 mg of nomlabofusp self-administered or administered by a caregiver was dosed. Participants who completed treatment in the Phase 2 dose exploration trial, or who previously completed a prior clinical trial of nomlabofusp, are potentially eligible to screen for the OLE study. The OLE study will evaluate the safety and tolerability, pharmacokinetics, and frataxin levels in peripheral tissues as well as other exploratory pharmacodynamic markers (lipid profiles and gene expression data) following long-term subcutaneous administration of nomlabofusp. Clinical assessments collected during the trial will be compared to data from a matched control arm derived from participants in the Friedreich’s Ataxia Clinical Outcome Measures Study (FACOMS) database. Interim data is expected in Q4 2024. To potentially escalate dose in the OLE study, data from the 50 mg cohort of the Phase 2 study, as well as available data from the 25 mg dose in the OLE study will be submitted for FDA review due to continued partial clinical hold.</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 Year 2023 Financial Results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2023, the Company had cash, cash equivalents and marketable securities totaling $86.8 million. As noted above, in February 2024, we raised approximately $161.6 million in net proceeds through a public offering of common stock.</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reported a net loss for the fourth quarter of 2023 of $13.0 million, or $0.30 per share, compared to a net loss of $9.4 million, or $0.21 per share, for the fourth quarter of 2022.</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for the fourth quarter of 2023 were $10.6 million compared to $7.2 million for the fourth quarter of 2022. The increase in research and development expenses compared to the prior year period was primarily driven by an increase of $1.1 million in drug manufacturing costs, an increase of $0.8 million in consulting expenditures, an increase of $0.7 million in personnel expense, an increase of $0.4 million in clinical costs related to an increase in the OLE study partially offset by a decrease in clinical costs associated with the Phase 2 nomlabofusp trial discussed above.</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 and administrative expenses for the fourth quarter of 2023 were $3.5 million compared to $3.2 million for the fourth quarter of 2022. The increase in general and administrative expense was primarily driven by an increase of $0.2 million in stock-based compensation expense associated with stock option grants made in 2023, an increase of $0.1 million in personnel expense and an increase of $0.1 million in operational costs primarily related to technology, partially offset by a decrease of $0.2 million in legal fees.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full year 2023, the Company reported a net loss of $36.9 million, or $0.84 per share, compared to a net loss of $35.4 million, or $1.37 per share for the same period in 2022.</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expenses for the full year 2023 were $ 27.7 million compared to $24.3 million for the same period in 2022. The increase in research and development expenses compared to the prior year period was primarily driven by an increase of $1.9 million in personnel expense, an increase of $1.3 million in clinical expense, an increase of $1.1 million in consulting expenditures, an increase of $0.5 million in nonclinical development costs, an increase of $0.5 million in internal lab costs, and an increase of $0.3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8"/>
          <w:szCs w:val="18"/>
          <w:color w:val="auto"/>
        </w:rPr>
        <w:t>million in stock-based compensation expense associated with stock option grants made in 2022 and 2023, partially offset by a decrease of $2.0 million in drug manufacturing costs and a decrease of $0.2 million in royalty fees associated with the milestone achieved in 2022.</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General and administrative expenses for the full year 2023 were $14.1 million compared to $12.3 million for the same period in 2022. The increase in general and administrative expense was primarily driven by an increase of $0.7 million in stock-based compensation expense associated with stock option grants made in 2022 and 2023, an increase of $0.5 million in personnel expense, an increase of $0.5 million in operational costs primarily related to technology and an increase of $0.4 million in professional fees primarily related to legal, accounting and consulting services, partially offset by a decrease of $0.3 million in insurance expense.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Larimar Therapeutics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(also known as CTI-1601) and other planned product candidates, Larimar’s planned research and development efforts, including the timing of its nomlabofusp clinical trials, interactions with the FDA and overall development plan and other matters regarding Larimar’s business strategies, ability to raise capital, use of capital, results of operations and financial position, and plans and objectives for future operations.</w:t>
      </w:r>
    </w:p>
    <w:p>
      <w:pPr>
        <w:spacing w:after="0" w:line="16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2056130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Joyce Allaire</w:t>
      </w:r>
    </w:p>
    <w:p>
      <w:pPr>
        <w:spacing w:after="0" w:line="234" w:lineRule="auto"/>
        <w:rPr>
          <w:sz w:val="20"/>
          <w:szCs w:val="20"/>
          <w:color w:val="auto"/>
        </w:rPr>
      </w:pPr>
      <w:r>
        <w:rPr>
          <w:rFonts w:ascii="Arial" w:cs="Arial" w:eastAsia="Arial" w:hAnsi="Arial"/>
          <w:sz w:val="18"/>
          <w:szCs w:val="18"/>
          <w:color w:val="auto"/>
        </w:rPr>
        <w:t>LifeSci Advisors</w:t>
      </w:r>
    </w:p>
    <w:p>
      <w:pPr>
        <w:spacing w:after="0" w:line="235" w:lineRule="auto"/>
        <w:rPr>
          <w:sz w:val="20"/>
          <w:szCs w:val="20"/>
          <w:color w:val="auto"/>
        </w:rPr>
      </w:pPr>
      <w:r>
        <w:rPr>
          <w:rFonts w:ascii="Arial" w:cs="Arial" w:eastAsia="Arial" w:hAnsi="Arial"/>
          <w:sz w:val="18"/>
          <w:szCs w:val="18"/>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(212) 915-2569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Celano</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 w:name="page9"/>
    <w:bookmarkEnd w:id="8"/>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Larimar Therapeutics, Inc.</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Consolidated Balance Sheet</w:t>
      </w: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9"/>
                <w:szCs w:val="19"/>
                <w:color w:val="auto"/>
              </w:rPr>
            </w:pPr>
          </w:p>
        </w:tc>
        <w:tc>
          <w:tcPr>
            <w:tcW w:w="22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4"/>
              </w:rPr>
              <w:t>2023</w:t>
            </w:r>
          </w:p>
        </w:tc>
        <w:tc>
          <w:tcPr>
            <w:tcW w:w="2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6520" w:type="dxa"/>
            <w:vAlign w:val="bottom"/>
            <w:shd w:val="clear" w:color="auto" w:fill="CFF0FC"/>
          </w:tcPr>
          <w:p>
            <w:pPr>
              <w:ind w:left="1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652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5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26,749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26,825</w:t>
            </w:r>
          </w:p>
        </w:tc>
      </w:tr>
      <w:tr>
        <w:trPr>
          <w:trHeight w:val="229"/>
        </w:trPr>
        <w:tc>
          <w:tcPr>
            <w:tcW w:w="6520" w:type="dxa"/>
            <w:vAlign w:val="bottom"/>
          </w:tcPr>
          <w:p>
            <w:pPr>
              <w:ind w:left="4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60,041</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91,603</w:t>
            </w:r>
          </w:p>
        </w:tc>
      </w:tr>
      <w:tr>
        <w:trPr>
          <w:trHeight w:val="230"/>
        </w:trPr>
        <w:tc>
          <w:tcPr>
            <w:tcW w:w="652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3,385</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2,311</w:t>
            </w:r>
          </w:p>
        </w:tc>
      </w:tr>
      <w:tr>
        <w:trPr>
          <w:trHeight w:val="223"/>
        </w:trPr>
        <w:tc>
          <w:tcPr>
            <w:tcW w:w="6520" w:type="dxa"/>
            <w:vAlign w:val="bottom"/>
          </w:tcPr>
          <w:p>
            <w:pPr>
              <w:ind w:left="8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90,175</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120,739</w:t>
            </w:r>
          </w:p>
        </w:tc>
      </w:tr>
      <w:tr>
        <w:trPr>
          <w:trHeight w:val="230"/>
        </w:trPr>
        <w:tc>
          <w:tcPr>
            <w:tcW w:w="6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684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831</w:t>
            </w:r>
          </w:p>
        </w:tc>
      </w:tr>
      <w:tr>
        <w:trPr>
          <w:trHeight w:val="229"/>
        </w:trPr>
        <w:tc>
          <w:tcPr>
            <w:tcW w:w="6520" w:type="dxa"/>
            <w:vAlign w:val="bottom"/>
          </w:tcPr>
          <w:p>
            <w:pPr>
              <w:ind w:left="10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3,078</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2,858</w:t>
            </w:r>
          </w:p>
        </w:tc>
      </w:tr>
      <w:tr>
        <w:trPr>
          <w:trHeight w:val="229"/>
        </w:trPr>
        <w:tc>
          <w:tcPr>
            <w:tcW w:w="6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1,339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1,339</w:t>
            </w:r>
          </w:p>
        </w:tc>
      </w:tr>
      <w:tr>
        <w:trPr>
          <w:trHeight w:val="230"/>
        </w:trPr>
        <w:tc>
          <w:tcPr>
            <w:tcW w:w="65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659</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638</w:t>
            </w:r>
          </w:p>
        </w:tc>
      </w:tr>
      <w:tr>
        <w:trPr>
          <w:trHeight w:val="263"/>
        </w:trPr>
        <w:tc>
          <w:tcPr>
            <w:tcW w:w="652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95,935</w:t>
            </w:r>
          </w:p>
        </w:tc>
        <w:tc>
          <w:tcPr>
            <w:tcW w:w="2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126,405</w:t>
            </w:r>
          </w:p>
        </w:tc>
      </w:tr>
      <w:tr>
        <w:trPr>
          <w:trHeight w:val="210"/>
        </w:trPr>
        <w:tc>
          <w:tcPr>
            <w:tcW w:w="6520" w:type="dxa"/>
            <w:vAlign w:val="bottom"/>
          </w:tcPr>
          <w:p>
            <w:pPr>
              <w:ind w:left="10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6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9"/>
        </w:trPr>
        <w:tc>
          <w:tcPr>
            <w:tcW w:w="652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1,686</w:t>
            </w:r>
          </w:p>
        </w:tc>
      </w:tr>
      <w:tr>
        <w:trPr>
          <w:trHeight w:val="230"/>
        </w:trPr>
        <w:tc>
          <w:tcPr>
            <w:tcW w:w="65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7,386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8,408</w:t>
            </w:r>
          </w:p>
        </w:tc>
      </w:tr>
      <w:tr>
        <w:trPr>
          <w:trHeight w:val="230"/>
        </w:trPr>
        <w:tc>
          <w:tcPr>
            <w:tcW w:w="6520" w:type="dxa"/>
            <w:vAlign w:val="bottom"/>
          </w:tcPr>
          <w:p>
            <w:pPr>
              <w:ind w:left="46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837</w:t>
            </w:r>
          </w:p>
        </w:tc>
        <w:tc>
          <w:tcPr>
            <w:tcW w:w="2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611</w:t>
            </w:r>
          </w:p>
        </w:tc>
      </w:tr>
      <w:tr>
        <w:trPr>
          <w:trHeight w:val="223"/>
        </w:trPr>
        <w:tc>
          <w:tcPr>
            <w:tcW w:w="65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9,506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10,705</w:t>
            </w:r>
          </w:p>
        </w:tc>
      </w:tr>
      <w:tr>
        <w:trPr>
          <w:trHeight w:val="230"/>
        </w:trPr>
        <w:tc>
          <w:tcPr>
            <w:tcW w:w="652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4,709</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4,797</w:t>
            </w:r>
          </w:p>
        </w:tc>
      </w:tr>
      <w:tr>
        <w:trPr>
          <w:trHeight w:val="223"/>
        </w:trPr>
        <w:tc>
          <w:tcPr>
            <w:tcW w:w="6520" w:type="dxa"/>
            <w:vAlign w:val="bottom"/>
            <w:tcBorders>
              <w:bottom w:val="single" w:sz="8" w:color="CFF0FC"/>
            </w:tcBorders>
            <w:shd w:val="clear" w:color="auto" w:fill="CFF0FC"/>
          </w:tcPr>
          <w:p>
            <w:pPr>
              <w:ind w:left="8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14,215</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15,502</w:t>
            </w:r>
          </w:p>
        </w:tc>
      </w:tr>
      <w:tr>
        <w:trPr>
          <w:trHeight w:val="223"/>
        </w:trPr>
        <w:tc>
          <w:tcPr>
            <w:tcW w:w="6520" w:type="dxa"/>
            <w:vAlign w:val="bottom"/>
          </w:tcPr>
          <w:p>
            <w:pPr>
              <w:ind w:left="100"/>
              <w:spacing w:after="0"/>
              <w:rPr>
                <w:sz w:val="20"/>
                <w:szCs w:val="20"/>
                <w:color w:val="auto"/>
              </w:rPr>
            </w:pPr>
            <w:r>
              <w:rPr>
                <w:rFonts w:ascii="Arial" w:cs="Arial" w:eastAsia="Arial" w:hAnsi="Arial"/>
                <w:sz w:val="18"/>
                <w:szCs w:val="18"/>
                <w:color w:val="auto"/>
              </w:rPr>
              <w:t>Commitments and contingencies (See Note 8)</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197"/>
        </w:trPr>
        <w:tc>
          <w:tcPr>
            <w:tcW w:w="6520" w:type="dxa"/>
            <w:vAlign w:val="bottom"/>
          </w:tcPr>
          <w:p>
            <w:pPr>
              <w:ind w:left="460"/>
              <w:spacing w:after="0" w:line="197" w:lineRule="exact"/>
              <w:rPr>
                <w:sz w:val="20"/>
                <w:szCs w:val="20"/>
                <w:color w:val="auto"/>
              </w:rPr>
            </w:pPr>
            <w:r>
              <w:rPr>
                <w:rFonts w:ascii="Arial" w:cs="Arial" w:eastAsia="Arial" w:hAnsi="Arial"/>
                <w:sz w:val="18"/>
                <w:szCs w:val="18"/>
                <w:color w:val="auto"/>
              </w:rPr>
              <w:t>Preferred stock; $0.001 par value per share; 5,000,000 shares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6520" w:type="dxa"/>
            <w:vAlign w:val="bottom"/>
          </w:tcPr>
          <w:p>
            <w:pPr>
              <w:ind w:left="100"/>
              <w:spacing w:after="0" w:line="202" w:lineRule="exact"/>
              <w:rPr>
                <w:sz w:val="20"/>
                <w:szCs w:val="20"/>
                <w:color w:val="auto"/>
              </w:rPr>
            </w:pPr>
            <w:r>
              <w:rPr>
                <w:rFonts w:ascii="Arial" w:cs="Arial" w:eastAsia="Arial" w:hAnsi="Arial"/>
                <w:sz w:val="18"/>
                <w:szCs w:val="18"/>
                <w:color w:val="auto"/>
              </w:rPr>
              <w:t>authorized as of December 31, 2023 and December 31, 2022; no shares</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5"/>
        </w:trPr>
        <w:tc>
          <w:tcPr>
            <w:tcW w:w="6520" w:type="dxa"/>
            <w:vAlign w:val="bottom"/>
          </w:tcPr>
          <w:p>
            <w:pPr>
              <w:ind w:left="100"/>
              <w:spacing w:after="0"/>
              <w:rPr>
                <w:sz w:val="20"/>
                <w:szCs w:val="20"/>
                <w:color w:val="auto"/>
              </w:rPr>
            </w:pPr>
            <w:r>
              <w:rPr>
                <w:rFonts w:ascii="Arial" w:cs="Arial" w:eastAsia="Arial" w:hAnsi="Arial"/>
                <w:sz w:val="18"/>
                <w:szCs w:val="18"/>
                <w:color w:val="auto"/>
              </w:rPr>
              <w:t>issued and outstanding as of December 31, 2023 and December 31, 2022</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197"/>
        </w:trPr>
        <w:tc>
          <w:tcPr>
            <w:tcW w:w="6520" w:type="dxa"/>
            <w:vAlign w:val="bottom"/>
            <w:shd w:val="clear" w:color="auto" w:fill="CFF0FC"/>
          </w:tcPr>
          <w:p>
            <w:pPr>
              <w:ind w:left="460"/>
              <w:spacing w:after="0" w:line="197" w:lineRule="exact"/>
              <w:rPr>
                <w:sz w:val="20"/>
                <w:szCs w:val="20"/>
                <w:color w:val="auto"/>
              </w:rPr>
            </w:pPr>
            <w:r>
              <w:rPr>
                <w:rFonts w:ascii="Arial" w:cs="Arial" w:eastAsia="Arial" w:hAnsi="Arial"/>
                <w:sz w:val="18"/>
                <w:szCs w:val="18"/>
                <w:color w:val="auto"/>
              </w:rPr>
              <w:t>Common stock, $0.001 par value per share; 115,000,000 shares</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65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authorized as of December 31, 2023 and December 31, 2022; 43,909,069</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65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and 43,269,200 shares issued and outstanding as of December 31, 2023</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35"/>
        </w:trPr>
        <w:tc>
          <w:tcPr>
            <w:tcW w:w="6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and December 31, 2022, respectively</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w:t>
            </w:r>
          </w:p>
        </w:tc>
      </w:tr>
      <w:tr>
        <w:trPr>
          <w:trHeight w:val="230"/>
        </w:trPr>
        <w:tc>
          <w:tcPr>
            <w:tcW w:w="652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270,150</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262,496</w:t>
            </w:r>
          </w:p>
        </w:tc>
      </w:tr>
      <w:tr>
        <w:trPr>
          <w:trHeight w:val="230"/>
        </w:trPr>
        <w:tc>
          <w:tcPr>
            <w:tcW w:w="6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(188,554)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(151,605)</w:t>
            </w:r>
          </w:p>
        </w:tc>
      </w:tr>
      <w:tr>
        <w:trPr>
          <w:trHeight w:val="1411"/>
        </w:trPr>
        <w:tc>
          <w:tcPr>
            <w:tcW w:w="6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-4533900</wp:posOffset>
            </wp:positionV>
            <wp:extent cx="1631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-3642995</wp:posOffset>
            </wp:positionV>
            <wp:extent cx="163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-3625215</wp:posOffset>
            </wp:positionV>
            <wp:extent cx="163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-3796665</wp:posOffset>
            </wp:positionV>
            <wp:extent cx="1631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5538470</wp:posOffset>
            </wp:positionH>
            <wp:positionV relativeFrom="paragraph">
              <wp:posOffset>-2600960</wp:posOffset>
            </wp:positionV>
            <wp:extent cx="188595" cy="1879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 cy="1879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5"/>
        </w:trPr>
        <w:tc>
          <w:tcPr>
            <w:tcW w:w="6520" w:type="dxa"/>
            <w:vAlign w:val="bottom"/>
          </w:tcPr>
          <w:p>
            <w:pPr>
              <w:ind w:left="100"/>
              <w:spacing w:after="0"/>
              <w:rPr>
                <w:sz w:val="20"/>
                <w:szCs w:val="20"/>
                <w:color w:val="auto"/>
              </w:rPr>
            </w:pPr>
            <w:r>
              <w:rPr>
                <w:rFonts w:ascii="Arial" w:cs="Arial" w:eastAsia="Arial" w:hAnsi="Arial"/>
                <w:sz w:val="18"/>
                <w:szCs w:val="18"/>
                <w:color w:val="auto"/>
              </w:rPr>
              <w:t>Accumulated other comprehensive loss</w:t>
            </w:r>
          </w:p>
        </w:tc>
        <w:tc>
          <w:tcPr>
            <w:tcW w:w="1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r>
      <w:tr>
        <w:trPr>
          <w:trHeight w:val="223"/>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stockholders’ equity</w:t>
            </w:r>
          </w:p>
        </w:tc>
        <w:tc>
          <w:tcPr>
            <w:tcW w:w="1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81,720</w:t>
            </w:r>
          </w:p>
        </w:tc>
        <w:tc>
          <w:tcPr>
            <w:tcW w:w="2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110,903</w:t>
            </w:r>
          </w:p>
        </w:tc>
      </w:tr>
      <w:tr>
        <w:trPr>
          <w:trHeight w:val="223"/>
        </w:trPr>
        <w:tc>
          <w:tcPr>
            <w:tcW w:w="652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95,935</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126,405</w:t>
            </w:r>
          </w:p>
        </w:tc>
      </w:tr>
      <w:tr>
        <w:trPr>
          <w:trHeight w:val="20"/>
        </w:trPr>
        <w:tc>
          <w:tcPr>
            <w:tcW w:w="6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08"/>
        </w:trPr>
        <w:tc>
          <w:tcPr>
            <w:tcW w:w="65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10" w:name="page11"/>
    <w:bookmarkEnd w:id="10"/>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492125</wp:posOffset>
            </wp:positionV>
            <wp:extent cx="1379855" cy="480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800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p>
        </w:tc>
        <w:tc>
          <w:tcPr>
            <w:tcW w:w="38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Three Months Ended December 31,</w:t>
            </w:r>
          </w:p>
        </w:tc>
        <w:tc>
          <w:tcPr>
            <w:tcW w:w="200" w:type="dxa"/>
            <w:vAlign w:val="bottom"/>
          </w:tcPr>
          <w:p>
            <w:pPr>
              <w:spacing w:after="0"/>
              <w:rPr>
                <w:sz w:val="20"/>
                <w:szCs w:val="20"/>
                <w:color w:val="auto"/>
              </w:rPr>
            </w:pPr>
          </w:p>
        </w:tc>
        <w:tc>
          <w:tcPr>
            <w:tcW w:w="38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3300" w:type="dxa"/>
            <w:vAlign w:val="bottom"/>
            <w:vMerge w:val="restart"/>
          </w:tcPr>
          <w:p>
            <w:pPr>
              <w:ind w:left="100"/>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202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20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20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3300" w:type="dxa"/>
            <w:vAlign w:val="bottom"/>
            <w:vMerge w:val="continue"/>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3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3300" w:type="dxa"/>
            <w:vAlign w:val="bottom"/>
            <w:shd w:val="clear" w:color="auto" w:fill="CFF0FC"/>
          </w:tcPr>
          <w:p>
            <w:pPr>
              <w:ind w:left="460"/>
              <w:spacing w:after="0" w:line="197" w:lineRule="exact"/>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FF0FC"/>
          </w:tcPr>
          <w:p>
            <w:pPr>
              <w:jc w:val="right"/>
              <w:ind w:right="1010"/>
              <w:spacing w:after="0" w:line="197" w:lineRule="exact"/>
              <w:rPr>
                <w:sz w:val="20"/>
                <w:szCs w:val="20"/>
                <w:color w:val="auto"/>
              </w:rPr>
            </w:pPr>
            <w:r>
              <w:rPr>
                <w:rFonts w:ascii="Arial" w:cs="Arial" w:eastAsia="Arial" w:hAnsi="Arial"/>
                <w:sz w:val="18"/>
                <w:szCs w:val="18"/>
                <w:color w:val="auto"/>
              </w:rPr>
              <w:t>$</w:t>
            </w:r>
          </w:p>
        </w:tc>
        <w:tc>
          <w:tcPr>
            <w:tcW w:w="2020" w:type="dxa"/>
            <w:vAlign w:val="bottom"/>
            <w:gridSpan w:val="2"/>
            <w:shd w:val="clear" w:color="auto" w:fill="CFF0FC"/>
          </w:tcPr>
          <w:p>
            <w:pPr>
              <w:jc w:val="right"/>
              <w:ind w:right="1090"/>
              <w:spacing w:after="0" w:line="197"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ind w:right="1010"/>
              <w:spacing w:after="0" w:line="197" w:lineRule="exact"/>
              <w:rPr>
                <w:sz w:val="20"/>
                <w:szCs w:val="20"/>
                <w:color w:val="auto"/>
              </w:rPr>
            </w:pPr>
            <w:r>
              <w:rPr>
                <w:rFonts w:ascii="Arial" w:cs="Arial" w:eastAsia="Arial" w:hAnsi="Arial"/>
                <w:sz w:val="18"/>
                <w:szCs w:val="18"/>
                <w:color w:val="auto"/>
              </w:rPr>
              <w:t>$</w:t>
            </w:r>
          </w:p>
        </w:tc>
        <w:tc>
          <w:tcPr>
            <w:tcW w:w="2020" w:type="dxa"/>
            <w:vAlign w:val="bottom"/>
            <w:gridSpan w:val="2"/>
            <w:shd w:val="clear" w:color="auto" w:fill="CFF0FC"/>
          </w:tcPr>
          <w:p>
            <w:pPr>
              <w:jc w:val="right"/>
              <w:ind w:right="1010"/>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30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10,648</w:t>
            </w:r>
          </w:p>
        </w:tc>
        <w:tc>
          <w:tcPr>
            <w:tcW w:w="2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7,218</w:t>
            </w:r>
          </w:p>
        </w:tc>
        <w:tc>
          <w:tcPr>
            <w:tcW w:w="2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27,670</w:t>
            </w:r>
          </w:p>
        </w:tc>
        <w:tc>
          <w:tcPr>
            <w:tcW w:w="2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24,250</w:t>
            </w:r>
          </w:p>
        </w:tc>
        <w:tc>
          <w:tcPr>
            <w:tcW w:w="0" w:type="dxa"/>
            <w:vAlign w:val="bottom"/>
          </w:tcPr>
          <w:p>
            <w:pPr>
              <w:spacing w:after="0"/>
              <w:rPr>
                <w:sz w:val="1"/>
                <w:szCs w:val="1"/>
                <w:color w:val="auto"/>
              </w:rPr>
            </w:pPr>
          </w:p>
        </w:tc>
      </w:tr>
      <w:tr>
        <w:trPr>
          <w:trHeight w:val="197"/>
        </w:trPr>
        <w:tc>
          <w:tcPr>
            <w:tcW w:w="3300" w:type="dxa"/>
            <w:vAlign w:val="bottom"/>
          </w:tcPr>
          <w:p>
            <w:pPr>
              <w:ind w:left="460"/>
              <w:spacing w:after="0" w:line="197" w:lineRule="exact"/>
              <w:rPr>
                <w:sz w:val="20"/>
                <w:szCs w:val="20"/>
                <w:color w:val="auto"/>
              </w:rPr>
            </w:pPr>
            <w:r>
              <w:rPr>
                <w:rFonts w:ascii="Arial" w:cs="Arial" w:eastAsia="Arial" w:hAnsi="Arial"/>
                <w:sz w:val="18"/>
                <w:szCs w:val="18"/>
                <w:color w:val="auto"/>
              </w:rPr>
              <w:t>General and administrative</w:t>
            </w:r>
          </w:p>
        </w:tc>
        <w:tc>
          <w:tcPr>
            <w:tcW w:w="1860" w:type="dxa"/>
            <w:vAlign w:val="bottom"/>
          </w:tcPr>
          <w:p>
            <w:pPr>
              <w:jc w:val="right"/>
              <w:ind w:right="30"/>
              <w:spacing w:after="0" w:line="197" w:lineRule="exact"/>
              <w:rPr>
                <w:sz w:val="20"/>
                <w:szCs w:val="20"/>
                <w:color w:val="auto"/>
              </w:rPr>
            </w:pPr>
            <w:r>
              <w:rPr>
                <w:rFonts w:ascii="Arial" w:cs="Arial" w:eastAsia="Arial" w:hAnsi="Arial"/>
                <w:sz w:val="18"/>
                <w:szCs w:val="18"/>
                <w:color w:val="auto"/>
              </w:rPr>
              <w:t>3,51</w:t>
            </w:r>
          </w:p>
        </w:tc>
        <w:tc>
          <w:tcPr>
            <w:tcW w:w="2020" w:type="dxa"/>
            <w:vAlign w:val="bottom"/>
            <w:gridSpan w:val="2"/>
          </w:tcPr>
          <w:p>
            <w:pPr>
              <w:jc w:val="right"/>
              <w:ind w:right="10"/>
              <w:spacing w:after="0" w:line="197" w:lineRule="exact"/>
              <w:rPr>
                <w:sz w:val="20"/>
                <w:szCs w:val="20"/>
                <w:color w:val="auto"/>
              </w:rPr>
            </w:pPr>
            <w:r>
              <w:rPr>
                <w:rFonts w:ascii="Arial" w:cs="Arial" w:eastAsia="Arial" w:hAnsi="Arial"/>
                <w:sz w:val="18"/>
                <w:szCs w:val="18"/>
                <w:color w:val="auto"/>
              </w:rPr>
              <w:t>3,22</w:t>
            </w:r>
          </w:p>
        </w:tc>
        <w:tc>
          <w:tcPr>
            <w:tcW w:w="2040" w:type="dxa"/>
            <w:vAlign w:val="bottom"/>
            <w:gridSpan w:val="2"/>
          </w:tcPr>
          <w:p>
            <w:pPr>
              <w:jc w:val="right"/>
              <w:ind w:right="10"/>
              <w:spacing w:after="0" w:line="197" w:lineRule="exact"/>
              <w:rPr>
                <w:sz w:val="20"/>
                <w:szCs w:val="20"/>
                <w:color w:val="auto"/>
              </w:rPr>
            </w:pPr>
            <w:r>
              <w:rPr>
                <w:rFonts w:ascii="Arial" w:cs="Arial" w:eastAsia="Arial" w:hAnsi="Arial"/>
                <w:sz w:val="18"/>
                <w:szCs w:val="18"/>
                <w:color w:val="auto"/>
              </w:rPr>
              <w:t>14,08</w:t>
            </w:r>
          </w:p>
        </w:tc>
        <w:tc>
          <w:tcPr>
            <w:tcW w:w="2020" w:type="dxa"/>
            <w:vAlign w:val="bottom"/>
            <w:gridSpan w:val="2"/>
          </w:tcPr>
          <w:p>
            <w:pPr>
              <w:jc w:val="right"/>
              <w:ind w:right="10"/>
              <w:spacing w:after="0" w:line="197" w:lineRule="exact"/>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35"/>
        </w:trPr>
        <w:tc>
          <w:tcPr>
            <w:tcW w:w="3300" w:type="dxa"/>
            <w:vAlign w:val="bottom"/>
          </w:tcPr>
          <w:p>
            <w:pPr>
              <w:spacing w:after="0"/>
              <w:rPr>
                <w:sz w:val="20"/>
                <w:szCs w:val="20"/>
                <w:color w:val="auto"/>
              </w:rPr>
            </w:pPr>
          </w:p>
        </w:tc>
        <w:tc>
          <w:tcPr>
            <w:tcW w:w="1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1"/>
        </w:trPr>
        <w:tc>
          <w:tcPr>
            <w:tcW w:w="3300" w:type="dxa"/>
            <w:vAlign w:val="bottom"/>
            <w:shd w:val="clear" w:color="auto" w:fill="CFF0FC"/>
          </w:tcPr>
          <w:p>
            <w:pPr>
              <w:ind w:left="820"/>
              <w:spacing w:after="0" w:line="191" w:lineRule="exact"/>
              <w:rPr>
                <w:sz w:val="20"/>
                <w:szCs w:val="20"/>
                <w:color w:val="auto"/>
              </w:rPr>
            </w:pPr>
            <w:r>
              <w:rPr>
                <w:rFonts w:ascii="Arial" w:cs="Arial" w:eastAsia="Arial" w:hAnsi="Arial"/>
                <w:sz w:val="18"/>
                <w:szCs w:val="18"/>
                <w:color w:val="auto"/>
              </w:rPr>
              <w:t>Total operating expenses</w:t>
            </w:r>
          </w:p>
        </w:tc>
        <w:tc>
          <w:tcPr>
            <w:tcW w:w="1860" w:type="dxa"/>
            <w:vAlign w:val="bottom"/>
            <w:shd w:val="clear" w:color="auto" w:fill="CFF0FC"/>
          </w:tcPr>
          <w:p>
            <w:pPr>
              <w:jc w:val="right"/>
              <w:ind w:right="30"/>
              <w:spacing w:after="0" w:line="191" w:lineRule="exact"/>
              <w:rPr>
                <w:sz w:val="20"/>
                <w:szCs w:val="20"/>
                <w:color w:val="auto"/>
              </w:rPr>
            </w:pPr>
            <w:r>
              <w:rPr>
                <w:rFonts w:ascii="Arial" w:cs="Arial" w:eastAsia="Arial" w:hAnsi="Arial"/>
                <w:sz w:val="18"/>
                <w:szCs w:val="18"/>
                <w:color w:val="auto"/>
              </w:rPr>
              <w:t>14,16</w:t>
            </w:r>
          </w:p>
        </w:tc>
        <w:tc>
          <w:tcPr>
            <w:tcW w:w="2020" w:type="dxa"/>
            <w:vAlign w:val="bottom"/>
            <w:gridSpan w:val="2"/>
            <w:shd w:val="clear" w:color="auto" w:fill="CFF0FC"/>
          </w:tcPr>
          <w:p>
            <w:pPr>
              <w:jc w:val="right"/>
              <w:ind w:right="10"/>
              <w:spacing w:after="0" w:line="191" w:lineRule="exact"/>
              <w:rPr>
                <w:sz w:val="20"/>
                <w:szCs w:val="20"/>
                <w:color w:val="auto"/>
              </w:rPr>
            </w:pPr>
            <w:r>
              <w:rPr>
                <w:rFonts w:ascii="Arial" w:cs="Arial" w:eastAsia="Arial" w:hAnsi="Arial"/>
                <w:sz w:val="18"/>
                <w:szCs w:val="18"/>
                <w:color w:val="auto"/>
              </w:rPr>
              <w:t>10,43</w:t>
            </w:r>
          </w:p>
        </w:tc>
        <w:tc>
          <w:tcPr>
            <w:tcW w:w="2040" w:type="dxa"/>
            <w:vAlign w:val="bottom"/>
            <w:gridSpan w:val="2"/>
            <w:shd w:val="clear" w:color="auto" w:fill="CFF0FC"/>
          </w:tcPr>
          <w:p>
            <w:pPr>
              <w:jc w:val="right"/>
              <w:ind w:right="10"/>
              <w:spacing w:after="0" w:line="191" w:lineRule="exact"/>
              <w:rPr>
                <w:sz w:val="20"/>
                <w:szCs w:val="20"/>
                <w:color w:val="auto"/>
              </w:rPr>
            </w:pPr>
            <w:r>
              <w:rPr>
                <w:rFonts w:ascii="Arial" w:cs="Arial" w:eastAsia="Arial" w:hAnsi="Arial"/>
                <w:sz w:val="18"/>
                <w:szCs w:val="18"/>
                <w:color w:val="auto"/>
              </w:rPr>
              <w:t>41,75</w:t>
            </w:r>
          </w:p>
        </w:tc>
        <w:tc>
          <w:tcPr>
            <w:tcW w:w="2020" w:type="dxa"/>
            <w:vAlign w:val="bottom"/>
            <w:gridSpan w:val="2"/>
            <w:shd w:val="clear" w:color="auto" w:fill="CFF0FC"/>
          </w:tcPr>
          <w:p>
            <w:pPr>
              <w:jc w:val="right"/>
              <w:ind w:right="10"/>
              <w:spacing w:after="0" w:line="191" w:lineRule="exact"/>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35"/>
        </w:trPr>
        <w:tc>
          <w:tcPr>
            <w:tcW w:w="3300" w:type="dxa"/>
            <w:vAlign w:val="bottom"/>
            <w:tcBorders>
              <w:bottom w:val="single" w:sz="8" w:color="CFF0FC"/>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1"/>
        </w:trPr>
        <w:tc>
          <w:tcPr>
            <w:tcW w:w="3300" w:type="dxa"/>
            <w:vAlign w:val="bottom"/>
          </w:tcPr>
          <w:p>
            <w:pPr>
              <w:ind w:left="100"/>
              <w:spacing w:after="0" w:line="191" w:lineRule="exact"/>
              <w:rPr>
                <w:sz w:val="20"/>
                <w:szCs w:val="20"/>
                <w:color w:val="auto"/>
              </w:rPr>
            </w:pPr>
            <w:r>
              <w:rPr>
                <w:rFonts w:ascii="Arial" w:cs="Arial" w:eastAsia="Arial" w:hAnsi="Arial"/>
                <w:sz w:val="18"/>
                <w:szCs w:val="18"/>
                <w:color w:val="auto"/>
              </w:rPr>
              <w:t>Loss from operations</w:t>
            </w:r>
          </w:p>
        </w:tc>
        <w:tc>
          <w:tcPr>
            <w:tcW w:w="1860" w:type="dxa"/>
            <w:vAlign w:val="bottom"/>
          </w:tcPr>
          <w:p>
            <w:pPr>
              <w:jc w:val="right"/>
              <w:ind w:right="30"/>
              <w:spacing w:after="0" w:line="191" w:lineRule="exact"/>
              <w:rPr>
                <w:sz w:val="20"/>
                <w:szCs w:val="20"/>
                <w:color w:val="auto"/>
              </w:rPr>
            </w:pPr>
            <w:r>
              <w:rPr>
                <w:rFonts w:ascii="Arial" w:cs="Arial" w:eastAsia="Arial" w:hAnsi="Arial"/>
                <w:sz w:val="18"/>
                <w:szCs w:val="18"/>
                <w:color w:val="auto"/>
              </w:rPr>
              <w:t>(14,16</w:t>
            </w:r>
          </w:p>
        </w:tc>
        <w:tc>
          <w:tcPr>
            <w:tcW w:w="2020" w:type="dxa"/>
            <w:vAlign w:val="bottom"/>
            <w:gridSpan w:val="2"/>
          </w:tcPr>
          <w:p>
            <w:pPr>
              <w:jc w:val="right"/>
              <w:ind w:right="10"/>
              <w:spacing w:after="0" w:line="191" w:lineRule="exact"/>
              <w:rPr>
                <w:sz w:val="20"/>
                <w:szCs w:val="20"/>
                <w:color w:val="auto"/>
              </w:rPr>
            </w:pPr>
            <w:r>
              <w:rPr>
                <w:rFonts w:ascii="Arial" w:cs="Arial" w:eastAsia="Arial" w:hAnsi="Arial"/>
                <w:sz w:val="18"/>
                <w:szCs w:val="18"/>
                <w:color w:val="auto"/>
              </w:rPr>
              <w:t>(10,43</w:t>
            </w:r>
          </w:p>
        </w:tc>
        <w:tc>
          <w:tcPr>
            <w:tcW w:w="2040" w:type="dxa"/>
            <w:vAlign w:val="bottom"/>
            <w:gridSpan w:val="2"/>
          </w:tcPr>
          <w:p>
            <w:pPr>
              <w:jc w:val="right"/>
              <w:ind w:right="10"/>
              <w:spacing w:after="0" w:line="191" w:lineRule="exact"/>
              <w:rPr>
                <w:sz w:val="20"/>
                <w:szCs w:val="20"/>
                <w:color w:val="auto"/>
              </w:rPr>
            </w:pPr>
            <w:r>
              <w:rPr>
                <w:rFonts w:ascii="Arial" w:cs="Arial" w:eastAsia="Arial" w:hAnsi="Arial"/>
                <w:sz w:val="18"/>
                <w:szCs w:val="18"/>
                <w:color w:val="auto"/>
              </w:rPr>
              <w:t>(41,75</w:t>
            </w:r>
          </w:p>
        </w:tc>
        <w:tc>
          <w:tcPr>
            <w:tcW w:w="2020" w:type="dxa"/>
            <w:vAlign w:val="bottom"/>
            <w:gridSpan w:val="2"/>
          </w:tcPr>
          <w:p>
            <w:pPr>
              <w:jc w:val="right"/>
              <w:ind w:right="10"/>
              <w:spacing w:after="0" w:line="191" w:lineRule="exact"/>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35"/>
        </w:trPr>
        <w:tc>
          <w:tcPr>
            <w:tcW w:w="3300" w:type="dxa"/>
            <w:vAlign w:val="bottom"/>
          </w:tcPr>
          <w:p>
            <w:pPr>
              <w:spacing w:after="0"/>
              <w:rPr>
                <w:sz w:val="20"/>
                <w:szCs w:val="20"/>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4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7"/>
        </w:trPr>
        <w:tc>
          <w:tcPr>
            <w:tcW w:w="3300" w:type="dxa"/>
            <w:vAlign w:val="bottom"/>
            <w:shd w:val="clear" w:color="auto" w:fill="CFF0FC"/>
          </w:tcPr>
          <w:p>
            <w:pPr>
              <w:ind w:left="460"/>
              <w:spacing w:after="0" w:line="197" w:lineRule="exact"/>
              <w:rPr>
                <w:sz w:val="20"/>
                <w:szCs w:val="20"/>
                <w:color w:val="auto"/>
              </w:rPr>
            </w:pPr>
            <w:r>
              <w:rPr>
                <w:rFonts w:ascii="Arial" w:cs="Arial" w:eastAsia="Arial" w:hAnsi="Arial"/>
                <w:sz w:val="18"/>
                <w:szCs w:val="18"/>
                <w:color w:val="auto"/>
              </w:rPr>
              <w:t>Other income, net</w:t>
            </w:r>
          </w:p>
        </w:tc>
        <w:tc>
          <w:tcPr>
            <w:tcW w:w="1860" w:type="dxa"/>
            <w:vAlign w:val="bottom"/>
            <w:shd w:val="clear" w:color="auto" w:fill="CFF0FC"/>
          </w:tcPr>
          <w:p>
            <w:pPr>
              <w:jc w:val="right"/>
              <w:ind w:right="30"/>
              <w:spacing w:after="0" w:line="197" w:lineRule="exact"/>
              <w:rPr>
                <w:sz w:val="20"/>
                <w:szCs w:val="20"/>
                <w:color w:val="auto"/>
              </w:rPr>
            </w:pPr>
            <w:r>
              <w:rPr>
                <w:rFonts w:ascii="Arial" w:cs="Arial" w:eastAsia="Arial" w:hAnsi="Arial"/>
                <w:sz w:val="18"/>
                <w:szCs w:val="18"/>
                <w:color w:val="auto"/>
              </w:rPr>
              <w:t>1,16</w:t>
            </w:r>
          </w:p>
        </w:tc>
        <w:tc>
          <w:tcPr>
            <w:tcW w:w="2020" w:type="dxa"/>
            <w:vAlign w:val="bottom"/>
            <w:gridSpan w:val="2"/>
            <w:shd w:val="clear" w:color="auto" w:fill="CFF0FC"/>
          </w:tcPr>
          <w:p>
            <w:pPr>
              <w:jc w:val="right"/>
              <w:ind w:right="10"/>
              <w:spacing w:after="0" w:line="197" w:lineRule="exact"/>
              <w:rPr>
                <w:sz w:val="20"/>
                <w:szCs w:val="20"/>
                <w:color w:val="auto"/>
              </w:rPr>
            </w:pPr>
            <w:r>
              <w:rPr>
                <w:rFonts w:ascii="Arial" w:cs="Arial" w:eastAsia="Arial" w:hAnsi="Arial"/>
                <w:sz w:val="18"/>
                <w:szCs w:val="18"/>
                <w:color w:val="auto"/>
              </w:rPr>
              <w:t>1,01</w:t>
            </w:r>
          </w:p>
        </w:tc>
        <w:tc>
          <w:tcPr>
            <w:tcW w:w="2040" w:type="dxa"/>
            <w:vAlign w:val="bottom"/>
            <w:gridSpan w:val="2"/>
            <w:shd w:val="clear" w:color="auto" w:fill="CFF0FC"/>
          </w:tcPr>
          <w:p>
            <w:pPr>
              <w:jc w:val="right"/>
              <w:ind w:right="10"/>
              <w:spacing w:after="0" w:line="197" w:lineRule="exact"/>
              <w:rPr>
                <w:sz w:val="20"/>
                <w:szCs w:val="20"/>
                <w:color w:val="auto"/>
              </w:rPr>
            </w:pPr>
            <w:r>
              <w:rPr>
                <w:rFonts w:ascii="Arial" w:cs="Arial" w:eastAsia="Arial" w:hAnsi="Arial"/>
                <w:sz w:val="18"/>
                <w:szCs w:val="18"/>
                <w:color w:val="auto"/>
              </w:rPr>
              <w:t>4,80</w:t>
            </w:r>
          </w:p>
        </w:tc>
        <w:tc>
          <w:tcPr>
            <w:tcW w:w="2020" w:type="dxa"/>
            <w:vAlign w:val="bottom"/>
            <w:gridSpan w:val="2"/>
            <w:shd w:val="clear" w:color="auto" w:fill="CFF0FC"/>
          </w:tcPr>
          <w:p>
            <w:pPr>
              <w:jc w:val="right"/>
              <w:ind w:right="10"/>
              <w:spacing w:after="0" w:line="197"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5"/>
        </w:trPr>
        <w:tc>
          <w:tcPr>
            <w:tcW w:w="3300" w:type="dxa"/>
            <w:vAlign w:val="bottom"/>
            <w:tcBorders>
              <w:bottom w:val="single" w:sz="8" w:color="CFF0FC"/>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1"/>
        </w:trPr>
        <w:tc>
          <w:tcPr>
            <w:tcW w:w="3300" w:type="dxa"/>
            <w:vAlign w:val="bottom"/>
          </w:tcPr>
          <w:p>
            <w:pPr>
              <w:ind w:left="100"/>
              <w:spacing w:after="0" w:line="191" w:lineRule="exact"/>
              <w:rPr>
                <w:sz w:val="20"/>
                <w:szCs w:val="20"/>
                <w:color w:val="auto"/>
              </w:rPr>
            </w:pPr>
            <w:r>
              <w:rPr>
                <w:rFonts w:ascii="Arial" w:cs="Arial" w:eastAsia="Arial" w:hAnsi="Arial"/>
                <w:sz w:val="18"/>
                <w:szCs w:val="18"/>
                <w:color w:val="auto"/>
              </w:rPr>
              <w:t>Net loss</w:t>
            </w:r>
          </w:p>
        </w:tc>
        <w:tc>
          <w:tcPr>
            <w:tcW w:w="1860" w:type="dxa"/>
            <w:vAlign w:val="bottom"/>
          </w:tcPr>
          <w:p>
            <w:pPr>
              <w:jc w:val="right"/>
              <w:ind w:right="910"/>
              <w:spacing w:after="0" w:line="191" w:lineRule="exact"/>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990"/>
              <w:spacing w:after="0" w:line="191" w:lineRule="exact"/>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910"/>
              <w:spacing w:after="0" w:line="191" w:lineRule="exact"/>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910"/>
              <w:spacing w:after="0" w:line="19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300" w:type="dxa"/>
            <w:vAlign w:val="bottom"/>
          </w:tcPr>
          <w:p>
            <w:pPr>
              <w:spacing w:after="0"/>
              <w:rPr>
                <w:sz w:val="20"/>
                <w:szCs w:val="20"/>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(12,993)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(9,425)</w:t>
            </w:r>
          </w:p>
        </w:tc>
        <w:tc>
          <w:tcPr>
            <w:tcW w:w="2040" w:type="dxa"/>
            <w:vAlign w:val="bottom"/>
            <w:gridSpan w:val="2"/>
          </w:tcPr>
          <w:p>
            <w:pPr>
              <w:jc w:val="right"/>
              <w:ind w:right="10"/>
              <w:spacing w:after="0"/>
              <w:rPr>
                <w:sz w:val="20"/>
                <w:szCs w:val="20"/>
                <w:color w:val="auto"/>
              </w:rPr>
            </w:pPr>
            <w:r>
              <w:rPr>
                <w:rFonts w:ascii="Arial" w:cs="Arial" w:eastAsia="Arial" w:hAnsi="Arial"/>
                <w:sz w:val="18"/>
                <w:szCs w:val="18"/>
                <w:color w:val="auto"/>
              </w:rPr>
              <w:t>(36,949)</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color w:val="auto"/>
              </w:rPr>
              <w:t>(35,355)</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00" w:type="dxa"/>
            <w:vAlign w:val="bottom"/>
            <w:shd w:val="clear" w:color="auto" w:fill="CFF0FC"/>
          </w:tcPr>
          <w:p>
            <w:pPr>
              <w:ind w:left="100"/>
              <w:spacing w:after="0" w:line="177" w:lineRule="exact"/>
              <w:rPr>
                <w:sz w:val="20"/>
                <w:szCs w:val="20"/>
                <w:color w:val="auto"/>
              </w:rPr>
            </w:pPr>
            <w:r>
              <w:rPr>
                <w:rFonts w:ascii="Arial" w:cs="Arial" w:eastAsia="Arial" w:hAnsi="Arial"/>
                <w:sz w:val="18"/>
                <w:szCs w:val="18"/>
                <w:color w:val="auto"/>
              </w:rPr>
              <w:t>Net loss per share, basic and</w:t>
            </w:r>
          </w:p>
        </w:tc>
        <w:tc>
          <w:tcPr>
            <w:tcW w:w="1860" w:type="dxa"/>
            <w:vAlign w:val="bottom"/>
            <w:shd w:val="clear" w:color="auto" w:fill="CFF0FC"/>
          </w:tcPr>
          <w:p>
            <w:pPr>
              <w:jc w:val="right"/>
              <w:ind w:right="1110"/>
              <w:spacing w:after="0" w:line="177" w:lineRule="exact"/>
              <w:rPr>
                <w:sz w:val="20"/>
                <w:szCs w:val="20"/>
                <w:color w:val="auto"/>
              </w:rPr>
            </w:pPr>
            <w:r>
              <w:rPr>
                <w:rFonts w:ascii="Arial" w:cs="Arial" w:eastAsia="Arial" w:hAnsi="Arial"/>
                <w:sz w:val="18"/>
                <w:szCs w:val="18"/>
                <w:color w:val="auto"/>
              </w:rPr>
              <w:t>$</w:t>
            </w:r>
          </w:p>
        </w:tc>
        <w:tc>
          <w:tcPr>
            <w:tcW w:w="2020" w:type="dxa"/>
            <w:vAlign w:val="bottom"/>
            <w:gridSpan w:val="2"/>
            <w:shd w:val="clear" w:color="auto" w:fill="CFF0FC"/>
          </w:tcPr>
          <w:p>
            <w:pPr>
              <w:jc w:val="right"/>
              <w:ind w:right="1090"/>
              <w:spacing w:after="0" w:line="177"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ind w:right="1110"/>
              <w:spacing w:after="0" w:line="177" w:lineRule="exact"/>
              <w:rPr>
                <w:sz w:val="20"/>
                <w:szCs w:val="20"/>
                <w:color w:val="auto"/>
              </w:rPr>
            </w:pPr>
            <w:r>
              <w:rPr>
                <w:rFonts w:ascii="Arial" w:cs="Arial" w:eastAsia="Arial" w:hAnsi="Arial"/>
                <w:sz w:val="18"/>
                <w:szCs w:val="18"/>
                <w:color w:val="auto"/>
              </w:rPr>
              <w:t>$</w:t>
            </w:r>
          </w:p>
        </w:tc>
        <w:tc>
          <w:tcPr>
            <w:tcW w:w="2020" w:type="dxa"/>
            <w:vAlign w:val="bottom"/>
            <w:gridSpan w:val="2"/>
            <w:shd w:val="clear" w:color="auto" w:fill="CFF0FC"/>
          </w:tcPr>
          <w:p>
            <w:pPr>
              <w:jc w:val="right"/>
              <w:ind w:right="1110"/>
              <w:spacing w:after="0" w:line="17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33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diluted</w:t>
            </w:r>
          </w:p>
        </w:tc>
        <w:tc>
          <w:tcPr>
            <w:tcW w:w="18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(0.30)</w:t>
            </w:r>
          </w:p>
        </w:tc>
        <w:tc>
          <w:tcPr>
            <w:tcW w:w="200" w:type="dxa"/>
            <w:vAlign w:val="bottom"/>
            <w:tcBorders>
              <w:bottom w:val="single" w:sz="8" w:color="CFF0FC"/>
            </w:tcBorders>
            <w:shd w:val="clear" w:color="auto" w:fill="CFF0FC"/>
          </w:tcPr>
          <w:p>
            <w:pPr>
              <w:spacing w:after="0"/>
              <w:rPr>
                <w:sz w:val="23"/>
                <w:szCs w:val="23"/>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Borders>
              <w:bottom w:val="single" w:sz="8" w:color="CFF0FC"/>
            </w:tcBorders>
            <w:shd w:val="clear" w:color="auto" w:fill="CFF0FC"/>
          </w:tcPr>
          <w:p>
            <w:pPr>
              <w:spacing w:after="0"/>
              <w:rPr>
                <w:sz w:val="23"/>
                <w:szCs w:val="23"/>
                <w:color w:val="auto"/>
              </w:rPr>
            </w:pPr>
          </w:p>
        </w:tc>
        <w:tc>
          <w:tcPr>
            <w:tcW w:w="1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(0.84)</w:t>
            </w:r>
          </w:p>
        </w:tc>
        <w:tc>
          <w:tcPr>
            <w:tcW w:w="180" w:type="dxa"/>
            <w:vAlign w:val="bottom"/>
            <w:tcBorders>
              <w:bottom w:val="single" w:sz="8" w:color="CFF0FC"/>
            </w:tcBorders>
            <w:shd w:val="clear" w:color="auto" w:fill="CFF0FC"/>
          </w:tcPr>
          <w:p>
            <w:pPr>
              <w:spacing w:after="0"/>
              <w:rPr>
                <w:sz w:val="23"/>
                <w:szCs w:val="23"/>
                <w:color w:val="auto"/>
              </w:rPr>
            </w:pPr>
          </w:p>
        </w:tc>
        <w:tc>
          <w:tcPr>
            <w:tcW w:w="1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78"/>
        </w:trPr>
        <w:tc>
          <w:tcPr>
            <w:tcW w:w="3300" w:type="dxa"/>
            <w:vAlign w:val="bottom"/>
          </w:tcPr>
          <w:p>
            <w:pPr>
              <w:ind w:left="100"/>
              <w:spacing w:after="0" w:line="177" w:lineRule="exact"/>
              <w:rPr>
                <w:sz w:val="20"/>
                <w:szCs w:val="20"/>
                <w:color w:val="auto"/>
              </w:rPr>
            </w:pPr>
            <w:r>
              <w:rPr>
                <w:rFonts w:ascii="Arial" w:cs="Arial" w:eastAsia="Arial" w:hAnsi="Arial"/>
                <w:sz w:val="18"/>
                <w:szCs w:val="18"/>
                <w:color w:val="auto"/>
              </w:rPr>
              <w:t>Weighted average common shares</w:t>
            </w:r>
          </w:p>
        </w:tc>
        <w:tc>
          <w:tcPr>
            <w:tcW w:w="1860" w:type="dxa"/>
            <w:vAlign w:val="bottom"/>
          </w:tcPr>
          <w:p>
            <w:pPr>
              <w:jc w:val="right"/>
              <w:ind w:right="30"/>
              <w:spacing w:after="0" w:line="177" w:lineRule="exact"/>
              <w:rPr>
                <w:sz w:val="20"/>
                <w:szCs w:val="20"/>
                <w:color w:val="auto"/>
              </w:rPr>
            </w:pPr>
            <w:r>
              <w:rPr>
                <w:rFonts w:ascii="Arial" w:cs="Arial" w:eastAsia="Arial" w:hAnsi="Arial"/>
                <w:sz w:val="18"/>
                <w:szCs w:val="18"/>
                <w:color w:val="auto"/>
              </w:rPr>
              <w:t>43,905,90</w:t>
            </w:r>
          </w:p>
        </w:tc>
        <w:tc>
          <w:tcPr>
            <w:tcW w:w="2020" w:type="dxa"/>
            <w:vAlign w:val="bottom"/>
            <w:gridSpan w:val="2"/>
          </w:tcPr>
          <w:p>
            <w:pPr>
              <w:jc w:val="right"/>
              <w:ind w:right="10"/>
              <w:spacing w:after="0" w:line="177" w:lineRule="exact"/>
              <w:rPr>
                <w:sz w:val="20"/>
                <w:szCs w:val="20"/>
                <w:color w:val="auto"/>
              </w:rPr>
            </w:pPr>
            <w:r>
              <w:rPr>
                <w:rFonts w:ascii="Arial" w:cs="Arial" w:eastAsia="Arial" w:hAnsi="Arial"/>
                <w:sz w:val="18"/>
                <w:szCs w:val="18"/>
                <w:color w:val="auto"/>
              </w:rPr>
              <w:t>43,897,60</w:t>
            </w:r>
          </w:p>
        </w:tc>
        <w:tc>
          <w:tcPr>
            <w:tcW w:w="2040" w:type="dxa"/>
            <w:vAlign w:val="bottom"/>
            <w:gridSpan w:val="2"/>
          </w:tcPr>
          <w:p>
            <w:pPr>
              <w:jc w:val="right"/>
              <w:ind w:right="10"/>
              <w:spacing w:after="0" w:line="177" w:lineRule="exact"/>
              <w:rPr>
                <w:sz w:val="20"/>
                <w:szCs w:val="20"/>
                <w:color w:val="auto"/>
              </w:rPr>
            </w:pPr>
            <w:r>
              <w:rPr>
                <w:rFonts w:ascii="Arial" w:cs="Arial" w:eastAsia="Arial" w:hAnsi="Arial"/>
                <w:sz w:val="18"/>
                <w:szCs w:val="18"/>
                <w:color w:val="auto"/>
              </w:rPr>
              <w:t>43,901,24</w:t>
            </w:r>
          </w:p>
        </w:tc>
        <w:tc>
          <w:tcPr>
            <w:tcW w:w="2020" w:type="dxa"/>
            <w:vAlign w:val="bottom"/>
            <w:gridSpan w:val="2"/>
          </w:tcPr>
          <w:p>
            <w:pPr>
              <w:jc w:val="right"/>
              <w:ind w:right="10"/>
              <w:spacing w:after="0" w:line="177" w:lineRule="exact"/>
              <w:rPr>
                <w:sz w:val="20"/>
                <w:szCs w:val="20"/>
                <w:color w:val="auto"/>
              </w:rPr>
            </w:pPr>
            <w:r>
              <w:rPr>
                <w:rFonts w:ascii="Arial" w:cs="Arial" w:eastAsia="Arial" w:hAnsi="Arial"/>
                <w:sz w:val="18"/>
                <w:szCs w:val="18"/>
                <w:color w:val="auto"/>
              </w:rPr>
              <w:t>25,761,39</w:t>
            </w:r>
          </w:p>
        </w:tc>
        <w:tc>
          <w:tcPr>
            <w:tcW w:w="0" w:type="dxa"/>
            <w:vAlign w:val="bottom"/>
          </w:tcPr>
          <w:p>
            <w:pPr>
              <w:spacing w:after="0"/>
              <w:rPr>
                <w:sz w:val="1"/>
                <w:szCs w:val="1"/>
                <w:color w:val="auto"/>
              </w:rPr>
            </w:pPr>
          </w:p>
        </w:tc>
      </w:tr>
      <w:tr>
        <w:trPr>
          <w:trHeight w:val="235"/>
        </w:trPr>
        <w:tc>
          <w:tcPr>
            <w:tcW w:w="3300" w:type="dxa"/>
            <w:vAlign w:val="bottom"/>
          </w:tcPr>
          <w:p>
            <w:pPr>
              <w:ind w:left="100"/>
              <w:spacing w:after="0"/>
              <w:rPr>
                <w:sz w:val="20"/>
                <w:szCs w:val="20"/>
                <w:color w:val="auto"/>
              </w:rPr>
            </w:pPr>
            <w:r>
              <w:rPr>
                <w:rFonts w:ascii="Arial" w:cs="Arial" w:eastAsia="Arial" w:hAnsi="Arial"/>
                <w:sz w:val="18"/>
                <w:szCs w:val="18"/>
                <w:color w:val="auto"/>
              </w:rPr>
              <w:t>outstanding, basic and diluted</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020" w:type="dxa"/>
            <w:vAlign w:val="bottom"/>
            <w:gridSpan w:val="2"/>
          </w:tcPr>
          <w:p>
            <w:pPr>
              <w:jc w:val="right"/>
              <w:ind w:right="50"/>
              <w:spacing w:after="0"/>
              <w:rPr>
                <w:sz w:val="20"/>
                <w:szCs w:val="20"/>
                <w:color w:val="auto"/>
              </w:rPr>
            </w:pPr>
            <w:r>
              <w:rPr>
                <w:rFonts w:ascii="Arial" w:cs="Arial" w:eastAsia="Arial" w:hAnsi="Arial"/>
                <w:sz w:val="18"/>
                <w:szCs w:val="18"/>
                <w:color w:val="auto"/>
              </w:rPr>
              <w:t>3</w:t>
            </w:r>
          </w:p>
        </w:tc>
        <w:tc>
          <w:tcPr>
            <w:tcW w:w="204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2020" w:type="dxa"/>
            <w:vAlign w:val="bottom"/>
            <w:gridSpan w:val="2"/>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7"/>
        </w:trPr>
        <w:tc>
          <w:tcPr>
            <w:tcW w:w="33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-2510790</wp:posOffset>
            </wp:positionV>
            <wp:extent cx="1289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-2510790</wp:posOffset>
            </wp:positionV>
            <wp:extent cx="120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-2510790</wp:posOffset>
            </wp:positionV>
            <wp:extent cx="120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-1953895</wp:posOffset>
            </wp:positionV>
            <wp:extent cx="1289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-1953895</wp:posOffset>
            </wp:positionV>
            <wp:extent cx="1200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-1953895</wp:posOffset>
            </wp:positionV>
            <wp:extent cx="1200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-1370965</wp:posOffset>
            </wp:positionV>
            <wp:extent cx="1289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-1353820</wp:posOffset>
            </wp:positionV>
            <wp:extent cx="1289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-1370965</wp:posOffset>
            </wp:positionV>
            <wp:extent cx="120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-1353820</wp:posOffset>
            </wp:positionV>
            <wp:extent cx="120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-1370965</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-1353820</wp:posOffset>
            </wp:positionV>
            <wp:extent cx="120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2024-03-14T15:22:32Z</dcterms:created>
  <dcterms:modified xsi:type="dcterms:W3CDTF">2024-03-14T15:22:32Z</dcterms:modified>
</cp:coreProperties>
</file>