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7"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Three Bala Plaza East. Suite 506</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19004</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Zafgen, Inc.</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 w:right="2560" w:hanging="4"/>
        <w:spacing w:after="0" w:line="47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and Securities Purchase Agreement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29, 2020, Larimar Therapeutics, Inc. (the “Company” or “Larimar”) (formerly known as Zafgen, Inc., or “Zafgen”) entered into a Securities Purchase Agreement (the “Purchase Agreement”) with certain accredited investors (the “Purchasers”) for the sale by the Company in a private placement (the “Private Placement”) of 6,105,359 shares (the “Shares”) of the Company’s common stock, par value $0.001 per share (the “Common Stock”) and pre-funded warrants to purchase an aggregate of 628,403 shares of the Company’s Common Stock (the “Pre-Funded Warrants”), for a price of $11.88 per share of Common Stock and $11.87 per Pre-Funded Warrant.</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Pre-Funded Warrants will be immediately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(the “Warrant Shares”) on the date in which the Company is required to deliver the shares.</w:t>
      </w:r>
    </w:p>
    <w:p>
      <w:pPr>
        <w:spacing w:after="0" w:line="14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Shares and Pre-Funded Warrants were $80 million and, after deducting certain of the Company’s expenses, the net proceeds received by the Company in the Private Placement were $75.5 million. The Company intends to use the net proceeds from the Private Placement for research and development of the Company’s product candidates, working capital and general corporate purposes.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Private Placement is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Each of the Purchasers represented that it is an accredited investor within the meaning of Rule 501 of Regulation D, and is acquiring the securities for investment only and not with a view towards, or for resale in connection with, the public sale or distribution thereof. The Shares and Pre-Funded Warrants were offered without any general solicitation by the Company or its representatives.</w:t>
      </w:r>
    </w:p>
    <w:p>
      <w:pPr>
        <w:spacing w:after="0" w:line="19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Shares, the Pre-Funded Warrants and the Warrant Shares (together, the “Securities”) sold and issued in the Private Placement are not registered under the Securities Act or any state securities laws and may not be offered or sold in the United States absent registration with the Securities and Exchange Commission (the “SEC”) or an applicable exemption from the registration requirements.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Private Placement, the Company entered into a registration rights agreement (the “Registration Rights Agreement”) with the Purchasers. Pursuant to the Registration Rights Agreement, the Company provided the Purchasers with certain registration rights that require the Company to file a registration statement on Form S-3 (the “Registration Statement”) with the SEC within 30 days following the Closing (the “Registration Deadline”) to register the Shares and the Warrant Shares. If the Company fails to meet the Registration Deadline or maintain the effectiveness of the Registration Statement for the required effectiveness period, subject to certain permitted exceptions, the Company will be required to pay liquidated damages to the Purchasers. The Company also agreed, among other things, to indemnify the selling holders under the Registration Statement from certain liabilities and to pay all fees and expenses incident to the Company’s performance of or compliance with the Registration Rights Agreement.</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foregoing descriptions of the Purchase Agreement, Registration Rights Agreement and Pre-Funded Warrants do not purport to be complete and are qualified in their entirety by reference to the full text of the Purchase Agreement, Registration Rights Agreement, and Form of Pre-Funded Warrant, which are filed hereto as Exhibits 10.1, 10.2 and 4.1 respectively, and are incorporated herein by reference.</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May 28, 2020, the Company completed its business combination with Chondrial Therapeutics, Inc., a Delaware corporation</w:t>
      </w:r>
    </w:p>
    <w:p>
      <w:pPr>
        <w:sectPr>
          <w:pgSz w:w="11900" w:h="16838" w:orient="portrait"/>
          <w:cols w:equalWidth="0" w:num="1">
            <w:col w:w="11000"/>
          </w:cols>
          <w:pgMar w:left="440" w:top="270" w:right="45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(“Chondrial”), in accordance with the terms of the Agreement and Plan of Merger and Reorganization, dated December 17, 2019 (the “Merger Agreement”), by and among Zafgen, Inc., Zordich Merger Sub, Inc. (“Zordich”), Chondrial Therapeutics, Inc. and Chondrial Therapeutics Holdings, LLC (“Holdings”), pursuant to which Zordich merged with and into Chondrial, with Chondrial surviving as a wholly-owned subsidiary of the Company (the “Merger”). In connection with, and immediately prior to the completion of the Merger, the Company effected a reverse stock split of the Company’s Common Stock at a ratio of 1-for-12 (the “Reverse Stock Split”). Following completion of the Merger, the Company changed its name from “Zafgen, Inc.” to “Larimar Therapeutics, Inc.” (the “Name Change”) and the business conducted by the Company became primarily the business conducted by Chondrial, which is a clinical-stage biotechnology company focused on developing treatments for patients suffering from complex rare diseases using its novel cell penetrating peptide technology platform.</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terms of the Merger Agreement, at the closing of the Merger, the Company issued shares of Common Stock to Holdings at an exchange rate of 60,912.5005 (the “Exchange Ratio”), which took into account the Reverse Stock Split, for each share of Chondrial stock outstanding immediately prior to the Merger. The Exchange Ratio was determined based on the total number of outstanding shares of the Company’s Common Stock and Chondrial common stock, each on a fully diluted basis, and the respective valuations of Chondrial and the Company immediately prior to the closing of the Merger. The Company also assumed all of the outstanding and unexercised stock options to purchase units of Holdings. The number of shares of Company Common Stock subject to each Holdings option assumed by the Company was determined by multiplying (A) the number of Holdings units that were subject to such Holdings option, as in effect prior to the effective time of the Merger, by 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by (D) the Exchange Ratio, and rounding the resulting number down to the nearest whole number of shares of Company Common Stock. The per share exercise price for shares of Company Common Stock issuable upon exercise of each Holdings option assumed by the Company was determined by multiplying (A) the fair market value of a share of Company Common Stock at the effective time of the Merger by (B) a fraction, the numerator of which was the per unit exercise price of Holdings units subject to such Holdings option, as in effect immediately prior to the effective time of the Merger, and the denominator of which was the fair market value of a Holdings unit immediately prior to the effective time of the Merger, and rounding the resulting exercise price up to the nearest whole cent.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following the Merger and the Reverse Stock Split, there were approximately 9.2 million shares of the Company’s Common Stock outstanding, and Holdings owned approximately 6.1 million shares, or approximately 66% of the Company’s outstanding Common Stock. Approximately 71.1% of the Company’s Common Stock outstanding immediately after the Merger is held by stockholders subject to lock-up restrictions, pursuant to which such stockholders have agreed, except in limited circumstances, not to sell or transfer, or engage in swap or similar transactions with respect to, shares of the Company’s Common Stock, including, as applicable, shares received in the Merger and issuable upon exercise of certain options, for a period of 180 days following the closing of the Merger.</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After giving effect to the Private Placement, immediately following the closing of the Merger, the Reverse Stock Split and the Private Placement, there were approximately 15.3 million shares of Common Stock outstanding, of which (i) the former Chondrial sole stockholder as of immediately prior to the Merger owned approximately 40% of the Company’s Common Stock, (ii) Zafgen stockholders as of immediately prior to the Merger owned approximately 20%, of the Company’s Common Stock and (iii) the Purchasers owned approximately 40% of the Company’s Common Stock. In addition, after giving effect to the Private Placement, there were Pre-Funded Warrants to purchase 628,403 shares of Common Stock outstanding.</w:t>
      </w:r>
    </w:p>
    <w:p>
      <w:pPr>
        <w:spacing w:after="0" w:line="16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shares of the Company’s Common Stock listed on The Nasdaq Global Market, previously trading through the close of business on May 28, 2020 under the ticker symbol “ZFGN,” commenced trading on The Nasdaq Global Market, on a post-Reverse Stock Split adjusted basis, under the ticker symbol “LRMR,” on May 29, 2020. The Company’s Common Stock is represented by a new CUSIP number, 517125100.</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foregoing description of the Merger Agreement contained herein does not purport full text of the Merger Agreement that was filed as Exhibit 2.1 to the Company’s Current Report on Form 8-K filed with the Securities and Exchange Commission on December 18, 2019 and is incorporated herein by reference. The representations, warranties and covenants contained in such documents were made only for purposes of such documents and as of specific dates, were solely for the benefit of the parties to such documents, and are subject to limitations agreed upon by the parties to such documents. Moreover, the representations and warranties contained in such documents were made for the purpose of allocating contractual risk between the parties to such documents instead of establishing matters as facts, and may be subject to standards of materiality applicable to the parties to such documents that differ from those applicable to investors generally. Investors (other than the parties to such documents) are not third-party beneficiaries under such documents and should not rely on the representations, warranties and covenants contained therein or any descriptions thereof as characterizations of the actual state of facts or condition of the Company or any of its respective subsidiaries or affiliates.</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the Merger, the Company paid off and terminated all of its liabilities under its Loan and Security Agreement dated as of December 29, 2017, by and between Zafgen and Silicon Valley Bank. The payoff to Silicon Valley Bank consisted of approximately $13.2 million in cash.</w:t>
      </w:r>
    </w:p>
    <w:p>
      <w:pPr>
        <w:spacing w:after="0" w:line="18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On May 29, 2020, the Company issued a press release announcing the completion of the Merger and signing of the Private Placement (the “Press Release”). A copy of the Press Release is filed herewith as Exhibit 99.1, and incorporated herein by Reference.</w:t>
      </w:r>
    </w:p>
    <w:p>
      <w:pPr>
        <w:sectPr>
          <w:pgSz w:w="11900" w:h="16838" w:orient="portrait"/>
          <w:cols w:equalWidth="0" w:num="1">
            <w:col w:w="11000"/>
          </w:cols>
          <w:pgMar w:left="440" w:top="274" w:right="45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disclosed certain financial information about the Company, including a statement that Zafgen had approximately $40 million in cash on its balance sheet as of the closing of the Merger and that, on a post-Merger basis, the Company has approximately $116 million in cash. Following the Merger, the Company remains party to the previously disclosed Office Lease Agreement between Shigo Center Plaza Owner, LLC and Zafgen, Inc. dated February 12, 2019 pursuant to which the Company has total payment obligations of approximately $9 million. The Company is actively seeking to sublease the leased location.</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information contained in Item 1.01 of this Current Report on Form 8-K is incorporated by reference into this Item 3.02. The Securities were offered and sold in transactions exempt from registration under the Securities Act, in reliance on Section 4(a)(2) thereof and Regulation D thereunder. Each of the Purchasers represented that it was an “accredited investor,” as defined in Regulation D, and is acquiring the Securities for investment only and not with a view towards, or for resale in connection with, the public sale or distribution thereof. The Securities have not been registered under the Securities Act and such Securities may not be offered or sold in the United States absent registration or an exemption from registration under the Securities Act and any applicable state securities laws. Neither this Current Report on Form 8-K nor any of the exhibits attached hereto is an offer to sell or the solicitation of an offer to buy shares of common stock or any other securities of the Company.</w:t>
      </w:r>
    </w:p>
    <w:p>
      <w:pPr>
        <w:spacing w:after="0" w:line="17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Pursuant to the Merger Agreement, the Company issued shares of Common Stock and options to purchase shares of Common Stock. The information contained in Item 2.01 of this Current Report on Form 8-K is incorporated by reference into this Item 3.02. Such issuances were exempt from registration pursuant to Section 4(a)(2) of the Securities Act and Regulation D promulgated thereunder.</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required by Item 3.03 of Form 8-K, the information contained in Item 2.01 of this Current Report on Form 8-K is incorporated herein by reference.</w:t>
      </w:r>
    </w:p>
    <w:p>
      <w:pPr>
        <w:spacing w:after="0" w:line="170"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As disclosed below under Item 5.07, at the annual meeting of the Company’s stockholders held on May 28, 2020 (the “Annual Meeting”), the Company’s stockholders approved an amendment to the ninth amended and restated certificate of incorporation of the Company (the “Stock Split Amendment”) to effect the Reverse Stock Split.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28, 2020, prior to the closing of the Merger, the Company filed the Stock Split Amendment with the Secretary of State of the State of Delaware to effect the Reverse Stock Split and the Company filed an amendment to the ninth amended and restated certificate of incorporation with the Secretary of State of the State of Delaware to effect the Name Change (the “Name Change Amendment”). As a result of the Reverse Stock Split, the number of issued and outstanding shares of the Company’s Common Stock immediately prior to the Reverse Stock Split was reduced to a smaller number of shares, such that every twelve shares of the Company’s Common Stock held by a stockholder immediately prior to the Reverse Stock Split were combined and reclassified into one share of the Company’s Common Stock. Immediately following the Reverse Stock Split, but prior to the completion of the Merger and Private Placement, there were approximately 3,122,466 shares of Zafgen Common Stock outstanding.</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No fractional shares were issued in connection with the Reverse Stock Split. Any fractional shares resulting from the Reverse Stock Split were rounded down to the nearest whole number, and each stockholder who would otherwise be entitled to a fraction of a share of Common Stock upon the Reverse Stock Split (after aggregating all fractions of a share to which such stockholder would otherwise be entitled) was, in lieu thereof, entitled to receive a cash payment determined by multiplying the average closing price per share of Common Stock on the Nasdaq Global Market on the 10 consecutive trading days prior to May 28, 2020, by the fraction of a share of Common Stock to which each stockholder would otherwise be entitled.</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foregoing descriptions of the Stock Split Amendment and the Name Change Amendment are not complete and are subject to and qualified in their entirety by reference to the Stock Split Amendment and the Name Change Amendment, copies of which are attached hereto as Exhibit 3.1 and Exhibit 3.2, respectively, and are incorporated herein by reference.</w:t>
      </w:r>
    </w:p>
    <w:p>
      <w:pPr>
        <w:sectPr>
          <w:pgSz w:w="11900" w:h="16838" w:orient="portrait"/>
          <w:cols w:equalWidth="0" w:num="1">
            <w:col w:w="11000"/>
          </w:cols>
          <w:pgMar w:left="440" w:top="270" w:right="45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set forth in Item 2.01 of this Current Report on Form 8-K regarding the Merger and the information set forth in Item 5.02 of this Current Report on Form 8-K regarding the Company’s board of directors (the “Board”) and executive officers following the Merger are incorporated by reference into this Item 5.01.</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Directors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the Merger Agreement, on May 28, 2020, immediately prior to the effective time of the Merger, Jeffrey S. Hatfield, Wendy Everett, Sc.D., John L. LaMattina, Ph.D., C. Geoffrey McDonough, M.D. and Robert J. Perez resigned from the Board and any respective committee of the Board to which they were members. The resignations were not the result of any disagreements with the Company relating to the Company’s operations, policies or practices. Effective immediately prior to the closing of the Merger, all unexpired, unexercised and unvested options to purchase the Company’s shares held by the non-employee members of the Board accelerated in full and remain exercisable subject to the terms and conditions of the applicable option award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Peter Barrett, Ph.D., Thomas O. Daniel, M.D. and Frank E. Thomas continued as directors of the Company after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Merger, the size of the Board was decreased from eight to seven members. In accordance with the Merger Agreement, on May 28, 2020, effective immediately after the effective time of the Merger, the following individuals were appointed to the Board as directors: Carole Ben-Maimon, M.D., Jonathan Leff, Thomas Edward Hamilton and Joseph Truitt. On May 28, 2020, the Board appointed Mr. Truitt as Chairman of the Board.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Designations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May 28, 2020, the Board approved the reorganization of the classes of the Board as follows:</w:t>
      </w:r>
    </w:p>
    <w:p>
      <w:pPr>
        <w:spacing w:after="0" w:line="127"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Class I Directors, whose terms expire at the Company’s 2021 Annual Meeting: </w:t>
      </w:r>
      <w:r>
        <w:rPr>
          <w:rFonts w:ascii="Arial" w:cs="Arial" w:eastAsia="Arial" w:hAnsi="Arial"/>
          <w:sz w:val="18"/>
          <w:szCs w:val="18"/>
          <w:color w:val="auto"/>
        </w:rPr>
        <w:t>Jonathan Leff and Peter Barrett, Ph.D.</w:t>
      </w:r>
    </w:p>
    <w:p>
      <w:pPr>
        <w:spacing w:after="0" w:line="130" w:lineRule="exact"/>
        <w:rPr>
          <w:rFonts w:ascii="Arial" w:cs="Arial" w:eastAsia="Arial" w:hAnsi="Arial"/>
          <w:sz w:val="18"/>
          <w:szCs w:val="18"/>
          <w:color w:val="auto"/>
        </w:rPr>
      </w:pPr>
    </w:p>
    <w:p>
      <w:pPr>
        <w:ind w:left="960" w:right="56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Class II Directors, whose terms expire at the Company’s 2022 Annual Meeting: </w:t>
      </w:r>
      <w:r>
        <w:rPr>
          <w:rFonts w:ascii="Arial" w:cs="Arial" w:eastAsia="Arial" w:hAnsi="Arial"/>
          <w:sz w:val="18"/>
          <w:szCs w:val="18"/>
          <w:color w:val="auto"/>
        </w:rPr>
        <w:t>Thomas O. Daniel, M.D. and Thomas Edward</w:t>
      </w:r>
      <w:r>
        <w:rPr>
          <w:rFonts w:ascii="Arial" w:cs="Arial" w:eastAsia="Arial" w:hAnsi="Arial"/>
          <w:sz w:val="18"/>
          <w:szCs w:val="18"/>
          <w:b w:val="1"/>
          <w:bCs w:val="1"/>
          <w:color w:val="auto"/>
        </w:rPr>
        <w:t xml:space="preserve"> </w:t>
      </w:r>
      <w:r>
        <w:rPr>
          <w:rFonts w:ascii="Arial" w:cs="Arial" w:eastAsia="Arial" w:hAnsi="Arial"/>
          <w:sz w:val="18"/>
          <w:szCs w:val="18"/>
          <w:color w:val="auto"/>
        </w:rPr>
        <w:t>Hamilton</w:t>
      </w:r>
    </w:p>
    <w:p>
      <w:pPr>
        <w:spacing w:after="0" w:line="67" w:lineRule="exact"/>
        <w:rPr>
          <w:rFonts w:ascii="Arial" w:cs="Arial" w:eastAsia="Arial" w:hAnsi="Arial"/>
          <w:sz w:val="18"/>
          <w:szCs w:val="18"/>
          <w:color w:val="auto"/>
        </w:rPr>
      </w:pPr>
    </w:p>
    <w:p>
      <w:pPr>
        <w:ind w:left="960" w:right="24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Class III Directors, whose terms expire at the Company’s 2023 Annual Meeting: </w:t>
      </w:r>
      <w:r>
        <w:rPr>
          <w:rFonts w:ascii="Arial" w:cs="Arial" w:eastAsia="Arial" w:hAnsi="Arial"/>
          <w:sz w:val="18"/>
          <w:szCs w:val="18"/>
          <w:color w:val="auto"/>
        </w:rPr>
        <w:t>Frank E. Thomas, Carole Ben-Maimon, M.D. and</w:t>
      </w:r>
      <w:r>
        <w:rPr>
          <w:rFonts w:ascii="Arial" w:cs="Arial" w:eastAsia="Arial" w:hAnsi="Arial"/>
          <w:sz w:val="18"/>
          <w:szCs w:val="18"/>
          <w:b w:val="1"/>
          <w:bCs w:val="1"/>
          <w:color w:val="auto"/>
        </w:rPr>
        <w:t xml:space="preserve"> </w:t>
      </w:r>
      <w:r>
        <w:rPr>
          <w:rFonts w:ascii="Arial" w:cs="Arial" w:eastAsia="Arial" w:hAnsi="Arial"/>
          <w:sz w:val="18"/>
          <w:szCs w:val="18"/>
          <w:color w:val="auto"/>
        </w:rPr>
        <w:t>Joseph Truitt</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Joseph Truitt </w:t>
      </w:r>
      <w:r>
        <w:rPr>
          <w:rFonts w:ascii="Arial" w:cs="Arial" w:eastAsia="Arial" w:hAnsi="Arial"/>
          <w:sz w:val="17"/>
          <w:szCs w:val="17"/>
          <w:color w:val="auto"/>
        </w:rPr>
        <w:t>(Age 55). Mr. Truitt has served on the Board since May 2020. Mr. Truitt has served as Chief Executive Officer of BioSpecifics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Corp. (“BioSpecifics”) (Nasdaq: BSTC), a biopharmaceutical company that develops collagenase-based therapies, since May 2020. Mr. Truitt also serves as a member of the board of directors of BioSpecifics.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of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he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 Mr. Truitt’s qualifications to sit on the Board include extensive management experience, his experience as a public company director and his deep knowledge of the biopharmaceutical business.</w:t>
      </w:r>
    </w:p>
    <w:p>
      <w:pPr>
        <w:sectPr>
          <w:pgSz w:w="11900" w:h="16838" w:orient="portrait"/>
          <w:cols w:equalWidth="0" w:num="1">
            <w:col w:w="10980"/>
          </w:cols>
          <w:pgMar w:left="440" w:top="270" w:right="4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Peter Barrett, Ph.D. </w:t>
      </w:r>
      <w:r>
        <w:rPr>
          <w:rFonts w:ascii="Arial" w:cs="Arial" w:eastAsia="Arial" w:hAnsi="Arial"/>
          <w:sz w:val="17"/>
          <w:szCs w:val="17"/>
          <w:color w:val="auto"/>
        </w:rPr>
        <w:t>(Age 67). Dr. Barrett has served as a member of the Board since August 2006 and served as the Chairman of the Board from</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2006 until May 2018. Dr. Barrett joined Atlas Venture, an early-stage venture capital fund, in 2002, and currently serves as a Partner in the Life Sciences Group. Previously, from 1998 to 2002, he was a Co-Founder, Executive Vice President and Chief Business Officer of Celera Genomics (“Celera”).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Thomas O. Daniel, M.D. </w:t>
      </w:r>
      <w:r>
        <w:rPr>
          <w:rFonts w:ascii="Arial" w:cs="Arial" w:eastAsia="Arial" w:hAnsi="Arial"/>
          <w:sz w:val="16"/>
          <w:szCs w:val="16"/>
          <w:color w:val="auto"/>
        </w:rPr>
        <w:t>(Age 66). Dr. Daniel has served as a member of the Board since March 2016. Dr. Daniel has more than 20 years of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in biopharmaceutical discovery and development. He is currently chairman of the board of directors of Locana Bio, Inc., and serves as a director of Vividion Therapeutics, Gossamer Bio, Inc., Aspen Therapeutics and Magenta Therapeutics, Inc. Dr. Daniel has served as a Venture Partner at ARCH Venture Partners since October 2016.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(“Immunex”),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Board include his biotechnology and pharmaceutical experience, including senior leadership roles at global biopharmaceutical companies Celgene Corporation and Amgen.</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Thomas Edward Hamilton </w:t>
      </w:r>
      <w:r>
        <w:rPr>
          <w:rFonts w:ascii="Arial" w:cs="Arial" w:eastAsia="Arial" w:hAnsi="Arial"/>
          <w:sz w:val="16"/>
          <w:szCs w:val="16"/>
          <w:color w:val="auto"/>
        </w:rPr>
        <w:t>(Age 53). Mr. Hamilton has served as a member of the Board since May 2020. Mr. Hamilton served as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Chondrial (the “Chondrial Board”) from Chondrial’s founding in 2013 until May 2020. Since 2013, Mr. Hamilton has served as the president, chief executive officer and owner of Construction Forms, Inc., an industrial manufacturing company based in Port Washington, Wisconsin. In addition, 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the independent chair of the board and as a member of the audit committee and risk committee of the board of Annaly Capital Management, Inc., a leading diversified capital manager that invests in and finances residential and commercial assets. Mr. Hamilton holds a B.S. in finance from the University of Dayton. Mr. Hamilton’s qualifications to sit on the Board include his extensive experience in the financial industry and leadership in developing a cure for Friedreich’s Ataxia, including leadership roles in organizations focused on the development of a cure for Friedreich’s Ataxia.</w:t>
      </w:r>
    </w:p>
    <w:p>
      <w:pPr>
        <w:spacing w:after="0" w:line="164"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b w:val="1"/>
          <w:bCs w:val="1"/>
          <w:color w:val="auto"/>
        </w:rPr>
        <w:t xml:space="preserve">Jonathan Leff </w:t>
      </w:r>
      <w:r>
        <w:rPr>
          <w:rFonts w:ascii="Arial" w:cs="Arial" w:eastAsia="Arial" w:hAnsi="Arial"/>
          <w:sz w:val="16"/>
          <w:szCs w:val="16"/>
          <w:color w:val="auto"/>
        </w:rPr>
        <w:t>(Age 51). Mr. Leff has served as a member of the Board since May 2020. Mr. Leff served as a member of the Chondrial Board from</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2016 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Mr. Leff also previously served as a member of the Executive Committee of the Board of the National Venture Capital Association (“NVCA”), and led NVCA’s</w:t>
      </w:r>
    </w:p>
    <w:p>
      <w:pPr>
        <w:sectPr>
          <w:pgSz w:w="11900" w:h="16838" w:orient="portrait"/>
          <w:cols w:equalWidth="0" w:num="1">
            <w:col w:w="11000"/>
          </w:cols>
          <w:pgMar w:left="440" w:top="270" w:right="45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 Mr. Leff’s qualifications to sit on the Board include his extensive leadership, executive, managerial and business experience with life sciences companies, including experience in the investment, development and sale of multiple companies in the life sciences sector.</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Carole Ben-Maimon, M.D. </w:t>
      </w:r>
      <w:r>
        <w:rPr>
          <w:rFonts w:ascii="Arial" w:cs="Arial" w:eastAsia="Arial" w:hAnsi="Arial"/>
          <w:sz w:val="17"/>
          <w:szCs w:val="17"/>
          <w:color w:val="auto"/>
        </w:rPr>
        <w:t>(Age 61). Dr. Ben-Maimon has served as a member of the Board since May 2020. Dr. Ben-Maimon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of the Company since May 2020. Dr. Ben-Maimon served as Chondrial’s President, Chief Executive Officer and member of the Chondrial Board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thereto and from 1993 to 2001, 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boards of directors of two privately-held pharmaceutical companies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Dr. Ben-Maimon’s qualifications to sit on the Board include her knowledge of Chondrial’s business, as well as her extensive leadership and biopharmaceutical industry experience, including senior leadership roles at publicly-traded life sciences companies.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Frank E. Thomas </w:t>
      </w:r>
      <w:r>
        <w:rPr>
          <w:rFonts w:ascii="Arial" w:cs="Arial" w:eastAsia="Arial" w:hAnsi="Arial"/>
          <w:sz w:val="17"/>
          <w:szCs w:val="17"/>
          <w:color w:val="auto"/>
        </w:rPr>
        <w:t>(Age 50). Mr. Thomas has served as a member of the Board since June 2014. Mr. Thomas has been the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of Orchard Therapeutics PLC (“Orchard”)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(“AMAG”),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(“Critical Therapeutics”),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Board include his extensive management experience at biopharmaceutical companies and with financial matters, including senior leadership roles at various biopharmaceutical companies.</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Committees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closing of the Merger, Frank E. Thomas, Thomas Edward Hamilton and Joseph Truitt were appointed to the audit committee of the Larimar Board, and Frank E. Thomas was appointed the chair of the audit committee.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closing of the Merger, Joseph Truitt, Jonathan Leff and Peter Barrett, Ph.D. were appointed to the compensation committee of the Larimar Board, and Joseph Truitt was appointed the chair of the compensation committee.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connection with the closing of the Merger, Jonathan Leff, Thomas O. Daniel, M.D. and Peter Barrett, Ph.D. were appointed to the nominating and corporate governance committee of the Larimar Board, and Jonathan Leff was appointed the chair of the nominating and corporate governance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On May 28, 2020, the Board approved a form of standard indemnification agreement to be entered into with each of the Company’s directors (the “Indemnification Agreement”) and each of the newly appointed directors entered into the Company’s standard form of Indemnification Agreement, which is attached as Exhibit 10.3 to this Current Report on Form 8-K and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Executive Officers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accordance with the Merger Agreement, on May 28, 2020, immediately prior to the effective time of the Merger, Jeffrey Hatfield resigned as Chief Executive Officer of Zafgen, Patricia L. Allen resigned as Chief Financial Officer of Zafgen and Brian P. McVeigh resigned as Chief Business Officer of Zafgen.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Officers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accordance with the Merger Agreement, on May 28, 2020, the Larimar Board appointed Carole Ben-Maimon, M.D. as the Company’s President and Chief Executive Officer and Michael Celano as the Company’s Chief Financial Officer, each effective as of the closing of the Merger and to serve at the discretion of the Board. Each of Dr. Ben Maimon and Mr. Celano have been determined by the Board to be executive officers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Carole Ben-Maimon</w:t>
      </w:r>
      <w:r>
        <w:rPr>
          <w:rFonts w:ascii="Arial" w:cs="Arial" w:eastAsia="Arial" w:hAnsi="Arial"/>
          <w:sz w:val="17"/>
          <w:szCs w:val="17"/>
          <w:color w:val="auto"/>
        </w:rPr>
        <w:t>. Dr. Ben-Maimon’s biographical information is disclosed in the section above under the heading “</w:t>
      </w:r>
      <w:r>
        <w:rPr>
          <w:rFonts w:ascii="Arial" w:cs="Arial" w:eastAsia="Arial" w:hAnsi="Arial"/>
          <w:sz w:val="17"/>
          <w:szCs w:val="17"/>
          <w:i w:val="1"/>
          <w:iCs w:val="1"/>
          <w:color w:val="auto"/>
        </w:rPr>
        <w:t>Appointment of Directors</w:t>
      </w:r>
      <w:r>
        <w:rPr>
          <w:rFonts w:ascii="Arial" w:cs="Arial" w:eastAsia="Arial" w:hAnsi="Arial"/>
          <w:sz w:val="17"/>
          <w:szCs w:val="17"/>
          <w:color w:val="auto"/>
        </w:rPr>
        <w:t>.”</w:t>
      </w:r>
    </w:p>
    <w:p>
      <w:pPr>
        <w:spacing w:after="0" w:line="237"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Michael Celano </w:t>
      </w:r>
      <w:r>
        <w:rPr>
          <w:rFonts w:ascii="Arial" w:cs="Arial" w:eastAsia="Arial" w:hAnsi="Arial"/>
          <w:sz w:val="16"/>
          <w:szCs w:val="16"/>
          <w:color w:val="auto"/>
        </w:rPr>
        <w:t>(Age 61). Mr. Celano has served as Chief Financial Officer of the Company since May 2020. Prior to joining the Company, Mr. Celano</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Chief Financial Officer of The Columbus Organization, a provider of case management services for individuals with intellectual and developmental disabilities, since January 2020. From May 2019 to January 2020, Mr. Celano performed consulting work. Mr. Celano has also served as the Chairman of the Board of Directors of OraSure Technologies, Inc. (“OraSure”), a publicly-traded medical device company specializing in diagnostic testing kits, since April 2018. Before his appointment as Chairman of the Board of OraSure, Mr. Celano served as a director for OraSure since October 2006. From January 2018 to May 2019, Mr. Celano served as the Chief Operating Officer of Recro Pharma, Inc. (“Recro”) and from July 2016 to January 2018, Mr. Celano served as Chief Financial Officer of Recro.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 Mr. Celano served as a partner with KPMG LLP (“KPMG”), where he was co-leader of its National Life Science Practice.</w:t>
      </w:r>
    </w:p>
    <w:p>
      <w:pPr>
        <w:spacing w:after="0" w:line="8"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Mr. Celano also was co-leader of the Life Science Practice for Arthur Andersen LLP before he joined KPMG. Mr. Celano previously served on the board of directors of Performance Health, a consumer health care product manufacturing company from 2015 to 2016. Mr. Celano holds a B.S. in Accounting from St. Joseph’s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Company’s newly appointed directors and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Celano Employment Agreement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Celano serves as the Company’s Chief Financial Officer pursuant to an employment agreement with the Company dated June 1, 2020 (the “Celano Employment Agreement”). Mr. Celano is an at-will employee, and his employment with the Company can be terminated by him or the Company at any time and for any reason. Mr. Celano’s base salary is $350,000 per annum, which is subject to annual review and adjustment by the Company’s compensation committee. In addition, Mr. Celano is eligible to receive a discretionary bonus in a target amount of 35% of his annual base salary, determined by the Board in its sole discretion.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his execution and nonrevocation of a release of claims in the Company’s favor, in the event of the termination of Mr. Celano’s employment by the Company without cause or by him for good reason, each as defined in the Celano Employment Agreement, Mr. Celano will be entitled to (i) payment of any earned and payable, but unpaid, bonus in respect of the calendar year prior to Mr. Celano’s termination or resignation, as the case may be, (ii) monthly severance payments for a period of nine months, with each payment equal to one-twelth of the sum of Mr. Celano’s base salary (“Severance Salary Payments”) (iii) waiver or reimbursement of premiums payable or paid for COBRA coverage for a period equal to nine months (“Severance COBRA Coverage”). In the event that Mr. Celano’s termination by the Company or resignation with good reason occurs during the two year period following a change in control, as defined in the Celano Employment Agreement, the Severance Salary Payments and Severance COBRA Coverage will continue for 12 months after Mr. Celano’s termination or resignation and Mr. Celano’s will receive an amount equal to the target bonus target for the year of Mr. Celano’s termination or resignation, as the case may be. In addition, any then outstanding and unvested portion of the Initial Equity Award (as defined below) will vest and become exercisable.</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foregoing description of the Celano Employment Agreement does not purport to be complete and is qualified it its entirety by reference to the agreement, which is attached hereto as Exhibit 10.4 and is incorporated herein by reference.</w:t>
      </w:r>
    </w:p>
    <w:p>
      <w:pPr>
        <w:sectPr>
          <w:pgSz w:w="11900" w:h="16838" w:orient="portrait"/>
          <w:cols w:equalWidth="0" w:num="1">
            <w:col w:w="11000"/>
          </w:cols>
          <w:pgMar w:left="440" w:top="274" w:right="459" w:bottom="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Celano Equity Award</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28, 2020 the Company granted Mr. Celano a stock option in respect of 60,479 shares of the Company’s common stock (the “Initial Equity Award”), which option has an exercise price of $11.88, which is equal to the closing price of the Company’s common stock on the date of</w:t>
      </w:r>
    </w:p>
    <w:p>
      <w:pPr>
        <w:sectPr>
          <w:pgSz w:w="11900" w:h="16838" w:orient="portrait"/>
          <w:cols w:equalWidth="0" w:num="1">
            <w:col w:w="10560"/>
          </w:cols>
          <w:pgMar w:left="440" w:top="125" w:right="899" w:bottom="1440" w:gutter="0" w:footer="0" w:header="0"/>
        </w:sectPr>
      </w:pPr>
    </w:p>
    <w:bookmarkStart w:id="9" w:name="page10"/>
    <w:bookmarkEnd w:id="9"/>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(the “Grant Date”) as adjusted for the Reverse Stock Split and vests 25% on the first anniversary of the Grant Date. The remaining 75% will vest in equal monthly installments on the last day of each of the 36 calendar months commencing on the first anniversary of the Grant Date, subject to Mr. Celano’s continued service with the Company through the applicable vesting date.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Certificate of Incorporation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3.03 of this Current Report on Form 8-K is incorporated by reference into this Item 5.03.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Provisions of the Code of Ethics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Merger, the Board adopted a new code of business conduct and ethics (the “Code of Conduct”). The Code of Conduct superseded the Company’s existing code of business conduct and ethics previously adopted by the Board (the “Pre-Merger Code”). The Code of Conduct applies to all directors, officers and employees of the Company.</w:t>
      </w:r>
    </w:p>
    <w:p>
      <w:pPr>
        <w:spacing w:after="0" w:line="184"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The provisions of the Code of Conduct are intended to reflect current best practices and enhance the Company’s personnel’s understanding of the Company’s standards of ethical business practices, promote awareness of ethical issues that may be encountered in carrying out an employee’s or director’s responsibilities, and improve clarity as to how to address ethical issues that may arise. As compared to the Pre-Merger Code, the Code of Conduct includes additional provisions relating to the Company’s status as an equal opportunity employer, environmental, health and safety, the Company’s alcohol and drug policies and social media.</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newly adopted Code of Conduct did not result in any explicit or implicit waiver of any provision of the Pre-Merger Code. The foregoing description of the Code of Conduct does not purport to be complete and is qualified in its entirety by reference to the full text of the Code of Conduct, a copy of which is attached hereto as Exhibit 14.1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On May 28, 2020, the Company held its Annual Meeting. The following is a brief description of the final voting results for each of the proposals submitted to a vote of the stockholders at the Annual Meeting. The final voting results do not reflect the Reverse Stock Split.</w:t>
      </w:r>
    </w:p>
    <w:p>
      <w:pPr>
        <w:spacing w:after="0" w:line="146" w:lineRule="exact"/>
        <w:rPr>
          <w:sz w:val="20"/>
          <w:szCs w:val="20"/>
          <w:color w:val="auto"/>
        </w:rPr>
      </w:pPr>
    </w:p>
    <w:p>
      <w:pPr>
        <w:ind w:right="20" w:firstLine="436"/>
        <w:spacing w:after="0" w:line="263"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Proposal 1 — Approval of the Issuance of Common Stock in the Merger</w:t>
      </w:r>
      <w:r>
        <w:rPr>
          <w:rFonts w:ascii="Arial" w:cs="Arial" w:eastAsia="Arial" w:hAnsi="Arial"/>
          <w:sz w:val="18"/>
          <w:szCs w:val="18"/>
          <w:color w:val="auto"/>
        </w:rPr>
        <w:t>. Stockholders approved the issuance of Common Stock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pursuant to the Merger Agreement and the resulting “change in control” of the Company under the rules of The Nasdaq Stock Market LLC, as follows: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24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18,396,600</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568,521</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23,265</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rPr>
              <w:t>9,158,088</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Proposal 2 — Approval of the Reverse Stock Split.</w:t>
      </w:r>
      <w:r>
        <w:rPr>
          <w:rFonts w:ascii="Arial" w:cs="Arial" w:eastAsia="Arial" w:hAnsi="Arial"/>
          <w:sz w:val="18"/>
          <w:szCs w:val="18"/>
          <w:color w:val="auto"/>
        </w:rPr>
        <w:t xml:space="preserve"> The Stock Split Amendment was approved, as follows: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ind w:left="660"/>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4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27,228,410</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879,748</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ind w:right="60" w:firstLine="436"/>
        <w:spacing w:after="0" w:line="263" w:lineRule="auto"/>
        <w:tabs>
          <w:tab w:leader="none" w:pos="68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Proposal 3 — Approval of the Company’s Named Executive Officer Compensation in Connection with the Merger. </w:t>
      </w:r>
      <w:r>
        <w:rPr>
          <w:rFonts w:ascii="Arial" w:cs="Arial" w:eastAsia="Arial" w:hAnsi="Arial"/>
          <w:sz w:val="18"/>
          <w:szCs w:val="18"/>
          <w:color w:val="auto"/>
        </w:rPr>
        <w:t>The stockholders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on an advisory, non-binding basis, the compensation that may become payable to the Company’s named executive officers in connection with the Merger, as follows: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24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17,894,264</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720,672</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373,450</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rPr>
              <w:t>9,158,088</w:t>
            </w:r>
          </w:p>
        </w:tc>
      </w:tr>
    </w:tbl>
    <w:p>
      <w:pPr>
        <w:spacing w:after="0" w:line="187" w:lineRule="exact"/>
        <w:rPr>
          <w:sz w:val="20"/>
          <w:szCs w:val="20"/>
          <w:color w:val="auto"/>
        </w:rPr>
      </w:pPr>
    </w:p>
    <w:p>
      <w:pPr>
        <w:ind w:left="700" w:hanging="264"/>
        <w:spacing w:after="0"/>
        <w:tabs>
          <w:tab w:leader="none" w:pos="7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Proposal 4 — Election of Directors. </w:t>
      </w:r>
      <w:r>
        <w:rPr>
          <w:rFonts w:ascii="Arial" w:cs="Arial" w:eastAsia="Arial" w:hAnsi="Arial"/>
          <w:sz w:val="16"/>
          <w:szCs w:val="16"/>
          <w:color w:val="auto"/>
        </w:rPr>
        <w:t>Each director nominee was elected to the Board of Directors to serve Class III directors, to serve until the</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2023 Annual Meeting of the Stockholders or until his respective successor is elected and qualified, as follows:</w:t>
      </w:r>
    </w:p>
    <w:p>
      <w:pPr>
        <w:sectPr>
          <w:pgSz w:w="11900" w:h="16838" w:orient="portrait"/>
          <w:cols w:equalWidth="0" w:num="1">
            <w:col w:w="11000"/>
          </w:cols>
          <w:pgMar w:left="440" w:top="274" w:right="459" w:bottom="1440" w:gutter="0" w:footer="0" w:header="0"/>
        </w:sectPr>
      </w:pPr>
    </w:p>
    <w:bookmarkStart w:id="10" w:name="page11"/>
    <w:bookmarkEnd w:id="10"/>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Withheld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9"/>
        </w:trPr>
        <w:tc>
          <w:tcPr>
            <w:tcW w:w="2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Jeffrey S. Hatfield</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13,105,596</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5,882,790</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9,158,088</w:t>
            </w:r>
          </w:p>
        </w:tc>
      </w:tr>
      <w:tr>
        <w:trPr>
          <w:trHeight w:val="210"/>
        </w:trPr>
        <w:tc>
          <w:tcPr>
            <w:tcW w:w="2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2"/>
              </w:rPr>
              <w:t>John L. LaMattina, Ph.D.</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13,142,477</w:t>
            </w: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5,845,909</w:t>
            </w: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9,158,088</w:t>
            </w:r>
          </w:p>
        </w:tc>
      </w:tr>
      <w:tr>
        <w:trPr>
          <w:trHeight w:val="209"/>
        </w:trPr>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Frank E. Thomas</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12,352,479</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6,635,907</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9,158,088</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As noted above, immediately prior to the effective time of the Merger, Mr. Hatfield and Dr. LaMattina resigned from the Board of Directors.</w:t>
      </w:r>
    </w:p>
    <w:p>
      <w:pPr>
        <w:spacing w:after="0" w:line="225" w:lineRule="exact"/>
        <w:rPr>
          <w:sz w:val="20"/>
          <w:szCs w:val="20"/>
          <w:color w:val="auto"/>
        </w:rPr>
      </w:pPr>
    </w:p>
    <w:p>
      <w:pPr>
        <w:ind w:right="360" w:firstLine="436"/>
        <w:spacing w:after="0" w:line="277"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Proposal 5 — Approval of the Company’s Named Executive Officer Compensation for Fiscal Year 2019. </w:t>
      </w:r>
      <w:r>
        <w:rPr>
          <w:rFonts w:ascii="Arial" w:cs="Arial" w:eastAsia="Arial" w:hAnsi="Arial"/>
          <w:sz w:val="18"/>
          <w:szCs w:val="18"/>
          <w:color w:val="auto"/>
        </w:rPr>
        <w:t>The stockholders approved,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non-binding basis, the compensation paid to the Company’s named executive officers in 2019,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18,255,764</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699,899</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32,723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9,158,088</w:t>
            </w:r>
          </w:p>
        </w:tc>
      </w:tr>
    </w:tbl>
    <w:p>
      <w:pPr>
        <w:spacing w:after="0" w:line="202" w:lineRule="exact"/>
        <w:rPr>
          <w:sz w:val="20"/>
          <w:szCs w:val="20"/>
          <w:color w:val="auto"/>
        </w:rPr>
      </w:pPr>
    </w:p>
    <w:p>
      <w:pPr>
        <w:ind w:right="660" w:firstLine="436"/>
        <w:spacing w:after="0" w:line="342"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Proposal 6 — Approval of the Frequency of Future Advisory Votes on Executive Compensation. </w:t>
      </w:r>
      <w:r>
        <w:rPr>
          <w:rFonts w:ascii="Arial" w:cs="Arial" w:eastAsia="Arial" w:hAnsi="Arial"/>
          <w:sz w:val="16"/>
          <w:szCs w:val="16"/>
          <w:color w:val="auto"/>
        </w:rPr>
        <w:t>The stockholders recommended, on an</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non-binding basis, that the Company conduct advisory votes on the Company’s executive compensation annually, as follows:</w:t>
      </w:r>
    </w:p>
    <w:p>
      <w:pPr>
        <w:spacing w:after="0" w:line="13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Every Year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Every Two</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Every</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0" w:type="dxa"/>
            <w:vAlign w:val="bottom"/>
          </w:tcPr>
          <w:p>
            <w:pPr>
              <w:spacing w:after="0"/>
              <w:rPr>
                <w:sz w:val="1"/>
                <w:szCs w:val="1"/>
                <w:color w:val="auto"/>
              </w:rPr>
            </w:pPr>
          </w:p>
        </w:tc>
      </w:tr>
      <w:tr>
        <w:trPr>
          <w:trHeight w:val="185"/>
        </w:trPr>
        <w:tc>
          <w:tcPr>
            <w:tcW w:w="2560" w:type="dxa"/>
            <w:vAlign w:val="bottom"/>
            <w:gridSpan w:val="2"/>
            <w:vMerge w:val="continue"/>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Three Years</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18,212,657</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138,698</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619,668</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9,175,451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Based on the results of the advisory vote on the frequency of the advisory vote on executive compensation, the Board has determined that the Company will hold its advisory vote on the compensation of our named executive officers annually until the next advisory vote on the frequency of the advisory vote on executive compensation.</w:t>
      </w:r>
    </w:p>
    <w:p>
      <w:pPr>
        <w:spacing w:after="0" w:line="184" w:lineRule="exact"/>
        <w:rPr>
          <w:sz w:val="20"/>
          <w:szCs w:val="20"/>
          <w:color w:val="auto"/>
        </w:rPr>
      </w:pPr>
    </w:p>
    <w:p>
      <w:pPr>
        <w:ind w:right="40" w:firstLine="436"/>
        <w:spacing w:after="0" w:line="263"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Proposal 7 — Ratification of Independent Registered Public Accountant as the Company’s Independent Registered Public Accounting Firm for the Fiscal Year Ending December 31, 2020. </w:t>
      </w:r>
      <w:r>
        <w:rPr>
          <w:rFonts w:ascii="Arial" w:cs="Arial" w:eastAsia="Arial" w:hAnsi="Arial"/>
          <w:sz w:val="18"/>
          <w:szCs w:val="18"/>
          <w:color w:val="auto"/>
        </w:rPr>
        <w:t>The appointment of PricewaterhouseCoopers LLP as the Company’s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2020 fiscal year was ratified, as follows: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ind w:left="660"/>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27,493,643</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631,313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21,518</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36"/>
        <w:spacing w:after="0" w:line="27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Proposal 8 — Consider and Vote Upon an Adjournment of the Annual Meeting. </w:t>
      </w:r>
      <w:r>
        <w:rPr>
          <w:rFonts w:ascii="Arial" w:cs="Arial" w:eastAsia="Arial" w:hAnsi="Arial"/>
          <w:sz w:val="18"/>
          <w:szCs w:val="18"/>
          <w:color w:val="auto"/>
        </w:rPr>
        <w:t>The adjournment of the Annual Meeting, if necessary, to solicit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proxies if there are not sufficient votes in favor of Proposals 1 and/or 2 was approved, as follows: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18,088,163</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878,033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22,190</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9,158,088</w:t>
            </w:r>
          </w:p>
        </w:tc>
      </w:tr>
    </w:tbl>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intends to file the financial statements of Chondrial required by Item 9.01(a) as part of an amendment to this Current Report on Form 8-K not later than 71 calendar days after the date this Current Report on Form 8-K is required to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intends to file the pro forma combined condensed financial information of the Company and Chondrial required by Item 9.01(b) as part of an amendment to this Current Report on Form 8-K not later than 71 calendar days after the date this Current Report on Form 8-K is required to be filed.</w:t>
      </w:r>
    </w:p>
    <w:p>
      <w:pPr>
        <w:sectPr>
          <w:pgSz w:w="11900" w:h="16838" w:orient="portrait"/>
          <w:cols w:equalWidth="0" w:num="1">
            <w:col w:w="11020"/>
          </w:cols>
          <w:pgMar w:left="440" w:top="26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2580"/>
              <w:spacing w:after="0"/>
              <w:rPr>
                <w:sz w:val="20"/>
                <w:szCs w:val="20"/>
                <w:color w:val="auto"/>
              </w:rPr>
            </w:pPr>
            <w:r>
              <w:rPr>
                <w:rFonts w:ascii="Arial" w:cs="Arial" w:eastAsia="Arial" w:hAnsi="Arial"/>
                <w:sz w:val="14"/>
                <w:szCs w:val="14"/>
                <w:b w:val="1"/>
                <w:bCs w:val="1"/>
                <w:u w:val="single" w:color="auto"/>
                <w:color w:val="auto"/>
                <w:w w:val="90"/>
              </w:rPr>
              <w:t>Document</w:t>
            </w:r>
          </w:p>
        </w:tc>
        <w:tc>
          <w:tcPr>
            <w:tcW w:w="0" w:type="dxa"/>
            <w:vAlign w:val="bottom"/>
          </w:tcPr>
          <w:p>
            <w:pPr>
              <w:spacing w:after="0"/>
              <w:rPr>
                <w:sz w:val="1"/>
                <w:szCs w:val="1"/>
                <w:color w:val="auto"/>
              </w:rPr>
            </w:pPr>
          </w:p>
        </w:tc>
      </w:tr>
      <w:tr>
        <w:trPr>
          <w:trHeight w:val="186"/>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7"/>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91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2" w:lineRule="exact"/>
        <w:rPr>
          <w:sz w:val="20"/>
          <w:szCs w:val="20"/>
          <w:color w:val="auto"/>
        </w:rPr>
      </w:pPr>
    </w:p>
    <w:p>
      <w:pPr>
        <w:ind w:left="880" w:right="200" w:hanging="786"/>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28">
        <w:r>
          <w:rPr>
            <w:rFonts w:ascii="Arial" w:cs="Arial" w:eastAsia="Arial" w:hAnsi="Arial"/>
            <w:sz w:val="18"/>
            <w:szCs w:val="18"/>
            <w:u w:val="single" w:color="auto"/>
            <w:color w:val="0000EE"/>
          </w:rPr>
          <w:t>Agreement and Plan of Merger, dated as of December 17, 2019, by and among the Company (formerly Zafgen, Inc.), Chondrial</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Therapeutics, Inc., Chondrial Therapeutics Holdings, LLC, and Zordich Merger Sub, Inc. (incorporated by reference to Exhibit 2.1 of the</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Company’s Current Report on Form 8-K (File No. 001-36510) filed on December 18, 2019).</w:t>
        </w:r>
      </w:hyperlink>
    </w:p>
    <w:p>
      <w:pPr>
        <w:spacing w:after="0" w:line="76" w:lineRule="exact"/>
        <w:rPr>
          <w:rFonts w:ascii="Arial" w:cs="Arial" w:eastAsia="Arial" w:hAnsi="Arial"/>
          <w:sz w:val="18"/>
          <w:szCs w:val="18"/>
          <w:u w:val="single" w:color="auto"/>
          <w:color w:val="0000EE"/>
        </w:rPr>
      </w:pPr>
    </w:p>
    <w:p>
      <w:pPr>
        <w:ind w:left="880" w:right="16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w:anchor="page14">
        <w:r>
          <w:rPr>
            <w:rFonts w:ascii="Arial" w:cs="Arial" w:eastAsia="Arial" w:hAnsi="Arial"/>
            <w:sz w:val="18"/>
            <w:szCs w:val="18"/>
            <w:u w:val="single" w:color="auto"/>
            <w:color w:val="0000EE"/>
          </w:rPr>
          <w:t>Certificate of Amendment of Ninth Amended and Restated Certificate of Incorporation Of Zafgen, Inc. related to the Reverse Stock Split,</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dated May 28, 2020 (filed herewith).</w:t>
        </w:r>
      </w:hyperlink>
    </w:p>
    <w:p>
      <w:pPr>
        <w:spacing w:after="0" w:line="62" w:lineRule="exact"/>
        <w:rPr>
          <w:sz w:val="20"/>
          <w:szCs w:val="20"/>
          <w:color w:val="auto"/>
        </w:rPr>
      </w:pPr>
    </w:p>
    <w:p>
      <w:pPr>
        <w:ind w:left="880" w:right="12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w:anchor="page16">
        <w:r>
          <w:rPr>
            <w:rFonts w:ascii="Arial" w:cs="Arial" w:eastAsia="Arial" w:hAnsi="Arial"/>
            <w:sz w:val="18"/>
            <w:szCs w:val="18"/>
            <w:u w:val="single" w:color="auto"/>
            <w:color w:val="0000EE"/>
          </w:rPr>
          <w:t>Certificate of Amendment of Ninth Amended and Restated Certificate of Incorporation Of Zafgen, Inc. related to the Name Change, dated</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May 28, 2020 (filed herewith).</w:t>
        </w:r>
      </w:hyperlink>
    </w:p>
    <w:p>
      <w:pPr>
        <w:spacing w:after="0" w:line="62"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19">
        <w:r>
          <w:rPr>
            <w:rFonts w:ascii="Arial" w:cs="Arial" w:eastAsia="Arial" w:hAnsi="Arial"/>
            <w:sz w:val="16"/>
            <w:szCs w:val="16"/>
            <w:u w:val="single" w:color="auto"/>
            <w:color w:val="0000EE"/>
          </w:rPr>
          <w:t>Form of Pre-Funded Warrant (filed herewith).</w:t>
        </w:r>
      </w:hyperlink>
    </w:p>
    <w:p>
      <w:pPr>
        <w:spacing w:after="0" w:line="117" w:lineRule="exact"/>
        <w:rPr>
          <w:sz w:val="20"/>
          <w:szCs w:val="20"/>
          <w:color w:val="auto"/>
        </w:rPr>
      </w:pPr>
    </w:p>
    <w:p>
      <w:pPr>
        <w:ind w:left="88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36">
        <w:r>
          <w:rPr>
            <w:rFonts w:ascii="Arial" w:cs="Arial" w:eastAsia="Arial" w:hAnsi="Arial"/>
            <w:sz w:val="18"/>
            <w:szCs w:val="18"/>
            <w:u w:val="single" w:color="auto"/>
            <w:color w:val="0000EE"/>
          </w:rPr>
          <w:t>Securities Purchase Agreement, dated as of May 28, 2020 by and among Larimar Therapeutics, Inc. and the investors listed on the Schedule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of Investors attached thereto (filed herewith).</w:t>
        </w:r>
      </w:hyperlink>
    </w:p>
    <w:p>
      <w:pPr>
        <w:spacing w:after="0" w:line="62"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70">
        <w:r>
          <w:rPr>
            <w:rFonts w:ascii="Arial" w:cs="Arial" w:eastAsia="Arial" w:hAnsi="Arial"/>
            <w:sz w:val="16"/>
            <w:szCs w:val="16"/>
            <w:u w:val="single" w:color="auto"/>
            <w:color w:val="0000EE"/>
          </w:rPr>
          <w:t>Registration Rights Agreement, dated as of June 1, 2020 by and among Larimar Therapeutics, Inc. and certain Investors (filed herewith).</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88">
        <w:r>
          <w:rPr>
            <w:rFonts w:ascii="Arial" w:cs="Arial" w:eastAsia="Arial" w:hAnsi="Arial"/>
            <w:sz w:val="16"/>
            <w:szCs w:val="16"/>
            <w:u w:val="single" w:color="auto"/>
            <w:color w:val="0000EE"/>
          </w:rPr>
          <w:t>Form of Indemnification Agreement between the Company and its directors (filed herewith).</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102">
        <w:r>
          <w:rPr>
            <w:rFonts w:ascii="Arial" w:cs="Arial" w:eastAsia="Arial" w:hAnsi="Arial"/>
            <w:sz w:val="16"/>
            <w:szCs w:val="16"/>
            <w:u w:val="single" w:color="auto"/>
            <w:color w:val="0000EE"/>
          </w:rPr>
          <w:t>Employment Agreement, dated June 1, 2020, by and between the Company and Michael Celano (filed herewith).</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w:anchor="page119">
        <w:r>
          <w:rPr>
            <w:rFonts w:ascii="Arial" w:cs="Arial" w:eastAsia="Arial" w:hAnsi="Arial"/>
            <w:sz w:val="16"/>
            <w:szCs w:val="16"/>
            <w:u w:val="single" w:color="auto"/>
            <w:color w:val="0000EE"/>
          </w:rPr>
          <w:t>Code of Conduct (filed herewith).</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28">
        <w:r>
          <w:rPr>
            <w:rFonts w:ascii="Arial" w:cs="Arial" w:eastAsia="Arial" w:hAnsi="Arial"/>
            <w:sz w:val="16"/>
            <w:szCs w:val="16"/>
            <w:u w:val="single" w:color="auto"/>
            <w:color w:val="0000EE"/>
          </w:rPr>
          <w:t>Press Release, dated May 29, 2020 (filed herewith).</w:t>
        </w:r>
      </w:hyperlink>
    </w:p>
    <w:p>
      <w:pPr>
        <w:sectPr>
          <w:pgSz w:w="11900" w:h="16838" w:orient="portrait"/>
          <w:cols w:equalWidth="0" w:num="1">
            <w:col w:w="10960"/>
          </w:cols>
          <w:pgMar w:left="440" w:top="274" w:right="4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209"/>
        </w:trPr>
        <w:tc>
          <w:tcPr>
            <w:tcW w:w="58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3820" w:type="dxa"/>
            <w:vAlign w:val="bottom"/>
          </w:tcPr>
          <w:p>
            <w:pPr>
              <w:spacing w:after="0"/>
              <w:rPr>
                <w:sz w:val="20"/>
                <w:szCs w:val="20"/>
                <w:color w:val="auto"/>
              </w:rPr>
            </w:pPr>
            <w:r>
              <w:rPr>
                <w:rFonts w:ascii="Arial" w:cs="Arial" w:eastAsia="Arial" w:hAnsi="Arial"/>
                <w:sz w:val="18"/>
                <w:szCs w:val="18"/>
                <w:i w:val="1"/>
                <w:iCs w:val="1"/>
                <w:color w:val="auto"/>
              </w:rPr>
              <w:t>Carole S. Ben-Maimon, M.D.</w:t>
            </w:r>
          </w:p>
        </w:tc>
      </w:tr>
      <w:tr>
        <w:trPr>
          <w:trHeight w:val="230"/>
        </w:trPr>
        <w:tc>
          <w:tcPr>
            <w:tcW w:w="5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38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2020</w:t>
      </w:r>
    </w:p>
    <w:p>
      <w:pPr>
        <w:sectPr>
          <w:pgSz w:w="11900" w:h="16838" w:orient="portrait"/>
          <w:cols w:equalWidth="0" w:num="1">
            <w:col w:w="11020"/>
          </w:cols>
          <w:pgMar w:left="440" w:top="270" w:right="439" w:bottom="1440" w:gutter="0" w:footer="0" w:header="0"/>
        </w:sectPr>
      </w:pPr>
    </w:p>
    <w:bookmarkStart w:id="13" w:name="page14"/>
    <w:bookmarkEnd w:id="13"/>
    <w:tbl>
      <w:tblPr>
        <w:tblLayout w:type="fixed"/>
        <w:tblInd w:w="506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Exhibit 3.1</w:t>
            </w:r>
          </w:p>
        </w:tc>
      </w:tr>
      <w:tr>
        <w:trPr>
          <w:trHeight w:val="675"/>
        </w:trPr>
        <w:tc>
          <w:tcPr>
            <w:tcW w:w="20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18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Page 1</w:t>
            </w:r>
          </w:p>
        </w:tc>
      </w:tr>
      <w:tr>
        <w:trPr>
          <w:trHeight w:val="237"/>
        </w:trPr>
        <w:tc>
          <w:tcPr>
            <w:tcW w:w="312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The First State</w:t>
            </w:r>
          </w:p>
        </w:tc>
        <w:tc>
          <w:tcPr>
            <w:tcW w:w="2840" w:type="dxa"/>
            <w:vAlign w:val="bottom"/>
          </w:tcPr>
          <w:p>
            <w:pPr>
              <w:spacing w:after="0"/>
              <w:rPr>
                <w:sz w:val="20"/>
                <w:szCs w:val="20"/>
                <w:color w:val="auto"/>
              </w:rPr>
            </w:pPr>
          </w:p>
        </w:tc>
      </w:tr>
    </w:tbl>
    <w:p>
      <w:pPr>
        <w:spacing w:after="0" w:line="31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AMENDMENT OF “ZAFGEN, INC.”, FILED IN THIS OFFICE ON THE TWENTY-EIGHTH DAY OF MAY, A.D. 2020, AT 9:31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142875</wp:posOffset>
            </wp:positionV>
            <wp:extent cx="3994785" cy="2211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9947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4065155 8100</w:t>
            </w:r>
          </w:p>
        </w:tc>
        <w:tc>
          <w:tcPr>
            <w:tcW w:w="5840" w:type="dxa"/>
            <w:vAlign w:val="bottom"/>
          </w:tcPr>
          <w:p>
            <w:pPr>
              <w:jc w:val="right"/>
              <w:spacing w:after="0"/>
              <w:rPr>
                <w:sz w:val="20"/>
                <w:szCs w:val="20"/>
                <w:color w:val="auto"/>
              </w:rPr>
            </w:pPr>
            <w:r>
              <w:rPr>
                <w:rFonts w:ascii="Arial" w:cs="Arial" w:eastAsia="Arial" w:hAnsi="Arial"/>
                <w:sz w:val="18"/>
                <w:szCs w:val="18"/>
                <w:color w:val="auto"/>
              </w:rPr>
              <w:t>Authentication: 203003808</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SR# 20204882129</w:t>
            </w:r>
          </w:p>
        </w:tc>
        <w:tc>
          <w:tcPr>
            <w:tcW w:w="5840" w:type="dxa"/>
            <w:vAlign w:val="bottom"/>
          </w:tcPr>
          <w:p>
            <w:pPr>
              <w:jc w:val="right"/>
              <w:spacing w:after="0"/>
              <w:rPr>
                <w:sz w:val="20"/>
                <w:szCs w:val="20"/>
                <w:color w:val="auto"/>
              </w:rPr>
            </w:pPr>
            <w:r>
              <w:rPr>
                <w:rFonts w:ascii="Arial" w:cs="Arial" w:eastAsia="Arial" w:hAnsi="Arial"/>
                <w:sz w:val="18"/>
                <w:szCs w:val="18"/>
                <w:color w:val="auto"/>
              </w:rPr>
              <w:t>Date: 05-28-20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ectPr>
          <w:pgSz w:w="11900" w:h="16838" w:orient="portrait"/>
          <w:cols w:equalWidth="0" w:num="1">
            <w:col w:w="11020"/>
          </w:cols>
          <w:pgMar w:left="440" w:top="121"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The Board of Directors of the Corporation, pursuant to Section 242 of the Delaware General Corporations Law (“DGCL”), has duly adopted resolutions setting forth the following proposed amendment (the “Amendment”) to the Corporation’s Ninth Amended and Restated Certificate of Incorporation as currently in effect (the “Certificate of Incorporation”) and declaring such amendment advisable, and the stockholders of the Corporation have duly approved and adopted the Amendment at the Corporation’s 2020 annual meeting of stockholders called and held upon notice in accordance with Section 222 and Section 242 of the DGCL.</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order to effect such proposed amendment, ARTICLE IV of the Certificate of Incorporation is hereby amended so that the following paragraphs be inserted at the end of second full paragraph of such Article to read as follows:</w:t>
      </w:r>
    </w:p>
    <w:p>
      <w:pPr>
        <w:spacing w:after="0" w:line="62"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‘‘That, at 11:00 a.m., Eastern time, on the date of filing of this Certificate of Amendment of the Certificate of Incorporation with the Secretary of State of the State of Delaware (the “Effective Time”), each twelve (12) (the “Conversion Number”) shares of the Common Stock (including treasury shares) issued and outstanding as of the Effective Time shall be combined into one validly issued, fully paid and non-assessable share of Common Stock, automatically and without any action by the holder thereof (the “Reverse Stock Split”). The par value of the Common Stock following the Reverse Stock Split shall remain at $0.001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Corporation shall, upon surrender of such holder’s certificate(s) representing such fractional shares of Common Stock, pay cash in an amount equal to such fractional shares of Common Stock multiplied by the then fair value of the Common Stock as determined by the average last reported sales price of the Common Stock during the ten (10) consecutive trading days ending on the day prior to the Effective Time.</w:t>
      </w:r>
    </w:p>
    <w:p>
      <w:pPr>
        <w:spacing w:after="0" w:line="77"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17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day 28th of May,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both"/>
        <w:ind w:left="80"/>
        <w:spacing w:after="0"/>
        <w:tabs>
          <w:tab w:leader="none" w:pos="980" w:val="left"/>
        </w:tabs>
        <w:rPr>
          <w:sz w:val="20"/>
          <w:szCs w:val="20"/>
          <w:color w:val="auto"/>
        </w:rPr>
      </w:pPr>
      <w:r>
        <w:rPr>
          <w:rFonts w:ascii="Arial" w:cs="Arial" w:eastAsia="Arial" w:hAnsi="Arial"/>
          <w:sz w:val="18"/>
          <w:szCs w:val="18"/>
          <w:color w:val="auto"/>
        </w:rPr>
        <w:t>Delivered</w:t>
        <w:tab/>
        <w:t>09:31 AM 05/28/2020</w:t>
      </w:r>
    </w:p>
    <w:p>
      <w:pPr>
        <w:spacing w:after="0" w:line="9" w:lineRule="exact"/>
        <w:rPr>
          <w:sz w:val="20"/>
          <w:szCs w:val="20"/>
          <w:color w:val="auto"/>
        </w:rPr>
      </w:pPr>
    </w:p>
    <w:p>
      <w:pPr>
        <w:jc w:val="both"/>
        <w:ind w:left="180"/>
        <w:spacing w:after="0"/>
        <w:tabs>
          <w:tab w:leader="none" w:pos="980" w:val="left"/>
        </w:tabs>
        <w:rPr>
          <w:sz w:val="20"/>
          <w:szCs w:val="20"/>
          <w:color w:val="auto"/>
        </w:rPr>
      </w:pPr>
      <w:r>
        <w:rPr>
          <w:rFonts w:ascii="Arial" w:cs="Arial" w:eastAsia="Arial" w:hAnsi="Arial"/>
          <w:sz w:val="18"/>
          <w:szCs w:val="18"/>
          <w:color w:val="auto"/>
        </w:rPr>
        <w:t>FILED</w:t>
      </w:r>
      <w:r>
        <w:rPr>
          <w:sz w:val="20"/>
          <w:szCs w:val="20"/>
          <w:color w:val="auto"/>
        </w:rPr>
        <w:tab/>
      </w:r>
      <w:r>
        <w:rPr>
          <w:rFonts w:ascii="Arial" w:cs="Arial" w:eastAsia="Arial" w:hAnsi="Arial"/>
          <w:sz w:val="18"/>
          <w:szCs w:val="18"/>
          <w:color w:val="auto"/>
        </w:rPr>
        <w:t>09:31 AM 05/28/2020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20204882129 – File Number 4065155</w:t>
      </w:r>
    </w:p>
    <w:p>
      <w:pPr>
        <w:sectPr>
          <w:pgSz w:w="11900" w:h="16838" w:orient="portrait"/>
          <w:cols w:equalWidth="0" w:num="1">
            <w:col w:w="11000"/>
          </w:cols>
          <w:pgMar w:left="440" w:top="270" w:right="459" w:bottom="1440" w:gutter="0" w:footer="0" w:header="0"/>
        </w:sectPr>
      </w:pPr>
    </w:p>
    <w:bookmarkStart w:id="15" w:name="page16"/>
    <w:bookmarkEnd w:id="15"/>
    <w:tbl>
      <w:tblPr>
        <w:tblLayout w:type="fixed"/>
        <w:tblInd w:w="506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Exhibit 3.2</w:t>
            </w:r>
          </w:p>
        </w:tc>
      </w:tr>
      <w:tr>
        <w:trPr>
          <w:trHeight w:val="418"/>
        </w:trPr>
        <w:tc>
          <w:tcPr>
            <w:tcW w:w="20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18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Page 1</w:t>
            </w:r>
          </w:p>
        </w:tc>
      </w:tr>
      <w:tr>
        <w:trPr>
          <w:trHeight w:val="237"/>
        </w:trPr>
        <w:tc>
          <w:tcPr>
            <w:tcW w:w="312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The First State</w:t>
            </w:r>
          </w:p>
        </w:tc>
        <w:tc>
          <w:tcPr>
            <w:tcW w:w="2840" w:type="dxa"/>
            <w:vAlign w:val="bottom"/>
          </w:tcPr>
          <w:p>
            <w:pPr>
              <w:spacing w:after="0"/>
              <w:rPr>
                <w:sz w:val="20"/>
                <w:szCs w:val="20"/>
                <w:color w:val="auto"/>
              </w:rPr>
            </w:pPr>
          </w:p>
        </w:tc>
      </w:tr>
    </w:tbl>
    <w:p>
      <w:pPr>
        <w:spacing w:after="0" w:line="20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AMENDMENT OF “ZAFGEN, INC.”, CHANGING ITS NAME FROM “ZAFGEN, INC.” TO “LARIMAR THERAPEUTICS, INC.”, FILED IN THIS OFFICE ON THE TWENTY-EIGHTH DAY OF MAY, A.D. 2020, AT 1:04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144780</wp:posOffset>
            </wp:positionV>
            <wp:extent cx="2237105" cy="908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237105" cy="90868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1207770</wp:posOffset>
            </wp:positionV>
            <wp:extent cx="1139825" cy="1148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3982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4065155 8100</w:t>
            </w:r>
          </w:p>
        </w:tc>
        <w:tc>
          <w:tcPr>
            <w:tcW w:w="5840" w:type="dxa"/>
            <w:vAlign w:val="bottom"/>
          </w:tcPr>
          <w:p>
            <w:pPr>
              <w:jc w:val="right"/>
              <w:spacing w:after="0"/>
              <w:rPr>
                <w:sz w:val="20"/>
                <w:szCs w:val="20"/>
                <w:color w:val="auto"/>
              </w:rPr>
            </w:pPr>
            <w:r>
              <w:rPr>
                <w:rFonts w:ascii="Arial" w:cs="Arial" w:eastAsia="Arial" w:hAnsi="Arial"/>
                <w:sz w:val="18"/>
                <w:szCs w:val="18"/>
                <w:color w:val="auto"/>
              </w:rPr>
              <w:t>Authentication: 203006384</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SR# 20204922955</w:t>
            </w:r>
          </w:p>
        </w:tc>
        <w:tc>
          <w:tcPr>
            <w:tcW w:w="5840" w:type="dxa"/>
            <w:vAlign w:val="bottom"/>
          </w:tcPr>
          <w:p>
            <w:pPr>
              <w:jc w:val="right"/>
              <w:spacing w:after="0"/>
              <w:rPr>
                <w:sz w:val="20"/>
                <w:szCs w:val="20"/>
                <w:color w:val="auto"/>
              </w:rPr>
            </w:pPr>
            <w:r>
              <w:rPr>
                <w:rFonts w:ascii="Arial" w:cs="Arial" w:eastAsia="Arial" w:hAnsi="Arial"/>
                <w:sz w:val="18"/>
                <w:szCs w:val="18"/>
                <w:color w:val="auto"/>
              </w:rPr>
              <w:t>Date: 05-28-20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ectPr>
          <w:pgSz w:w="11900" w:h="16838" w:orient="portrait"/>
          <w:cols w:equalWidth="0" w:num="1">
            <w:col w:w="11020"/>
          </w:cols>
          <w:pgMar w:left="440" w:top="121" w:right="439" w:bottom="1440" w:gutter="0" w:footer="0" w:header="0"/>
        </w:sectPr>
      </w:pPr>
    </w:p>
    <w:bookmarkStart w:id="16" w:name="page17"/>
    <w:bookmarkEnd w:id="16"/>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ZAFGEN,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117" w:lineRule="exact"/>
        <w:rPr>
          <w:sz w:val="20"/>
          <w:szCs w:val="20"/>
          <w:color w:val="auto"/>
        </w:rPr>
      </w:pPr>
    </w:p>
    <w:p>
      <w:pPr>
        <w:ind w:right="60" w:firstLine="436"/>
        <w:spacing w:after="0" w:line="342"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of Directors of the Corporation duly adopted resolutions declaring advisable the amendment of the Ninth Amended and Restated Certificate of Incorporation of the Corporation (the “Certificate of Incorporation”) set forth in paragraph 3 of this Certificate of Amendment.</w:t>
      </w:r>
    </w:p>
    <w:p>
      <w:pPr>
        <w:spacing w:after="0" w:line="15" w:lineRule="exact"/>
        <w:rPr>
          <w:rFonts w:ascii="Arial" w:cs="Arial" w:eastAsia="Arial" w:hAnsi="Arial"/>
          <w:sz w:val="16"/>
          <w:szCs w:val="16"/>
          <w:color w:val="auto"/>
        </w:rPr>
      </w:pPr>
    </w:p>
    <w:p>
      <w:pPr>
        <w:ind w:firstLine="436"/>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amendment to the Certificate of Incorporation set forth in paragraph 3 of this Certificate of Amendment was duly adopted in accordance with the provisions of Section 242 of the General Corporation Law of the State of Delaware.</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 I of the Certificate of Incorporation is hereby deleted in its entirety and replaced by the following Article I in lieu thereof: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this corporation is Larimar Therapeutics,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both"/>
        <w:ind w:left="80"/>
        <w:spacing w:after="0"/>
        <w:tabs>
          <w:tab w:leader="none" w:pos="980" w:val="left"/>
        </w:tabs>
        <w:rPr>
          <w:sz w:val="20"/>
          <w:szCs w:val="20"/>
          <w:color w:val="auto"/>
        </w:rPr>
      </w:pPr>
      <w:r>
        <w:rPr>
          <w:rFonts w:ascii="Arial" w:cs="Arial" w:eastAsia="Arial" w:hAnsi="Arial"/>
          <w:sz w:val="18"/>
          <w:szCs w:val="18"/>
          <w:color w:val="auto"/>
        </w:rPr>
        <w:t>Delivered</w:t>
        <w:tab/>
        <w:t>01:04 PM 05/28/2020</w:t>
      </w:r>
    </w:p>
    <w:p>
      <w:pPr>
        <w:spacing w:after="0" w:line="9" w:lineRule="exact"/>
        <w:rPr>
          <w:sz w:val="20"/>
          <w:szCs w:val="20"/>
          <w:color w:val="auto"/>
        </w:rPr>
      </w:pPr>
    </w:p>
    <w:p>
      <w:pPr>
        <w:jc w:val="both"/>
        <w:ind w:left="180"/>
        <w:spacing w:after="0"/>
        <w:tabs>
          <w:tab w:leader="none" w:pos="980" w:val="left"/>
        </w:tabs>
        <w:rPr>
          <w:sz w:val="20"/>
          <w:szCs w:val="20"/>
          <w:color w:val="auto"/>
        </w:rPr>
      </w:pPr>
      <w:r>
        <w:rPr>
          <w:rFonts w:ascii="Arial" w:cs="Arial" w:eastAsia="Arial" w:hAnsi="Arial"/>
          <w:sz w:val="18"/>
          <w:szCs w:val="18"/>
          <w:color w:val="auto"/>
        </w:rPr>
        <w:t>FILED</w:t>
      </w:r>
      <w:r>
        <w:rPr>
          <w:sz w:val="20"/>
          <w:szCs w:val="20"/>
          <w:color w:val="auto"/>
        </w:rPr>
        <w:tab/>
      </w:r>
      <w:r>
        <w:rPr>
          <w:rFonts w:ascii="Arial" w:cs="Arial" w:eastAsia="Arial" w:hAnsi="Arial"/>
          <w:sz w:val="18"/>
          <w:szCs w:val="18"/>
          <w:color w:val="auto"/>
        </w:rPr>
        <w:t>01:04 PM 05/28/2020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20204922955 – File Number 4065155</w:t>
      </w:r>
    </w:p>
    <w:p>
      <w:pPr>
        <w:sectPr>
          <w:pgSz w:w="11900" w:h="16838" w:orient="portrait"/>
          <w:cols w:equalWidth="0" w:num="1">
            <w:col w:w="10760"/>
          </w:cols>
          <w:pgMar w:left="440" w:top="270" w:right="699" w:bottom="1440" w:gutter="0" w:footer="0" w:header="0"/>
        </w:sectPr>
      </w:pPr>
    </w:p>
    <w:bookmarkStart w:id="17" w:name="page18"/>
    <w:bookmarkEnd w:id="1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Certificate of Amendment has been executed by a duly authorized officer of the Corporation on this 28th day of May, 2020.</w:t>
      </w:r>
    </w:p>
    <w:p>
      <w:pPr>
        <w:spacing w:after="0" w:line="19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Name Change Amendment]</w:t>
      </w:r>
    </w:p>
    <w:p>
      <w:pPr>
        <w:sectPr>
          <w:pgSz w:w="11900" w:h="16838" w:orient="portrait"/>
          <w:cols w:equalWidth="0" w:num="1">
            <w:col w:w="10800"/>
          </w:cols>
          <w:pgMar w:left="440" w:top="274" w:right="659" w:bottom="1440" w:gutter="0" w:footer="0" w:header="0"/>
        </w:sectPr>
      </w:pPr>
    </w:p>
    <w:bookmarkStart w:id="18" w:name="page19"/>
    <w:bookmarkEnd w:id="18"/>
    <w:p>
      <w:pPr>
        <w:ind w:left="101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PRE-FUNDED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WARRANT TO PURCHASE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Warrant No.: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June 1,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Larimar Therapeutics, Inc., a Delaware corporation (f/k/a Zafgen,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that, for good and valuable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 receipt and sufficiency of which are hereby acknowledged,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subject to the terms set forth below, to purchase from the Company, at the Exercise Price (as defined below) then in effect, at any time or times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or after the Issuance Date (the “</w:t>
      </w:r>
      <w:r>
        <w:rPr>
          <w:rFonts w:ascii="Arial" w:cs="Arial" w:eastAsia="Arial" w:hAnsi="Arial"/>
          <w:sz w:val="17"/>
          <w:szCs w:val="17"/>
          <w:b w:val="1"/>
          <w:bCs w:val="1"/>
          <w:color w:val="auto"/>
        </w:rPr>
        <w:t>Initial Exercisability Date</w:t>
      </w:r>
      <w:r>
        <w:rPr>
          <w:rFonts w:ascii="Arial" w:cs="Arial" w:eastAsia="Arial" w:hAnsi="Arial"/>
          <w:sz w:val="17"/>
          <w:szCs w:val="17"/>
          <w:color w:val="auto"/>
        </w:rPr>
        <w:t>”), until exercised in full, [•] fully paid non-assessable shares of Common Stock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defined below),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Pre-funded Warrant to Purchase Common Stock (including any Warrants to Purchase Common Stock issued in exchange, transfer or replacement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16. This Warrant is one of the Pre-Funded Warrants to purchase Common Stock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issued in connection with the transactions contemplated by that certain Securities Purchase Agreement, dated as of May 28, 2020, by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among the Company and other parties thereto.</w:t>
      </w:r>
    </w:p>
    <w:p>
      <w:pPr>
        <w:spacing w:after="0" w:line="211" w:lineRule="exact"/>
        <w:rPr>
          <w:sz w:val="20"/>
          <w:szCs w:val="20"/>
          <w:color w:val="auto"/>
        </w:rPr>
      </w:pPr>
    </w:p>
    <w:p>
      <w:pPr>
        <w:ind w:left="620" w:hanging="18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117" w:lineRule="exact"/>
        <w:rPr>
          <w:rFonts w:ascii="Arial" w:cs="Arial" w:eastAsia="Arial" w:hAnsi="Arial"/>
          <w:sz w:val="18"/>
          <w:szCs w:val="18"/>
          <w:color w:val="auto"/>
        </w:rPr>
      </w:pPr>
    </w:p>
    <w:p>
      <w:pPr>
        <w:ind w:left="440" w:right="20" w:firstLine="419"/>
        <w:spacing w:after="0" w:line="268" w:lineRule="auto"/>
        <w:tabs>
          <w:tab w:leader="none" w:pos="1107"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1(f)), this Warrant may be exercised by the Holder at any time or from time to time on or after the Issuance Date, in whole or in part, by delivery (whether via facsimile, electronic mail or otherwise) of a written notice,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in cash by wire transfer of immediately available funds or, if the provisions of Section 1(d) are applicable, by notifying the Company that this Warrant is being exercised pursuant to a Cashless Exercise (as defined below).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Exercise Notice is delivered to the Company. On or before the first (1</w:t>
      </w:r>
      <w:r>
        <w:rPr>
          <w:rFonts w:ascii="Arial" w:cs="Arial" w:eastAsia="Arial" w:hAnsi="Arial"/>
          <w:sz w:val="14"/>
          <w:szCs w:val="14"/>
          <w:color w:val="auto"/>
        </w:rPr>
        <w:t>st</w:t>
      </w:r>
      <w:r>
        <w:rPr>
          <w:rFonts w:ascii="Arial" w:cs="Arial" w:eastAsia="Arial" w:hAnsi="Arial"/>
          <w:sz w:val="17"/>
          <w:szCs w:val="17"/>
          <w:color w:val="auto"/>
        </w:rPr>
        <w:t>) Trading Day following the date on which the Holder has delivered the applicable Exercise Notice, the Company shall transmit by facsimile or electronic mail an</w:t>
      </w:r>
    </w:p>
    <w:p>
      <w:pPr>
        <w:sectPr>
          <w:pgSz w:w="11900" w:h="16838" w:orient="portrait"/>
          <w:cols w:equalWidth="0" w:num="1">
            <w:col w:w="11020"/>
          </w:cols>
          <w:pgMar w:left="440" w:top="121" w:right="4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if applicable)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Exercise Notice has been delivered to the Company, then on or prior to the earlier of (i) the second (2</w:t>
      </w:r>
      <w:r>
        <w:rPr>
          <w:rFonts w:ascii="Arial" w:cs="Arial" w:eastAsia="Arial" w:hAnsi="Arial"/>
          <w:sz w:val="13"/>
          <w:szCs w:val="13"/>
          <w:color w:val="auto"/>
        </w:rPr>
        <w:t>nd</w:t>
      </w:r>
      <w:r>
        <w:rPr>
          <w:rFonts w:ascii="Arial" w:cs="Arial" w:eastAsia="Arial" w:hAnsi="Arial"/>
          <w:sz w:val="16"/>
          <w:szCs w:val="16"/>
          <w:color w:val="auto"/>
        </w:rPr>
        <w:t>)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if applicable)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Exercise Notice has been delivered to the Company, then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Aggregate Exercise Price (or notice of a Cashless Exercise, if applicable) is delivered (such earlier date, or if later, the earliest day on which the Company is required to deliver Warrant Shares pursuant to this Section 1(a), the “</w:t>
      </w:r>
      <w:r>
        <w:rPr>
          <w:rFonts w:ascii="Arial" w:cs="Arial" w:eastAsia="Arial" w:hAnsi="Arial"/>
          <w:sz w:val="16"/>
          <w:szCs w:val="16"/>
          <w:b w:val="1"/>
          <w:bCs w:val="1"/>
          <w:color w:val="auto"/>
        </w:rPr>
        <w:t>Share Delivery Date</w:t>
      </w:r>
      <w:r>
        <w:rPr>
          <w:rFonts w:ascii="Arial" w:cs="Arial" w:eastAsia="Arial" w:hAnsi="Arial"/>
          <w:sz w:val="16"/>
          <w:szCs w:val="16"/>
          <w:color w:val="auto"/>
        </w:rPr>
        <w:t xml:space="preserve">”), the Company shall (X)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No fractional Warrant Shares are to be issued upon the exercise of this Warrant, but rather the number of Warrant Shares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if applicable) with respect to such exercise.</w:t>
      </w:r>
    </w:p>
    <w:p>
      <w:pPr>
        <w:spacing w:after="0" w:line="279" w:lineRule="exact"/>
        <w:rPr>
          <w:sz w:val="20"/>
          <w:szCs w:val="20"/>
          <w:color w:val="auto"/>
        </w:rPr>
      </w:pPr>
    </w:p>
    <w:p>
      <w:pPr>
        <w:ind w:right="60" w:firstLine="419"/>
        <w:spacing w:after="0" w:line="255"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aggregate exercise price of this Warrant, except for a nominal exercise price of $0.01 per Warrant Share, was pre-funded to the Company on or prior to the Initial Exercisability Date and, consequently, no additional consideration (other than the nominal exercise price of $0.01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$0.01, subject to as provided herein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80" w:firstLine="419"/>
        <w:spacing w:after="0" w:line="293" w:lineRule="auto"/>
        <w:tabs>
          <w:tab w:leader="none" w:pos="66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fails to cause the Transfer Agent to transmit to the Holder the Warrant Shares in accordance with the provisions of Section 1(a) above pursuant to an exercise on or before the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(A) pay in cash to the Holder the amount, if any, by which (x) the Holder’s total purchase price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brokerage commissions)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three (3)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w:t>
      </w:r>
    </w:p>
    <w:p>
      <w:pPr>
        <w:spacing w:after="0" w:line="59" w:lineRule="exact"/>
        <w:rPr>
          <w:sz w:val="20"/>
          <w:szCs w:val="20"/>
          <w:color w:val="auto"/>
        </w:rPr>
      </w:pPr>
    </w:p>
    <w:p>
      <w:pPr>
        <w:ind w:right="80" w:firstLine="419"/>
        <w:spacing w:after="0" w:line="257"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if on the Share Delivery Date there is no effective registration statement covering the resale of the Warrant Shares by the Holder,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8"/>
          <w:szCs w:val="18"/>
          <w:b w:val="1"/>
          <w:bCs w:val="1"/>
          <w:color w:val="auto"/>
        </w:rPr>
        <w:t>Cashless Exercise</w:t>
      </w:r>
      <w:r>
        <w:rPr>
          <w:rFonts w:ascii="Arial" w:cs="Arial" w:eastAsia="Arial" w:hAnsi="Arial"/>
          <w:sz w:val="18"/>
          <w:szCs w:val="18"/>
          <w:color w:val="auto"/>
        </w:rPr>
        <w:t>”):</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auto"/>
              </w:rPr>
              <w:t>Net Number =</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(A x B) - (A x C)</w:t>
            </w:r>
          </w:p>
        </w:tc>
      </w:tr>
      <w:tr>
        <w:trPr>
          <w:trHeight w:val="237"/>
        </w:trPr>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B</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w:t>
      </w:r>
    </w:p>
    <w:p>
      <w:pPr>
        <w:spacing w:after="0" w:line="2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total number of shares with respect to which this Warrant is then being exercised.</w:t>
      </w:r>
    </w:p>
    <w:p>
      <w:pPr>
        <w:spacing w:after="0" w:line="108" w:lineRule="exact"/>
        <w:rPr>
          <w:sz w:val="20"/>
          <w:szCs w:val="20"/>
          <w:color w:val="auto"/>
        </w:rPr>
      </w:pPr>
    </w:p>
    <w:p>
      <w:pPr>
        <w:ind w:left="1280" w:right="880" w:hanging="639"/>
        <w:spacing w:after="0" w:line="279" w:lineRule="auto"/>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Weighted Average Price on the Trading Day immediately preceding the date of the applicable Exercise Notice or</w:t>
      </w:r>
    </w:p>
    <w:p>
      <w:pPr>
        <w:spacing w:after="0" w:line="3" w:lineRule="exact"/>
        <w:rPr>
          <w:sz w:val="20"/>
          <w:szCs w:val="20"/>
          <w:color w:val="auto"/>
        </w:rPr>
      </w:pPr>
    </w:p>
    <w:p>
      <w:pPr>
        <w:ind w:left="1280" w:right="940" w:hanging="3"/>
        <w:spacing w:after="0" w:line="281" w:lineRule="auto"/>
        <w:tabs>
          <w:tab w:leader="none" w:pos="15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Bid Price of the Common Stock as of the time of the Holder’s execution of the applicable Exercise Notice if such Exercise Notice is executed during “regular trading hours” on a Trading Day and is delivered within two</w:t>
      </w:r>
    </w:p>
    <w:p>
      <w:pPr>
        <w:spacing w:after="0" w:line="1" w:lineRule="exact"/>
        <w:rPr>
          <w:rFonts w:ascii="Arial" w:cs="Arial" w:eastAsia="Arial" w:hAnsi="Arial"/>
          <w:sz w:val="16"/>
          <w:szCs w:val="16"/>
          <w:color w:val="auto"/>
        </w:rPr>
      </w:pPr>
    </w:p>
    <w:p>
      <w:pPr>
        <w:ind w:left="1280" w:right="940"/>
        <w:spacing w:after="0" w:line="295" w:lineRule="auto"/>
        <w:rPr>
          <w:rFonts w:ascii="Arial" w:cs="Arial" w:eastAsia="Arial" w:hAnsi="Arial"/>
          <w:sz w:val="16"/>
          <w:szCs w:val="16"/>
          <w:color w:val="auto"/>
        </w:rPr>
      </w:pPr>
      <w:r>
        <w:rPr>
          <w:rFonts w:ascii="Arial" w:cs="Arial" w:eastAsia="Arial" w:hAnsi="Arial"/>
          <w:sz w:val="16"/>
          <w:szCs w:val="16"/>
          <w:color w:val="auto"/>
        </w:rPr>
        <w:t>(2) hours thereafter (including until two (2) hours after the close of “regular trading hours” on a Trading Day)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the Exercise Price then in effect for the applicable Warrant Shares at the time of such exercise.</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80" w:top="274" w:right="499" w:bottom="1440" w:gutter="0" w:footer="0" w:header="0"/>
        </w:sectPr>
      </w:pPr>
    </w:p>
    <w:bookmarkStart w:id="21" w:name="page22"/>
    <w:bookmarkEnd w:id="21"/>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Warrant Shares are issued in such a Cashless Exercise, the Company acknowledges and agrees that in accordance with Section 3(a)(9) of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the Warrant Shares shall take on the registered characteristics of the Warrants being exercised, and the holding period of the Warrants being exercised may be tacked on to the holding period of the Warrant Shares pursuant to Rule 144 of the 1933 Act. The Company agrees not to take any position contrary to this Section 1(d).</w:t>
      </w:r>
    </w:p>
    <w:p>
      <w:pPr>
        <w:spacing w:after="0" w:line="63" w:lineRule="exact"/>
        <w:rPr>
          <w:sz w:val="20"/>
          <w:szCs w:val="20"/>
          <w:color w:val="auto"/>
        </w:rPr>
      </w:pPr>
    </w:p>
    <w:p>
      <w:pPr>
        <w:ind w:right="320" w:firstLine="419"/>
        <w:spacing w:after="0" w:line="263"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75" w:lineRule="exact"/>
        <w:rPr>
          <w:rFonts w:ascii="Arial" w:cs="Arial" w:eastAsia="Arial" w:hAnsi="Arial"/>
          <w:sz w:val="18"/>
          <w:szCs w:val="18"/>
          <w:color w:val="auto"/>
        </w:rPr>
      </w:pPr>
    </w:p>
    <w:p>
      <w:pPr>
        <w:ind w:firstLine="419"/>
        <w:spacing w:after="0" w:line="284"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Subject to the last section of paragraph 1(a),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it being acknowledged by the Holder that the Company is not representing to the Holder that such calculation is in compliance with Section 13(d) of the 1934 Act and the Holder is solely responsible for any schedules required to be filed in accordance therewith. To the extent that the limitation contained in this Section 1(f)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w:t>
      </w:r>
    </w:p>
    <w:p>
      <w:pPr>
        <w:spacing w:after="0" w:line="3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2" w:name="page23"/>
    <w:bookmarkEnd w:id="22"/>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the exercise price paid by the Holder for the Reduction Shares (if any). For any reason at any time, upon the written or oral request of the Holder, the Company shall within one</w:t>
      </w:r>
    </w:p>
    <w:p>
      <w:pPr>
        <w:spacing w:after="0" w:line="1" w:lineRule="exact"/>
        <w:rPr>
          <w:sz w:val="20"/>
          <w:szCs w:val="20"/>
          <w:color w:val="auto"/>
        </w:rPr>
      </w:pPr>
    </w:p>
    <w:p>
      <w:pPr>
        <w:ind w:left="440" w:hanging="4"/>
        <w:spacing w:after="0" w:line="281"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(if any) in respect of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7" w:lineRule="exact"/>
        <w:rPr>
          <w:rFonts w:ascii="Arial" w:cs="Arial" w:eastAsia="Arial" w:hAnsi="Arial"/>
          <w:sz w:val="16"/>
          <w:szCs w:val="16"/>
          <w:color w:val="auto"/>
        </w:rPr>
      </w:pPr>
    </w:p>
    <w:p>
      <w:pPr>
        <w:ind w:left="440" w:right="20"/>
        <w:spacing w:after="0" w:line="286" w:lineRule="auto"/>
        <w:rPr>
          <w:rFonts w:ascii="Arial" w:cs="Arial" w:eastAsia="Arial" w:hAnsi="Arial"/>
          <w:sz w:val="16"/>
          <w:szCs w:val="16"/>
          <w:color w:val="auto"/>
        </w:rPr>
      </w:pPr>
      <w:r>
        <w:rPr>
          <w:rFonts w:ascii="Arial" w:cs="Arial" w:eastAsia="Arial" w:hAnsi="Arial"/>
          <w:sz w:val="16"/>
          <w:szCs w:val="16"/>
          <w:color w:val="auto"/>
        </w:rPr>
        <w:t>(i) any such increase in the Maximum Percentage will not be effective until the sixty-first (61</w:t>
      </w:r>
      <w:r>
        <w:rPr>
          <w:rFonts w:ascii="Arial" w:cs="Arial" w:eastAsia="Arial" w:hAnsi="Arial"/>
          <w:sz w:val="13"/>
          <w:szCs w:val="13"/>
          <w:color w:val="auto"/>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61" w:lineRule="exact"/>
        <w:rPr>
          <w:rFonts w:ascii="Arial" w:cs="Arial" w:eastAsia="Arial" w:hAnsi="Arial"/>
          <w:sz w:val="16"/>
          <w:szCs w:val="16"/>
          <w:color w:val="auto"/>
        </w:rPr>
      </w:pPr>
    </w:p>
    <w:p>
      <w:pPr>
        <w:ind w:left="1120" w:hanging="261"/>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Required Reserve Amount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28"/>
        <w:spacing w:after="0" w:line="287" w:lineRule="auto"/>
        <w:tabs>
          <w:tab w:leader="none" w:pos="1687" w:val="left"/>
        </w:tabs>
        <w:numPr>
          <w:ilvl w:val="2"/>
          <w:numId w:val="16"/>
        </w:numPr>
        <w:rPr>
          <w:rFonts w:ascii="Arial" w:cs="Arial" w:eastAsia="Arial" w:hAnsi="Arial"/>
          <w:sz w:val="16"/>
          <w:szCs w:val="16"/>
          <w:color w:val="auto"/>
        </w:rPr>
      </w:pPr>
      <w:r>
        <w:rPr>
          <w:rFonts w:ascii="Arial" w:cs="Arial" w:eastAsia="Arial" w:hAnsi="Arial"/>
          <w:sz w:val="16"/>
          <w:szCs w:val="16"/>
          <w:color w:val="auto"/>
        </w:rPr>
        <w:t>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number of shares of Common Stock reserved pursuant to this Section 1(g) be reduced other than in connection with any exercise of Warrants or such other event covered by Section 2 below. If at any time while this Warrant remains outstanding the Company does not have a sufficient number of authorized and unreserved shares of Common Stock to satisfy the Required Reserve Amount </w:t>
      </w:r>
      <w:r>
        <w:rPr>
          <w:rFonts w:ascii="Arial" w:cs="Arial" w:eastAsia="Arial" w:hAnsi="Arial"/>
          <w:sz w:val="16"/>
          <w:szCs w:val="16"/>
          <w:b w:val="1"/>
          <w:bCs w:val="1"/>
          <w:color w:val="auto"/>
        </w:rPr>
        <w:t>(</w:t>
      </w:r>
      <w:r>
        <w:rPr>
          <w:rFonts w:ascii="Arial" w:cs="Arial" w:eastAsia="Arial" w:hAnsi="Arial"/>
          <w:sz w:val="16"/>
          <w:szCs w:val="16"/>
          <w:color w:val="auto"/>
        </w:rPr>
        <w:t>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 w:name="page24"/>
    <w:bookmarkEnd w:id="2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Common Stock to approve the increase in the number of authorized shares of Common Stock without soliciting its stockholders in accordance with the terms of its governing documents then in effect, the Company may satisfy this obligation by obtaining such consent and submitting for filing with the SEC an Information Statement on Schedule 14C.</w:t>
      </w:r>
    </w:p>
    <w:p>
      <w:pPr>
        <w:spacing w:after="0" w:line="177" w:lineRule="exact"/>
        <w:rPr>
          <w:sz w:val="20"/>
          <w:szCs w:val="20"/>
          <w:color w:val="auto"/>
        </w:rPr>
      </w:pPr>
    </w:p>
    <w:p>
      <w:pPr>
        <w:ind w:right="20" w:firstLine="1428"/>
        <w:spacing w:after="0" w:line="254" w:lineRule="auto"/>
        <w:tabs>
          <w:tab w:leader="none" w:pos="1687"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8"/>
          <w:szCs w:val="18"/>
          <w:b w:val="1"/>
          <w:bCs w:val="1"/>
          <w:color w:val="auto"/>
        </w:rPr>
        <w:t>Authorized Share Allocation</w:t>
      </w:r>
      <w:r>
        <w:rPr>
          <w:rFonts w:ascii="Arial" w:cs="Arial" w:eastAsia="Arial" w:hAnsi="Arial"/>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94" w:lineRule="exact"/>
        <w:rPr>
          <w:rFonts w:ascii="Arial" w:cs="Arial" w:eastAsia="Arial" w:hAnsi="Arial"/>
          <w:sz w:val="18"/>
          <w:szCs w:val="18"/>
          <w:color w:val="auto"/>
        </w:rPr>
      </w:pPr>
    </w:p>
    <w:p>
      <w:pPr>
        <w:ind w:right="140" w:firstLine="436"/>
        <w:spacing w:after="0" w:line="29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COMMON STOCK</w:t>
      </w:r>
      <w:r>
        <w:rPr>
          <w:rFonts w:ascii="Arial" w:cs="Arial" w:eastAsia="Arial" w:hAnsi="Arial"/>
          <w:sz w:val="16"/>
          <w:szCs w:val="16"/>
          <w:color w:val="auto"/>
        </w:rPr>
        <w:t>. If the Company at any time on or after the Issuance Date subdivides (by any stock split, stock dividend, recapitalization or other similar transaction)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 similar transaction)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166" w:lineRule="exact"/>
        <w:rPr>
          <w:rFonts w:ascii="Arial" w:cs="Arial" w:eastAsia="Arial" w:hAnsi="Arial"/>
          <w:sz w:val="16"/>
          <w:szCs w:val="16"/>
          <w:color w:val="auto"/>
        </w:rPr>
      </w:pPr>
    </w:p>
    <w:p>
      <w:pPr>
        <w:ind w:right="80" w:firstLine="436"/>
        <w:spacing w:after="0" w:line="286"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The Company shall reserve the Holder’s pro rata share of any Distribution (as determined in accordance with this Section 3) until such time as this Warrant or the applicable portion thereof is exercised by the Holder.</w:t>
      </w:r>
    </w:p>
    <w:p>
      <w:pPr>
        <w:spacing w:after="0" w:line="173" w:lineRule="exact"/>
        <w:rPr>
          <w:rFonts w:ascii="Arial" w:cs="Arial" w:eastAsia="Arial" w:hAnsi="Arial"/>
          <w:sz w:val="16"/>
          <w:szCs w:val="16"/>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80" w:firstLine="419"/>
        <w:spacing w:after="0" w:line="286" w:lineRule="auto"/>
        <w:tabs>
          <w:tab w:leader="none" w:pos="1107"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and the Company shall reserve the Holder’s pro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 w:name="page25"/>
    <w:bookmarkEnd w:id="2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73" w:lineRule="exact"/>
        <w:rPr>
          <w:sz w:val="20"/>
          <w:szCs w:val="20"/>
          <w:color w:val="auto"/>
        </w:rPr>
      </w:pPr>
    </w:p>
    <w:p>
      <w:pPr>
        <w:ind w:firstLine="419"/>
        <w:spacing w:after="0" w:line="283"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such offer has been accepted by the holders of a majority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the number of shares of common stock or other equity securities of the successor or acquiring corporation or of the Company, if it is the surviving corporation, and any other or additional consideration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then exercisable immediately prior to such Fundamental Transaction (without regard to any limitation on the exercise of this Warrant, which shall cease to be applicable at the time of and following the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the foregoing, in the event the Alternative Consideration consists solely of cash (a “</w:t>
      </w:r>
      <w:r>
        <w:rPr>
          <w:rFonts w:ascii="Arial" w:cs="Arial" w:eastAsia="Arial" w:hAnsi="Arial"/>
          <w:sz w:val="16"/>
          <w:szCs w:val="16"/>
          <w:b w:val="1"/>
          <w:bCs w:val="1"/>
          <w:color w:val="auto"/>
        </w:rPr>
        <w:t>Fundamental Cash Transaction</w:t>
      </w:r>
      <w:r>
        <w:rPr>
          <w:rFonts w:ascii="Arial" w:cs="Arial" w:eastAsia="Arial" w:hAnsi="Arial"/>
          <w:sz w:val="16"/>
          <w:szCs w:val="16"/>
          <w:color w:val="auto"/>
        </w:rPr>
        <w:t>”), then Holder shall exercise its conversion or purchase right under this Warrant and such exercise will be deemed effective immediately prior to the consummation of such Fundamental Cash Transaction. If Holder does not so exercise this Warrant, this Warrant shall automatically be exercised pursuant to Section 1(d) hereof, without any action by Holder and without regard to any ownership limitation set forth herein immediately prior to the consummation of such Fundamental Cash Transaction and in such event Holder shall not be required to pay the exercise price for the shares of Common Stock and may in the alternative elect to receive the cash consideration upon consummation, less the exercise price for the shares of Common</w:t>
      </w:r>
    </w:p>
    <w:p>
      <w:pPr>
        <w:spacing w:after="0" w:line="33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25" w:name="page26"/>
    <w:bookmarkEnd w:id="25"/>
    <w:p>
      <w:pPr>
        <w:ind w:left="44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for which this Warrant has been exercised. The Company shall provide the Holder with written notice of the Fundamental Cash Transaction (together with such reasonable information as the Holder may request in connection with such contemplated Acquisition giving rise to such notice), which is to be delivered to Holder not less than ten (10) days prior to the closing of the proposed Fundamental Cash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for the Alternate Consideration. The terms of any agreement pursuant to which a Fundamental Transaction is effected shall include terms requiring any such successor or surviving entity to comply with the provisions of this Section 4(b) and insuring that this Warrant (or any such replacement security) will be similarly adjusted upon any subsequent transaction analogous to a Fundamental Transaction.</w:t>
      </w:r>
    </w:p>
    <w:p>
      <w:pPr>
        <w:spacing w:after="0" w:line="165" w:lineRule="exact"/>
        <w:rPr>
          <w:sz w:val="20"/>
          <w:szCs w:val="20"/>
          <w:color w:val="auto"/>
        </w:rPr>
      </w:pPr>
    </w:p>
    <w:p>
      <w:pPr>
        <w:ind w:right="20" w:firstLine="436"/>
        <w:spacing w:after="0" w:line="288"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or by-laws, or through any reorganization, transfer of assets, consolidation, merger, scheme, arrangement, dissolution, issuance or sale of securities, or any other voluntary action, avoid or seek to avoid the observance or performance of any of the terms of this Warrant, and will at all times in good faith carry out all of the provisions of this Warrant and take all commercially reasonable actions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commercially reasonable actions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68" w:lineRule="exact"/>
        <w:rPr>
          <w:rFonts w:ascii="Arial" w:cs="Arial" w:eastAsia="Arial" w:hAnsi="Arial"/>
          <w:sz w:val="16"/>
          <w:szCs w:val="16"/>
          <w:color w:val="auto"/>
        </w:rPr>
      </w:pPr>
    </w:p>
    <w:p>
      <w:pPr>
        <w:ind w:right="140" w:firstLine="436"/>
        <w:spacing w:after="0" w:line="27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0" w:lineRule="exact"/>
        <w:rPr>
          <w:rFonts w:ascii="Arial" w:cs="Arial" w:eastAsia="Arial" w:hAnsi="Arial"/>
          <w:sz w:val="17"/>
          <w:szCs w:val="17"/>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57" w:lineRule="auto"/>
        <w:tabs>
          <w:tab w:leader="none" w:pos="110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79" w:lineRule="exact"/>
        <w:rPr>
          <w:rFonts w:ascii="Arial" w:cs="Arial" w:eastAsia="Arial" w:hAnsi="Arial"/>
          <w:sz w:val="18"/>
          <w:szCs w:val="18"/>
          <w:color w:val="auto"/>
        </w:rPr>
      </w:pPr>
    </w:p>
    <w:p>
      <w:pPr>
        <w:ind w:left="440" w:right="40" w:firstLine="419"/>
        <w:spacing w:after="0" w:line="286" w:lineRule="auto"/>
        <w:tabs>
          <w:tab w:leader="none" w:pos="1118"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or destruction of this Warrant, accompanied by an affidavit in customary form as to such loss, theft or destruction (including an indemnification undertaking by the Holder to the Company in customary form and such other provisions reasonably satisfactory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6" w:name="page27"/>
    <w:bookmarkEnd w:id="26"/>
    <w:p>
      <w:pPr>
        <w:ind w:left="444"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the Company shall execute and deliver to the Holder a new Warrant (in accordance with Section 7(d)) representing the right to purchase the Warrant Shares then underlying this Warrant.</w:t>
      </w:r>
    </w:p>
    <w:p>
      <w:pPr>
        <w:spacing w:after="0" w:line="62" w:lineRule="exact"/>
        <w:rPr>
          <w:sz w:val="20"/>
          <w:szCs w:val="20"/>
          <w:color w:val="auto"/>
        </w:rPr>
      </w:pPr>
    </w:p>
    <w:p>
      <w:pPr>
        <w:ind w:left="444" w:firstLine="419"/>
        <w:spacing w:after="0" w:line="259" w:lineRule="auto"/>
        <w:tabs>
          <w:tab w:leader="none" w:pos="1111"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78" w:lineRule="exact"/>
        <w:rPr>
          <w:rFonts w:ascii="Arial" w:cs="Arial" w:eastAsia="Arial" w:hAnsi="Arial"/>
          <w:sz w:val="18"/>
          <w:szCs w:val="18"/>
          <w:color w:val="auto"/>
        </w:rPr>
      </w:pPr>
    </w:p>
    <w:p>
      <w:pPr>
        <w:ind w:left="444" w:right="160" w:firstLine="419"/>
        <w:spacing w:after="0" w:line="254" w:lineRule="auto"/>
        <w:tabs>
          <w:tab w:leader="none" w:pos="1122"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Issuance of New Warrants</w:t>
      </w:r>
      <w:r>
        <w:rPr>
          <w:rFonts w:ascii="Arial" w:cs="Arial" w:eastAsia="Arial" w:hAnsi="Arial"/>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94" w:lineRule="exact"/>
        <w:rPr>
          <w:rFonts w:ascii="Arial" w:cs="Arial" w:eastAsia="Arial" w:hAnsi="Arial"/>
          <w:sz w:val="18"/>
          <w:szCs w:val="18"/>
          <w:color w:val="auto"/>
        </w:rPr>
      </w:pPr>
    </w:p>
    <w:p>
      <w:pPr>
        <w:ind w:left="4" w:right="280" w:firstLine="436"/>
        <w:spacing w:after="0" w:line="285" w:lineRule="auto"/>
        <w:tabs>
          <w:tab w:leader="none" w:pos="624"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w:t>
      </w:r>
    </w:p>
    <w:p>
      <w:pPr>
        <w:spacing w:after="0" w:line="1" w:lineRule="exact"/>
        <w:rPr>
          <w:rFonts w:ascii="Arial" w:cs="Arial" w:eastAsia="Arial" w:hAnsi="Arial"/>
          <w:sz w:val="16"/>
          <w:szCs w:val="16"/>
          <w:color w:val="auto"/>
        </w:rPr>
      </w:pPr>
    </w:p>
    <w:p>
      <w:pPr>
        <w:jc w:val="both"/>
        <w:ind w:left="4" w:right="80" w:hanging="4"/>
        <w:spacing w:after="0" w:line="255" w:lineRule="auto"/>
        <w:tabs>
          <w:tab w:leader="none" w:pos="2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delivered by International Federal Express, two (2) Business Days after so mailed, (D) at the time of transmission, if delivered by electronic mail to the email address specified in this Section 8 prior to 5:00 p.m. (New York time) on a Trading Day, (and (F) if delivered by facsimile, upon electronic confirmation of delivery of such facsimile, and will be delivered and addressed as follows:</w:t>
      </w:r>
    </w:p>
    <w:p>
      <w:pPr>
        <w:spacing w:after="0" w:line="8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Dr. Carole Ben-Maimon, M.D.</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cbenmaimon@larimartx.com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With copy (which shall not constitute notice) to:</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busheyr@pepperlaw.com; porterj@pepperlaw.com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the Holder, at such address or other contact information delivered by the Holder to Company or as is on the books and records of the Company.</w:t>
      </w:r>
    </w:p>
    <w:p>
      <w:pPr>
        <w:spacing w:after="0" w:line="248" w:lineRule="exact"/>
        <w:rPr>
          <w:sz w:val="20"/>
          <w:szCs w:val="20"/>
          <w:color w:val="auto"/>
        </w:rPr>
      </w:pPr>
    </w:p>
    <w:p>
      <w:pPr>
        <w:ind w:left="4" w:right="20" w:firstLine="436"/>
        <w:spacing w:after="0" w:line="311" w:lineRule="auto"/>
        <w:tabs>
          <w:tab w:leader="none" w:pos="62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Required Holders; provided that no such action may increase the exercise price of any Warrant or decrease the number of</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27" w:name="page28"/>
    <w:bookmarkEnd w:id="27"/>
    <w:p>
      <w:pPr>
        <w:ind w:left="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or class of stock obtainable upon exercise of any Warrant without the written consent of the Holder. No such amendment shall be effective to the extent that it applies to less than all of the holders of the Warrants then outstanding.</w:t>
      </w:r>
    </w:p>
    <w:p>
      <w:pPr>
        <w:spacing w:after="0" w:line="170" w:lineRule="exact"/>
        <w:rPr>
          <w:sz w:val="20"/>
          <w:szCs w:val="20"/>
          <w:color w:val="auto"/>
        </w:rPr>
      </w:pPr>
    </w:p>
    <w:p>
      <w:pPr>
        <w:ind w:left="4" w:right="100" w:firstLine="436"/>
        <w:spacing w:after="0" w:line="284" w:lineRule="auto"/>
        <w:tabs>
          <w:tab w:leader="none" w:pos="71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GOVERNING LAW;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THE</w:t>
      </w:r>
    </w:p>
    <w:p>
      <w:pPr>
        <w:spacing w:after="0" w:line="4" w:lineRule="exact"/>
        <w:rPr>
          <w:rFonts w:ascii="Arial" w:cs="Arial" w:eastAsia="Arial" w:hAnsi="Arial"/>
          <w:sz w:val="16"/>
          <w:szCs w:val="16"/>
          <w:color w:val="auto"/>
        </w:rPr>
      </w:pPr>
    </w:p>
    <w:p>
      <w:pPr>
        <w:ind w:left="4"/>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ind w:left="4" w:firstLine="436"/>
        <w:spacing w:after="0" w:line="285" w:lineRule="auto"/>
        <w:tabs>
          <w:tab w:leader="none" w:pos="707"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w:t>
      </w:r>
    </w:p>
    <w:p>
      <w:pPr>
        <w:spacing w:after="0" w:line="1" w:lineRule="exact"/>
        <w:rPr>
          <w:rFonts w:ascii="Arial" w:cs="Arial" w:eastAsia="Arial" w:hAnsi="Arial"/>
          <w:sz w:val="16"/>
          <w:szCs w:val="16"/>
          <w:color w:val="auto"/>
        </w:rPr>
      </w:pPr>
    </w:p>
    <w:p>
      <w:pPr>
        <w:ind w:left="4" w:right="80" w:hanging="4"/>
        <w:spacing w:after="0" w:line="292"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2" w:lineRule="exact"/>
        <w:rPr>
          <w:rFonts w:ascii="Arial" w:cs="Arial" w:eastAsia="Arial" w:hAnsi="Arial"/>
          <w:sz w:val="16"/>
          <w:szCs w:val="16"/>
          <w:color w:val="auto"/>
        </w:rPr>
      </w:pPr>
    </w:p>
    <w:p>
      <w:pPr>
        <w:ind w:left="4" w:firstLine="436"/>
        <w:spacing w:after="0" w:line="272" w:lineRule="auto"/>
        <w:tabs>
          <w:tab w:leader="none" w:pos="71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seek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ind w:left="4" w:right="120" w:firstLine="436"/>
        <w:spacing w:after="0" w:line="277" w:lineRule="auto"/>
        <w:tabs>
          <w:tab w:leader="none" w:pos="71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Subject to compliance with applicable federal and state securities laws, this Warrant and the Warrant Shares may not be offered for sale, sold, transferred, pledged or assigned without the consent of the Company.</w:t>
      </w:r>
    </w:p>
    <w:p>
      <w:pPr>
        <w:spacing w:after="0" w:line="170" w:lineRule="exact"/>
        <w:rPr>
          <w:rFonts w:ascii="Arial" w:cs="Arial" w:eastAsia="Arial" w:hAnsi="Arial"/>
          <w:sz w:val="18"/>
          <w:szCs w:val="18"/>
          <w:color w:val="auto"/>
        </w:rPr>
      </w:pPr>
    </w:p>
    <w:p>
      <w:pPr>
        <w:ind w:left="4" w:right="40" w:firstLine="436"/>
        <w:spacing w:after="0" w:line="254" w:lineRule="auto"/>
        <w:tabs>
          <w:tab w:leader="none" w:pos="71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 CONSTRUCTION; HEADINGS</w:t>
      </w:r>
      <w:r>
        <w:rPr>
          <w:rFonts w:ascii="Arial" w:cs="Arial" w:eastAsia="Arial" w:hAnsi="Arial"/>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71" w:lineRule="exact"/>
        <w:rPr>
          <w:sz w:val="20"/>
          <w:szCs w:val="20"/>
          <w:color w:val="auto"/>
        </w:rPr>
      </w:pPr>
    </w:p>
    <w:p>
      <w:pPr>
        <w:ind w:firstLine="436"/>
        <w:spacing w:after="0" w:line="272"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(as defined in the Securities Purchase Agreement),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13" w:lineRule="exact"/>
        <w:rPr>
          <w:rFonts w:ascii="Arial" w:cs="Arial" w:eastAsia="Arial" w:hAnsi="Arial"/>
          <w:sz w:val="18"/>
          <w:szCs w:val="18"/>
          <w:color w:val="auto"/>
        </w:rPr>
      </w:pPr>
    </w:p>
    <w:p>
      <w:pPr>
        <w:ind w:left="440" w:right="400" w:firstLine="419"/>
        <w:spacing w:after="0" w:line="347" w:lineRule="auto"/>
        <w:tabs>
          <w:tab w:leader="none" w:pos="1108"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that, directly or indirectly through one or more intermediaries, controls or is controlled by or is under common control with a Person, as such terms are used in and construed under Rule 405 under the Securities Act of 1933, as amended.</w:t>
      </w:r>
    </w:p>
    <w:p>
      <w:pPr>
        <w:spacing w:after="0" w:line="7" w:lineRule="exact"/>
        <w:rPr>
          <w:rFonts w:ascii="Arial" w:cs="Arial" w:eastAsia="Arial" w:hAnsi="Arial"/>
          <w:sz w:val="16"/>
          <w:szCs w:val="16"/>
          <w:color w:val="auto"/>
        </w:rPr>
      </w:pPr>
    </w:p>
    <w:p>
      <w:pPr>
        <w:ind w:left="440" w:right="200" w:firstLine="419"/>
        <w:spacing w:after="0" w:line="289" w:lineRule="auto"/>
        <w:tabs>
          <w:tab w:leader="none" w:pos="1118"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Share Delivery Date, directly or indirectly managed or advised by the Holder’s investment manager or any of its Affiliates or principals, (ii) any direct or indirect Affiliates of the Holder or any of the foregoing,</w:t>
      </w:r>
    </w:p>
    <w:p>
      <w:pPr>
        <w:spacing w:after="0" w:line="1"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or Section 16 of the 1934 Act. For clarity, the purpose of the foregoing is to subject collectively the Holder and all other Attribution Parties to the Maximum Percentage.</w:t>
      </w:r>
    </w:p>
    <w:p>
      <w:pPr>
        <w:spacing w:after="0" w:line="80" w:lineRule="exact"/>
        <w:rPr>
          <w:rFonts w:ascii="Arial" w:cs="Arial" w:eastAsia="Arial" w:hAnsi="Arial"/>
          <w:sz w:val="16"/>
          <w:szCs w:val="16"/>
          <w:color w:val="auto"/>
        </w:rPr>
      </w:pPr>
    </w:p>
    <w:p>
      <w:pPr>
        <w:ind w:left="440" w:right="60" w:firstLine="419"/>
        <w:spacing w:after="0" w:line="289" w:lineRule="auto"/>
        <w:tabs>
          <w:tab w:leader="none" w:pos="1108"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All such determinations shall be appropriately adjusted for any stock dividend, stock split, stock combination or other similar transaction during such period.</w:t>
      </w:r>
    </w:p>
    <w:p>
      <w:pPr>
        <w:spacing w:after="0" w:line="52" w:lineRule="exact"/>
        <w:rPr>
          <w:rFonts w:ascii="Arial" w:cs="Arial" w:eastAsia="Arial" w:hAnsi="Arial"/>
          <w:sz w:val="16"/>
          <w:szCs w:val="16"/>
          <w:color w:val="auto"/>
        </w:rPr>
      </w:pPr>
    </w:p>
    <w:p>
      <w:pPr>
        <w:ind w:left="1120" w:hanging="261"/>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17" w:lineRule="exact"/>
        <w:rPr>
          <w:rFonts w:ascii="Arial" w:cs="Arial" w:eastAsia="Arial" w:hAnsi="Arial"/>
          <w:sz w:val="18"/>
          <w:szCs w:val="18"/>
          <w:color w:val="auto"/>
        </w:rPr>
      </w:pPr>
    </w:p>
    <w:p>
      <w:pPr>
        <w:ind w:left="440" w:right="400" w:firstLine="419"/>
        <w:spacing w:after="0" w:line="282" w:lineRule="auto"/>
        <w:tabs>
          <w:tab w:leader="none" w:pos="11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29" w:name="page30"/>
    <w:bookmarkEnd w:id="29"/>
    <w:p>
      <w:pPr>
        <w:ind w:right="60" w:firstLine="419"/>
        <w:spacing w:after="0" w:line="268" w:lineRule="auto"/>
        <w:tabs>
          <w:tab w:leader="none" w:pos="648"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73" w:lineRule="exact"/>
        <w:rPr>
          <w:rFonts w:ascii="Arial" w:cs="Arial" w:eastAsia="Arial" w:hAnsi="Arial"/>
          <w:sz w:val="17"/>
          <w:szCs w:val="17"/>
          <w:color w:val="auto"/>
        </w:rPr>
      </w:pPr>
    </w:p>
    <w:p>
      <w:pPr>
        <w:ind w:right="500" w:firstLine="419"/>
        <w:spacing w:after="0" w:line="312" w:lineRule="auto"/>
        <w:tabs>
          <w:tab w:leader="none" w:pos="6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Common Stock, par value $0.001 per share, and (ii) any capital stock into which such Common Stock shall have been changed or any capital stock resulting from a reclassification of such Common Stock.</w:t>
      </w:r>
    </w:p>
    <w:p>
      <w:pPr>
        <w:spacing w:after="0" w:line="31" w:lineRule="exact"/>
        <w:rPr>
          <w:rFonts w:ascii="Arial" w:cs="Arial" w:eastAsia="Arial" w:hAnsi="Arial"/>
          <w:sz w:val="17"/>
          <w:szCs w:val="17"/>
          <w:color w:val="auto"/>
        </w:rPr>
      </w:pPr>
    </w:p>
    <w:p>
      <w:pPr>
        <w:ind w:right="440" w:firstLine="419"/>
        <w:spacing w:after="0" w:line="282"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53" w:lineRule="exact"/>
        <w:rPr>
          <w:rFonts w:ascii="Arial" w:cs="Arial" w:eastAsia="Arial" w:hAnsi="Arial"/>
          <w:sz w:val="18"/>
          <w:szCs w:val="18"/>
          <w:color w:val="auto"/>
        </w:rPr>
      </w:pPr>
    </w:p>
    <w:p>
      <w:pPr>
        <w:ind w:right="40" w:firstLine="419"/>
        <w:spacing w:after="0" w:line="282" w:lineRule="auto"/>
        <w:tabs>
          <w:tab w:leader="none" w:pos="6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53" w:lineRule="exact"/>
        <w:rPr>
          <w:rFonts w:ascii="Arial" w:cs="Arial" w:eastAsia="Arial" w:hAnsi="Arial"/>
          <w:sz w:val="18"/>
          <w:szCs w:val="18"/>
          <w:color w:val="auto"/>
        </w:rPr>
      </w:pPr>
    </w:p>
    <w:p>
      <w:pPr>
        <w:ind w:left="640" w:hanging="22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128" w:lineRule="exact"/>
        <w:rPr>
          <w:rFonts w:ascii="Arial" w:cs="Arial" w:eastAsia="Arial" w:hAnsi="Arial"/>
          <w:sz w:val="17"/>
          <w:szCs w:val="17"/>
          <w:color w:val="auto"/>
        </w:rPr>
      </w:pPr>
    </w:p>
    <w:p>
      <w:pPr>
        <w:ind w:right="580" w:firstLine="419"/>
        <w:spacing w:after="0" w:line="282"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53" w:lineRule="exact"/>
        <w:rPr>
          <w:rFonts w:ascii="Arial" w:cs="Arial" w:eastAsia="Arial" w:hAnsi="Arial"/>
          <w:sz w:val="18"/>
          <w:szCs w:val="18"/>
          <w:color w:val="auto"/>
        </w:rPr>
      </w:pPr>
    </w:p>
    <w:p>
      <w:pPr>
        <w:ind w:left="640" w:hanging="2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w:t>
      </w:r>
    </w:p>
    <w:p>
      <w:pPr>
        <w:spacing w:after="0" w:line="117" w:lineRule="exact"/>
        <w:rPr>
          <w:rFonts w:ascii="Arial" w:cs="Arial" w:eastAsia="Arial" w:hAnsi="Arial"/>
          <w:sz w:val="18"/>
          <w:szCs w:val="18"/>
          <w:color w:val="auto"/>
        </w:rPr>
      </w:pPr>
    </w:p>
    <w:p>
      <w:pPr>
        <w:ind w:right="220" w:firstLine="419"/>
        <w:spacing w:after="0" w:line="282" w:lineRule="auto"/>
        <w:tabs>
          <w:tab w:leader="none" w:pos="7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 of the Warrants representing at least a majority of the shares of Common Stock underlying the Warrants then outstanding.</w:t>
      </w:r>
    </w:p>
    <w:p>
      <w:pPr>
        <w:spacing w:after="0" w:line="53" w:lineRule="exact"/>
        <w:rPr>
          <w:rFonts w:ascii="Arial" w:cs="Arial" w:eastAsia="Arial" w:hAnsi="Arial"/>
          <w:sz w:val="18"/>
          <w:szCs w:val="18"/>
          <w:color w:val="auto"/>
        </w:rPr>
      </w:pPr>
    </w:p>
    <w:p>
      <w:pPr>
        <w:ind w:right="280" w:firstLine="419"/>
        <w:spacing w:after="0" w:line="266"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Settlement Period</w:t>
      </w:r>
      <w:r>
        <w:rPr>
          <w:rFonts w:ascii="Arial" w:cs="Arial" w:eastAsia="Arial" w:hAnsi="Arial"/>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w:t>
      </w:r>
    </w:p>
    <w:p>
      <w:pPr>
        <w:spacing w:after="0" w:line="67" w:lineRule="exact"/>
        <w:rPr>
          <w:rFonts w:ascii="Arial" w:cs="Arial" w:eastAsia="Arial" w:hAnsi="Arial"/>
          <w:sz w:val="18"/>
          <w:szCs w:val="18"/>
          <w:color w:val="auto"/>
        </w:rPr>
      </w:pPr>
    </w:p>
    <w:p>
      <w:pPr>
        <w:ind w:right="360" w:firstLine="419"/>
        <w:spacing w:after="0" w:line="266"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67" w:lineRule="exact"/>
        <w:rPr>
          <w:rFonts w:ascii="Arial" w:cs="Arial" w:eastAsia="Arial" w:hAnsi="Arial"/>
          <w:sz w:val="18"/>
          <w:szCs w:val="18"/>
          <w:color w:val="auto"/>
        </w:rPr>
      </w:pPr>
    </w:p>
    <w:p>
      <w:pPr>
        <w:ind w:firstLine="419"/>
        <w:spacing w:after="0" w:line="266"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Price</w:t>
      </w:r>
      <w:r>
        <w:rPr>
          <w:rFonts w:ascii="Arial" w:cs="Arial" w:eastAsia="Arial" w:hAnsi="Arial"/>
          <w:sz w:val="18"/>
          <w:szCs w:val="18"/>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0" w:right="439" w:bottom="1440" w:gutter="0" w:footer="0" w:header="0"/>
        </w:sectPr>
      </w:pPr>
    </w:p>
    <w:bookmarkStart w:id="30" w:name="page31"/>
    <w:bookmarkEnd w:id="3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11 but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276"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1" w:name="page32"/>
    <w:bookmarkEnd w:id="3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to Purchase Common Stock]</w:t>
      </w:r>
    </w:p>
    <w:p>
      <w:pPr>
        <w:sectPr>
          <w:pgSz w:w="11900" w:h="16838" w:orient="portrait"/>
          <w:cols w:equalWidth="0" w:num="1">
            <w:col w:w="11000"/>
          </w:cols>
          <w:pgMar w:left="440" w:top="270" w:right="459" w:bottom="1440" w:gutter="0" w:footer="0" w:header="0"/>
        </w:sectPr>
      </w:pPr>
    </w:p>
    <w:bookmarkStart w:id="32" w:name="page33"/>
    <w:bookmarkEnd w:id="32"/>
    <w:p>
      <w:pPr>
        <w:jc w:val="center"/>
        <w:ind w:right="1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p>
    <w:p>
      <w:pPr>
        <w:spacing w:after="0" w:line="200" w:lineRule="exact"/>
        <w:rPr>
          <w:sz w:val="20"/>
          <w:szCs w:val="20"/>
          <w:color w:val="auto"/>
        </w:rPr>
      </w:pPr>
    </w:p>
    <w:p>
      <w:pPr>
        <w:spacing w:after="0" w:line="32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-115570</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Warrant to Purchase Common Stock]</w:t>
      </w:r>
    </w:p>
    <w:p>
      <w:pPr>
        <w:sectPr>
          <w:pgSz w:w="11900" w:h="16838" w:orient="portrait"/>
          <w:cols w:equalWidth="0" w:num="1">
            <w:col w:w="9140"/>
          </w:cols>
          <w:pgMar w:left="1440" w:top="270" w:right="1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WARRANT TO PURCHASE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The undersigned holder hereby exercises the right to purchase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Larimar Therapeutics, Inc., a Delaware corporation (f/k/a Zafgen, Inc.)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Pre-Funded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 defined shall have the respective meanings set forth in the Warrant.</w:t>
      </w:r>
    </w:p>
    <w:p>
      <w:pPr>
        <w:spacing w:after="0" w:line="162" w:lineRule="exact"/>
        <w:rPr>
          <w:sz w:val="20"/>
          <w:szCs w:val="20"/>
          <w:color w:val="auto"/>
        </w:rPr>
      </w:pPr>
    </w:p>
    <w:p>
      <w:pPr>
        <w:ind w:left="860" w:right="3880" w:hanging="424"/>
        <w:spacing w:after="0" w:line="375" w:lineRule="auto"/>
        <w:tabs>
          <w:tab w:leader="none" w:pos="61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The Holder intends that payment of the Exercise Price shall be made as: a “Cash Exercise” with respect to Warrant Shares;</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 “Cashless Exercise” with respect to Warrant Shares;</w:t>
      </w:r>
    </w:p>
    <w:p>
      <w:pPr>
        <w:spacing w:after="0" w:line="225" w:lineRule="exact"/>
        <w:rPr>
          <w:rFonts w:ascii="Arial" w:cs="Arial" w:eastAsia="Arial" w:hAnsi="Arial"/>
          <w:sz w:val="18"/>
          <w:szCs w:val="18"/>
          <w:color w:val="auto"/>
        </w:rPr>
      </w:pPr>
    </w:p>
    <w:p>
      <w:pPr>
        <w:ind w:right="120" w:firstLine="436"/>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 to the Company in accordance with the terms of the Warrant.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the holder Warrant Shares in accordance with the terms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acknowledges this Exercise Notice and hereby directs Computershare Trust Company, N.A. to issue the above indicated number of shares of Common Stock on or prior to the applicable Share Delivery Date.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40"/>
          </w:cols>
          <w:pgMar w:left="440" w:top="270" w:right="6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280" w:firstLine="440"/>
        <w:spacing w:after="0" w:line="314" w:lineRule="auto"/>
        <w:rPr>
          <w:sz w:val="20"/>
          <w:szCs w:val="20"/>
          <w:color w:val="auto"/>
        </w:rPr>
      </w:pPr>
      <w:r>
        <w:rPr>
          <w:rFonts w:ascii="Arial" w:cs="Arial" w:eastAsia="Arial" w:hAnsi="Arial"/>
          <w:sz w:val="16"/>
          <w:szCs w:val="16"/>
          <w:b w:val="1"/>
          <w:bCs w:val="1"/>
          <w:color w:val="auto"/>
        </w:rPr>
        <w:t xml:space="preserve">SECURITIES PURCHASE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May 28, 2020, by and among Larimar Therapeutics, Inc.,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(f/k/a Zafgen, Inc.), with headquarters located at Three Bala Plaza East, Suite 506, Bala Cynwyd, PA 19004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the investors listed on the </w:t>
      </w:r>
      <w:r>
        <w:rPr>
          <w:rFonts w:ascii="Arial" w:cs="Arial" w:eastAsia="Arial" w:hAnsi="Arial"/>
          <w:sz w:val="16"/>
          <w:szCs w:val="16"/>
          <w:u w:val="single" w:color="auto"/>
          <w:color w:val="auto"/>
        </w:rPr>
        <w:t>Schedule of Investors</w:t>
      </w:r>
      <w:r>
        <w:rPr>
          <w:rFonts w:ascii="Arial" w:cs="Arial" w:eastAsia="Arial" w:hAnsi="Arial"/>
          <w:sz w:val="16"/>
          <w:szCs w:val="16"/>
          <w:color w:val="auto"/>
        </w:rPr>
        <w:t xml:space="preserve"> attached hereto (individually, an “</w:t>
      </w:r>
      <w:r>
        <w:rPr>
          <w:rFonts w:ascii="Arial" w:cs="Arial" w:eastAsia="Arial" w:hAnsi="Arial"/>
          <w:sz w:val="16"/>
          <w:szCs w:val="16"/>
          <w:b w:val="1"/>
          <w:bCs w:val="1"/>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color w:val="auto"/>
        </w:rPr>
        <w:t>Investors</w:t>
      </w:r>
      <w:r>
        <w:rPr>
          <w:rFonts w:ascii="Arial" w:cs="Arial" w:eastAsia="Arial" w:hAnsi="Arial"/>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are executing and delivering this Agreement in reliance upon the exemption from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afforded by the provisions of Regulation D (“</w:t>
      </w:r>
      <w:r>
        <w:rPr>
          <w:rFonts w:ascii="Arial" w:cs="Arial" w:eastAsia="Arial" w:hAnsi="Arial"/>
          <w:sz w:val="18"/>
          <w:szCs w:val="18"/>
          <w:b w:val="1"/>
          <w:bCs w:val="1"/>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1933 Act</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Investor, severally, and not jointly, wishes to purchase from the Company, and the Company wishes to sell to each Investor,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upon the terms and conditions stated in this Agreement, the number of shares of the Company’s common stock, par value $0.001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set forth opposite such Investor’s name under the heading “Shares” on the Schedule of Investors (the “</w:t>
      </w:r>
      <w:r>
        <w:rPr>
          <w:rFonts w:ascii="Arial" w:cs="Arial" w:eastAsia="Arial" w:hAnsi="Arial"/>
          <w:sz w:val="16"/>
          <w:szCs w:val="16"/>
          <w:b w:val="1"/>
          <w:bCs w:val="1"/>
          <w:color w:val="auto"/>
        </w:rPr>
        <w:t>Shares</w:t>
      </w:r>
      <w:r>
        <w:rPr>
          <w:rFonts w:ascii="Arial" w:cs="Arial" w:eastAsia="Arial" w:hAnsi="Arial"/>
          <w:sz w:val="16"/>
          <w:szCs w:val="16"/>
          <w:color w:val="auto"/>
        </w:rPr>
        <w:t>”) and/or a pre-funded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(each, a “</w:t>
      </w:r>
      <w:r>
        <w:rPr>
          <w:rFonts w:ascii="Arial" w:cs="Arial" w:eastAsia="Arial" w:hAnsi="Arial"/>
          <w:sz w:val="16"/>
          <w:szCs w:val="16"/>
          <w:b w:val="1"/>
          <w:bCs w:val="1"/>
          <w:color w:val="auto"/>
        </w:rPr>
        <w:t>Pre-Funded Warrant</w:t>
      </w:r>
      <w:r>
        <w:rPr>
          <w:rFonts w:ascii="Arial" w:cs="Arial" w:eastAsia="Arial" w:hAnsi="Arial"/>
          <w:sz w:val="16"/>
          <w:szCs w:val="16"/>
          <w:color w:val="auto"/>
        </w:rPr>
        <w:t>”) to purchase the number of shares of Common Stock set forth opposite such Investor’s name on the Schedule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Investors under the heading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and together with the Shares, the “</w:t>
      </w:r>
      <w:r>
        <w:rPr>
          <w:rFonts w:ascii="Arial" w:cs="Arial" w:eastAsia="Arial" w:hAnsi="Arial"/>
          <w:sz w:val="16"/>
          <w:szCs w:val="16"/>
          <w:b w:val="1"/>
          <w:bCs w:val="1"/>
          <w:color w:val="auto"/>
        </w:rPr>
        <w:t>Securities</w:t>
      </w:r>
      <w:r>
        <w:rPr>
          <w:rFonts w:ascii="Arial" w:cs="Arial" w:eastAsia="Arial" w:hAnsi="Arial"/>
          <w:sz w:val="16"/>
          <w:szCs w:val="16"/>
          <w:color w:val="auto"/>
        </w:rPr>
        <w:t>”) (which aggregate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for all Investors together shall be $80,000,000); and</w:t>
      </w:r>
    </w:p>
    <w:p>
      <w:pPr>
        <w:spacing w:after="0" w:line="207"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execution and delivery of this Agreement, the parties hereto are executing and delivering 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Agreement,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the same may be amended, restated, modified or supplemented and in effect from time to time,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pursuant to which the Company has agreed to provide certain registration rights in respect of the Securities under the 1933 Act and the rules and regulations promulgated thereunder, and applicable state securities laws.</w:t>
      </w:r>
    </w:p>
    <w:p>
      <w:pPr>
        <w:spacing w:after="0" w:line="151" w:lineRule="exact"/>
        <w:rPr>
          <w:sz w:val="20"/>
          <w:szCs w:val="20"/>
          <w:color w:val="auto"/>
        </w:rPr>
      </w:pPr>
    </w:p>
    <w:p>
      <w:pPr>
        <w:jc w:val="center"/>
        <w:ind w:right="1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w:t>
      </w:r>
      <w:r>
        <w:rPr>
          <w:rFonts w:ascii="Arial" w:cs="Arial" w:eastAsia="Arial" w:hAnsi="Arial"/>
          <w:sz w:val="16"/>
          <w:szCs w:val="16"/>
          <w:b w:val="1"/>
          <w:bCs w:val="1"/>
          <w:color w:val="auto"/>
        </w:rPr>
        <w:t xml:space="preserv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shall have the meanings set forth or as referenced below:</w:t>
      </w:r>
    </w:p>
    <w:p>
      <w:pPr>
        <w:spacing w:after="0" w:line="125"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(i) is a director, officer, manager, managing member, general partner or five percent (5%) or greater owner of equity interests in such Person, or (ii) directly or indirectly, (1) has a common ownership with that Person, (2) controls that Person, (3) is controlled by that Person or (4) shares common control with that Person.</w:t>
      </w:r>
    </w:p>
    <w:p>
      <w:pPr>
        <w:sectPr>
          <w:pgSz w:w="11900" w:h="16838" w:orient="portrait"/>
          <w:cols w:equalWidth="0" w:num="1">
            <w:col w:w="11020"/>
          </w:cols>
          <w:pgMar w:left="440" w:top="121" w:right="439" w:bottom="1440" w:gutter="0" w:footer="0" w:header="0"/>
        </w:sectPr>
      </w:pPr>
    </w:p>
    <w:bookmarkStart w:id="36" w:name="page37"/>
    <w:bookmarkEnd w:id="3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or Sunday, on which banks in New York City are open for the general transaction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means the Comprehensive Environmental Response, Compensation and Liability Act of 1980, 42 U.S.C. §9601 et seq.,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07"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Letter</w:t>
      </w:r>
      <w:r>
        <w:rPr>
          <w:rFonts w:ascii="Arial" w:cs="Arial" w:eastAsia="Arial" w:hAnsi="Arial"/>
          <w:sz w:val="18"/>
          <w:szCs w:val="18"/>
          <w:color w:val="auto"/>
        </w:rPr>
        <w:t>” means the disclosure letter delivered by the Company to the Investors concurrently with the execution of this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Company’s Knowledge</w:t>
      </w:r>
      <w:r>
        <w:rPr>
          <w:rFonts w:ascii="Arial" w:cs="Arial" w:eastAsia="Arial" w:hAnsi="Arial"/>
          <w:sz w:val="16"/>
          <w:szCs w:val="16"/>
          <w:color w:val="auto"/>
        </w:rPr>
        <w:t>” means the actual knowledge, after reasonable inquiry, of Carole Ben-Maimon, Jennifer Johansson and John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Berman.</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or “</w:t>
      </w:r>
      <w:r>
        <w:rPr>
          <w:rFonts w:ascii="Arial" w:cs="Arial" w:eastAsia="Arial" w:hAnsi="Arial"/>
          <w:sz w:val="16"/>
          <w:szCs w:val="16"/>
          <w:b w:val="1"/>
          <w:bCs w:val="1"/>
          <w:color w:val="auto"/>
        </w:rPr>
        <w:t>controls</w:t>
      </w:r>
      <w:r>
        <w:rPr>
          <w:rFonts w:ascii="Arial" w:cs="Arial" w:eastAsia="Arial" w:hAnsi="Arial"/>
          <w:sz w:val="16"/>
          <w:szCs w:val="16"/>
          <w:color w:val="auto"/>
        </w:rPr>
        <w:t>” means that a Person or entity has the power, directly or indirectly, to conduct or govern the policies of another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federal, state, local or foreign laws relating to any matter arising out of or relating to public health and safety, or pollution or protection of the environment (including ambient air, surface water, groundwater, land surface or subsurface strata) or workplace, including any of the foregoing relating to the presence, use, production, generation, handling, transport, treatment, storage, disposal, distribution, discharge, emission, release, threatened release, control or cleanup of any Hazardous Materials, including the CERCLA, the Resource Conservation and Recovery Act of 1976, as amended, 42 U.S.C. §6901, et seq., the Clean Air Act, 42 U.S.C. §7401, et seq., as amended, the Federal Water Pollution Control Act, 33 U.S.C. §1251, et seq., as amended, the Oil Pollution Act of 1990, 33 U.S.C. §2701, et seq., and the Toxic Substances Control Act, 15 U.S.C. §2601, et seq.</w:t>
      </w:r>
    </w:p>
    <w:p>
      <w:pPr>
        <w:spacing w:after="0" w:line="189" w:lineRule="exact"/>
        <w:rPr>
          <w:sz w:val="20"/>
          <w:szCs w:val="20"/>
          <w:color w:val="auto"/>
        </w:rPr>
      </w:pPr>
    </w:p>
    <w:p>
      <w:pPr>
        <w:ind w:right="30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83" w:lineRule="exact"/>
        <w:rPr>
          <w:sz w:val="20"/>
          <w:szCs w:val="20"/>
          <w:color w:val="auto"/>
        </w:rPr>
      </w:pPr>
    </w:p>
    <w:p>
      <w:pPr>
        <w:ind w:right="10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hazardous, toxic or dangerous substance, materials and wastes, including hydrocarbons (including naturally occurring or man-made petroleum and hydrocarbons), flammable explosives, asbestos, urea formaldehyde insulation, radioactive materials, biological substances, polychlorinated biphenyls, pesticides, herbicides and any other kind or type of pollutants or contaminants (including materials which include hazardous constituents), sewage, sludge, industrial slag, solvents or any other similar substances, materials, or wastes and including any other substances, materials or wastes that are or become regulated under any Environmental Law (including any that are or become classified as hazardous or toxic under any Environmental Law).</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37" w:name="page38"/>
    <w:bookmarkEnd w:id="37"/>
    <w:p>
      <w:pPr>
        <w:ind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(i) inventions (whether or not patentable, and whether or not reduced to practice), all improvements thereto, and all patents (including all reissuances,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(ii) trademarks, service marks, trade names, brand names, logos, trade dress, design rights and other similar designations of source, sponsorship, association or origin, together with all goodwill connected with the use of and symbolized by, and all registrations, registration applications and renewals in respect of, any of the foregoing; (iii) Internet domain names, whether or not trademarks or service marks, registered in any top-level domain by any authorized private registrar or Governmental Authority, web addresses, web pages, websites and related content, accounts with Twitter, Facebook and other social media companies and the content found thereon and related thereto, and URLs; (iv) works of authorship, expressions, designs and design registrations, whether or not copyrightable, including copyrights and moral rights, and all registrations, applications for registration and renewals with respect thereto; (v) trade secrets, discoveries, business and technical information, know-how, methodologies, strategies, processes, databases, data collections and other confidential or proprietary information and all rights therein; (vi) software and firmware, including data files, source code, object code, application programming interfaces, routines, algorithms, architecture, files, records, schematics, computerized databases and other related specifications and documentation; (vii) semiconductor chips and mask works; (viii) other intellectual property rights; and (ix) copies and tangible embodiments (in whatever form or medium) of the foregoing.</w:t>
      </w:r>
    </w:p>
    <w:p>
      <w:pPr>
        <w:spacing w:after="0" w:line="164"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hypothecation, charge, security interest, encumbrance or adverse claim of any kind with respect to such asset.</w:t>
      </w:r>
    </w:p>
    <w:p>
      <w:pPr>
        <w:spacing w:after="0" w:line="162"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assets, liabilities, results of operations, financial condition, prospects or business of the Company, (ii) the legality or enforceability of any of the Transaction Documents or the Securities or (iii) the ability of the Company to perform its obligations under the Transaction Documents.</w:t>
      </w:r>
    </w:p>
    <w:p>
      <w:pPr>
        <w:spacing w:after="0" w:line="176"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and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8" w:name="page39"/>
    <w:bookmarkEnd w:id="38"/>
    <w:p>
      <w:pPr>
        <w:ind w:right="78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 unincorporated organization or a government or any department or agency thereof or any other legal entity.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and information concerning an identifiable natural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means laws relating to privacy, security or collection and use of Personal Information.</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all the real property, facilities and fixtures that are owned or leased or, in the case of fixtures, otherwise possessed by the Company or any of its Subsidiaries.</w:t>
      </w:r>
    </w:p>
    <w:p>
      <w:pPr>
        <w:spacing w:after="0" w:line="162" w:lineRule="exact"/>
        <w:rPr>
          <w:sz w:val="20"/>
          <w:szCs w:val="20"/>
          <w:color w:val="auto"/>
        </w:rPr>
      </w:pPr>
    </w:p>
    <w:p>
      <w:pPr>
        <w:jc w:val="both"/>
        <w:ind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 Lease</w:t>
      </w:r>
      <w:r>
        <w:rPr>
          <w:rFonts w:ascii="Arial" w:cs="Arial" w:eastAsia="Arial" w:hAnsi="Arial"/>
          <w:sz w:val="16"/>
          <w:szCs w:val="16"/>
          <w:color w:val="auto"/>
        </w:rPr>
        <w:t>” means each lease and other agreement with respect to which the Company or any of its Subsidiaries is a party or otherwise bound or affected with respect to the Real Property, except easements, rights of way, access agreements, surface damage agreements, surface use agreements or similar agreements that pertain to Real Property that is contained wholly within the boundaries of any leased Real Property.</w:t>
      </w:r>
    </w:p>
    <w:p>
      <w:pPr>
        <w:spacing w:after="0" w:line="14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 U.S. Governmental Authorities (including, but not limited to, the Office of Foreign Assets Control, the U.S. Department of State and the U.S. Department of Commerce), the United Nations Security Council, the European Union, Her Majesty’s Treasury or any other relevant Governmental Authority having oversight over applicable Sanctions laws.</w:t>
      </w:r>
    </w:p>
    <w:p>
      <w:pPr>
        <w:spacing w:after="0" w:line="176"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in which the Company, directly or indirectly, owns more than fifty percent (50%) of the outstanding voting capital stock, equity or similar interests or voting power of such Person at the time of this Agreement or at any time hereafter, whether directly or through any other Subsidiary.</w:t>
      </w:r>
    </w:p>
    <w:p>
      <w:pPr>
        <w:spacing w:after="0" w:line="176"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means all returns, declarations, reports, statements, schedules, notices, forms or other documents or information required to be filed in respect of the determination, assessment, collection or payment of any Tax or in connection with the administration, implementation or enforcement of any legal requirement relating to any Tax.</w:t>
      </w:r>
    </w:p>
    <w:p>
      <w:pPr>
        <w:spacing w:after="0" w:line="176" w:lineRule="exact"/>
        <w:rPr>
          <w:sz w:val="20"/>
          <w:szCs w:val="20"/>
          <w:color w:val="auto"/>
        </w:rPr>
      </w:pPr>
    </w:p>
    <w:p>
      <w:pPr>
        <w:ind w:right="14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taxes, charges, fees, levies or other like assessments, including United States federal, state, local, foreign and other net income, gross income, gross receipts, social security, estimated, sales, use, ad valorem, franchise, profits, net worth, alternative or add-on minimum, capital gains, license, withholding, payroll, employment, unemployment, social security, excise, property or transfer taxes.</w:t>
      </w:r>
    </w:p>
    <w:p>
      <w:pPr>
        <w:spacing w:after="0" w:line="158" w:lineRule="exact"/>
        <w:rPr>
          <w:sz w:val="20"/>
          <w:szCs w:val="20"/>
          <w:color w:val="auto"/>
        </w:rPr>
      </w:pPr>
    </w:p>
    <w:p>
      <w:pPr>
        <w:ind w:right="2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the principal Trading Market is open for trading; provided, that in the event that the Common Stock is not listed or quoted for trading on a Trading Market on the date in question, then Trading Day shall mean a Business Day.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9" w:name="page40"/>
    <w:bookmarkEnd w:id="39"/>
    <w:p>
      <w:pPr>
        <w:jc w:val="both"/>
        <w:ind w:firstLine="99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15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1933</w:t>
            </w:r>
          </w:p>
        </w:tc>
        <w:tc>
          <w:tcPr>
            <w:tcW w:w="3280" w:type="dxa"/>
            <w:vAlign w:val="bottom"/>
          </w:tcPr>
          <w:p>
            <w:pPr>
              <w:ind w:left="60"/>
              <w:spacing w:after="0" w:line="195" w:lineRule="exact"/>
              <w:rPr>
                <w:sz w:val="20"/>
                <w:szCs w:val="20"/>
                <w:color w:val="auto"/>
              </w:rPr>
            </w:pPr>
            <w:r>
              <w:rPr>
                <w:rFonts w:ascii="Arial" w:cs="Arial" w:eastAsia="Arial" w:hAnsi="Arial"/>
                <w:sz w:val="18"/>
                <w:szCs w:val="18"/>
                <w:color w:val="auto"/>
              </w:rPr>
              <w:t>Act</w:t>
            </w:r>
          </w:p>
        </w:tc>
        <w:tc>
          <w:tcPr>
            <w:tcW w:w="1580" w:type="dxa"/>
            <w:vAlign w:val="bottom"/>
          </w:tcPr>
          <w:p>
            <w:pPr>
              <w:spacing w:after="0"/>
              <w:rPr>
                <w:sz w:val="16"/>
                <w:szCs w:val="16"/>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2"/>
              </w:rPr>
              <w:t>Recitals</w:t>
            </w:r>
          </w:p>
        </w:tc>
        <w:tc>
          <w:tcPr>
            <w:tcW w:w="660" w:type="dxa"/>
            <w:vAlign w:val="bottom"/>
          </w:tcPr>
          <w:p>
            <w:pPr>
              <w:spacing w:after="0"/>
              <w:rPr>
                <w:sz w:val="16"/>
                <w:szCs w:val="16"/>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1934 Act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3.07(a)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Announcing Form 8-K</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5.04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Anti-Corruption Laws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3.24(a)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Bylaws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3.05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Certificate of Incorporation</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3.03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2.02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2.02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3.02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EDGAR system</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3.05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FDA</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3.20(a)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GAAP</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3.07(b)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Government Official</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3.24(a)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Investor</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Investor Party</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5.16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Irrevocable Transfer Agent Instructions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5.06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Legend Removal Date</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5.12(c)</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3.20(b)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Placement Agent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4.15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Pre-Funded Warrant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3.15(b)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2.01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Regulation D</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Related Party</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3.23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Required Investors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6.05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Rule 144</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Rule 4.12(b)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Sanctioned Country</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3.24(b)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Sanctions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3.24(b)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Sarbanes-Oxley</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3.07(c)</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SDN List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3.24(b)</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 Documents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0"/>
              </w:rPr>
              <w:t>Section 3.07(a)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Share</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Transaction Documents</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3.02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Transfer Agent</w:t>
            </w: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Section 2.03</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Warrant Shares</w:t>
            </w:r>
          </w:p>
        </w:tc>
        <w:tc>
          <w:tcPr>
            <w:tcW w:w="15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365"/>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780"/>
          </w:cols>
          <w:pgMar w:left="440" w:top="270" w:right="67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PURCHASE AND SALE OF SECURITIES</w:t>
      </w:r>
    </w:p>
    <w:p>
      <w:pPr>
        <w:spacing w:after="0" w:line="211"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 On the Closing Date, the Company shall issue and sell to each Investor, and each Investor severally agrees to purchase from the Company, the number of set forth below such Investor’s name on its signature page hereto. The purchase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of the Securities at the Closing shall be equal to $11.88 per Share and $11.87 per Pre-Funded Warrant, as applicable (reflecting the closing market price of the Common Stock on the date hereof after giving effect to the twelve-for-one reverse stock split effected by the Company on the date hereof).</w:t>
      </w:r>
    </w:p>
    <w:p>
      <w:pPr>
        <w:spacing w:after="0" w:line="184" w:lineRule="exact"/>
        <w:rPr>
          <w:sz w:val="20"/>
          <w:szCs w:val="20"/>
          <w:color w:val="auto"/>
        </w:rPr>
      </w:pPr>
    </w:p>
    <w:p>
      <w:pPr>
        <w:ind w:right="60" w:firstLine="991"/>
        <w:spacing w:after="0" w:line="314"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on the date hereof simultaneously with the execution and delivery of this Agreement and the other Transaction Documents contemplated to be executed and delivered at the Closing (the “</w:t>
      </w:r>
      <w:r>
        <w:rPr>
          <w:rFonts w:ascii="Arial" w:cs="Arial" w:eastAsia="Arial" w:hAnsi="Arial"/>
          <w:sz w:val="16"/>
          <w:szCs w:val="16"/>
          <w:b w:val="1"/>
          <w:bCs w:val="1"/>
          <w:color w:val="auto"/>
        </w:rPr>
        <w:t>Closing Date</w:t>
      </w:r>
      <w:r>
        <w:rPr>
          <w:rFonts w:ascii="Arial" w:cs="Arial" w:eastAsia="Arial" w:hAnsi="Arial"/>
          <w:sz w:val="16"/>
          <w:szCs w:val="16"/>
          <w:color w:val="auto"/>
        </w:rPr>
        <w:t>”). The Closing shall take place remotely by such electronic means as the Company and the Investors may agree.</w:t>
      </w:r>
    </w:p>
    <w:p>
      <w:pPr>
        <w:spacing w:after="0" w:line="14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Form of Payment; Delivery of Shares and Pre-Funded Warrants</w:t>
      </w:r>
      <w:r>
        <w:rPr>
          <w:rFonts w:ascii="Arial" w:cs="Arial" w:eastAsia="Arial" w:hAnsi="Arial"/>
          <w:sz w:val="16"/>
          <w:szCs w:val="16"/>
          <w:color w:val="auto"/>
        </w:rPr>
        <w:t>. On the Closing Date, (a) each Investor shall pay the applicable Purchase Price to the Company for the Securities to be issued and sold to such Investor on the Closing Date, by wire transfer of immediately available funds in accordance with the Company’s written wire instructions, and (b) the Company shall deliver to each Investor (i) a copy of the duly executed irrevocable instructions to Computershare Trust Company, N.A.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instructing the Transfer Agent to issue to such Investor or its designee(s), in book-entry form, a number of Shares equal to the aggregate number of Shares that such Investor is purchasing on the Closing Date and (ii) if applicable, a Pre-Funded Warrant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 registered in such Investor’s name to purchase such number of Warrant Shares underlying such Pre-Funded Warrant to be purchased by such Investor at such Closing.</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or prior to the Closing, the Company shall issue, deliver or cause to be delivered to each Investor each of the following:</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applicable, the Pre-Funded Warrant, duly executed by the Company;</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6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legal opinion of counsel to Company in form and substance reasonably satisfactory to the Investors, executed by such counsel and addressed to the Investors;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0" w:right="519" w:bottom="1440" w:gutter="0" w:footer="0" w:header="0"/>
        </w:sectPr>
      </w:pPr>
    </w:p>
    <w:bookmarkStart w:id="41" w:name="page42"/>
    <w:bookmarkEnd w:id="41"/>
    <w:p>
      <w:pPr>
        <w:ind w:left="960" w:right="440" w:firstLine="408"/>
        <w:spacing w:after="0" w:line="277" w:lineRule="auto"/>
        <w:tabs>
          <w:tab w:leader="none" w:pos="1616"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certificate executed on behalf of the Company by its Chief Executive Officer or its Chief Financial Officer, dated as of the Closing Date, certifying to the fulfillment of the conditions specified in Section 2.05(b); and</w:t>
      </w:r>
    </w:p>
    <w:p>
      <w:pPr>
        <w:spacing w:after="0" w:line="62" w:lineRule="exact"/>
        <w:rPr>
          <w:rFonts w:ascii="Arial" w:cs="Arial" w:eastAsia="Arial" w:hAnsi="Arial"/>
          <w:sz w:val="18"/>
          <w:szCs w:val="18"/>
          <w:color w:val="auto"/>
        </w:rPr>
      </w:pPr>
    </w:p>
    <w:p>
      <w:pPr>
        <w:ind w:left="960" w:right="20" w:firstLine="408"/>
        <w:spacing w:after="0" w:line="342" w:lineRule="auto"/>
        <w:tabs>
          <w:tab w:leader="none" w:pos="1666"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certificate of the Secretary of the Company, dated as of the Closing Date, certifying the resolutions adopted by the Company Board approving the transactions contemplated by this Agreement and the other Transaction Documents and the issuance of the Securities.</w:t>
      </w:r>
    </w:p>
    <w:p>
      <w:pPr>
        <w:spacing w:after="0" w:line="15" w:lineRule="exact"/>
        <w:rPr>
          <w:rFonts w:ascii="Arial" w:cs="Arial" w:eastAsia="Arial" w:hAnsi="Arial"/>
          <w:sz w:val="16"/>
          <w:szCs w:val="16"/>
          <w:color w:val="auto"/>
        </w:rPr>
      </w:pPr>
    </w:p>
    <w:p>
      <w:pPr>
        <w:ind w:left="1220" w:hanging="253"/>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prior to the Closing, each Investor shall issue, deliver or cause to be delivered to the Company each of the following:</w:t>
      </w:r>
    </w:p>
    <w:p>
      <w:pPr>
        <w:spacing w:after="0" w:line="117" w:lineRule="exact"/>
        <w:rPr>
          <w:rFonts w:ascii="Arial" w:cs="Arial" w:eastAsia="Arial" w:hAnsi="Arial"/>
          <w:sz w:val="18"/>
          <w:szCs w:val="18"/>
          <w:color w:val="auto"/>
        </w:rPr>
      </w:pPr>
    </w:p>
    <w:p>
      <w:pPr>
        <w:ind w:left="1580" w:hanging="212"/>
        <w:spacing w:after="0"/>
        <w:tabs>
          <w:tab w:leader="none" w:pos="15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Agreement, duly executed by such Investor;</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Investor;</w:t>
      </w:r>
    </w:p>
    <w:p>
      <w:pPr>
        <w:spacing w:after="0" w:line="117" w:lineRule="exact"/>
        <w:rPr>
          <w:rFonts w:ascii="Arial" w:cs="Arial" w:eastAsia="Arial" w:hAnsi="Arial"/>
          <w:sz w:val="18"/>
          <w:szCs w:val="18"/>
          <w:color w:val="auto"/>
        </w:rPr>
      </w:pPr>
    </w:p>
    <w:p>
      <w:pPr>
        <w:ind w:left="960" w:right="460" w:firstLine="408"/>
        <w:spacing w:after="0" w:line="277" w:lineRule="auto"/>
        <w:tabs>
          <w:tab w:leader="none" w:pos="16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fully completed and duly executed selling stockholder questionnaire in the form attached as Exhibit B to the Registration Rights Agreement;</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 fully completed and duly executed “accredited investor” questionnaire substantially in the form attached to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17" w:lineRule="exact"/>
        <w:rPr>
          <w:sz w:val="20"/>
          <w:szCs w:val="20"/>
          <w:color w:val="auto"/>
        </w:rPr>
      </w:pPr>
    </w:p>
    <w:p>
      <w:pPr>
        <w:ind w:left="1220" w:hanging="253"/>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128" w:lineRule="exact"/>
        <w:rPr>
          <w:rFonts w:ascii="Arial" w:cs="Arial" w:eastAsia="Arial" w:hAnsi="Arial"/>
          <w:sz w:val="17"/>
          <w:szCs w:val="17"/>
          <w:color w:val="auto"/>
        </w:rPr>
      </w:pPr>
    </w:p>
    <w:p>
      <w:pPr>
        <w:ind w:left="960" w:right="20" w:firstLine="408"/>
        <w:spacing w:after="0" w:line="263" w:lineRule="auto"/>
        <w:tabs>
          <w:tab w:leader="none" w:pos="15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Investors contained herein (unless as of a specific date therein in which case they shall be accurate as of such date);</w:t>
      </w:r>
    </w:p>
    <w:p>
      <w:pPr>
        <w:spacing w:after="0" w:line="75" w:lineRule="exact"/>
        <w:rPr>
          <w:rFonts w:ascii="Arial" w:cs="Arial" w:eastAsia="Arial" w:hAnsi="Arial"/>
          <w:sz w:val="18"/>
          <w:szCs w:val="18"/>
          <w:color w:val="auto"/>
        </w:rPr>
      </w:pPr>
    </w:p>
    <w:p>
      <w:pPr>
        <w:ind w:left="960" w:right="480" w:firstLine="408"/>
        <w:spacing w:after="0" w:line="277" w:lineRule="auto"/>
        <w:tabs>
          <w:tab w:leader="none" w:pos="162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obligations, covenants and agreements of each Investor under this Agreement required to be performed at or prior to the Closing Date shall have been performed in all material respects; and</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delivery by each Investor of the items set forth in Section 2.04(b) of this Agreement.</w:t>
      </w:r>
    </w:p>
    <w:p>
      <w:pPr>
        <w:spacing w:after="0" w:line="117" w:lineRule="exact"/>
        <w:rPr>
          <w:rFonts w:ascii="Arial" w:cs="Arial" w:eastAsia="Arial" w:hAnsi="Arial"/>
          <w:sz w:val="18"/>
          <w:szCs w:val="18"/>
          <w:color w:val="auto"/>
        </w:rPr>
      </w:pPr>
    </w:p>
    <w:p>
      <w:pPr>
        <w:ind w:left="-20" w:right="160" w:firstLine="987"/>
        <w:spacing w:after="0" w:line="277" w:lineRule="auto"/>
        <w:tabs>
          <w:tab w:leader="none" w:pos="12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respective obligations of an Investor hereunder in connection with the Closing, unless waived by such Investor, are subject to the following conditions being met:</w:t>
      </w:r>
    </w:p>
    <w:p>
      <w:pPr>
        <w:spacing w:after="0" w:line="62" w:lineRule="exact"/>
        <w:rPr>
          <w:rFonts w:ascii="Arial" w:cs="Arial" w:eastAsia="Arial" w:hAnsi="Arial"/>
          <w:sz w:val="18"/>
          <w:szCs w:val="18"/>
          <w:color w:val="auto"/>
        </w:rPr>
      </w:pPr>
    </w:p>
    <w:p>
      <w:pPr>
        <w:ind w:left="960" w:right="20" w:firstLine="408"/>
        <w:spacing w:after="0" w:line="263" w:lineRule="auto"/>
        <w:tabs>
          <w:tab w:leader="none" w:pos="15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42" w:name="page43"/>
    <w:bookmarkEnd w:id="42"/>
    <w:p>
      <w:pPr>
        <w:ind w:left="980" w:right="100" w:firstLine="408"/>
        <w:spacing w:after="0" w:line="277" w:lineRule="auto"/>
        <w:tabs>
          <w:tab w:leader="none" w:pos="164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required approvals, obligations, covenants and agreements of the Company under this Agreement required to be performed at or prior to the Closing Date shall have been performed;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2.04(a) of this Agreement;</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117" w:lineRule="exact"/>
        <w:rPr>
          <w:rFonts w:ascii="Arial" w:cs="Arial" w:eastAsia="Arial" w:hAnsi="Arial"/>
          <w:sz w:val="18"/>
          <w:szCs w:val="18"/>
          <w:color w:val="auto"/>
        </w:rPr>
      </w:pPr>
    </w:p>
    <w:p>
      <w:pPr>
        <w:ind w:left="980" w:right="20" w:firstLine="408"/>
        <w:spacing w:after="0" w:line="291" w:lineRule="auto"/>
        <w:tabs>
          <w:tab w:leader="none" w:pos="1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SEC or the Company’s principal Trading Market and, at any time from the date hereof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Investor, makes it impracticable or inadvisable to purchase the Securities at the Closing.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Except as set forth in the Company Disclosure Letter, the Company hereby represents and warrants the following as of the Closing Date (except for the representations and warranties that speak as of a specific date, which shall be made as of such date), to each of the Investors:</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a corporation and is duly organized, validly existing and in good standing under the laws of the State of Delaware and has the requisite corporate power and authority to own its properties and other assets, and to carry on its business as now being conducted. The Company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be reasonably expected to have a Material Adverse Effect.</w:t>
      </w:r>
    </w:p>
    <w:p>
      <w:pPr>
        <w:spacing w:after="0" w:line="79" w:lineRule="exact"/>
        <w:rPr>
          <w:rFonts w:ascii="Arial" w:cs="Arial" w:eastAsia="Arial" w:hAnsi="Arial"/>
          <w:sz w:val="18"/>
          <w:szCs w:val="18"/>
          <w:color w:val="auto"/>
        </w:rPr>
      </w:pPr>
    </w:p>
    <w:p>
      <w:pPr>
        <w:ind w:right="60" w:firstLine="987"/>
        <w:spacing w:after="0" w:line="259"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does not, directly or indirectly own any security or beneficial ownership interest, in any other Person (including through joint venture or partnership agreements), other than any wholly owned Subsidiary. No Subsidiary of the Company owns, directly or indirectly, any security or beneficial ownership interest, in any other Person (including through joint venture or partnership agreements) or have any interest in any other Person,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3" w:name="page44"/>
    <w:bookmarkEnd w:id="43"/>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any wholly owned Subsidiary. Each of the Company’s Subsidiaries is a corporation, limited liability company, partnership or other entity and is duly organized or formed and validly existing in good standing under the laws of the jurisdiction in which it is incorporated or otherwise organized and has the requisite corporate, partnership, limited liability company or other organizational power and authority to own its properties, and to carry on its business as now being conducted. Each of the Company’s Subsidiaries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be reasonably expected to have a Material Adverse Effect.</w:t>
      </w:r>
    </w:p>
    <w:p>
      <w:pPr>
        <w:spacing w:after="0" w:line="164"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corporate power and authority to enter into and perform its obligations under each of this Agreement, the Pre-Funded Warrants, the Registration Rights Agreement, the Irrevocable Transfer Agent Instructions and each of the other agreements to which it is a party or by which it is bound and which is entered into by the parties hereto in connection with the transactions contemplated hereby and thereby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to issue (and reserve for issuance, in the case of the Warrant Shares) and deliver the Securities in accordance with the terms hereof and of the other Transaction Documents. The execution and delivery of the Transaction Documents by the Company, and the consummation by the Company of the transactions contemplated hereby and thereby, including the issuance of the Securities, have been duly authorized by the Board of Directors of the Company (the “</w:t>
      </w:r>
      <w:r>
        <w:rPr>
          <w:rFonts w:ascii="Arial" w:cs="Arial" w:eastAsia="Arial" w:hAnsi="Arial"/>
          <w:sz w:val="16"/>
          <w:szCs w:val="16"/>
          <w:b w:val="1"/>
          <w:bCs w:val="1"/>
          <w:color w:val="auto"/>
        </w:rPr>
        <w:t>Company Board</w:t>
      </w:r>
      <w:r>
        <w:rPr>
          <w:rFonts w:ascii="Arial" w:cs="Arial" w:eastAsia="Arial" w:hAnsi="Arial"/>
          <w:sz w:val="16"/>
          <w:szCs w:val="16"/>
          <w:color w:val="auto"/>
        </w:rPr>
        <w:t>”) and no further consent or authorization is required by the Company, its stockholders or the Company Board. This Agreement and the other Transaction Documents dated of even date herewith have been duly executed and delivered by the Company, and constitute the legal, valid and binding obligations of the Company, enforceable against the Company in accordance with their terms, except as may be limited by bankruptcy, insolvency, fraudulent conveyance or similar laws affecting creditors’ rights generally and general principles of equity.</w:t>
      </w:r>
    </w:p>
    <w:p>
      <w:pPr>
        <w:spacing w:after="0" w:line="17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is authorized under its Ninth Amended and Restated Certificate of Incorporation, dated as of June 24, 2014, as amended and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to issue 115,000,000 shares of Common Stock and 5,000,000 shares of Preferred Stock. The Company’s disclosure of its issued and outstanding capital stock in its most recently filed SEC Documents containing such disclosure was accurate in all material respects as of the date indicated in such SEC Documents.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Except as set forth in the SEC Documents, there are no outstanding warrants, options, convertible securities or other rights, agreements or arrangements of any character under which the Company is or may be obligated to issue any equity securities of any kind and except as contemplated by this Agreement. Except for the Registration Rights Agreement and as set forth in the SEC Documents, there are no voting agreements, buy-sell agreements, option or right of first purchase agreements or other agreements of any kind among the Company and any of the securityholders of the Company relating to the securities of the Company held by them. Except as provided in the Registration Rights Agreement and as set forth in the SEC Documents, no Person has the right to require the Company to register any securities of the Company under the 1933 Act, whether on a demand basis or in connection with the registration of securities of the Company for its own account or for the account of any other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4" w:name="page45"/>
    <w:bookmarkEnd w:id="44"/>
    <w:p>
      <w:pPr>
        <w:ind w:right="4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3.04.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Shares have been duly and validly authorized and, when issued and paid for pursuant to this Agreement, will be validly issued, fully paid and nonassessable, and shall be free and clear of all Liens, except for restrictions on transfer set forth in the Transaction Documents or imposed by applicable securities laws. Upon the due exercise of the Pre-Funded Warrants, the Warrant Shares will be validly issued, fully paid and non-assessable free and clear of all Liens, except for restrictions on transfer set forth in the Transaction Documents or imposed by applicable securities laws. The Company has reserved a sufficient number of shares of Common Stock for issuance of the Warrant Shares. The issuance by the Company of the Shares is, and upon due exercise of the Pre-Funded Warrants, the issuance of the Warrant Shares will be, in compliance with all applicable federal and state securities laws and exempt from registration under the 1933 Act and applicable state securities laws.</w:t>
      </w:r>
    </w:p>
    <w:p>
      <w:pPr>
        <w:spacing w:after="0" w:line="166"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other Transaction Documents by the Company and the issuance and sale of the Securities in accordance with the provisions hereof and thereof do not (i) conflict with or result in a breach or violation of (a) any of the terms and provisions of, or constitute a default under, the Company’s Certificate of Incorporation, or the Company’s Amended and Restated Bylaws, effective as of June 18, 2014 (the “</w:t>
      </w:r>
      <w:r>
        <w:rPr>
          <w:rFonts w:ascii="Arial" w:cs="Arial" w:eastAsia="Arial" w:hAnsi="Arial"/>
          <w:sz w:val="16"/>
          <w:szCs w:val="16"/>
          <w:b w:val="1"/>
          <w:bCs w:val="1"/>
          <w:color w:val="auto"/>
        </w:rPr>
        <w:t>Bylaws</w:t>
      </w:r>
      <w:r>
        <w:rPr>
          <w:rFonts w:ascii="Arial" w:cs="Arial" w:eastAsia="Arial" w:hAnsi="Arial"/>
          <w:sz w:val="16"/>
          <w:szCs w:val="16"/>
          <w:color w:val="auto"/>
        </w:rPr>
        <w:t>”), both as in effect on the date hereof (true and complete copies of which have been made available to the Investors through the Electronic Data Gathering, Analysis, and Retrieval system (the “</w:t>
      </w:r>
      <w:r>
        <w:rPr>
          <w:rFonts w:ascii="Arial" w:cs="Arial" w:eastAsia="Arial" w:hAnsi="Arial"/>
          <w:sz w:val="16"/>
          <w:szCs w:val="16"/>
          <w:b w:val="1"/>
          <w:bCs w:val="1"/>
          <w:color w:val="auto"/>
        </w:rPr>
        <w:t>EDGAR system</w:t>
      </w:r>
      <w:r>
        <w:rPr>
          <w:rFonts w:ascii="Arial" w:cs="Arial" w:eastAsia="Arial" w:hAnsi="Arial"/>
          <w:sz w:val="16"/>
          <w:szCs w:val="16"/>
          <w:color w:val="auto"/>
        </w:rPr>
        <w:t xml:space="preserve">”)), or (b) assuming the accuracy of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any applicable statute, rule, regulation or order of any governmental agency or body or any court, domestic or foreign, having jurisdiction over the Company or any of its assets or properties, or (ii) except for such violations, conflicts or defaults as would not reasonably be expected, individually or in the aggregate, to have a Material Adverse Effect, conflict with, or constitute a default (or an event that with or without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material contract to which the Company or any of its Subsidiaries is a party or by which it is bound.</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 Documents; Financial Statements; Sarbanes-Oxley</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9"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Since December 31, 2018, the Company has filed on a timely basis all reports, schedules, forms, statements and other documents required to be filed by it with the SEC pursuant to the reporting requirements of the Securities Exchange Act of 1934 Act, as amended (the “</w:t>
      </w:r>
      <w:r>
        <w:rPr>
          <w:rFonts w:ascii="Arial" w:cs="Arial" w:eastAsia="Arial" w:hAnsi="Arial"/>
          <w:sz w:val="16"/>
          <w:szCs w:val="16"/>
          <w:b w:val="1"/>
          <w:bCs w:val="1"/>
          <w:color w:val="auto"/>
        </w:rPr>
        <w:t>1934 Act</w:t>
      </w:r>
      <w:r>
        <w:rPr>
          <w:rFonts w:ascii="Arial" w:cs="Arial" w:eastAsia="Arial" w:hAnsi="Arial"/>
          <w:sz w:val="16"/>
          <w:szCs w:val="16"/>
          <w:color w:val="auto"/>
        </w:rPr>
        <w:t>”) (all of the foregoing filed prior to the date this representation is made (including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As of their respective dates (or, if amended or superseded by a filing prior to the date of this Agreement, then on the date of such filing), the SEC Documents complied in all material respects with the requirements of the 1934 Act and the rules and regulations of the SEC promulgated thereunder applicable to the SEC Documents.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The Company has not received any written comments from the SEC staff that have not been resolved to the satisfaction of the SEC staff.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5" w:name="page46"/>
    <w:bookmarkEnd w:id="45"/>
    <w:p>
      <w:pPr>
        <w:ind w:left="-20" w:right="40" w:firstLine="987"/>
        <w:spacing w:after="0" w:line="272" w:lineRule="auto"/>
        <w:tabs>
          <w:tab w:leader="none" w:pos="1226"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their respective dates, the consolidated financial statements of the Company and its Subsidiaries included in the SEC Documents complied as to form in all material respects with the published rules and regulations of the SEC with respect thereto. Such financial statements have been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during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and fairly present in all material respects the consolidated financial position of the Company and its Subsidiaries as of the dates thereof and the consolidated results of their operations and cash flows for the period then ended.</w:t>
      </w:r>
    </w:p>
    <w:p>
      <w:pPr>
        <w:spacing w:after="0" w:line="69" w:lineRule="exact"/>
        <w:rPr>
          <w:rFonts w:ascii="Arial" w:cs="Arial" w:eastAsia="Arial" w:hAnsi="Arial"/>
          <w:sz w:val="17"/>
          <w:szCs w:val="17"/>
          <w:color w:val="auto"/>
        </w:rPr>
      </w:pPr>
    </w:p>
    <w:p>
      <w:pPr>
        <w:ind w:left="-20" w:right="380" w:firstLine="987"/>
        <w:spacing w:after="0" w:line="308" w:lineRule="auto"/>
        <w:tabs>
          <w:tab w:leader="none" w:pos="12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Except as set forth in the SEC Documents, the Company is in compliance in all material respects with applicable provisions of the Sarbanes-Oxley Act of 2002, as amended, and the rules and regulations thereunder (collectively, “</w:t>
      </w:r>
      <w:r>
        <w:rPr>
          <w:rFonts w:ascii="Arial" w:cs="Arial" w:eastAsia="Arial" w:hAnsi="Arial"/>
          <w:sz w:val="17"/>
          <w:szCs w:val="17"/>
          <w:b w:val="1"/>
          <w:bCs w:val="1"/>
          <w:color w:val="auto"/>
        </w:rPr>
        <w:t>Sarbanes-Oxley</w:t>
      </w:r>
      <w:r>
        <w:rPr>
          <w:rFonts w:ascii="Arial" w:cs="Arial" w:eastAsia="Arial" w:hAnsi="Arial"/>
          <w:sz w:val="17"/>
          <w:szCs w:val="17"/>
          <w:color w:val="auto"/>
        </w:rPr>
        <w:t>”).</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Internal Accounting Controls; Disclosure Controls and Procedures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72" w:lineRule="auto"/>
        <w:tabs>
          <w:tab w:leader="none" w:pos="12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set forth in the SEC Documents, the Company maintains a system of internal accounting controls that comply with applicable securities laws and are reasonably designed to provide reasonable assurance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liability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and the interactive data in eXtensible Business Reporting Language incorporated by reference in the SEC Documents is accurate.</w:t>
      </w:r>
    </w:p>
    <w:p>
      <w:pPr>
        <w:spacing w:after="0" w:line="69" w:lineRule="exact"/>
        <w:rPr>
          <w:rFonts w:ascii="Arial" w:cs="Arial" w:eastAsia="Arial" w:hAnsi="Arial"/>
          <w:sz w:val="17"/>
          <w:szCs w:val="17"/>
          <w:color w:val="auto"/>
        </w:rPr>
      </w:pPr>
    </w:p>
    <w:p>
      <w:pPr>
        <w:ind w:left="-20" w:right="20" w:firstLine="987"/>
        <w:spacing w:after="0" w:line="271" w:lineRule="auto"/>
        <w:tabs>
          <w:tab w:leader="none" w:pos="12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set forth in the SEC Documents, (i) the Company has established and maintains disclosure controls and procedures (as defined in Rules 13a-15 and 15d-15 under the 1934 Act), which are designed to ensure that material information relating to the Company is made known to the Company’s principal executive officer and its principal financial officer by others within those entities; (ii)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and (iii) the Company is not aware of any change in its internal controls over financial reporting that has occurred during its most recent fiscal quarter that has materially affected, or is reasonably likely to materially affect, the Company’s internal control over financial reporting.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46" w:name="page47"/>
    <w:bookmarkEnd w:id="46"/>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December 31, 2019, there has been no event, occurrence or development that has had, or would reasonably be expected to have, individually or in the aggregate, a Material Adverse Effect.</w:t>
      </w:r>
    </w:p>
    <w:p>
      <w:pPr>
        <w:spacing w:after="0" w:line="170"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Absence of Litigation</w:t>
      </w:r>
      <w:r>
        <w:rPr>
          <w:rFonts w:ascii="Arial" w:cs="Arial" w:eastAsia="Arial" w:hAnsi="Arial"/>
          <w:sz w:val="17"/>
          <w:szCs w:val="17"/>
          <w:color w:val="auto"/>
        </w:rPr>
        <w:t>. There are no legal, governmental or regulatory investigations, actions, suits or proceedings pending or, to the Company’s Knowledge, threatened in writing to which the Company or any of its Subsidiaries is or to which any property of the Company is subject that, individually or in the aggregate have had or, would reasonably be expected to have, a Material Adverse Effect.</w:t>
      </w:r>
    </w:p>
    <w:p>
      <w:pPr>
        <w:spacing w:after="0" w:line="16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Acknowledgment Regarding Investor’s Purchase of the Securities</w:t>
      </w:r>
      <w:r>
        <w:rPr>
          <w:rFonts w:ascii="Arial" w:cs="Arial" w:eastAsia="Arial" w:hAnsi="Arial"/>
          <w:sz w:val="18"/>
          <w:szCs w:val="18"/>
          <w:color w:val="auto"/>
        </w:rPr>
        <w:t>. The Company acknowledges and agrees that each of the Investors is acting solely in the capacity of an arm’s length purchaser with respect to the Company in connection with the Transaction Documents and the transactions contemplated hereby and thereby. The Company further acknowledges that each Investor is not acting as a financial advisor or fiduciary of the Company (or in any similar capacity) with respect to the Transaction Documents and the transactions contemplated hereby and thereby, and any advice given by any of the Investors or any of their respective representatives or agents in connection with the Transaction Documents and the transactions contemplated hereby and thereby is merely incidental to such Investor’s purchase of the Securities. The Company further represents to each Investor that the Company’s decision to enter into the Transaction Documents has been based solely on the independent evaluation by the Company and its representatives.</w:t>
      </w:r>
    </w:p>
    <w:p>
      <w:pPr>
        <w:spacing w:after="0" w:line="192"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Neither the Company, nor any of its Affiliates, nor any Person acting on its or their behalf, has engaged or will engage in any form of general solicitation or general advertising (within the meaning of Regulation D under the 1933 Act) in connection with the offer or sale of the Securities.</w:t>
      </w:r>
    </w:p>
    <w:p>
      <w:pPr>
        <w:spacing w:after="0" w:line="184"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stockholder approval provisions of any authority.</w:t>
      </w:r>
    </w:p>
    <w:p>
      <w:pPr>
        <w:spacing w:after="0" w:line="187"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involved in any labor union dispute nor, to the Company’s Knowledge, is any such dispute threatened in writing. None of the employees of the Company or any of its Subsidiaries is a member of a union or similar labor organization that relates to such employee’s relationship with the Company or any of its Subsidiaries. Neither the Company nor any of its Subsidiaries is a party to a collective bargaining agreement. The Company and its Subsidiaries are in compliance with all federal, state, local and foreign laws and regulations relating to employment and employment practices (including, but not limited to Title VII of the Civil Rights Act of 1964, as amended and the Fair Labor Standards Act of 1938, as amended), terms and conditions of employment and wages and hours, except where the failure to be in compliance would not and would not be reasonably expected to result, individually or in the aggregate, in a Material Adverse Effect.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47" w:name="page48"/>
    <w:bookmarkEnd w:id="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3.14.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0" w:lineRule="auto"/>
        <w:tabs>
          <w:tab w:leader="none" w:pos="12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and its Subsidiaries own or possess adequate rights or licenses to use all Intellectual Property necessary to conduct their respective businesses as now conducted, except where the failure to own or possess such right would not reasonably be expected to result, individually or in the aggregate, in a Material Adverse Effect. None of the Company’s or its Subsidiaries’ Intellectual Property has expired, terminated or been abandoned that are necessary or material to the conduct of the Company’s business as now conducted. There is no claim, action or proceeding being made or brought, or to the Company’s Knowledge, being threatened in writing, against the Company or any of its Subsidiaries with respect to or relating to any infringement or misappropriation of the Intellectual Property of any other Person. The Company and each of its Subsidiaries have taken reasonable security measures to protect the secrecy, confidentiality and value of all of their material Intellectual Property. There are no current exclusive rights or licenses granted to any third party with respect to the material Intellectual Property of the Company or its Subsidiaries.</w:t>
      </w:r>
    </w:p>
    <w:p>
      <w:pPr>
        <w:spacing w:after="0" w:line="57" w:lineRule="exact"/>
        <w:rPr>
          <w:rFonts w:ascii="Arial" w:cs="Arial" w:eastAsia="Arial" w:hAnsi="Arial"/>
          <w:sz w:val="16"/>
          <w:szCs w:val="16"/>
          <w:color w:val="auto"/>
        </w:rPr>
      </w:pPr>
    </w:p>
    <w:p>
      <w:pPr>
        <w:ind w:right="20" w:firstLine="987"/>
        <w:spacing w:after="0" w:line="290"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Material Adverse Effect. To the Company’s Knowledge, the Company has complied with its written and published policies and procedures concerning the privacy, security, collection and use of Personal Information (the “</w:t>
      </w:r>
      <w:r>
        <w:rPr>
          <w:rFonts w:ascii="Arial" w:cs="Arial" w:eastAsia="Arial" w:hAnsi="Arial"/>
          <w:sz w:val="16"/>
          <w:szCs w:val="16"/>
          <w:b w:val="1"/>
          <w:bCs w:val="1"/>
          <w:color w:val="auto"/>
        </w:rPr>
        <w:t>Privacy Policies</w:t>
      </w:r>
      <w:r>
        <w:rPr>
          <w:rFonts w:ascii="Arial" w:cs="Arial" w:eastAsia="Arial" w:hAnsi="Arial"/>
          <w:sz w:val="16"/>
          <w:szCs w:val="16"/>
          <w:color w:val="auto"/>
        </w:rPr>
        <w:t>”), except for such non-compliance as has not had, and would not reasonably be expected to have, individually or in the aggregate, a Material Adverse Effect. To the Company’s Knowledge, as of the date hereof, no claims have been asserted or threatened against the Company by any Person alleging a violation of Privacy Laws or Privacy Policies.</w:t>
      </w:r>
    </w:p>
    <w:p>
      <w:pPr>
        <w:spacing w:after="0" w:line="16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Each of the Company and its Subsidiaries (a) is in compliance, in all material respects, with all Environmental Laws, (b) holds all material permits, licenses or other approvals required of it under applicable Environmental Laws to conduct its business as now being conducted, and (c) is in compliance with all terms and conditions of any such permit, license or approval, except, in the case of each of clauses (a), (b), and (c), as would not reasonably be expected to have a Material Adverse Effect. None of the Company or any of its Subsidiaries has received any written notice of any material noncompliance with any Environmental Laws or the terms and conditions of any material permit, license or approval required under applicable Environmental Laws to conduct the Company’s and its Subsidiaries’ respective businesses as now being conducted.</w:t>
      </w:r>
    </w:p>
    <w:p>
      <w:pPr>
        <w:spacing w:after="0" w:line="19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Personal Property</w:t>
      </w:r>
      <w:r>
        <w:rPr>
          <w:rFonts w:ascii="Arial" w:cs="Arial" w:eastAsia="Arial" w:hAnsi="Arial"/>
          <w:sz w:val="17"/>
          <w:szCs w:val="17"/>
          <w:color w:val="auto"/>
        </w:rPr>
        <w:t>. The Company and each of its Subsidiaries has good and valid title to all personal property owned by them that is material to the business of the Company and its Subsidiaries, in each case free and clear of all Liens (other than Permitted Liens).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8" w:name="page49"/>
    <w:bookmarkEnd w:id="48"/>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3.17. </w:t>
      </w:r>
      <w:r>
        <w:rPr>
          <w:rFonts w:ascii="Arial" w:cs="Arial" w:eastAsia="Arial" w:hAnsi="Arial"/>
          <w:sz w:val="18"/>
          <w:szCs w:val="18"/>
          <w:u w:val="single" w:color="auto"/>
          <w:color w:val="auto"/>
        </w:rPr>
        <w:t>Real Property</w:t>
      </w:r>
      <w:r>
        <w:rPr>
          <w:rFonts w:ascii="Arial" w:cs="Arial" w:eastAsia="Arial" w:hAnsi="Arial"/>
          <w:sz w:val="18"/>
          <w:szCs w:val="18"/>
          <w:color w:val="auto"/>
        </w:rPr>
        <w:t>. None of the Company or any of its Subsidiaries owns any real property. All of the Real Property Leases are valid and in full force and effect and are enforceable against the Company or its applicable Subsidiaries and, to the Company’s Knowledge, each other party thereto. Neither the Company nor any of its Subsidiaries nor, to the Company’s Knowledge, any other party thereto is in default in any material respect under any of the Real Property Leases and to the Company’s Knowledge no event has occurred which with the giving of notice or the passage of time or both would reasonably be expected to constitute a default under, or otherwise give any party the right to terminate, any of such Real Property Leases. No Real Property Lease is subject to termination, modification or acceleration as a result of the transactions contemplated hereby or by the other Transaction Documents.</w:t>
      </w:r>
    </w:p>
    <w:p>
      <w:pPr>
        <w:spacing w:after="0" w:line="19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for similarly situated companies in the businesses in which the Company and its Subsidiaries are engaged. All material policies of insurance insuring the Company or any of its Subsidiaries or their respective businesses, assets, employees, officers and directors are in full force and effect and the Company and its Subsidiaries are in compliance in all material respects with the terms of such policies and instruments. There are no material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to the Company’s Knowledge, the Company and its Subsidiaries will be able to renew its existing insurance coverage as and when such coverage expires or to obtain similar coverage from similar insurers as may be necessary to continue its business at a cost that would not be reasonably expected to have a Material Adverse Effect.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Regulatory Permits and Other Regulatory Matters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5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Each of the Company and its Subsidiaries is in compliance, in all material respects, with applicable provisions of Federal Food, Drug, and Cosmetic Act (21 U.S.C. §§ 301 et seq.) and all regulations promulgated thereunder by the United States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as well as any comparable laws or regulations of any other Governmental Authority that regulates the development, testing, manufacturing, labeling, storage, recordkeeping, promotion, marketing, distribution and sale of drugs and biologics, except as would not reasonably be expected to have a Material Adverse Effect.</w:t>
      </w:r>
    </w:p>
    <w:p>
      <w:pPr>
        <w:spacing w:after="0" w:line="79" w:lineRule="exact"/>
        <w:rPr>
          <w:rFonts w:ascii="Arial" w:cs="Arial" w:eastAsia="Arial" w:hAnsi="Arial"/>
          <w:sz w:val="18"/>
          <w:szCs w:val="18"/>
          <w:color w:val="auto"/>
        </w:rPr>
      </w:pPr>
    </w:p>
    <w:p>
      <w:pPr>
        <w:ind w:firstLine="987"/>
        <w:spacing w:after="0" w:line="290"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Permits</w:t>
      </w:r>
      <w:r>
        <w:rPr>
          <w:rFonts w:ascii="Arial" w:cs="Arial" w:eastAsia="Arial" w:hAnsi="Arial"/>
          <w:sz w:val="16"/>
          <w:szCs w:val="16"/>
          <w:color w:val="auto"/>
        </w:rPr>
        <w:t>. The Company and its Subsidiaries possess all certificates, authorizations, approvals, licenses and permits issued by the appropriate federal, state or foreign regulatory authorities necessary to conduct their business as presently conducted (“</w:t>
      </w:r>
      <w:r>
        <w:rPr>
          <w:rFonts w:ascii="Arial" w:cs="Arial" w:eastAsia="Arial" w:hAnsi="Arial"/>
          <w:sz w:val="16"/>
          <w:szCs w:val="16"/>
          <w:b w:val="1"/>
          <w:bCs w:val="1"/>
          <w:color w:val="auto"/>
        </w:rPr>
        <w:t>Permits</w:t>
      </w:r>
      <w:r>
        <w:rPr>
          <w:rFonts w:ascii="Arial" w:cs="Arial" w:eastAsia="Arial" w:hAnsi="Arial"/>
          <w:sz w:val="16"/>
          <w:szCs w:val="16"/>
          <w:color w:val="auto"/>
        </w:rPr>
        <w:t>”), including all Permits required by the United States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or any other Governmental Authority that regulates the development, testing, manufacturing, labeling, storage, recordkeeping, promotion, marketing, distribution and sale of drugs and biologics. Each of the Permits is valid and in full force and effect, and neither the Company nor any such Subsidiary has received any notice of proceedings relating to the revocation or modification of any such Permit, except, in each case, where the failure to hold such Permits or the failure of such Permits to be valid or in full force and effect would not be reasonably expected to have a Material Adverse Effect. The Company and its Subsidiaries are and have been in compliance with the terms of all Permits, except for any non-compliance that has not had, or would not reasonably be expected to have, a Material Adverse Effect.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9" w:name="page50"/>
    <w:bookmarkEnd w:id="49"/>
    <w:p>
      <w:pPr>
        <w:ind w:firstLine="987"/>
        <w:spacing w:after="0" w:line="254"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Studies and Other Preclinical and Clinical Tests</w:t>
      </w:r>
      <w:r>
        <w:rPr>
          <w:rFonts w:ascii="Arial" w:cs="Arial" w:eastAsia="Arial" w:hAnsi="Arial"/>
          <w:sz w:val="18"/>
          <w:szCs w:val="18"/>
          <w:color w:val="auto"/>
        </w:rPr>
        <w:t>. The studies, tests and preclinical and clinical trials conducted by or, to the Company’s Knowledge, on behalf of the Company or any of its Subsidiaries were, and if still pending are, being conducted in all material respects in accordance with experimental protocols, procedures and controls pursuant to applicable statutory and regulatory requirements, as well as accepted professional, scientific and clinical practice standards; the descriptions of the results of such studies, tests and trials contained in the SEC Documents are accurate and complete, in all material respects; and neither the Company nor any of its Subsidiaries has received any notices or correspondence from the FDA or any foreign, state or local governmental body exercising comparable authority or any institutional review board or comparable authority requiring the termination, suspension or material modification of any studies, tests or preclinical or clinical trials conducted by or on behalf of the Company or any of its Subsidiaries.</w:t>
      </w:r>
    </w:p>
    <w:p>
      <w:pPr>
        <w:spacing w:after="0" w:line="83" w:lineRule="exact"/>
        <w:rPr>
          <w:rFonts w:ascii="Arial" w:cs="Arial" w:eastAsia="Arial" w:hAnsi="Arial"/>
          <w:sz w:val="18"/>
          <w:szCs w:val="18"/>
          <w:color w:val="auto"/>
        </w:rPr>
      </w:pPr>
    </w:p>
    <w:p>
      <w:pPr>
        <w:ind w:right="20" w:firstLine="987"/>
        <w:spacing w:after="0" w:line="255"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Exclusion or Debarment</w:t>
      </w:r>
      <w:r>
        <w:rPr>
          <w:rFonts w:ascii="Arial" w:cs="Arial" w:eastAsia="Arial" w:hAnsi="Arial"/>
          <w:sz w:val="18"/>
          <w:szCs w:val="18"/>
          <w:color w:val="auto"/>
        </w:rPr>
        <w:t>. None of the Company, its Subsidiaries or, to the Company’s Knowledge, any of their respective officers, directors, employees, agents or subcontractors (i) has been convicted of any crime or engaged in any conduct which has resulted or could result in exclusion, debarment or disqualification by the FDA or any other Governmental Authority or (ii) has failed to disclose a material fact required to be disclosed to any Governmental Authority, and there are no proceedings pending or threatened against the Company or any of its Subsidiaries that would reasonably be expected to result in criminal or civil liability or exclusion, debarment or disqualification by the FDA or any other Governmental Authority.</w:t>
      </w:r>
    </w:p>
    <w:p>
      <w:pPr>
        <w:spacing w:after="0" w:line="192"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Listing</w:t>
      </w:r>
      <w:r>
        <w:rPr>
          <w:rFonts w:ascii="Arial" w:cs="Arial" w:eastAsia="Arial" w:hAnsi="Arial"/>
          <w:sz w:val="17"/>
          <w:szCs w:val="17"/>
          <w:color w:val="auto"/>
        </w:rPr>
        <w:t>. The Common Stock is listed on the Nasdaq Global Market, and the Company has taken no action designed to, or which is likely to have the effect of, terminating the registration of the Common Stock under the 1934 Act or delisting the Common Stock from the Nasdaq Global Market. Except as set forth in the SEC Documents, the Company has not received any notification that, and the Company’s Knowledge, neither the SEC nor the Nasdaq Global Market is contemplating terminating such listing or registration.</w:t>
      </w:r>
    </w:p>
    <w:p>
      <w:pPr>
        <w:spacing w:after="0" w:line="17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Tax Status</w:t>
      </w:r>
      <w:r>
        <w:rPr>
          <w:rFonts w:ascii="Arial" w:cs="Arial" w:eastAsia="Arial" w:hAnsi="Arial"/>
          <w:sz w:val="17"/>
          <w:szCs w:val="17"/>
          <w:color w:val="auto"/>
        </w:rPr>
        <w:t>. Each of the Company and its Subsidiaries (i) has timely filed all foreign, federal and state income, franchise and all other material Tax Returns required by any jurisdiction to which it is subject, (ii) has paid all Taxes that are material in amount and required to be paid, except those that the Company is contesting by appropriate proceedings and for which the Company has made reserves in the consolidated financial statements of the Company and its Subsidiaries that are adequate in accordance with GAAP, and (iii) has established in the consolidated financial statements of the Company and its Subsidiaries reserves that are adequate in accordance with GAAP for the payment of all material Tax liabilities and deferred Taxes as of the date this representation is made. There are no unpaid Taxes in any material amount claimed in writing to be due by the taxing authority of any jurisdiction. Each of the Company and its Subsidiaries has timely withheld and paid all material Taxes (including sales Taxes) required to have been withheld and paid in connection with any amounts paid or owing to any employee, independent contractor, creditor, stockholder or third party. No material Tax audits or administrative or judicial Tax proceedings are being conducted or are pending or threatened in writing with respect to the Company or any of its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50" w:name="page51"/>
    <w:bookmarkEnd w:id="50"/>
    <w:p>
      <w:pPr>
        <w:ind w:left="4"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SEC Documents, none of the Company’s or any Subsidiary’s respective officers or directors (each a “</w:t>
      </w:r>
      <w:r>
        <w:rPr>
          <w:rFonts w:ascii="Arial" w:cs="Arial" w:eastAsia="Arial" w:hAnsi="Arial"/>
          <w:sz w:val="18"/>
          <w:szCs w:val="18"/>
          <w:b w:val="1"/>
          <w:bCs w:val="1"/>
          <w:color w:val="auto"/>
        </w:rPr>
        <w:t>Related Party</w:t>
      </w:r>
      <w:r>
        <w:rPr>
          <w:rFonts w:ascii="Arial" w:cs="Arial" w:eastAsia="Arial" w:hAnsi="Arial"/>
          <w:sz w:val="18"/>
          <w:szCs w:val="18"/>
          <w:color w:val="auto"/>
        </w:rPr>
        <w:t>”), nor any Affiliate of any Related Party, is a party to any transaction, contract, agreement, instrument, commitment, understanding or other arrangement or relationship with the Company or any of its Subsidiaries (other than directly for services as an employee, officer or director), whether for the furnishing of services to or by, providing for rental of real or personal property to or from, or otherwise requiring payments or consideration to or from any such Related Party.</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Foreign Corrupt Practices and Certain Other Federal Regulations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9" w:lineRule="auto"/>
        <w:tabs>
          <w:tab w:leader="none" w:pos="12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Since December 31, 2018, neither the Company nor any of its Subsidiaries, nor to the Company’s Knowledge, any director or officer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from corporate funds to any employee, official, representative or other Person acting on behalf of any governmental authority, state-owned entity, public international organization, political party or official thereof, or candidate for political office (collectively, “</w:t>
      </w:r>
      <w:r>
        <w:rPr>
          <w:rFonts w:ascii="Arial" w:cs="Arial" w:eastAsia="Arial" w:hAnsi="Arial"/>
          <w:sz w:val="16"/>
          <w:szCs w:val="16"/>
          <w:b w:val="1"/>
          <w:bCs w:val="1"/>
          <w:color w:val="auto"/>
        </w:rPr>
        <w:t>Government Official</w:t>
      </w:r>
      <w:r>
        <w:rPr>
          <w:rFonts w:ascii="Arial" w:cs="Arial" w:eastAsia="Arial" w:hAnsi="Arial"/>
          <w:sz w:val="16"/>
          <w:szCs w:val="16"/>
          <w:color w:val="auto"/>
        </w:rPr>
        <w:t>”); (iii) violated or is in violation of any provision of the U.S. Foreign Corrupt Practices Act of 1977, as amended, the U.K. Bribery Act 2010, or any other applicable Law or international convention of similar effect concerning bribery or corruption which applies to the Company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or (iv) made any unlawful bribe, rebate, payoff, influence payment, kickback or other unlawful payment to any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Official. The Company has in place policies, procedures, and internal controls reasonably designed to ensure compliance with all Anti-Corruption Laws.</w:t>
      </w:r>
    </w:p>
    <w:p>
      <w:pPr>
        <w:spacing w:after="0" w:line="58" w:lineRule="exact"/>
        <w:rPr>
          <w:rFonts w:ascii="Arial" w:cs="Arial" w:eastAsia="Arial" w:hAnsi="Arial"/>
          <w:sz w:val="16"/>
          <w:szCs w:val="16"/>
          <w:color w:val="auto"/>
        </w:rPr>
      </w:pPr>
    </w:p>
    <w:p>
      <w:pPr>
        <w:ind w:left="4" w:right="20" w:firstLine="987"/>
        <w:spacing w:after="0" w:line="285"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Company and each of its Subsidiaries is, and has been at all times since December 31, 2018, in compliance in all material respects with all economic sanctions laws, all executive orders and implementing regulations as administered by any Sanctions Authority (“</w:t>
      </w:r>
      <w:r>
        <w:rPr>
          <w:rFonts w:ascii="Arial" w:cs="Arial" w:eastAsia="Arial" w:hAnsi="Arial"/>
          <w:sz w:val="16"/>
          <w:szCs w:val="16"/>
          <w:b w:val="1"/>
          <w:bCs w:val="1"/>
          <w:color w:val="auto"/>
        </w:rPr>
        <w:t>Sanctions</w:t>
      </w:r>
      <w:r>
        <w:rPr>
          <w:rFonts w:ascii="Arial" w:cs="Arial" w:eastAsia="Arial" w:hAnsi="Arial"/>
          <w:sz w:val="16"/>
          <w:szCs w:val="16"/>
          <w:color w:val="auto"/>
        </w:rPr>
        <w:t>”). None of the Company nor any of its Subsidiaries or, to the Company’s Knowledge, any of their respective directors or officers: (i) is a Person on the list of the Specially Designated Nationals and Blocked Persons (the “</w:t>
      </w:r>
      <w:r>
        <w:rPr>
          <w:rFonts w:ascii="Arial" w:cs="Arial" w:eastAsia="Arial" w:hAnsi="Arial"/>
          <w:sz w:val="16"/>
          <w:szCs w:val="16"/>
          <w:b w:val="1"/>
          <w:bCs w:val="1"/>
          <w:color w:val="auto"/>
        </w:rPr>
        <w:t>SDN List</w:t>
      </w:r>
      <w:r>
        <w:rPr>
          <w:rFonts w:ascii="Arial" w:cs="Arial" w:eastAsia="Arial" w:hAnsi="Arial"/>
          <w:sz w:val="16"/>
          <w:szCs w:val="16"/>
          <w:color w:val="auto"/>
        </w:rPr>
        <w:t>”) or similar list maintained by any Sanctions Authority, (ii) is a Person who is otherwise the target of U.S. economic sanctions laws such that a U.S. person cannot deal or otherwise engage in business transactions with such Person,</w:t>
      </w:r>
    </w:p>
    <w:p>
      <w:pPr>
        <w:spacing w:after="0" w:line="1" w:lineRule="exact"/>
        <w:rPr>
          <w:rFonts w:ascii="Arial" w:cs="Arial" w:eastAsia="Arial" w:hAnsi="Arial"/>
          <w:sz w:val="16"/>
          <w:szCs w:val="16"/>
          <w:color w:val="auto"/>
        </w:rPr>
      </w:pPr>
    </w:p>
    <w:p>
      <w:pPr>
        <w:ind w:left="4" w:right="60" w:hanging="4"/>
        <w:spacing w:after="0" w:line="255" w:lineRule="auto"/>
        <w:tabs>
          <w:tab w:leader="none" w:pos="3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Person organized or resident in a country or territory subject to comprehensive Sanctions (a “</w:t>
      </w:r>
      <w:r>
        <w:rPr>
          <w:rFonts w:ascii="Arial" w:cs="Arial" w:eastAsia="Arial" w:hAnsi="Arial"/>
          <w:sz w:val="18"/>
          <w:szCs w:val="18"/>
          <w:b w:val="1"/>
          <w:bCs w:val="1"/>
          <w:color w:val="auto"/>
        </w:rPr>
        <w:t>Sanctioned Country</w:t>
      </w:r>
      <w:r>
        <w:rPr>
          <w:rFonts w:ascii="Arial" w:cs="Arial" w:eastAsia="Arial" w:hAnsi="Arial"/>
          <w:sz w:val="18"/>
          <w:szCs w:val="18"/>
          <w:color w:val="auto"/>
        </w:rPr>
        <w:t>”), or (iv) is owned or controlled by (including by virtue of such Person being a director or owning voting shares or interests), or acts, directly or indirectly, for or on behalf of, any Person on the SDN List or a government of a Sanctioned Country.</w:t>
      </w:r>
    </w:p>
    <w:p>
      <w:pPr>
        <w:spacing w:after="0" w:line="81" w:lineRule="exact"/>
        <w:rPr>
          <w:rFonts w:ascii="Arial" w:cs="Arial" w:eastAsia="Arial" w:hAnsi="Arial"/>
          <w:sz w:val="18"/>
          <w:szCs w:val="18"/>
          <w:color w:val="auto"/>
        </w:rPr>
      </w:pPr>
    </w:p>
    <w:p>
      <w:pPr>
        <w:jc w:val="both"/>
        <w:ind w:left="4" w:right="40" w:firstLine="987"/>
        <w:spacing w:after="0" w:line="263" w:lineRule="auto"/>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and each of its Subsidiaries is, and has at all times since December 31, 2018 been, in compliance in all material respects with all laws related to terrorism or money laundering including: (i) all applicable requirements of the Currency and Foreign Transactions Reporting Act of 1970 (31 U.S.C. 5311 et. seq. (the Bank Secrecy Act)), as amended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51" w:name="page52"/>
    <w:bookmarkEnd w:id="5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Title III of the Patriot Act, (ii) the Trading with the Enemy Act, (iii) that certain Executive Order No. 13224 of September 23, 2001, entitled Blocking Property and Prohibiting Transactions With Persons Who Commit, Threaten to Commit, or Support Terrorism (66 Fed. Reg. 49079 (2001)) or any other enabling legislation, executive order or regulations issued pursuant or relating thereto, and (iv) other applicable federal or state laws relating to “know your customer” or anti-money laundering rules and regulations. No action, suit or other proceeding by or before any court or Governmental Authority against the Company or any of its Subsidiaries with respect to compliance with such anti-money laundering laws is pending or, to the Company’s Knowledge, threatened in writing.</w:t>
      </w:r>
    </w:p>
    <w:p>
      <w:pPr>
        <w:spacing w:after="0" w:line="192"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upon the Closing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Manipulation of Prices; Securities</w:t>
      </w:r>
      <w:r>
        <w:rPr>
          <w:rFonts w:ascii="Arial" w:cs="Arial" w:eastAsia="Arial" w:hAnsi="Arial"/>
          <w:sz w:val="18"/>
          <w:szCs w:val="18"/>
          <w:color w:val="auto"/>
        </w:rPr>
        <w:t>. Since December 31, 2018, none of the Company or any of its Subsidiaries, or any of their respective officers or directors has taken, directly or indirectly, any action designed to cause or to result in the stabilization or manipulation of the price of any security of the Company or any Subsidiary to facilitate the sale or resale of any of the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Investor represents and warrants, severally and not jointly, with respect to only itself, as of the date hereof and as of the Closing Date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the Company that:</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If such Investor is an entity, such Investor is a corporation, limited liability company, partnership or other entity and is duly organized or formed and validly existing in good standing under the laws of the jurisdiction in which it is incorporated or otherwise organized and has the requisite corporate, partnership, limited liability company or other organizational power and authority to own its properties, and to carry on its business as now being conducted.</w:t>
      </w:r>
    </w:p>
    <w:p>
      <w:pPr>
        <w:spacing w:after="0" w:line="187"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Authorization; Enforcement; Validity</w:t>
      </w:r>
      <w:r>
        <w:rPr>
          <w:rFonts w:ascii="Arial" w:cs="Arial" w:eastAsia="Arial" w:hAnsi="Arial"/>
          <w:sz w:val="18"/>
          <w:szCs w:val="18"/>
          <w:color w:val="auto"/>
        </w:rPr>
        <w:t>. If such Investor is an entity, such Investor is a validly existing corporation, partnership, limited liability company or other entity and has the requisite corporate, partnership, limited liability or other organizational power and authority to enter into the transactions contemplated by the Transaction Documents. This Agreement, the Registration Rights Agreement, and each of the Transaction Documents to which such Investor is a party have been duly and validly authorized (as applicable), executed and delivered on behalf of such Investor and are legal, valid and binding agreements of such Investor, enforceable against such Investor in accordance with their respective terms, except as may be limited by bankruptcy, insolvency, fraudulent conveyance or similar laws affecting creditors’ rights generally and general principles of equity.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2" w:name="page53"/>
    <w:bookmarkEnd w:id="52"/>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4.03. </w:t>
      </w:r>
      <w:r>
        <w:rPr>
          <w:rFonts w:ascii="Arial" w:cs="Arial" w:eastAsia="Arial" w:hAnsi="Arial"/>
          <w:sz w:val="17"/>
          <w:szCs w:val="17"/>
          <w:u w:val="single" w:color="auto"/>
          <w:color w:val="auto"/>
        </w:rPr>
        <w:t>Investment Purpose</w:t>
      </w:r>
      <w:r>
        <w:rPr>
          <w:rFonts w:ascii="Arial" w:cs="Arial" w:eastAsia="Arial" w:hAnsi="Arial"/>
          <w:sz w:val="17"/>
          <w:szCs w:val="17"/>
          <w:color w:val="auto"/>
        </w:rPr>
        <w:t xml:space="preserve">. Such Investor is acquiring the Securities hereunder for its own account and not with a view towards, or for resale in connection with, the public sale or distribution, except pursuant to sales registered under, or exempted from, the registration requirements of the 1933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by making the representations herein, such Investor does not agree to hold any of the Securities for any minimum or other specific term and reserves the right to assign, transfer or otherwise dispose of any of the Securities at any time in accordance with or pursuant to a registration statement or an exemption under the 1933 Act. Such Investor is not a broker-dealer registered with the SEC under the 1934 Act or an entity engaged in a business that would require it to be so registered.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Such Investor is an “accredited investor” as that term is defined in Rule 501(a) of Regulation D.</w:t>
      </w:r>
    </w:p>
    <w:p>
      <w:pPr>
        <w:spacing w:after="0" w:line="248"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Investor understands that the Securities are being offered and sold to it in reliance on specific exemptions from the registration requirements of the United States federal and state securities laws and that the Company is relying in part upon the truth and accuracy of, and such Investor’s compliance with, the representations, warranties, agreements, acknowledgments and understandings of such Investor set forth herein in order to determine the availability of such exemptions.</w:t>
      </w:r>
    </w:p>
    <w:p>
      <w:pPr>
        <w:spacing w:after="0" w:line="171"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Such Investor and its advisors, if any, have been afforded the opportunity to ask questions of the Company. Neither such inquiries nor any other due diligence investigations conducted by such Investor or its advisors, if any, or its representatives shall modify, amend or affect such Investor’s right to rely on the Company’s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Investor has received no representation or warranties from the Company, its employees, agents, or attorneys in making this investment decision other than as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Such Investor can bear the economic risk of a total loss of its investment in the Securities being offered and has such knowledge and experience in business and financial matters so as to enable it to understand the risks of and form an investment decision with respect to its investment in the Securities.</w:t>
      </w:r>
    </w:p>
    <w:p>
      <w:pPr>
        <w:spacing w:after="0" w:line="19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Investor is not purchasing the Securities as a result of any advertisement, article, notice or other communication regarding the Securities published in any newspaper, magazine or similar media or broadcast over television or radio or presented at any seminar or any other general advertisement.</w:t>
      </w:r>
    </w:p>
    <w:p>
      <w:pPr>
        <w:spacing w:after="0" w:line="1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Independent Investment Decision</w:t>
      </w:r>
      <w:r>
        <w:rPr>
          <w:rFonts w:ascii="Arial" w:cs="Arial" w:eastAsia="Arial" w:hAnsi="Arial"/>
          <w:sz w:val="16"/>
          <w:szCs w:val="16"/>
          <w:color w:val="auto"/>
        </w:rPr>
        <w:t>. Such Investor has independently evaluated the merits of its decision to purchase the Securities pursuant to the Transaction Documents, and such Investor confirms that it has not relied on the advice of any other Investor’s business or legal counsel in making such decision. Such Investor understands that nothing in this Agreement or any other materials presented by or on behalf of the Company to the Investor in connection with the purchase of the Securities constitutes legal, tax or investment advice. Such Investor has consulted such legal, tax and investment advisors as it, in its sole discretion, has deemed necessary or appropriate in connection with its purchase of the Securities.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53" w:name="page54"/>
    <w:bookmarkEnd w:id="53"/>
    <w:p>
      <w:pPr>
        <w:jc w:val="both"/>
        <w:ind w:right="10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4.09. </w:t>
      </w:r>
      <w:r>
        <w:rPr>
          <w:rFonts w:ascii="Arial" w:cs="Arial" w:eastAsia="Arial" w:hAnsi="Arial"/>
          <w:sz w:val="17"/>
          <w:szCs w:val="17"/>
          <w:u w:val="single" w:color="auto"/>
          <w:color w:val="auto"/>
        </w:rPr>
        <w:t>No Governmental Review</w:t>
      </w:r>
      <w:r>
        <w:rPr>
          <w:rFonts w:ascii="Arial" w:cs="Arial" w:eastAsia="Arial" w:hAnsi="Arial"/>
          <w:sz w:val="17"/>
          <w:szCs w:val="17"/>
          <w:color w:val="auto"/>
        </w:rPr>
        <w:t>. Such Investor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65" w:lineRule="exact"/>
        <w:rPr>
          <w:sz w:val="20"/>
          <w:szCs w:val="20"/>
          <w:color w:val="auto"/>
        </w:rPr>
      </w:pPr>
    </w:p>
    <w:p>
      <w:pPr>
        <w:jc w:val="both"/>
        <w:ind w:right="60" w:firstLine="991"/>
        <w:spacing w:after="0" w:line="31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Such Investor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49"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Investor of the Transaction Documents to which it is a party and the consummation by such Investor of the transactions contemplated thereby will not (a) result in a violation of the organizational documents of such Investor as in effect on the date hereof, or (b) result in a violation of any law, rule, regulation, order, judgment or decree (including federal and state securities laws) applicable to such Investor, except for such conflicts, defaults, rights or violations which would not, individually or in the aggregate, reasonably be expected to have a material adverse effect on the ability of such Investor to perform its obligations hereunder.</w:t>
      </w:r>
    </w:p>
    <w:p>
      <w:pPr>
        <w:spacing w:after="0" w:line="161"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Residency</w:t>
      </w:r>
      <w:r>
        <w:rPr>
          <w:rFonts w:ascii="Arial" w:cs="Arial" w:eastAsia="Arial" w:hAnsi="Arial"/>
          <w:sz w:val="17"/>
          <w:szCs w:val="17"/>
          <w:color w:val="auto"/>
        </w:rPr>
        <w:t>. Such Investor’s residence (if an individual) or offices in which its investment decision with respect to the Securities was made (if an entity) are located at the address immediately below Investor’s name on its signature page.</w:t>
      </w:r>
    </w:p>
    <w:p>
      <w:pPr>
        <w:spacing w:after="0" w:line="146"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Acquiring Person</w:t>
      </w:r>
      <w:r>
        <w:rPr>
          <w:rFonts w:ascii="Arial" w:cs="Arial" w:eastAsia="Arial" w:hAnsi="Arial"/>
          <w:sz w:val="18"/>
          <w:szCs w:val="18"/>
          <w:color w:val="auto"/>
        </w:rPr>
        <w:t>. Except as set forth in such Investor’s Selling Investor Questionnaire (as defined in the Registration Rights Agreement), neither such Investor nor any of its Affiliates beneficially owns (in each case, as determined pursuant to Rule 13d-3 under the 1934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w:t>
      </w:r>
    </w:p>
    <w:p>
      <w:pPr>
        <w:spacing w:after="0" w:line="188"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No “Bad Actor” Disqualification</w:t>
      </w:r>
      <w:r>
        <w:rPr>
          <w:rFonts w:ascii="Arial" w:cs="Arial" w:eastAsia="Arial" w:hAnsi="Arial"/>
          <w:sz w:val="18"/>
          <w:szCs w:val="18"/>
          <w:color w:val="auto"/>
        </w:rPr>
        <w:t>. Such Investor has not taken any of the actions set forth in, and is not subject to, the disqualification provisions of Rule 506(d)(1) of the 1933 Act.</w:t>
      </w:r>
    </w:p>
    <w:p>
      <w:pPr>
        <w:spacing w:after="0" w:line="166"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Placement Agent</w:t>
      </w:r>
      <w:r>
        <w:rPr>
          <w:rFonts w:ascii="Arial" w:cs="Arial" w:eastAsia="Arial" w:hAnsi="Arial"/>
          <w:sz w:val="17"/>
          <w:szCs w:val="17"/>
          <w:color w:val="auto"/>
        </w:rPr>
        <w:t>. Such Investor hereby acknowledges and agrees that (a) MTS Securities LLC (the “</w:t>
      </w:r>
      <w:r>
        <w:rPr>
          <w:rFonts w:ascii="Arial" w:cs="Arial" w:eastAsia="Arial" w:hAnsi="Arial"/>
          <w:sz w:val="17"/>
          <w:szCs w:val="17"/>
          <w:b w:val="1"/>
          <w:bCs w:val="1"/>
          <w:color w:val="auto"/>
        </w:rPr>
        <w:t>Placement Agent</w:t>
      </w:r>
      <w:r>
        <w:rPr>
          <w:rFonts w:ascii="Arial" w:cs="Arial" w:eastAsia="Arial" w:hAnsi="Arial"/>
          <w:sz w:val="17"/>
          <w:szCs w:val="17"/>
          <w:color w:val="auto"/>
        </w:rPr>
        <w:t>”) is acting solely as placement agent in connection with the execution, delivery and performance of the Transaction Documents and is not acting as an underwriter or in any other capacity and is not and shall not be construed as a fiduciary for such Investor, the Company or any other person or entity in connection with the execution, delivery and performance of the Transaction Documents, (b) the Placement Agent has not made and will not make any representation or warranty, whether express or implied, of any kind or character and has not provided any advice or recommendation in connection with the execution, delivery and performance of the Transaction Documents, (c)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or any other matter concerning the Company, and (d) the Placement Agent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Documents.</w:t>
      </w:r>
    </w:p>
    <w:p>
      <w:pPr>
        <w:spacing w:after="0" w:line="187"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With the exception of the Placement Agent,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Form D and Blue Sky</w:t>
      </w:r>
      <w:r>
        <w:rPr>
          <w:rFonts w:ascii="Arial" w:cs="Arial" w:eastAsia="Arial" w:hAnsi="Arial"/>
          <w:sz w:val="17"/>
          <w:szCs w:val="17"/>
          <w:color w:val="auto"/>
        </w:rPr>
        <w:t>. The Company agrees to timely file a Form D with respect to the Securities as required under Regulation D. The Company shall, on or before the Closing Date, take such action as the Company shall reasonably determine is necessary in order to obtain an exemption for, or to qualify the Securities for, sale to the Investors at the Closing pursuant to this Agreement under applicable securities or “Blue Sky” laws of the states of the United States. The Company shall make all filings and reports relating to the offer and sale of the Securities required under applicable securities or “Blue Sky” laws of the states of the United States following the Closing Date.</w:t>
      </w:r>
    </w:p>
    <w:p>
      <w:pPr>
        <w:spacing w:after="0" w:line="176"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proceeds from the sale of the Securities (a) first to pay expenses related to the sale of the Securities, and (b) thereafter for research and development of the Company’s product candidates, working capital and general corporate purposes.</w:t>
      </w:r>
    </w:p>
    <w:p>
      <w:pPr>
        <w:spacing w:after="0" w:line="184"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At the Closing, the Company and the Investors shall each pay all of their own legal, due diligence and other expenses, including fees and expenses of attorneys, investigative and other consultants and travel costs and all other expenses, relating to negotiating and preparing the Transaction Documents and consummating the transactions contemplated hereby and thereby;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reimburse Cowen Healthcare Investments III LP for up to $100,000 of its reasonable, customary and documented out-of-pocket expenses related to the transactions contemplated by this Agreement. The Company shall pay all Transfer Agent fees incurred in connection with the sale and issuance of the Securities to the Investors.</w:t>
      </w:r>
    </w:p>
    <w:p>
      <w:pPr>
        <w:spacing w:after="0" w:line="192"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Disclosure of Transactions and Other Material Information</w:t>
      </w:r>
      <w:r>
        <w:rPr>
          <w:rFonts w:ascii="Arial" w:cs="Arial" w:eastAsia="Arial" w:hAnsi="Arial"/>
          <w:sz w:val="18"/>
          <w:szCs w:val="18"/>
          <w:color w:val="auto"/>
        </w:rPr>
        <w:t>. The Company shall, by 9:00 a.m. (New York City time) on the first (1st) Trading Day immediately following the Closing Date, issue a press release disclosing the material terms of the transactions contemplated hereby. The Company shall file a Current Report on Form 8-K including the Transaction Documents as exhibits thereto within the time period required by the 1934 Act. The Company and each Investor shall consult with each other in issuing any other press releases with respect to the transactions contemplated hereby, and neither the Company nor any Investor shall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55" w:name="page56"/>
    <w:bookmarkEnd w:id="5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 any such press release nor otherwise make any such public statement without the prior consent of the Company, with respect to any press release of any Investor, or without the prior consent of each Investor,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Investor, or include the name of any Investor in any filing with the SEC or any regulatory agency or Trading Market unless the name of such Investor is already included in the body of the Transaction Documents or is otherwise publicly available, without the prior written consent of such Investor, except: (a) as required by federal securities Laws in connection with the filing of final Transaction Documents with the SEC and any registration statement contemplated by the Registration Rights Agreement, and (b) to the extent such disclosure is required by law or Trading Market regulations, in which case the Company shall provide the Investors with prior notice of such disclosure permitted under this clause (b). The Company confirms that, following the filing of the Form 8-K announcing the Closing (the “</w:t>
      </w:r>
      <w:r>
        <w:rPr>
          <w:rFonts w:ascii="Arial" w:cs="Arial" w:eastAsia="Arial" w:hAnsi="Arial"/>
          <w:sz w:val="16"/>
          <w:szCs w:val="16"/>
          <w:b w:val="1"/>
          <w:bCs w:val="1"/>
          <w:color w:val="auto"/>
        </w:rPr>
        <w:t>Announcing Form 8-K</w:t>
      </w:r>
      <w:r>
        <w:rPr>
          <w:rFonts w:ascii="Arial" w:cs="Arial" w:eastAsia="Arial" w:hAnsi="Arial"/>
          <w:sz w:val="16"/>
          <w:szCs w:val="16"/>
          <w:color w:val="auto"/>
        </w:rPr>
        <w:t>”), no Investor will be deemed to be in possession of material non-public information concerning the Company (to the extent that such information was provided by the Company prior to the filing of such Form</w:t>
      </w:r>
    </w:p>
    <w:p>
      <w:pPr>
        <w:spacing w:after="0" w:line="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8-K). The Company shall not, and shall cause each of its Subsidiaries and its and each of their respective officers, directors, employees and agents to not, provide any Investor with any material non-public information regarding the Company or any of its Subsidiaries from and after the filing of the Announcing Form 8-K with the SEC without the express prior written consent of such Investor, unless prior thereto such Investor shall have executed a written agreement regarding the confidentiality and use of such information.</w:t>
      </w:r>
    </w:p>
    <w:p>
      <w:pPr>
        <w:spacing w:after="0" w:line="193"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Patriot Act, Investor Secrecy Act and Office of Foreign Assets Control</w:t>
      </w:r>
      <w:r>
        <w:rPr>
          <w:rFonts w:ascii="Arial" w:cs="Arial" w:eastAsia="Arial" w:hAnsi="Arial"/>
          <w:sz w:val="18"/>
          <w:szCs w:val="18"/>
          <w:color w:val="auto"/>
        </w:rPr>
        <w:t>. As required by federal law and each Investor’s policies and practices, each Investor may need to obtain, verify and record certain customer identification information and documentation in connection with opening or maintaining accounts, or establishing or continuing to provide services, and, from the date of this Agreement until the end of the Effectiveness Period (as defined in the Registration Rights Agreement), the Company agrees to, and shall cause each of its Subsidiaries to, reasonably cooperate with such Investor provide such information to each Investor.</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Irrevocable Transfer Agent Instructions</w:t>
      </w:r>
      <w:r>
        <w:rPr>
          <w:rFonts w:ascii="Arial" w:cs="Arial" w:eastAsia="Arial" w:hAnsi="Arial"/>
          <w:sz w:val="17"/>
          <w:szCs w:val="17"/>
          <w:color w:val="auto"/>
        </w:rPr>
        <w:t>. The Company shall issue irrevocable instructions to the Transfer Agent for the Common Stock in customary form and the Transfer Agent (the “</w:t>
      </w:r>
      <w:r>
        <w:rPr>
          <w:rFonts w:ascii="Arial" w:cs="Arial" w:eastAsia="Arial" w:hAnsi="Arial"/>
          <w:sz w:val="17"/>
          <w:szCs w:val="17"/>
          <w:b w:val="1"/>
          <w:bCs w:val="1"/>
          <w:color w:val="auto"/>
        </w:rPr>
        <w:t>Irrevocable Transfer Agent Instructions</w:t>
      </w:r>
      <w:r>
        <w:rPr>
          <w:rFonts w:ascii="Arial" w:cs="Arial" w:eastAsia="Arial" w:hAnsi="Arial"/>
          <w:sz w:val="17"/>
          <w:szCs w:val="17"/>
          <w:color w:val="auto"/>
        </w:rPr>
        <w:t>”), and any subsequent transfer agent, to issue certificates or credit shares to the applicable balance accounts at the DTC, registered in the name of each holder of Pre-Funded Warrants or such holder’s nominee(s), for the Warrant Shares in such amounts as specified from time to time by each such holder to the Company upon issuance of the Warrant Shares pursuant to the exercise of the Pre-Funded Warrant. The Company covenants and agrees that no instruction other than the Irrevocable Transfer Agent Instructions referred to in this Section 5.06 and stop transfer instructions to give effect to the provisions of this Section 5.06 will be given by the Company to its transfer agent and that the Securities shall otherwise be freely transferable on the books and records of the Company as and to the extent provided in this Agreement and the Registration Rights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6" w:name="page57"/>
    <w:bookmarkEnd w:id="56"/>
    <w:p>
      <w:pPr>
        <w:ind w:left="4" w:right="74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5.07. </w:t>
      </w:r>
      <w:r>
        <w:rPr>
          <w:rFonts w:ascii="Arial" w:cs="Arial" w:eastAsia="Arial" w:hAnsi="Arial"/>
          <w:sz w:val="16"/>
          <w:szCs w:val="16"/>
          <w:u w:val="single" w:color="auto"/>
          <w:color w:val="auto"/>
        </w:rPr>
        <w:t>Regulation M</w:t>
      </w:r>
      <w:r>
        <w:rPr>
          <w:rFonts w:ascii="Arial" w:cs="Arial" w:eastAsia="Arial" w:hAnsi="Arial"/>
          <w:sz w:val="16"/>
          <w:szCs w:val="16"/>
          <w:color w:val="auto"/>
        </w:rPr>
        <w:t>. Neither the Company, nor any of its Subsidiaries or any Affiliates, has taken or shall take any action prohibited by Regulation M under the 1934 Act, in connection with the offer, sale and delivery of the Securities contemplated hereby.</w:t>
      </w:r>
    </w:p>
    <w:p>
      <w:pPr>
        <w:spacing w:after="0" w:line="124"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its Subsidiaries or Affiliates or any Person acting on the behalf of any of the foregoing, shall, directly or indirectly, make any offers or sales of any security or solicit any offers to purchase any security, under any circumstances that would require registration of any of the Securities under the 1933 Act or require stockholder approval of the issuance of any of the Securities.</w:t>
      </w:r>
    </w:p>
    <w:p>
      <w:pPr>
        <w:spacing w:after="0" w:line="18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reserve for issuance a number of shares of Common Stock at least equal to the aggregate number of shares of Common Stock necessary to effect the issuance of the Warrant Shares pursuant to the terms of the Pre-Funded Warrant for so long as such Pre-Funded Warrants remain outstanding.</w:t>
      </w:r>
    </w:p>
    <w:p>
      <w:pPr>
        <w:spacing w:after="0" w:line="184" w:lineRule="exact"/>
        <w:rPr>
          <w:sz w:val="20"/>
          <w:szCs w:val="20"/>
          <w:color w:val="auto"/>
        </w:rPr>
      </w:pPr>
    </w:p>
    <w:p>
      <w:pPr>
        <w:ind w:left="4" w:right="60" w:firstLine="991"/>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will use commercially reasonable efforts to continue the listing and trading of the Common Stock on the Nasdaq Global Market or other national securities exchange and, in accordance, therewith, will use commercially reasonable efforts to comply in all respects with the Company’s reporting, filing and other obligations under the Bylaws or the rules of such market or exchange, as applicable. The Company will use commercially reasonable efforts to maintain the eligibility of the Common Stock for electronic transfer through DTC or another established clearing corporation.</w:t>
      </w:r>
    </w:p>
    <w:p>
      <w:pPr>
        <w:spacing w:after="0" w:line="188"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shall be responsible for any liability with respect to any transfer, stamp or similar non-income Taxes that may be payable in connection with the execution, delivery and performance of this Agreement and the other Transaction Documents, including any such Taxes with respect to the issuance of the Securities.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4" w:lineRule="auto"/>
        <w:tabs>
          <w:tab w:leader="none" w:pos="124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each Investor covenants and agrees that the Securities may be disposed of only pursuant to an effective registration statement under, and in compliance with the requirements of, the 1933 Act, or pursuant to an available exemption from, or in a transaction not subject to, the registration requirements of the 1933 Act, and in compliance with any applicable U.S. state and federal securities laws. In connection with any transfer of the Securities other than (i) pursuant to an effective registration statement, (ii) to the Company, or (iii) pursuant to Rule 144 promulgated by the SEC under the 1933 Act (“</w:t>
      </w:r>
      <w:r>
        <w:rPr>
          <w:rFonts w:ascii="Arial" w:cs="Arial" w:eastAsia="Arial" w:hAnsi="Arial"/>
          <w:sz w:val="16"/>
          <w:szCs w:val="16"/>
          <w:b w:val="1"/>
          <w:bCs w:val="1"/>
          <w:color w:val="auto"/>
        </w:rPr>
        <w:t>Rule 144</w:t>
      </w:r>
      <w:r>
        <w:rPr>
          <w:rFonts w:ascii="Arial" w:cs="Arial" w:eastAsia="Arial" w:hAnsi="Arial"/>
          <w:sz w:val="16"/>
          <w:szCs w:val="16"/>
          <w:color w:val="auto"/>
        </w:rPr>
        <w:t>”) (provided that the Investor provides the Company with reasonable assurances (in the form of seller and, if applicable, broker representation letters) that the Securities may be sold pursuant to such rule) or</w:t>
      </w:r>
    </w:p>
    <w:p>
      <w:pPr>
        <w:spacing w:after="0" w:line="4" w:lineRule="exact"/>
        <w:rPr>
          <w:rFonts w:ascii="Arial" w:cs="Arial" w:eastAsia="Arial" w:hAnsi="Arial"/>
          <w:sz w:val="16"/>
          <w:szCs w:val="16"/>
          <w:color w:val="auto"/>
        </w:rPr>
      </w:pPr>
    </w:p>
    <w:p>
      <w:pPr>
        <w:ind w:left="4" w:hanging="4"/>
        <w:spacing w:after="0" w:line="292" w:lineRule="auto"/>
        <w:tabs>
          <w:tab w:leader="none" w:pos="3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connection with a bona fide pledge as contemplated in Section 5.12(b),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1933 Act. As a condition of transfer, any such transferee shall agree in writing to be bound by the terms of this Agreement and the Registration Rights Agreement and shall have the rights of an Investor under this Agreement and the Registration Rights Agreement with respect to such transferred Securities.</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57" w:name="page58"/>
    <w:bookmarkEnd w:id="57"/>
    <w:p>
      <w:pPr>
        <w:ind w:right="320" w:firstLine="987"/>
        <w:spacing w:after="0" w:line="277"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w:t>
      </w:r>
      <w:r>
        <w:rPr>
          <w:rFonts w:ascii="Arial" w:cs="Arial" w:eastAsia="Arial" w:hAnsi="Arial"/>
          <w:sz w:val="18"/>
          <w:szCs w:val="18"/>
          <w:color w:val="auto"/>
        </w:rPr>
        <w:t>. The Investors understands that, unless provided otherwise in this Agreement, a Pre-Funded Warrant, any of the Shares and Warrant Shares, whether certificated or in book-entry form, will be endorsed with the following legend:</w:t>
      </w:r>
    </w:p>
    <w:p>
      <w:pPr>
        <w:spacing w:after="0" w:line="62"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SECURITIES REPRESENTED BY THIS CERTIFICATE TO WHICH THIS CONFIRMATION RELATES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AND THE DEPOSITARY SHALL BE ENTITLED TO REQUIRE AN OPINION OF COUNSEL SATISFACTORY TO THE COMPANY AND THE DEPOSITARY THAT SUCH REGISTRATION IS NOT REQUIRED.</w:t>
      </w:r>
    </w:p>
    <w:p>
      <w:pPr>
        <w:spacing w:after="0" w:line="192"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An Investor may from time to time pledge pursuant to a bona fide margin agreement with a registered broker-dealer or grant a security interest in some or all of the Securities to a financial institution that is an “accredited investor” as defined in Rule 501(a) under the 1933 Act and who agrees to be bound by the provisions of this Agreement and, if required under the terms of such arrangement, such Investor may transfer pledged or secured Securities to the pledgees or secured parties in compliance with applicable law. Such a pledge or transfer would not be subject to approval of the Company and no legal opinion of legal counsel of the pledgee, secured party or pledgor shall be required in connection therewith. Further, no notice shall be required of such pledge. At the applicable Investor’s expense, the Company will execute and deliver such reasonable documentation as a pledgee or secured party of Securities may reasonably request in connection with a pledge or transfer of the Securities.</w:t>
      </w:r>
    </w:p>
    <w:p>
      <w:pPr>
        <w:spacing w:after="0" w:line="58" w:lineRule="exact"/>
        <w:rPr>
          <w:sz w:val="20"/>
          <w:szCs w:val="20"/>
          <w:color w:val="auto"/>
        </w:rPr>
      </w:pPr>
    </w:p>
    <w:p>
      <w:pPr>
        <w:ind w:firstLine="987"/>
        <w:spacing w:after="0" w:line="270"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Removal of Legend</w:t>
      </w:r>
      <w:r>
        <w:rPr>
          <w:rFonts w:ascii="Arial" w:cs="Arial" w:eastAsia="Arial" w:hAnsi="Arial"/>
          <w:sz w:val="17"/>
          <w:szCs w:val="17"/>
          <w:color w:val="auto"/>
        </w:rPr>
        <w:t>. Notwithstanding Section 5.12(b), upon the written request of an Investor, any legend (including the legend set forth in Section 5.12(b) hereof) on the Shares or Warrant Shares held by such Investor may be removed (i) while a registration statement covering the resale of such security is effective under the 1933 Act, (ii) following any sale of such Shares or Warrant Shares pursuant to Rule 144, (iii) if such Shares or Warrant Shares are eligible for sale under Rule 144 without the requirement to be in compliance with Rule 144(c)(1), or (iv) if such legend is not required under applicable requirements of the 1933 Act (including judicial interpretations and pronouncements issued by the staff of the SEC), subject in the case of clauses (ii), (iii) and (iv) to receipt from the Investor by the Company and the Transfer Agent of customary representations reasonably acceptable to the Company and the Transfer Agent in connection with such request. Upon such request, the Company shall (A) deliver to the Transfer Agent irrevocable instructions to the Transfer Agent to remove the legend, and (B) cause its counsel to deliver to the Transfer Agent one or more legal opinions to the effect that the removal of such legend in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58" w:name="page59"/>
    <w:bookmarkEnd w:id="58"/>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circumstances may be effected under the 1933 Act if required by the Transfer Agent to effect the removal of the legend in accordance with the provisions of this Agreement. If all or any portion of a Pre-Funded Warrant is exercised and (i) a registration statement covering the resale of such security is then effective under the 1933 Act, (ii) the Warrant Shares issuable upon such exercise are then eligible for sale under Rule 144 and without the requirement to be in compliance with Rule 144(c)(1), or (iii) if a legend is not required under applicable requirements of the 1933 Act (including judicial interpretations and pronouncements issued by the staff of the SEC), then such Warrant Shares shall be issued free of all legends, subject in the case of clauses (ii) and (iii) to receipt from the Investor by the Company and the Transfer Agent of customary representations reasonably acceptable to the Company and the Transfer Agent in connection therewith. The Company agrees that following such time as such legend is no longer required under this Section 5.12(c), it will, no later than two (2) Trading Days following the delivery by an Investor to the Company or the Transfer Agent of a certificate representing the Shares or Warrant Shares, as applicable, issued with a restrictive legend (such second Trading Day, the “</w:t>
      </w:r>
      <w:r>
        <w:rPr>
          <w:rFonts w:ascii="Arial" w:cs="Arial" w:eastAsia="Arial" w:hAnsi="Arial"/>
          <w:sz w:val="16"/>
          <w:szCs w:val="16"/>
          <w:b w:val="1"/>
          <w:bCs w:val="1"/>
          <w:color w:val="auto"/>
        </w:rPr>
        <w:t>Legend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deliver or cause to be delivered to such Investor a certificate representing such shares that is free from all restrictive and other legends.</w:t>
      </w:r>
    </w:p>
    <w:p>
      <w:pPr>
        <w:spacing w:after="0" w:line="168"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Further Instruments and Acts</w:t>
      </w:r>
      <w:r>
        <w:rPr>
          <w:rFonts w:ascii="Arial" w:cs="Arial" w:eastAsia="Arial" w:hAnsi="Arial"/>
          <w:sz w:val="17"/>
          <w:szCs w:val="17"/>
          <w:color w:val="auto"/>
        </w:rPr>
        <w:t>. From the date hereof, the Company and each of the Investors will execute and deliver such further instruments and do such further acts as may be reasonably necessary or proper to carry out more effectively the purposes of this Agreement and the other Transaction Documents and the communication of the transactions contemplated hereby and thereby.</w:t>
      </w:r>
    </w:p>
    <w:p>
      <w:pPr>
        <w:spacing w:after="0" w:line="16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Public Information</w:t>
      </w:r>
      <w:r>
        <w:rPr>
          <w:rFonts w:ascii="Arial" w:cs="Arial" w:eastAsia="Arial" w:hAnsi="Arial"/>
          <w:sz w:val="17"/>
          <w:szCs w:val="17"/>
          <w:color w:val="auto"/>
        </w:rPr>
        <w:t>. At any time during the period commencing from the six (6) month anniversary of the Closing Date and ending at such time that all of the Shares and Warrant Shares of an Investor, if a registration statement is not available for the resale of all of the Shares and Warrant Shares of an Investor, may be sold without restriction or limitation pursuant to Rule 144 and without the requirement to be in compliance with Rule 144(c)(1), the Company covenants to timely file on the applicable deadline all reports required to be filed with the SEC pursuant to Sections 13 or 15(d) of the 1934 Act, and will take all reasonable action under its control to ensure that adequate public information with respect to the Company, as required in accordance with Rule 144 of the 1933 Act, is publicly available, and will not terminate its status as an issuer required to file reports under the 1934 Act, even if the 1934 Act or the rules and regulations thereunder would permit such termination.</w:t>
      </w:r>
    </w:p>
    <w:p>
      <w:pPr>
        <w:spacing w:after="0" w:line="177"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Equal Treatment of Investors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Securities or otherwise.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59" w:name="page60"/>
    <w:bookmarkEnd w:id="59"/>
    <w:p>
      <w:pPr>
        <w:ind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5.16.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5.16, the Company will indemnify and hold each Investor and its 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1933 Act and Section 20 of the 1934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b w:val="1"/>
          <w:bCs w:val="1"/>
          <w:color w:val="auto"/>
        </w:rPr>
        <w:t>Investor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Investor Party may suffer or incur as a result of or relating to (a) any breach of any of the representations, warranties, covenants or agreements made by the Company in this Agreement or in the other Transaction Documents or (b) any action instituted against the Investor Parties in any capacity, or any of them or their respective Affiliates, by any stockholder of the Company who is not an Affiliate of such Investor Party, with respect to any of the transactions contemplated by the Transaction Documents (unless such action is based upon a breach of such Investor Party’s representations, warranties or covenants under the Transaction Documents or any agreements or understandings such Investor Party may have with any such stockholder or any violations by such Investor Party of securities laws or any conduct by such Investor Party which constitutes fraud, gross negligence, willful misconduct or malfeasance). If any action shall be brought against any Investor Party in respect of which indemnity may be sought pursuant to this Agreement, such Investor Party shall promptly notify the Company in writing, and the Company shall have the right to assume the defense thereof with counsel of its own choosing reasonably acceptable to the Investor Party. Any Investor Party shall have the right to employ separate counsel in any such action and participate in the defense thereof, but the fees and expenses of such counsel shall be at the expense of such Investor Party except to the extent that (i) the employment thereof at the Company’s expense has been specifically authorized by the Company in writing, (ii) the Company has failed after a reasonable period of time to assume such defense and to employ counsel or (iii) in such action there is, in the reasonable opinion of such Investor Party’s counsel, a material conflict on any material issue between the position of the Company and the position of such Investor Party, in which case the Company shall be responsible for the reasonable fees and expenses of no more than one such separate counsel for all Investor Parties. The Company will not be liable to any Investor Party under this Agreement for any settlement by an Investor Party effected without the Company’s prior written consent, which shall not be unreasonably withheld, conditioned or delayed; or to the extent, but only to the extent that a loss, claim, damage or liability is attributable to (A) any Investor Party’s breach of any of the representations, warranties, covenants or agreements made by such Investor Party in this Agreement or in the other Transaction Documents or (B) any conduct by such Investor Party which constitutes gross negligence, willful misconduct or malfeasance. The indemnity agreements contained herein shall be in addition to any cause of action or similar right of any Investor Party against the Company or others and any liabilities the Company may be subject to pursuant to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LAW; MISCELLANEOUS</w:t>
      </w:r>
    </w:p>
    <w:p>
      <w:pPr>
        <w:spacing w:after="0" w:line="21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Governing Law; Jurisdiction; Jury Trial</w:t>
      </w:r>
      <w:r>
        <w:rPr>
          <w:rFonts w:ascii="Arial" w:cs="Arial" w:eastAsia="Arial" w:hAnsi="Arial"/>
          <w:sz w:val="17"/>
          <w:szCs w:val="17"/>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86"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Counterparts; Execution</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each other party.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77"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70"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Entire Agreement; Amendments; Waivers</w:t>
      </w:r>
      <w:r>
        <w:rPr>
          <w:rFonts w:ascii="Arial" w:cs="Arial" w:eastAsia="Arial" w:hAnsi="Arial"/>
          <w:sz w:val="18"/>
          <w:szCs w:val="18"/>
          <w:color w:val="auto"/>
        </w:rPr>
        <w:t xml:space="preserve">. This Agreement supersedes all other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oral or written agreements among each Investor, the Company and its Subsidiaries, their Affiliates and Persons acting on their behalf with respect to the matters discussed herein, and this Agreement and the instruments referenced herein contain the entire understanding of the parties hereto with respect to the matters covered herein and therein. No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61" w:name="page62"/>
    <w:bookmarkEnd w:id="6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 of this Agreement may be waived, modified, supplemented or amended other than by an instrument in writing signed by (i) the Company and</w:t>
      </w:r>
    </w:p>
    <w:p>
      <w:pPr>
        <w:spacing w:after="0" w:line="46" w:lineRule="exact"/>
        <w:rPr>
          <w:sz w:val="20"/>
          <w:szCs w:val="20"/>
          <w:color w:val="auto"/>
        </w:rPr>
      </w:pPr>
    </w:p>
    <w:p>
      <w:pPr>
        <w:ind w:left="4" w:hanging="4"/>
        <w:spacing w:after="0" w:line="285" w:lineRule="auto"/>
        <w:tabs>
          <w:tab w:leader="none" w:pos="2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holders of at least a majority in interest of the then-outstanding Securities (in either case, the “</w:t>
      </w:r>
      <w:r>
        <w:rPr>
          <w:rFonts w:ascii="Arial" w:cs="Arial" w:eastAsia="Arial" w:hAnsi="Arial"/>
          <w:sz w:val="16"/>
          <w:szCs w:val="16"/>
          <w:b w:val="1"/>
          <w:bCs w:val="1"/>
          <w:color w:val="auto"/>
        </w:rPr>
        <w:t>Required Investors</w:t>
      </w:r>
      <w:r>
        <w:rPr>
          <w:rFonts w:ascii="Arial" w:cs="Arial" w:eastAsia="Arial" w:hAnsi="Arial"/>
          <w:sz w:val="16"/>
          <w:szCs w:val="16"/>
          <w:color w:val="auto"/>
        </w:rPr>
        <w:t>”). Any such amendment shall bind all holders of the Securities; provided that any such amendment or waiver that disproportionately, materially and adversely affects the rights and obligations of any Investor relative to the comparable rights and obligations of the other Investors shall require the prior written consent of such adversely affected Investor (for the avoidance of doubt, participation by any Investor in an unrelated financing by the Company shall not be deemed to disproportionately affect the Investors who do not participate in such financing). No failure or delay on the part of a party in either exercising or enforcing any right under this Agreement shall operate as a waiver of, or impair, any such right. No single or partial exercise or enforcement of any such right shall preclude any other or further exercise or enforcement thereof or the exercise or enforcement of any other right. No waiver of any such right shall be deemed a waiver of any other right. No consideration shall be offered or paid to any Person to amend or consent to a waiver or modification or supplement of any provision of any of the Transaction Documents unless the same consideration also is offered to all of the parties hereto or to the other Transaction Documents or holders of the Securities, as the case may be. For clarification purposes, this provision constitutes a separate right granted to each Investor and is not intended for the Company to treat the Investors as a class and shall not be construed in any way as the Investors acting in concert or otherwise as a group with respect to the purchase, disposition or voting of securities or otherwise.</w:t>
      </w:r>
    </w:p>
    <w:p>
      <w:pPr>
        <w:spacing w:after="0" w:line="172" w:lineRule="exact"/>
        <w:rPr>
          <w:sz w:val="20"/>
          <w:szCs w:val="20"/>
          <w:color w:val="auto"/>
        </w:rPr>
      </w:pPr>
    </w:p>
    <w:p>
      <w:pPr>
        <w:ind w:left="4" w:right="220" w:firstLine="991"/>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electronic transmission (including e-mail), in each case properly addressed to the party to receive the same. The addresses for such communications shall be: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Dr. Carole Ben-Maimon, M.D.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cbenmaimon@larimartx.com</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copy (which shall not constitute notice) to:</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busheyr@pepperlaw.com; porterj@pepperlaw.com</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an Investor, to it at the address set forth under such Investor’s name on its signature page hereto, or, in the case of an Investor or any other party named above, at such other address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provided by affidavit of personal delivery by a delivery service selected by the Company; or (C) provided by a nationally recognized overnight delivery service shall be rebuttable evidence of personal service, deposit with a nationally recognized overnight delivery service or electronic transmission.</w:t>
      </w:r>
    </w:p>
    <w:p>
      <w:pPr>
        <w:spacing w:after="0" w:line="192"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parties hereto and their respective successors and assigns, including any purchasers of the Securities. The Company shall not assign this Agreement or any rights or obligations hereunder without the prior written consent of the Required Investors. The </w:t>
      </w:r>
      <w:r>
        <w:rPr>
          <w:rFonts w:ascii="Arial" w:cs="Arial" w:eastAsia="Arial" w:hAnsi="Arial"/>
          <w:sz w:val="18"/>
          <w:szCs w:val="18"/>
          <w:u w:val="single" w:color="auto"/>
          <w:color w:val="auto"/>
        </w:rPr>
        <w:t>Schedule of Investors</w:t>
      </w:r>
      <w:r>
        <w:rPr>
          <w:rFonts w:ascii="Arial" w:cs="Arial" w:eastAsia="Arial" w:hAnsi="Arial"/>
          <w:sz w:val="18"/>
          <w:szCs w:val="18"/>
          <w:color w:val="auto"/>
        </w:rPr>
        <w:t xml:space="preserve"> attached hereto shall be updated to reflect the information with respect to such transferee, designee or assignee.</w:t>
      </w:r>
    </w:p>
    <w:p>
      <w:pPr>
        <w:spacing w:after="0" w:line="187"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intended for the benefit of the parties hereto and their respective permitted successors and assigns and is not for the benefit of, nor may any provision hereof be enforced by, any other Person.</w:t>
      </w:r>
    </w:p>
    <w:p>
      <w:pPr>
        <w:spacing w:after="0" w:line="146"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of the Company and the Investors contained in </w:t>
      </w:r>
      <w:r>
        <w:rPr>
          <w:rFonts w:ascii="Arial" w:cs="Arial" w:eastAsia="Arial" w:hAnsi="Arial"/>
          <w:sz w:val="18"/>
          <w:szCs w:val="18"/>
          <w:u w:val="single" w:color="auto"/>
          <w:color w:val="auto"/>
        </w:rPr>
        <w:t>Articles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the agreements and covenants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w:t>
      </w:r>
      <w:r>
        <w:rPr>
          <w:rFonts w:ascii="Arial" w:cs="Arial" w:eastAsia="Arial" w:hAnsi="Arial"/>
          <w:sz w:val="18"/>
          <w:szCs w:val="18"/>
          <w:color w:val="auto"/>
        </w:rPr>
        <w:t>, shall survive the Closing. Each Investor shall be responsible only for its own representations, warranties, agreements and covenants hereunder.</w:t>
      </w:r>
    </w:p>
    <w:p>
      <w:pPr>
        <w:spacing w:after="0" w:line="184"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4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170"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Remedies</w:t>
      </w:r>
      <w:r>
        <w:rPr>
          <w:rFonts w:ascii="Arial" w:cs="Arial" w:eastAsia="Arial" w:hAnsi="Arial"/>
          <w:sz w:val="17"/>
          <w:szCs w:val="17"/>
          <w:color w:val="auto"/>
        </w:rPr>
        <w:t>. The parties hereto agree that (i) irreparable harm would occur in the event that any of the provisions of this Agreement were not performed in accordance with their specific terms or were otherwise breached, and (ii) money damages or other legal remedies would not be an adequate remedy for any such harm. Each Investor and each holder of the Securities shall have all rights and remedies set forth in the Transaction Documents and all rights and remedies that such Investors and holders have been granted at any time under any other agreement or contract and all of the rights that such Investors and holders have under any law. Any Person having any rights under any provision of this Agreement shall be entitled to enforce such rights specifically (without posting a bond or other security or proving actual damages), to recover damages by reason of any breach of any provision of this Agreement and to exercise all other rights granted by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63" w:name="page64"/>
    <w:bookmarkEnd w:id="63"/>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6.13. </w:t>
      </w:r>
      <w:r>
        <w:rPr>
          <w:rFonts w:ascii="Arial" w:cs="Arial" w:eastAsia="Arial" w:hAnsi="Arial"/>
          <w:sz w:val="17"/>
          <w:szCs w:val="17"/>
          <w:u w:val="single" w:color="auto"/>
          <w:color w:val="auto"/>
        </w:rPr>
        <w:t>Payment Set Aside</w:t>
      </w:r>
      <w:r>
        <w:rPr>
          <w:rFonts w:ascii="Arial" w:cs="Arial" w:eastAsia="Arial" w:hAnsi="Arial"/>
          <w:sz w:val="17"/>
          <w:szCs w:val="17"/>
          <w:color w:val="auto"/>
        </w:rPr>
        <w:t>. To the extent that the Company or any of its Subsidiaries makes a payment or payments to any Investor hereunder or under any of the other Transaction Documents or any Investor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or such Subsidiary, by a trustee, receiver or any other Person under any law (including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Independent Nature of Investors</w:t>
      </w:r>
      <w:r>
        <w:rPr>
          <w:rFonts w:ascii="Arial" w:cs="Arial" w:eastAsia="Arial" w:hAnsi="Arial"/>
          <w:sz w:val="16"/>
          <w:szCs w:val="16"/>
          <w:color w:val="auto"/>
        </w:rPr>
        <w:t>. The obligations of each Investor hereunder are several and not joint with the obligations of any other Investor, and no Investor shall be responsible in any way for the performance of the obligations of any other Investor hereunder. Each Investor shall be responsible only for its own representations, warranties, agreements and covenants hereunder. The decision of each Investor to purchase the Securities pursuant to this Agreement has been made by such Investor independently of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Investor or by any agent or employee of any other Investor, and no Investor or any of its agents or employees shall have any liability to any other Investor (or any other Person or entity) relating to or arising from any such information, materials, statements or opinions. Nothing contained herein, and no action taken by any Investor pursuant hereto or thereto (including an Investor’s purchase of Securities at the Closing at the same time as any other Investor or Investors),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hereby. Each Investor shall be entitled to independently protect and enforce its rights, including the rights arising out of this Agreement and the other Transaction Documents, and it shall not be necessary for any other Investor to be joined as an additional party in any proceeding for such purpose. Each Investor has been represented by its own separate legal counsel in its review and negotiation of the Transaction Documents. The Company has elected to provide all Investors with the same terms and Transaction Documents for the convenience of the Company and not because it was required or requested to do so by any Investor.</w:t>
      </w:r>
    </w:p>
    <w:p>
      <w:pPr>
        <w:spacing w:after="0" w:line="16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Interpretative Matters</w:t>
      </w:r>
      <w:r>
        <w:rPr>
          <w:rFonts w:ascii="Arial" w:cs="Arial" w:eastAsia="Arial" w:hAnsi="Arial"/>
          <w:sz w:val="17"/>
          <w:szCs w:val="17"/>
          <w:color w:val="auto"/>
        </w:rPr>
        <w:t xml:space="preserve">. Unless the context otherwise requires, (a) all references to Sections, Schedules or Exhibits are to Sections, Schedules or Exhibits contained in or attached to this Agreement, (b) each accounting term not otherwise defined in this Agreement has the meaning assigned to it in accordance with GAAP, (c) words in the singular or plural include the singular and plural and pronouns stated in either the masculine, the feminine or neuter gender shall include the masculine, feminine and neuter, (d) the use of the word “including” in this Agreement shall be by way of example rather than limitation, and (e) the word “or” shall not be exclusive. All statements as to factual matters contained in any certificate or other instrument delivered by or on behalf of the Company pursuant to this Agreement or any of the other Transaction Documents in connection with the transactions contemplated hereby or thereby shall be deemed to be representations and warranties by the Company, as if made by the Company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as of the date of such certificate or instrument.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64" w:name="page65"/>
    <w:bookmarkEnd w:id="6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Investors and the Company have caused this Securities Purchase Agreement to be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10740"/>
          </w:cols>
          <w:pgMar w:left="440" w:top="270" w:right="719" w:bottom="1440" w:gutter="0" w:footer="0" w:header="0"/>
        </w:sectPr>
      </w:pPr>
    </w:p>
    <w:bookmarkStart w:id="65" w:name="page66"/>
    <w:bookmarkEnd w:id="65"/>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INVESTORS</w:t>
      </w:r>
    </w:p>
    <w:p>
      <w:pPr>
        <w:spacing w:after="0" w:line="248" w:lineRule="exact"/>
        <w:rPr>
          <w:sz w:val="20"/>
          <w:szCs w:val="20"/>
          <w:color w:val="auto"/>
        </w:rPr>
      </w:pPr>
    </w:p>
    <w:p>
      <w:pPr>
        <w:spacing w:after="0"/>
        <w:tabs>
          <w:tab w:leader="none" w:pos="4140" w:val="left"/>
          <w:tab w:leader="none" w:pos="6660" w:val="left"/>
          <w:tab w:leader="none" w:pos="9040" w:val="left"/>
        </w:tabs>
        <w:rPr>
          <w:sz w:val="20"/>
          <w:szCs w:val="20"/>
          <w:color w:val="auto"/>
        </w:rPr>
      </w:pPr>
      <w:r>
        <w:rPr>
          <w:rFonts w:ascii="Arial" w:cs="Arial" w:eastAsia="Arial" w:hAnsi="Arial"/>
          <w:sz w:val="14"/>
          <w:szCs w:val="14"/>
          <w:b w:val="1"/>
          <w:bCs w:val="1"/>
          <w:u w:val="single" w:color="auto"/>
          <w:color w:val="auto"/>
        </w:rPr>
        <w:t>Investor Name and Address</w:t>
      </w:r>
      <w:r>
        <w:rPr>
          <w:sz w:val="20"/>
          <w:szCs w:val="20"/>
          <w:color w:val="auto"/>
        </w:rPr>
        <w:tab/>
      </w: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Warrant Shares</w:t>
      </w:r>
      <w:r>
        <w:rPr>
          <w:sz w:val="20"/>
          <w:szCs w:val="20"/>
          <w:color w:val="auto"/>
        </w:rPr>
        <w:tab/>
      </w:r>
      <w:r>
        <w:rPr>
          <w:rFonts w:ascii="Arial" w:cs="Arial" w:eastAsia="Arial" w:hAnsi="Arial"/>
          <w:sz w:val="12"/>
          <w:szCs w:val="12"/>
          <w:b w:val="1"/>
          <w:bCs w:val="1"/>
          <w:color w:val="auto"/>
        </w:rPr>
        <w:t>Aggregate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15240</wp:posOffset>
            </wp:positionV>
            <wp:extent cx="5057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ectPr>
          <w:pgSz w:w="11900" w:h="16838" w:orient="portrait"/>
          <w:cols w:equalWidth="0" w:num="1">
            <w:col w:w="10660"/>
          </w:cols>
          <w:pgMar w:left="440" w:top="270" w:right="7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Registration Rights Agreement</w:t>
      </w:r>
    </w:p>
    <w:p>
      <w:pPr>
        <w:sectPr>
          <w:pgSz w:w="11900" w:h="16838" w:orient="portrait"/>
          <w:cols w:equalWidth="0" w:num="1">
            <w:col w:w="9019"/>
          </w:cols>
          <w:pgMar w:left="1440" w:top="270"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Pre-Funded Warrant</w:t>
      </w:r>
    </w:p>
    <w:p>
      <w:pPr>
        <w:sectPr>
          <w:pgSz w:w="11900" w:h="16838" w:orient="portrait"/>
          <w:cols w:equalWidth="0" w:num="1">
            <w:col w:w="9019"/>
          </w:cols>
          <w:pgMar w:left="1440" w:top="270"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“Accredited Investor” Questionnaire</w:t>
      </w:r>
    </w:p>
    <w:p>
      <w:pPr>
        <w:sectPr>
          <w:pgSz w:w="11900" w:h="16838" w:orient="portrait"/>
          <w:cols w:equalWidth="0" w:num="1">
            <w:col w:w="9019"/>
          </w:cols>
          <w:pgMar w:left="1440" w:top="270"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right="140" w:firstLine="440"/>
        <w:spacing w:after="0" w:line="303" w:lineRule="auto"/>
        <w:rPr>
          <w:sz w:val="20"/>
          <w:szCs w:val="20"/>
          <w:color w:val="auto"/>
        </w:rPr>
      </w:pPr>
      <w:r>
        <w:rPr>
          <w:rFonts w:ascii="Arial" w:cs="Arial" w:eastAsia="Arial" w:hAnsi="Arial"/>
          <w:sz w:val="16"/>
          <w:szCs w:val="16"/>
          <w:b w:val="1"/>
          <w:bCs w:val="1"/>
          <w:color w:val="auto"/>
        </w:rPr>
        <w:t xml:space="preserve">THIS REGISTRATION RIGHTS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May 28, 2020 (the “</w:t>
      </w:r>
      <w:r>
        <w:rPr>
          <w:rFonts w:ascii="Arial" w:cs="Arial" w:eastAsia="Arial" w:hAnsi="Arial"/>
          <w:sz w:val="16"/>
          <w:szCs w:val="16"/>
          <w:b w:val="1"/>
          <w:bCs w:val="1"/>
          <w:color w:val="auto"/>
        </w:rPr>
        <w:t>Effective Date</w:t>
      </w:r>
      <w:r>
        <w:rPr>
          <w:rFonts w:ascii="Arial" w:cs="Arial" w:eastAsia="Arial" w:hAnsi="Arial"/>
          <w:sz w:val="16"/>
          <w:szCs w:val="16"/>
          <w:color w:val="auto"/>
        </w:rPr>
        <w:t>”), is made and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by and among Larimar Therapeutics, Inc., a Delaware corporation (f/k/a Zafgen, Inc.) (the “</w:t>
      </w:r>
      <w:r>
        <w:rPr>
          <w:rFonts w:ascii="Arial" w:cs="Arial" w:eastAsia="Arial" w:hAnsi="Arial"/>
          <w:sz w:val="16"/>
          <w:szCs w:val="16"/>
          <w:b w:val="1"/>
          <w:bCs w:val="1"/>
          <w:color w:val="auto"/>
        </w:rPr>
        <w:t>Company</w:t>
      </w:r>
      <w:r>
        <w:rPr>
          <w:rFonts w:ascii="Arial" w:cs="Arial" w:eastAsia="Arial" w:hAnsi="Arial"/>
          <w:sz w:val="16"/>
          <w:szCs w:val="16"/>
          <w:color w:val="auto"/>
        </w:rPr>
        <w:t>”), and the “Investors” named in that certain Securities Purchase Agreement, dated as of May 28, 2020, by and among the Company and the Investors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Capitalized terms used herein have the respective meanings ascribed thereto in the Securities Purchase Agreement unless otherwise defined herein.</w:t>
      </w:r>
    </w:p>
    <w:p>
      <w:pPr>
        <w:spacing w:after="0" w:line="151"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made pursuant to the Securities Purchase Agreement to provide for certain arrangements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of the Registrable Securities (as defined below) by the Company under the 1933 Act.</w:t>
      </w:r>
    </w:p>
    <w:p>
      <w:pPr>
        <w:spacing w:after="0" w:line="162" w:lineRule="exact"/>
        <w:rPr>
          <w:sz w:val="20"/>
          <w:szCs w:val="20"/>
          <w:color w:val="auto"/>
        </w:rPr>
      </w:pPr>
    </w:p>
    <w:p>
      <w:pPr>
        <w:jc w:val="center"/>
        <w:ind w:right="140"/>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capitalized terms used herein shall have the following meanings:</w:t>
      </w:r>
    </w:p>
    <w:p>
      <w:pPr>
        <w:spacing w:after="0" w:line="221"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means the Investors identified in the Securities Purchase Agreement and any Affiliate or permitted transferee of any Investor who is a subsequent holder of Registrable Securities.</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Shares, (ii) the Warrant Shares, and (iii) any other securities issued or issuable with respect to or in exchange for Shares or Warrant Shares; provided, that, a security shall cease to be a Registrable Security upon (A) sale pursuant to a Registration Statement or Rule 144 under the 1933 Act, or (B) such security becoming eligible for sale without restriction or limitation by such Investor (and any of its Affiliates whose shares must be aggregated with those of such Investor under Rule 144) pursuant to Rule 144 and without the requirement to be in compliance with Rule 144(c)(1) (or any successor thereto) promulgated under the 1933 Act.</w:t>
      </w:r>
    </w:p>
    <w:p>
      <w:pPr>
        <w:sectPr>
          <w:pgSz w:w="11900" w:h="16838" w:orient="portrait"/>
          <w:cols w:equalWidth="0" w:num="1">
            <w:col w:w="11020"/>
          </w:cols>
          <w:pgMar w:left="440" w:top="121" w:right="439" w:bottom="1440" w:gutter="0" w:footer="0" w:header="0"/>
        </w:sectPr>
      </w:pPr>
    </w:p>
    <w:bookmarkStart w:id="70" w:name="page71"/>
    <w:bookmarkEnd w:id="70"/>
    <w:p>
      <w:pPr>
        <w:ind w:left="4" w:right="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w:t>
      </w:r>
      <w:r>
        <w:rPr>
          <w:rFonts w:ascii="Arial" w:cs="Arial" w:eastAsia="Arial" w:hAnsi="Arial"/>
          <w:sz w:val="18"/>
          <w:szCs w:val="18"/>
          <w:color w:val="auto"/>
        </w:rPr>
        <w:t>” means any Investor electing to sell any of its Registrable Securities in a Registration.</w:t>
      </w:r>
    </w:p>
    <w:p>
      <w:pPr>
        <w:spacing w:after="0" w:line="225"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 is listed or quoted and traded on the Nasdaq Global Market.</w:t>
      </w:r>
    </w:p>
    <w:p>
      <w:pPr>
        <w:spacing w:after="0" w:line="121" w:lineRule="exact"/>
        <w:rPr>
          <w:sz w:val="20"/>
          <w:szCs w:val="20"/>
          <w:color w:val="auto"/>
        </w:rPr>
      </w:pPr>
    </w:p>
    <w:p>
      <w:pPr>
        <w:ind w:left="184" w:hanging="184"/>
        <w:spacing w:after="0"/>
        <w:tabs>
          <w:tab w:leader="none" w:pos="18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 w:firstLine="987"/>
        <w:spacing w:after="0" w:line="269" w:lineRule="auto"/>
        <w:tabs>
          <w:tab w:leader="none" w:pos="1210" w:val="left"/>
        </w:tabs>
        <w:numPr>
          <w:ilvl w:val="2"/>
          <w:numId w:val="49"/>
        </w:numPr>
        <w:rPr>
          <w:rFonts w:ascii="Arial" w:cs="Arial" w:eastAsia="Arial" w:hAnsi="Arial"/>
          <w:sz w:val="17"/>
          <w:szCs w:val="17"/>
          <w:color w:val="auto"/>
        </w:rPr>
      </w:pPr>
      <w:r>
        <w:rPr>
          <w:rFonts w:ascii="Arial" w:cs="Arial" w:eastAsia="Arial" w:hAnsi="Arial"/>
          <w:sz w:val="17"/>
          <w:szCs w:val="17"/>
          <w:color w:val="auto"/>
        </w:rPr>
        <w:t>Promptly following the Effective Date but no later than thirty (30) days after the Effective Date (the “</w:t>
      </w:r>
      <w:r>
        <w:rPr>
          <w:rFonts w:ascii="Arial" w:cs="Arial" w:eastAsia="Arial" w:hAnsi="Arial"/>
          <w:sz w:val="17"/>
          <w:szCs w:val="17"/>
          <w:b w:val="1"/>
          <w:bCs w:val="1"/>
          <w:color w:val="auto"/>
        </w:rPr>
        <w:t>Filing Deadline</w:t>
      </w:r>
      <w:r>
        <w:rPr>
          <w:rFonts w:ascii="Arial" w:cs="Arial" w:eastAsia="Arial" w:hAnsi="Arial"/>
          <w:sz w:val="17"/>
          <w:szCs w:val="17"/>
          <w:color w:val="auto"/>
        </w:rPr>
        <w:t>”), the Company shall prepare and file with the SEC a Registration Statement covering the resale of all of the Registrable Securities for an offering to be made on a continuous basis pursuant to Rule 415 under the 1933 Act (</w:t>
      </w:r>
      <w:r>
        <w:rPr>
          <w:rFonts w:ascii="Arial" w:cs="Arial" w:eastAsia="Arial" w:hAnsi="Arial"/>
          <w:sz w:val="17"/>
          <w:szCs w:val="17"/>
          <w:b w:val="1"/>
          <w:bCs w:val="1"/>
          <w:color w:val="auto"/>
        </w:rPr>
        <w:t>“Rule 415</w:t>
      </w:r>
      <w:r>
        <w:rPr>
          <w:rFonts w:ascii="Arial" w:cs="Arial" w:eastAsia="Arial" w:hAnsi="Arial"/>
          <w:sz w:val="17"/>
          <w:szCs w:val="17"/>
          <w:color w:val="auto"/>
        </w:rPr>
        <w:t>”) or, if Rule 415 is not available for offers and sales of the Registrable Securities, by such other means of distribution of Registrable Securities as the Investors may reasonably specify (the “</w:t>
      </w:r>
      <w:r>
        <w:rPr>
          <w:rFonts w:ascii="Arial" w:cs="Arial" w:eastAsia="Arial" w:hAnsi="Arial"/>
          <w:sz w:val="17"/>
          <w:szCs w:val="17"/>
          <w:b w:val="1"/>
          <w:bCs w:val="1"/>
          <w:color w:val="auto"/>
        </w:rPr>
        <w:t>Initial Registration Statement</w:t>
      </w:r>
      <w:r>
        <w:rPr>
          <w:rFonts w:ascii="Arial" w:cs="Arial" w:eastAsia="Arial" w:hAnsi="Arial"/>
          <w:sz w:val="17"/>
          <w:szCs w:val="17"/>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shall contain (except if otherwise required pursuant to written comments received from the SEC upon review of such Registration Statement) a “Plan of Distribution”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may be modified to respond to comments, if any, provided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Investor shall be named as an “underwriter” in such Registration Statement without the Investor’s prior written consent. In the event that the Company is not eligible to register the Registrable Securities on Form S-3 and instead registers the Registrable Securities on another form of registration statement pursuant to the 1933 Act, the Company shall convert or replace such registration statement with a registration statement on Form S-3 promptly following confirmation that the Company becomes eligible to use Form S-3 to register the Registrable Securities.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71" w:name="page72"/>
    <w:bookmarkEnd w:id="71"/>
    <w:p>
      <w:pPr>
        <w:ind w:left="4" w:right="40" w:firstLine="987"/>
        <w:spacing w:after="0" w:line="301" w:lineRule="auto"/>
        <w:tabs>
          <w:tab w:leader="none" w:pos="1260"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Investors prior to its filing or other submission.</w:t>
      </w:r>
    </w:p>
    <w:p>
      <w:pPr>
        <w:spacing w:after="0" w:line="49" w:lineRule="exact"/>
        <w:rPr>
          <w:rFonts w:ascii="Arial" w:cs="Arial" w:eastAsia="Arial" w:hAnsi="Arial"/>
          <w:sz w:val="16"/>
          <w:szCs w:val="16"/>
          <w:color w:val="auto"/>
        </w:rPr>
      </w:pPr>
    </w:p>
    <w:p>
      <w:pPr>
        <w:ind w:left="4" w:right="140" w:firstLine="436"/>
        <w:spacing w:after="0" w:line="259" w:lineRule="auto"/>
        <w:tabs>
          <w:tab w:leader="none" w:pos="69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0" w:firstLine="987"/>
        <w:spacing w:after="0" w:line="259" w:lineRule="auto"/>
        <w:tabs>
          <w:tab w:leader="none" w:pos="12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have each Registration Statement declared effective as soon as practicable after the filing. The Company shall notify the Investors as promptly as practicable, and in any event, within twenty-four (24) hours, after the Registration Statement is declared effective and shall simultaneously provide the Investors with copies of any related Prospectus to be used in connection with the sale or other disposition of the securities covered thereby.</w:t>
      </w:r>
    </w:p>
    <w:p>
      <w:pPr>
        <w:spacing w:after="0" w:line="79" w:lineRule="exact"/>
        <w:rPr>
          <w:sz w:val="20"/>
          <w:szCs w:val="20"/>
          <w:color w:val="auto"/>
        </w:rPr>
      </w:pPr>
    </w:p>
    <w:p>
      <w:pPr>
        <w:ind w:left="4" w:right="120" w:firstLine="987"/>
        <w:spacing w:after="0" w:line="284" w:lineRule="auto"/>
        <w:tabs>
          <w:tab w:leader="none" w:pos="1260" w:val="left"/>
        </w:tabs>
        <w:numPr>
          <w:ilvl w:val="2"/>
          <w:numId w:val="52"/>
        </w:numPr>
        <w:rPr>
          <w:rFonts w:ascii="Arial" w:cs="Arial" w:eastAsia="Arial" w:hAnsi="Arial"/>
          <w:sz w:val="16"/>
          <w:szCs w:val="16"/>
          <w:color w:val="auto"/>
        </w:rPr>
      </w:pPr>
      <w:r>
        <w:rPr>
          <w:rFonts w:ascii="Arial" w:cs="Arial" w:eastAsia="Arial" w:hAnsi="Arial"/>
          <w:sz w:val="16"/>
          <w:szCs w:val="16"/>
          <w:color w:val="auto"/>
        </w:rPr>
        <w:t xml:space="preserve">For not more than ten (10) consecutive days or for a total of not more than twenty (20) days in any twelve (12) month period, the Company may suspend the use of any Prospectus included in any Registration Statement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any Misstatement (an “</w:t>
      </w:r>
      <w:r>
        <w:rPr>
          <w:rFonts w:ascii="Arial" w:cs="Arial" w:eastAsia="Arial" w:hAnsi="Arial"/>
          <w:sz w:val="16"/>
          <w:szCs w:val="16"/>
          <w:b w:val="1"/>
          <w:bCs w:val="1"/>
          <w:color w:val="auto"/>
        </w:rPr>
        <w:t>Allowed Delay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promptly (1) notify each Investor in writing of the commencement of an Allowed Delay, but shall not (without the prior written consent of an Investor) disclose to such Investor any material non-public information giving rise to an Allowed Delay,</w:t>
      </w:r>
    </w:p>
    <w:p>
      <w:pPr>
        <w:spacing w:after="0" w:line="2" w:lineRule="exact"/>
        <w:rPr>
          <w:rFonts w:ascii="Arial" w:cs="Arial" w:eastAsia="Arial" w:hAnsi="Arial"/>
          <w:sz w:val="16"/>
          <w:szCs w:val="16"/>
          <w:color w:val="auto"/>
        </w:rPr>
      </w:pPr>
    </w:p>
    <w:p>
      <w:pPr>
        <w:ind w:left="4" w:right="420" w:hanging="4"/>
        <w:spacing w:after="0" w:line="260"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advise the Investors in writing to cease all sales under such Registration Statement until the end of the Allowed Delay and (3) use commercially reasonable efforts to terminate an Allowed Delay as promptly as practicable.</w:t>
      </w:r>
    </w:p>
    <w:p>
      <w:pPr>
        <w:spacing w:after="0" w:line="77" w:lineRule="exact"/>
        <w:rPr>
          <w:rFonts w:ascii="Arial" w:cs="Arial" w:eastAsia="Arial" w:hAnsi="Arial"/>
          <w:sz w:val="18"/>
          <w:szCs w:val="18"/>
          <w:color w:val="auto"/>
        </w:rPr>
      </w:pPr>
    </w:p>
    <w:p>
      <w:pPr>
        <w:ind w:left="4" w:firstLine="436"/>
        <w:spacing w:after="0" w:line="291" w:lineRule="auto"/>
        <w:tabs>
          <w:tab w:leader="none" w:pos="69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(i) the Registration Statement is not filed on or prior to the Filing Deadline, (ii) the Company fails to file with the SEC a request for acceleration of a Registration Statement in accordance with Rule 461 promulgated by the SEC pursuant to the 1933 Act, within five</w:t>
      </w:r>
    </w:p>
    <w:p>
      <w:pPr>
        <w:ind w:left="4" w:right="20" w:hanging="4"/>
        <w:spacing w:after="0" w:line="265" w:lineRule="auto"/>
        <w:tabs>
          <w:tab w:leader="none" w:pos="2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Trading Days of the date that the Company is notified (orally or in writing, whichever is earlier) by the SEC that such Registration Statement will not be “reviewed” or will not be subject to further review, (iii) prior to the effective date of a Registration Statement, the Company fails to file a pre-effective amendment and otherwise respond in writing to comments made by the SEC in respect of such Registration Statement within ten</w:t>
      </w:r>
    </w:p>
    <w:p>
      <w:pPr>
        <w:ind w:left="4" w:right="100" w:hanging="4"/>
        <w:spacing w:after="0" w:line="260" w:lineRule="auto"/>
        <w:tabs>
          <w:tab w:leader="none" w:pos="3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calendar days after the receipt of comments by or notice from the SEC that such amendment is required in order for such Registration Statement to be declared effective, or (iv) the Company fails to maintain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72" w:name="page73"/>
    <w:bookmarkEnd w:id="7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effectiveness of the Registration Statement during the Effectiveness Period other than in connection with an Allowed Delay, or the Allowed Delay is exceeded (any such failure or breach being referred to as an “</w:t>
      </w:r>
      <w:r>
        <w:rPr>
          <w:rFonts w:ascii="Arial" w:cs="Arial" w:eastAsia="Arial" w:hAnsi="Arial"/>
          <w:sz w:val="16"/>
          <w:szCs w:val="16"/>
          <w:b w:val="1"/>
          <w:bCs w:val="1"/>
          <w:color w:val="auto"/>
        </w:rPr>
        <w:t>Event</w:t>
      </w:r>
      <w:r>
        <w:rPr>
          <w:rFonts w:ascii="Arial" w:cs="Arial" w:eastAsia="Arial" w:hAnsi="Arial"/>
          <w:sz w:val="16"/>
          <w:szCs w:val="16"/>
          <w:color w:val="auto"/>
        </w:rPr>
        <w:t>”, and for purpose of clause (i), the date on which such Event occurs, and for purpose of clause (ii) the date on which such five (5) Trading Day period is exceeded, and for purpose of clause (iii) the date which such ten (10) calendar day period is exceeded, and for purpose of clause (iv) the date on which the Allowed Delay, is exceeded being referred to as the “</w:t>
      </w:r>
      <w:r>
        <w:rPr>
          <w:rFonts w:ascii="Arial" w:cs="Arial" w:eastAsia="Arial" w:hAnsi="Arial"/>
          <w:sz w:val="16"/>
          <w:szCs w:val="16"/>
          <w:b w:val="1"/>
          <w:bCs w:val="1"/>
          <w:color w:val="auto"/>
        </w:rPr>
        <w:t>Event Date</w:t>
      </w:r>
      <w:r>
        <w:rPr>
          <w:rFonts w:ascii="Arial" w:cs="Arial" w:eastAsia="Arial" w:hAnsi="Arial"/>
          <w:sz w:val="16"/>
          <w:szCs w:val="16"/>
          <w:color w:val="auto"/>
        </w:rPr>
        <w:t>”),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 1.0% multiplied by the aggregate Purchase Price paid by such Investor pursuant to the Securities Purchase Agreement. The amounts payable pursuant to the foregoing sentence are referred to collectively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parties agree that (1) notwithstanding anything to the contrary herein or in the Securities Purchase Agreement, no Liquidated Damages shall be payable with respect to any period after the expiration of the Effectiveness Period and in no event shall the aggregate amount of Liquidated Damages payable to an Investor pursuant to this Section 2.(d) exceed, in the aggregate, five percent (5%) of the aggregate purchase price paid by such Investor pursuant to the Securities Purchase Agreement and (2) in no event shall the Company be liable in any thirty (30)-day period for Liquidated Damages under this Agreement in excess of one percent (1.0)% of the aggregate purchase price paid by the Investors pursuant to the Securities Purchase Agreement. If the Company fails to pay any Liquidated Damages pursuant to this Section 2(d) in full within seven (7) calendar days after the date payable, the Company will pay interest thereon at a rate of one percent (1.0%) per annum (or such lesser maximum amount that is permitted to be paid by applicable Law) to the Investor, accruing daily from the date such Liquidated Damages are due until such amounts, plus all such interest thereon, are paid in full. The Liquidated Damages pursuant to the terms hereof shall apply on a daily pro rata basis for any portion of a month prior to the cure of an Event. The Effectiveness Deadline for a Registration Statement shall be extended without default and without the payment of Liquidated Damages hereunder in the event that the Company’s failure to obtain the effectiveness of the Registration Statement on a timely basis results from the failure of an Investor to timely provide the Company with information requested by the Company and necessary to complete the Registration Statement in accordance with the requirements of the 1933 Act.</w:t>
      </w:r>
    </w:p>
    <w:p>
      <w:pPr>
        <w:spacing w:after="0" w:line="72" w:lineRule="exact"/>
        <w:rPr>
          <w:sz w:val="20"/>
          <w:szCs w:val="20"/>
          <w:color w:val="auto"/>
        </w:rPr>
      </w:pPr>
    </w:p>
    <w:p>
      <w:pPr>
        <w:ind w:right="40" w:firstLine="436"/>
        <w:spacing w:after="0" w:line="283"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holders of a majority of the Registrable Securities. No such written submission with respect to this matter shall be made to the SEC to which the Investors’ counsel reasonably objects. In the event that, despite the Company’s commercially reasonable efforts and compliance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SEC refuses to alter its position, the Company shall</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3" w:name="page74"/>
    <w:bookmarkEnd w:id="73"/>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remove from such Registration Statement such portion of the Registrable Securities (the “</w:t>
      </w:r>
      <w:r>
        <w:rPr>
          <w:rFonts w:ascii="Arial" w:cs="Arial" w:eastAsia="Arial" w:hAnsi="Arial"/>
          <w:sz w:val="17"/>
          <w:szCs w:val="17"/>
          <w:b w:val="1"/>
          <w:bCs w:val="1"/>
          <w:color w:val="auto"/>
        </w:rPr>
        <w:t>Cut Back Shares</w:t>
      </w:r>
      <w:r>
        <w:rPr>
          <w:rFonts w:ascii="Arial" w:cs="Arial" w:eastAsia="Arial" w:hAnsi="Arial"/>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7"/>
          <w:szCs w:val="17"/>
          <w:b w:val="1"/>
          <w:bCs w:val="1"/>
          <w:color w:val="auto"/>
        </w:rPr>
        <w:t>SEC Restrictions</w:t>
      </w:r>
      <w:r>
        <w:rPr>
          <w:rFonts w:ascii="Arial" w:cs="Arial" w:eastAsia="Arial" w:hAnsi="Arial"/>
          <w:sz w:val="17"/>
          <w:szCs w:val="17"/>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the date on which the Company is able to effect the registration of such Cut Back Shares (such date, the “</w:t>
      </w:r>
      <w:r>
        <w:rPr>
          <w:rFonts w:ascii="Arial" w:cs="Arial" w:eastAsia="Arial" w:hAnsi="Arial"/>
          <w:sz w:val="17"/>
          <w:szCs w:val="17"/>
          <w:b w:val="1"/>
          <w:bCs w:val="1"/>
          <w:color w:val="auto"/>
        </w:rPr>
        <w:t>Restriction Termination Date</w:t>
      </w:r>
      <w:r>
        <w:rPr>
          <w:rFonts w:ascii="Arial" w:cs="Arial" w:eastAsia="Arial" w:hAnsi="Arial"/>
          <w:sz w:val="17"/>
          <w:szCs w:val="17"/>
          <w:color w:val="auto"/>
        </w:rPr>
        <w:t xml:space="preserve">”), all of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be the 90th day immediately after the Restriction Termination Date (or the 120th day if the SEC reviews such Registration Statement). Notwithstanding anything to the contrary in this Section 2, the Company shall not be liable for Liquidated Damages under this Agreement as to any Registrable Securities which are not permitted by the SEC to be included in a Registration Statement due solely to the SEC Restrictions. In such case, the Liquidated Damages shall be calculated to only apply to the percentage of Registrable Securities which are permitted in accordance with the SEC Restrictions to be included in such Registration Statement.</w:t>
      </w:r>
    </w:p>
    <w:p>
      <w:pPr>
        <w:spacing w:after="0" w:line="76" w:lineRule="exact"/>
        <w:rPr>
          <w:sz w:val="20"/>
          <w:szCs w:val="20"/>
          <w:color w:val="auto"/>
        </w:rPr>
      </w:pPr>
    </w:p>
    <w:p>
      <w:pPr>
        <w:ind w:left="4" w:right="600" w:hanging="4"/>
        <w:spacing w:after="0" w:line="277" w:lineRule="auto"/>
        <w:tabs>
          <w:tab w:leader="none" w:pos="18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62" w:lineRule="exact"/>
        <w:rPr>
          <w:rFonts w:ascii="Arial" w:cs="Arial" w:eastAsia="Arial" w:hAnsi="Arial"/>
          <w:sz w:val="18"/>
          <w:szCs w:val="18"/>
          <w:color w:val="auto"/>
        </w:rPr>
      </w:pPr>
    </w:p>
    <w:p>
      <w:pPr>
        <w:ind w:left="4" w:firstLine="436"/>
        <w:spacing w:after="0" w:line="275" w:lineRule="auto"/>
        <w:tabs>
          <w:tab w:leader="none" w:pos="689" w:val="left"/>
        </w:tabs>
        <w:numPr>
          <w:ilvl w:val="1"/>
          <w:numId w:val="57"/>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earlier of (i) the second anniversary of the Effective Date, and (ii) the date on which all Registrable Securities covered by such Registration Statement may be sold without restriction or limitation pursuant to Rule 144 and without the requirement to be in compliance with Rule 144(c)(1) (or any successor thereto) promulgated under the 1933 Act during any ninety (90) day period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and advise the Investors promptly in writing when the Effectiveness Period has expired;</w:t>
      </w:r>
    </w:p>
    <w:p>
      <w:pPr>
        <w:spacing w:after="0" w:line="68" w:lineRule="exact"/>
        <w:rPr>
          <w:rFonts w:ascii="Arial" w:cs="Arial" w:eastAsia="Arial" w:hAnsi="Arial"/>
          <w:sz w:val="17"/>
          <w:szCs w:val="17"/>
          <w:color w:val="auto"/>
        </w:rPr>
      </w:pPr>
    </w:p>
    <w:p>
      <w:pPr>
        <w:jc w:val="both"/>
        <w:ind w:left="4" w:right="140" w:firstLine="436"/>
        <w:spacing w:after="0" w:line="263" w:lineRule="auto"/>
        <w:tabs>
          <w:tab w:leader="none" w:pos="699"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74" w:name="page75"/>
    <w:bookmarkEnd w:id="74"/>
    <w:p>
      <w:pPr>
        <w:ind w:left="-20" w:firstLine="436"/>
        <w:spacing w:after="0" w:line="254" w:lineRule="auto"/>
        <w:tabs>
          <w:tab w:leader="none" w:pos="66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 copies to and permit the Investors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not file any document to which such Investor reasonably objects in good faith (it being acknowledged and agreed that if an Investor does not object to or comment on the aforementioned documents within such five (5) Trading Day or one (1) Trading Day period, as the case may be, then the Investor shall be deemed to have consented to and approved the use of such documents), provided that, the Company is notified of such objection in writing within the five (5) Trading Day or one (1) Trading Day period described in this </w:t>
      </w:r>
      <w:r>
        <w:rPr>
          <w:rFonts w:ascii="Arial" w:cs="Arial" w:eastAsia="Arial" w:hAnsi="Arial"/>
          <w:sz w:val="18"/>
          <w:szCs w:val="18"/>
          <w:u w:val="single" w:color="auto"/>
          <w:color w:val="auto"/>
        </w:rPr>
        <w:t>Section 3(c)</w:t>
      </w:r>
      <w:r>
        <w:rPr>
          <w:rFonts w:ascii="Arial" w:cs="Arial" w:eastAsia="Arial" w:hAnsi="Arial"/>
          <w:sz w:val="18"/>
          <w:szCs w:val="18"/>
          <w:color w:val="auto"/>
        </w:rPr>
        <w:t>, as applicable;</w:t>
      </w:r>
    </w:p>
    <w:p>
      <w:pPr>
        <w:spacing w:after="0" w:line="83" w:lineRule="exact"/>
        <w:rPr>
          <w:rFonts w:ascii="Arial" w:cs="Arial" w:eastAsia="Arial" w:hAnsi="Arial"/>
          <w:sz w:val="18"/>
          <w:szCs w:val="18"/>
          <w:color w:val="auto"/>
        </w:rPr>
      </w:pPr>
    </w:p>
    <w:p>
      <w:pPr>
        <w:ind w:left="-20" w:right="100" w:firstLine="436"/>
        <w:spacing w:after="0" w:line="290"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furnish to each Investor whose Registrable Securities are included in any Registration Statement (i) promptly after the same is prepared and filed with the SEC, if requested by the Investor, one (1) copy of any Registration Statement and any amendment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to provide any document pursuant to this clause that is available on the SEC’s EDGAR system),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57" w:lineRule="exact"/>
        <w:rPr>
          <w:rFonts w:ascii="Arial" w:cs="Arial" w:eastAsia="Arial" w:hAnsi="Arial"/>
          <w:sz w:val="16"/>
          <w:szCs w:val="16"/>
          <w:color w:val="auto"/>
        </w:rPr>
      </w:pPr>
    </w:p>
    <w:p>
      <w:pPr>
        <w:ind w:left="-20" w:right="180" w:firstLine="436"/>
        <w:spacing w:after="0" w:line="277" w:lineRule="auto"/>
        <w:tabs>
          <w:tab w:leader="none" w:pos="6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62" w:lineRule="exact"/>
        <w:rPr>
          <w:rFonts w:ascii="Arial" w:cs="Arial" w:eastAsia="Arial" w:hAnsi="Arial"/>
          <w:sz w:val="18"/>
          <w:szCs w:val="18"/>
          <w:color w:val="auto"/>
        </w:rPr>
      </w:pPr>
    </w:p>
    <w:p>
      <w:pPr>
        <w:ind w:left="-20" w:right="60" w:firstLine="436"/>
        <w:spacing w:after="0" w:line="272" w:lineRule="auto"/>
        <w:tabs>
          <w:tab w:leader="none" w:pos="6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69" w:lineRule="exact"/>
        <w:rPr>
          <w:rFonts w:ascii="Arial" w:cs="Arial" w:eastAsia="Arial" w:hAnsi="Arial"/>
          <w:sz w:val="17"/>
          <w:szCs w:val="17"/>
          <w:color w:val="auto"/>
        </w:rPr>
      </w:pPr>
    </w:p>
    <w:p>
      <w:pPr>
        <w:ind w:left="-20" w:right="400" w:firstLine="436"/>
        <w:spacing w:after="0" w:line="308" w:lineRule="auto"/>
        <w:tabs>
          <w:tab w:leader="none" w:pos="6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38" w:lineRule="exact"/>
        <w:rPr>
          <w:rFonts w:ascii="Arial" w:cs="Arial" w:eastAsia="Arial" w:hAnsi="Arial"/>
          <w:sz w:val="17"/>
          <w:szCs w:val="17"/>
          <w:color w:val="auto"/>
        </w:rPr>
      </w:pPr>
    </w:p>
    <w:p>
      <w:pPr>
        <w:ind w:left="-20" w:right="20" w:firstLine="436"/>
        <w:spacing w:after="0" w:line="25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 “</w:t>
      </w:r>
      <w:r>
        <w:rPr>
          <w:rFonts w:ascii="Arial" w:cs="Arial" w:eastAsia="Arial" w:hAnsi="Arial"/>
          <w:sz w:val="18"/>
          <w:szCs w:val="18"/>
          <w:b w:val="1"/>
          <w:bCs w:val="1"/>
          <w:color w:val="auto"/>
        </w:rPr>
        <w:t>Misstatement</w:t>
      </w:r>
      <w:r>
        <w:rPr>
          <w:rFonts w:ascii="Arial" w:cs="Arial" w:eastAsia="Arial" w:hAnsi="Arial"/>
          <w:sz w:val="18"/>
          <w:szCs w:val="18"/>
          <w:color w:val="auto"/>
        </w:rPr>
        <w:t>”), and promptly prepare, file with the SEC and furnish to such holder a supplement to or an amendment of such Prospectus as may be necessary so that such Prospectus shall not include such Misstatement;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75" w:name="page76"/>
    <w:bookmarkEnd w:id="75"/>
    <w:p>
      <w:pPr>
        <w:ind w:left="4" w:firstLine="436"/>
        <w:spacing w:after="0" w:line="269" w:lineRule="auto"/>
        <w:tabs>
          <w:tab w:leader="none" w:pos="659" w:val="left"/>
        </w:tabs>
        <w:numPr>
          <w:ilvl w:val="1"/>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7"/>
          <w:szCs w:val="17"/>
          <w:u w:val="single" w:color="auto"/>
          <w:color w:val="auto"/>
        </w:rPr>
        <w:t>Section 3(i)</w:t>
      </w:r>
      <w:r>
        <w:rPr>
          <w:rFonts w:ascii="Arial" w:cs="Arial" w:eastAsia="Arial" w:hAnsi="Arial"/>
          <w:sz w:val="17"/>
          <w:szCs w:val="17"/>
          <w:color w:val="auto"/>
        </w:rPr>
        <w:t>,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90th day after the end of such fourth fiscal quarter); and</w:t>
      </w:r>
    </w:p>
    <w:p>
      <w:pPr>
        <w:spacing w:after="0" w:line="73" w:lineRule="exact"/>
        <w:rPr>
          <w:rFonts w:ascii="Arial" w:cs="Arial" w:eastAsia="Arial" w:hAnsi="Arial"/>
          <w:sz w:val="17"/>
          <w:szCs w:val="17"/>
          <w:color w:val="auto"/>
        </w:rPr>
      </w:pPr>
    </w:p>
    <w:p>
      <w:pPr>
        <w:ind w:left="4" w:firstLine="436"/>
        <w:spacing w:after="0" w:line="269" w:lineRule="auto"/>
        <w:tabs>
          <w:tab w:leader="none" w:pos="6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Investor copies of all pages thereof (if any) that reference such Investors, and (iv)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73" w:lineRule="exact"/>
        <w:rPr>
          <w:rFonts w:ascii="Arial" w:cs="Arial" w:eastAsia="Arial" w:hAnsi="Arial"/>
          <w:sz w:val="17"/>
          <w:szCs w:val="17"/>
          <w:color w:val="auto"/>
        </w:rPr>
      </w:pPr>
    </w:p>
    <w:p>
      <w:pPr>
        <w:ind w:left="184" w:hanging="184"/>
        <w:spacing w:after="0"/>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436"/>
        <w:spacing w:after="0" w:line="259" w:lineRule="auto"/>
        <w:tabs>
          <w:tab w:leader="none" w:pos="689"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Investor agrees to furnish to the Company a completed Selling Investor Questionnaire on the Effective Date. At least ten (10) Trading Days prior to the first anticipated filing date of a Registration Statement for any registration under this Agreement, the Company will notify each Investor of the information the Company requires from that Investor other than the information contained in the Selling Investor Questionnaire, if any, which shall be completed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6" w:name="page77"/>
    <w:bookmarkEnd w:id="7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and delivered to the Company promptly upon request and, in any event, within three (3) Trading Days prior to the applicable anticipated filing date. Each Investor further agrees that it shall not be entitled to be named as a selling securityholder in the Registration Statement or use the Prospectus for offers and resales of Registrable Securities at any time, unless such Investor has returned to the Company a completed and signed Selling Investor Questionnaire and a response to any reasonable requests for further information as described in the previous sentence. If an Investor returns a Selling Investor Questionnaire or a request for further information, in either case, after its respective deadline, the Company shall use its reasonable best efforts to take such actions as are required to name such Investor as a selling security holder in the Registration Statement or any pre-effective or post-effective amendment thereto and to include (to the extent not theretofore included) in the Registration Statement the Registrable Securities identified in such late Selling Investor Questionnaire or request for further information. Each Investor acknowledges and agrees that the information in the Selling Investor Questionnaire or request for further information as described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will be used by the Company in the preparation of the Registration Statement and hereby consents to the inclusion of such information in the Registration Statement.</w:t>
      </w:r>
    </w:p>
    <w:p>
      <w:pPr>
        <w:spacing w:after="0" w:line="60" w:lineRule="exact"/>
        <w:rPr>
          <w:sz w:val="20"/>
          <w:szCs w:val="20"/>
          <w:color w:val="auto"/>
        </w:rPr>
      </w:pPr>
    </w:p>
    <w:p>
      <w:pPr>
        <w:ind w:firstLine="436"/>
        <w:spacing w:after="0" w:line="291"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ten (10)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to the Company at least two (2) Business Days prior to the first anticipated filing date of such Registration Statement if such Investor elects to have any of the Registrable Securities included in such Registration Statement.</w:t>
      </w:r>
    </w:p>
    <w:p>
      <w:pPr>
        <w:spacing w:after="0" w:line="58" w:lineRule="exact"/>
        <w:rPr>
          <w:rFonts w:ascii="Arial" w:cs="Arial" w:eastAsia="Arial" w:hAnsi="Arial"/>
          <w:sz w:val="16"/>
          <w:szCs w:val="16"/>
          <w:color w:val="auto"/>
        </w:rPr>
      </w:pPr>
    </w:p>
    <w:p>
      <w:pPr>
        <w:ind w:right="40" w:firstLine="436"/>
        <w:spacing w:after="0" w:line="263"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75" w:lineRule="exact"/>
        <w:rPr>
          <w:rFonts w:ascii="Arial" w:cs="Arial" w:eastAsia="Arial" w:hAnsi="Arial"/>
          <w:sz w:val="18"/>
          <w:szCs w:val="18"/>
          <w:color w:val="auto"/>
        </w:rPr>
      </w:pPr>
    </w:p>
    <w:p>
      <w:pPr>
        <w:ind w:right="160" w:firstLine="436"/>
        <w:spacing w:after="0" w:line="259"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Each Investor agrees that, upon receipt of any notice from the Company of either (i) the commencement of an Allowed Delay pursuant to </w:t>
      </w:r>
      <w:r>
        <w:rPr>
          <w:rFonts w:ascii="Arial" w:cs="Arial" w:eastAsia="Arial" w:hAnsi="Arial"/>
          <w:sz w:val="18"/>
          <w:szCs w:val="18"/>
          <w:u w:val="single" w:color="auto"/>
          <w:color w:val="auto"/>
        </w:rPr>
        <w:t>Section 2(c)(i)</w:t>
      </w:r>
      <w:r>
        <w:rPr>
          <w:rFonts w:ascii="Arial" w:cs="Arial" w:eastAsia="Arial" w:hAnsi="Arial"/>
          <w:sz w:val="18"/>
          <w:szCs w:val="18"/>
          <w:color w:val="auto"/>
        </w:rPr>
        <w:t xml:space="preserve"> or (ii) the happening of an event pursuant to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78" w:lineRule="exact"/>
        <w:rPr>
          <w:rFonts w:ascii="Arial" w:cs="Arial" w:eastAsia="Arial" w:hAnsi="Arial"/>
          <w:sz w:val="18"/>
          <w:szCs w:val="18"/>
          <w:color w:val="auto"/>
        </w:rPr>
      </w:pPr>
    </w:p>
    <w:p>
      <w:pPr>
        <w:ind w:right="380" w:firstLine="436"/>
        <w:spacing w:after="0" w:line="277"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77" w:name="page78"/>
    <w:bookmarkEnd w:id="77"/>
    <w:p>
      <w:pPr>
        <w:ind w:left="184" w:hanging="184"/>
        <w:spacing w:after="0"/>
        <w:tabs>
          <w:tab w:leader="none" w:pos="18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86" w:lineRule="auto"/>
        <w:tabs>
          <w:tab w:leader="none" w:pos="689"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of their respective officers, employees, Affiliates, directors, partners, members, equityholders, attorneys, advisors and agents, and each person or entity, if any, who controls (within the meaning of Section 15 of the 1933 Act or Section 20 of the 1934 Act) each Investor (each, an “</w:t>
      </w:r>
      <w:r>
        <w:rPr>
          <w:rFonts w:ascii="Arial" w:cs="Arial" w:eastAsia="Arial" w:hAnsi="Arial"/>
          <w:sz w:val="16"/>
          <w:szCs w:val="16"/>
          <w:b w:val="1"/>
          <w:bCs w:val="1"/>
          <w:color w:val="auto"/>
        </w:rPr>
        <w:t>Investor Indemnified Party</w:t>
      </w:r>
      <w:r>
        <w:rPr>
          <w:rFonts w:ascii="Arial" w:cs="Arial" w:eastAsia="Arial" w:hAnsi="Arial"/>
          <w:sz w:val="16"/>
          <w:szCs w:val="16"/>
          <w:color w:val="auto"/>
        </w:rPr>
        <w:t>”), to the fullest extent permitted by applicable law, from and against any expenses, losses, judgments, actions, claims, proceedings (whether commenced or threatened), damages, liabilities or costs (including, without limitation, reasonable attorneys’ fees), whether joint or several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or any amendment or supplement to such Registration Statement, preliminary Prospectus, final Prospectus or summary Prospectus, or any violation by the Company of the 1933 Act or any rule or regulation promulgated thereunder applicable to the Company and relating to action or inaction required of the Company in connection with any such Registration; and the Company shall promptly reimburse the Investor Indemnified Party for any reasonable, customary and documented out-of-pocket legal and any other expenses incurred, as incurred, by such Investor Indemnified Party in connection with investigating and defending any such Losses, except, with respect to any Investor of Registrable Securities, to the extent such Investor Securities is liable to indemnify the Company for such Losses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4" w:firstLine="436"/>
        <w:spacing w:after="0" w:line="269" w:lineRule="auto"/>
        <w:tabs>
          <w:tab w:leader="none" w:pos="699"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Indemnification by Investors</w:t>
      </w:r>
      <w:r>
        <w:rPr>
          <w:rFonts w:ascii="Arial" w:cs="Arial" w:eastAsia="Arial" w:hAnsi="Arial"/>
          <w:sz w:val="17"/>
          <w:szCs w:val="17"/>
          <w:color w:val="auto"/>
        </w:rPr>
        <w:t>. Each Investor will, in the event that any Registration is being effected under the 1933 Act pursuant to this Agreement of any Registrable Securities held by such Investor and the Company has required all Selling Investors to provide such an undertaking on the same terms, indemnify and hold harmless the Company, each of its directors and officers and each underwriter (if any), and each other Selling Investor and each other person, if any, who controls another Selling Investor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in reliance upon and in conformity with information furnished in writing to the Company by such Selling Investor expressly for use therein, and shall reimburse the Company, its directors and officers, and each other Selling Investor for any reasonable, customary and documented out-of-pocket legal or other expenses incurred by any of them in connection with investigation or defending any such Loss. Each Selling Investor’s indemnification obligations hereunder shall be several and not joint and shall be proportional to and limited to the amount of any net proceeds actually received by such Selling Investor in connection with the sale of Registrable Securities under a Registration Statement from which such Losses arise.</w:t>
      </w:r>
    </w:p>
    <w:p>
      <w:pPr>
        <w:spacing w:after="0" w:line="70" w:lineRule="exact"/>
        <w:rPr>
          <w:rFonts w:ascii="Arial" w:cs="Arial" w:eastAsia="Arial" w:hAnsi="Arial"/>
          <w:sz w:val="17"/>
          <w:szCs w:val="17"/>
          <w:color w:val="auto"/>
        </w:rPr>
      </w:pPr>
    </w:p>
    <w:p>
      <w:pPr>
        <w:ind w:left="4" w:right="40" w:firstLine="436"/>
        <w:spacing w:after="0" w:line="259" w:lineRule="auto"/>
        <w:tabs>
          <w:tab w:leader="none" w:pos="689"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xml:space="preserve">. Promptly after receipt by any person of any notice of any Loss in respect of which indemnity may be sought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or 5</w:t>
      </w:r>
      <w:r>
        <w:rPr>
          <w:rFonts w:ascii="Arial" w:cs="Arial" w:eastAsia="Arial" w:hAnsi="Arial"/>
          <w:sz w:val="18"/>
          <w:szCs w:val="18"/>
          <w:u w:val="single" w:color="auto"/>
          <w:color w:val="auto"/>
        </w:rPr>
        <w:t>(b)</w:t>
      </w:r>
      <w:r>
        <w:rPr>
          <w:rFonts w:ascii="Arial" w:cs="Arial" w:eastAsia="Arial" w:hAnsi="Arial"/>
          <w:sz w:val="18"/>
          <w:szCs w:val="18"/>
          <w:color w:val="auto"/>
        </w:rPr>
        <w:t>, such person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if a claim in respect thereof is to be made against any other person for indemnification hereunder, notify such other person (the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in writing of the Loss;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by the Indemnified Party to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78" w:name="page79"/>
    <w:bookmarkEnd w:id="7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customary and documented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(not to be unreasonably withheld, conditioned or delayed),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83" w:lineRule="exact"/>
        <w:rPr>
          <w:sz w:val="20"/>
          <w:szCs w:val="20"/>
          <w:color w:val="auto"/>
        </w:rPr>
      </w:pPr>
    </w:p>
    <w:p>
      <w:pPr>
        <w:ind w:firstLine="436"/>
        <w:spacing w:after="0" w:line="286"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the foregoing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5</w:t>
      </w:r>
      <w:r>
        <w:rPr>
          <w:rFonts w:ascii="Arial" w:cs="Arial" w:eastAsia="Arial" w:hAnsi="Arial"/>
          <w:sz w:val="16"/>
          <w:szCs w:val="16"/>
          <w:u w:val="single" w:color="auto"/>
          <w:color w:val="auto"/>
        </w:rPr>
        <w:t>(b)</w:t>
      </w:r>
      <w:r>
        <w:rPr>
          <w:rFonts w:ascii="Arial" w:cs="Arial" w:eastAsia="Arial" w:hAnsi="Arial"/>
          <w:sz w:val="16"/>
          <w:szCs w:val="16"/>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The relative fault of any Indemnified Party and any Indemnifying Party shall be determined by reference to, among other things, whether the Misstatement relates to information supplied by such Indemnified Party or such Indemnifying Party (in the case of a Holder, such Misstatement was made in reliance upon and in conformity with information furnished in writing to the Company by such Holder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The amount paid or payable by an Indemnified Party as a result of any Loss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no Investor shall be required to contribute any amount in excess of the dollar amount of the net proceeds (after payment of any underwriting fees, discounts,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9" w:name="page80"/>
    <w:bookmarkEnd w:id="79"/>
    <w:p>
      <w:pPr>
        <w:jc w:val="both"/>
        <w:ind w:left="4"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commissions or taxes) actually received by such Investor from the sale of Registrable Securities which gave rise to such contribution obligation. No person guilty of fraudulent misrepresentation (within the meaning of Section 11(f) of the 1933 Act) shall be entitled to contribution from any person who was not guilty of such fraudulent misrepresentation.</w:t>
      </w:r>
    </w:p>
    <w:p>
      <w:pPr>
        <w:spacing w:after="0" w:line="76" w:lineRule="exact"/>
        <w:rPr>
          <w:sz w:val="20"/>
          <w:szCs w:val="20"/>
          <w:color w:val="auto"/>
        </w:rPr>
      </w:pPr>
    </w:p>
    <w:p>
      <w:pPr>
        <w:ind w:left="184" w:hanging="184"/>
        <w:spacing w:after="0"/>
        <w:tabs>
          <w:tab w:leader="none" w:pos="1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117" w:lineRule="exact"/>
        <w:rPr>
          <w:rFonts w:ascii="Arial" w:cs="Arial" w:eastAsia="Arial" w:hAnsi="Arial"/>
          <w:sz w:val="18"/>
          <w:szCs w:val="18"/>
          <w:color w:val="auto"/>
        </w:rPr>
      </w:pPr>
    </w:p>
    <w:p>
      <w:pPr>
        <w:jc w:val="both"/>
        <w:ind w:left="4" w:right="220" w:firstLine="436"/>
        <w:spacing w:after="0" w:line="275" w:lineRule="auto"/>
        <w:tabs>
          <w:tab w:leader="none" w:pos="69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68" w:lineRule="exact"/>
        <w:rPr>
          <w:rFonts w:ascii="Arial" w:cs="Arial" w:eastAsia="Arial" w:hAnsi="Arial"/>
          <w:sz w:val="17"/>
          <w:szCs w:val="17"/>
          <w:color w:val="auto"/>
        </w:rPr>
      </w:pPr>
    </w:p>
    <w:p>
      <w:pPr>
        <w:ind w:left="4" w:right="100" w:firstLine="436"/>
        <w:spacing w:after="0" w:line="277" w:lineRule="auto"/>
        <w:tabs>
          <w:tab w:leader="none" w:pos="68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as set forth in Section 6.06 of the Securities Purchase Agreement.</w:t>
      </w:r>
    </w:p>
    <w:p>
      <w:pPr>
        <w:spacing w:after="0" w:line="62" w:lineRule="exact"/>
        <w:rPr>
          <w:rFonts w:ascii="Arial" w:cs="Arial" w:eastAsia="Arial" w:hAnsi="Arial"/>
          <w:sz w:val="18"/>
          <w:szCs w:val="18"/>
          <w:color w:val="auto"/>
        </w:rPr>
      </w:pPr>
    </w:p>
    <w:p>
      <w:pPr>
        <w:ind w:left="4" w:right="140" w:firstLine="436"/>
        <w:spacing w:after="0" w:line="296" w:lineRule="auto"/>
        <w:tabs>
          <w:tab w:leader="none" w:pos="699"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Assignments and Transfers by Investors</w:t>
      </w:r>
      <w:r>
        <w:rPr>
          <w:rFonts w:ascii="Arial" w:cs="Arial" w:eastAsia="Arial" w:hAnsi="Arial"/>
          <w:sz w:val="16"/>
          <w:szCs w:val="16"/>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Securities Purchase Agreement, and provides written notice of assignment to the Company promptly after such assignment is effected, and such person agrees in writing to be bound by all of the provisions contained herein.</w:t>
      </w:r>
    </w:p>
    <w:p>
      <w:pPr>
        <w:spacing w:after="0" w:line="53" w:lineRule="exact"/>
        <w:rPr>
          <w:rFonts w:ascii="Arial" w:cs="Arial" w:eastAsia="Arial" w:hAnsi="Arial"/>
          <w:sz w:val="16"/>
          <w:szCs w:val="16"/>
          <w:color w:val="auto"/>
        </w:rPr>
      </w:pPr>
    </w:p>
    <w:p>
      <w:pPr>
        <w:ind w:left="4" w:firstLine="436"/>
        <w:spacing w:after="0" w:line="254" w:lineRule="auto"/>
        <w:tabs>
          <w:tab w:leader="none" w:pos="68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86" w:lineRule="exact"/>
        <w:rPr>
          <w:rFonts w:ascii="Arial" w:cs="Arial" w:eastAsia="Arial" w:hAnsi="Arial"/>
          <w:sz w:val="18"/>
          <w:szCs w:val="18"/>
          <w:color w:val="auto"/>
        </w:rPr>
      </w:pPr>
    </w:p>
    <w:p>
      <w:pPr>
        <w:ind w:left="4" w:right="180" w:firstLine="436"/>
        <w:spacing w:after="0" w:line="259" w:lineRule="auto"/>
        <w:tabs>
          <w:tab w:leader="none" w:pos="669"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80" w:name="page81"/>
    <w:bookmarkEnd w:id="80"/>
    <w:p>
      <w:pPr>
        <w:ind w:firstLine="436"/>
        <w:spacing w:after="0" w:line="254"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 Execution</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86" w:lineRule="exact"/>
        <w:rPr>
          <w:rFonts w:ascii="Arial" w:cs="Arial" w:eastAsia="Arial" w:hAnsi="Arial"/>
          <w:sz w:val="18"/>
          <w:szCs w:val="18"/>
          <w:color w:val="auto"/>
        </w:rPr>
      </w:pPr>
    </w:p>
    <w:p>
      <w:pPr>
        <w:ind w:right="460" w:firstLine="436"/>
        <w:spacing w:after="0" w:line="27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62" w:lineRule="exact"/>
        <w:rPr>
          <w:rFonts w:ascii="Arial" w:cs="Arial" w:eastAsia="Arial" w:hAnsi="Arial"/>
          <w:sz w:val="18"/>
          <w:szCs w:val="18"/>
          <w:color w:val="auto"/>
        </w:rPr>
      </w:pPr>
    </w:p>
    <w:p>
      <w:pPr>
        <w:ind w:right="60" w:firstLine="436"/>
        <w:spacing w:after="0" w:line="279"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3" w:lineRule="exact"/>
        <w:rPr>
          <w:rFonts w:ascii="Arial" w:cs="Arial" w:eastAsia="Arial" w:hAnsi="Arial"/>
          <w:sz w:val="17"/>
          <w:szCs w:val="17"/>
          <w:color w:val="auto"/>
        </w:rPr>
      </w:pPr>
    </w:p>
    <w:p>
      <w:pPr>
        <w:ind w:right="320" w:firstLine="436"/>
        <w:spacing w:after="0" w:line="342"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5" w:lineRule="exact"/>
        <w:rPr>
          <w:rFonts w:ascii="Arial" w:cs="Arial" w:eastAsia="Arial" w:hAnsi="Arial"/>
          <w:sz w:val="16"/>
          <w:szCs w:val="16"/>
          <w:color w:val="auto"/>
        </w:rPr>
      </w:pPr>
    </w:p>
    <w:p>
      <w:pPr>
        <w:ind w:right="340" w:firstLine="436"/>
        <w:spacing w:after="0" w:line="27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62" w:lineRule="exact"/>
        <w:rPr>
          <w:rFonts w:ascii="Arial" w:cs="Arial" w:eastAsia="Arial" w:hAnsi="Arial"/>
          <w:sz w:val="18"/>
          <w:szCs w:val="18"/>
          <w:color w:val="auto"/>
        </w:rPr>
      </w:pPr>
    </w:p>
    <w:p>
      <w:pPr>
        <w:ind w:right="600" w:firstLine="436"/>
        <w:spacing w:after="0" w:line="286"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57" w:lineRule="exact"/>
        <w:rPr>
          <w:rFonts w:ascii="Arial" w:cs="Arial" w:eastAsia="Arial" w:hAnsi="Arial"/>
          <w:sz w:val="17"/>
          <w:szCs w:val="17"/>
          <w:color w:val="auto"/>
        </w:rPr>
      </w:pPr>
    </w:p>
    <w:p>
      <w:pPr>
        <w:ind w:left="740" w:hanging="304"/>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 All questions concerning the construction, validity, enforcement and</w:t>
      </w:r>
    </w:p>
    <w:p>
      <w:pPr>
        <w:spacing w:after="0" w:line="23"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1" w:name="page82"/>
    <w:bookmarkEnd w:id="8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40" w:top="274" w:right="559" w:bottom="1440" w:gutter="0" w:footer="0" w:header="0"/>
        </w:sectPr>
      </w:pPr>
    </w:p>
    <w:bookmarkStart w:id="82" w:name="page83"/>
    <w:bookmarkEnd w:id="8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Ben-Maimon,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980"/>
          </w:cols>
          <w:pgMar w:left="440" w:top="270" w:right="4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1933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ectPr>
          <w:pgSz w:w="11900" w:h="16838" w:orient="portrait"/>
          <w:cols w:equalWidth="0" w:num="1">
            <w:col w:w="10960"/>
          </w:cols>
          <w:pgMar w:left="440" w:top="270" w:right="499" w:bottom="1440" w:gutter="0" w:footer="0" w:header="0"/>
        </w:sectPr>
      </w:pPr>
    </w:p>
    <w:bookmarkStart w:id="84" w:name="page85"/>
    <w:bookmarkEnd w:id="8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1933 Act, provided that they meet the criteria and conform to the requirements of that rule.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1933 Act. Any discounts, commissions, concessions or profit they earn on any resale of the shares may be underwriting discounts and commissions under the 1933 Act. Selling stockholders who are “underwriters” within the meaning of Section 2(11) of the 1933 Act will be subject to the prospectus delivery requirements of the 1933 Act.</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ectPr>
          <w:pgSz w:w="11900" w:h="16838" w:orient="portrait"/>
          <w:cols w:equalWidth="0" w:num="1">
            <w:col w:w="11000"/>
          </w:cols>
          <w:pgMar w:left="440" w:top="274" w:right="459" w:bottom="1440" w:gutter="0" w:footer="0" w:header="0"/>
        </w:sectPr>
      </w:pPr>
    </w:p>
    <w:bookmarkStart w:id="85" w:name="page86"/>
    <w:bookmarkEnd w:id="85"/>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advised the selling stockholders that the anti-manipulation rules of Regulation M under the 1934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1933 Act. The selling stockholders may indemnify any broker-dealer that participates in transactions involving the sale of the shares against certain liabilities, including liabilities arising under the 1933 Act.</w:t>
      </w:r>
    </w:p>
    <w:p>
      <w:pPr>
        <w:spacing w:after="0" w:line="188"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1933 Act and state securities laws, relating to the registration of the shares offered by this prospectus.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left="264" w:hanging="264"/>
        <w:spacing w:after="0"/>
        <w:tabs>
          <w:tab w:leader="none" w:pos="264"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time as all of the shares covered by this prospectus have been disposed of pursuant to and in accordance with such registration statement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on which all of the shares may be sold without restriction pursuant to Rule 144 of the 1933 Act.</w:t>
      </w:r>
    </w:p>
    <w:p>
      <w:pPr>
        <w:sectPr>
          <w:pgSz w:w="11900" w:h="16838" w:orient="portrait"/>
          <w:cols w:equalWidth="0" w:num="1">
            <w:col w:w="10984"/>
          </w:cols>
          <w:pgMar w:left="436" w:top="274" w:right="4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Selling Investor Questionnaire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270"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[_______], 2020 between Larimar Therapeutics,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WHEREAS,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the increased difficulty in attracting and retaining directors is detrimental to the best interests of the Company’s stockholders and that the Company should act to assure such persons that there will be increased certainty of such protection in the future;</w:t>
      </w:r>
    </w:p>
    <w:p>
      <w:pPr>
        <w:spacing w:after="0" w:line="180"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directors to the fullest extent permitted by applicable law so that they will serve or continue to serve the Company free from undue concern that they will not be so indemnified;</w:t>
      </w:r>
    </w:p>
    <w:p>
      <w:pPr>
        <w:spacing w:after="0" w:line="184"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WHEREAS, this Agreement is intended to clarify Indemnitee’s entitlement to the maximum indemnity afforded directors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is a supplement to and in furtherance of the provisions calling for indemnification of directors contained in the bylaws or certificate of incorporation of the Company (collectively and as amended from time to time, the “</w:t>
      </w:r>
      <w:r>
        <w:rPr>
          <w:rFonts w:ascii="Arial" w:cs="Arial" w:eastAsia="Arial" w:hAnsi="Arial"/>
          <w:sz w:val="18"/>
          <w:szCs w:val="18"/>
          <w:b w:val="1"/>
          <w:b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and any resolutions adopted pursuant thereto, and shall not be deemed a substitute therefor, nor to diminish or abrogate any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thereunder; and</w:t>
      </w:r>
    </w:p>
    <w:p>
      <w:pPr>
        <w:spacing w:after="0" w:line="18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WHEREAS, Indemnitee does not regard the protection available under the Company’s Charter Documents and insurance as adequate in the present circumstances, and Indemnitee is not willing to serve or continue to serve as a director without adequate protection, and the Company desires Indemnitee to serve in such capacity.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Indemnitee’s agreement to serve, and to continue his or her service, as a director from and after the date hereof, the parties hereto agree as follows.</w:t>
      </w:r>
    </w:p>
    <w:p>
      <w:pPr>
        <w:spacing w:after="0" w:line="62" w:lineRule="exact"/>
        <w:rPr>
          <w:sz w:val="20"/>
          <w:szCs w:val="20"/>
          <w:color w:val="auto"/>
        </w:rPr>
      </w:pPr>
    </w:p>
    <w:p>
      <w:pPr>
        <w:ind w:right="360" w:firstLine="436"/>
        <w:spacing w:after="0" w:line="308" w:lineRule="auto"/>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38" w:lineRule="exact"/>
        <w:rPr>
          <w:rFonts w:ascii="Arial" w:cs="Arial" w:eastAsia="Arial" w:hAnsi="Arial"/>
          <w:sz w:val="17"/>
          <w:szCs w:val="17"/>
          <w:color w:val="auto"/>
        </w:rPr>
      </w:pPr>
    </w:p>
    <w:p>
      <w:pPr>
        <w:ind w:right="80" w:firstLine="987"/>
        <w:spacing w:after="0" w:line="291" w:lineRule="auto"/>
        <w:tabs>
          <w:tab w:leader="none" w:pos="123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Company</w:t>
      </w:r>
      <w:r>
        <w:rPr>
          <w:rFonts w:ascii="Arial" w:cs="Arial" w:eastAsia="Arial" w:hAnsi="Arial"/>
          <w:sz w:val="16"/>
          <w:szCs w:val="16"/>
          <w:color w:val="auto"/>
        </w:rPr>
        <w:t xml:space="preserve">. Indemnitee shall be entitled to the rights of indemnification provided in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if, by reason of his or her Corporate Status (as hereinafter defined), Indemnitee is, or is threatened to be made, a party to or participant in any Proceeding (as hereinafter defined) other than a Proceeding by or in the right of the Company.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Indemnitee shall be indemnified against all Expenses (as hereinafter defined), judgments, penalties, fines and amounts paid in settlement actually and reasonably incurred by the Indemnitee, or on his or her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ectPr>
          <w:pgSz w:w="11900" w:h="16838" w:orient="portrait"/>
          <w:cols w:equalWidth="0" w:num="1">
            <w:col w:w="11020"/>
          </w:cols>
          <w:pgMar w:left="440" w:top="121" w:right="439" w:bottom="1440" w:gutter="0" w:footer="0" w:header="0"/>
        </w:sectPr>
      </w:pPr>
    </w:p>
    <w:bookmarkStart w:id="88" w:name="page89"/>
    <w:bookmarkEnd w:id="88"/>
    <w:p>
      <w:pPr>
        <w:ind w:right="60" w:firstLine="987"/>
        <w:spacing w:after="0" w:line="254" w:lineRule="auto"/>
        <w:tabs>
          <w:tab w:leader="none" w:pos="124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if, by reason of his or her Corporate Status, the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a court of competent jurisdiction of the State of Delaware shall determine that such indemnification may be made.</w:t>
      </w:r>
    </w:p>
    <w:p>
      <w:pPr>
        <w:spacing w:after="0" w:line="83" w:lineRule="exact"/>
        <w:rPr>
          <w:rFonts w:ascii="Arial" w:cs="Arial" w:eastAsia="Arial" w:hAnsi="Arial"/>
          <w:sz w:val="18"/>
          <w:szCs w:val="18"/>
          <w:color w:val="auto"/>
        </w:rPr>
      </w:pPr>
    </w:p>
    <w:p>
      <w:pPr>
        <w:ind w:firstLine="987"/>
        <w:spacing w:after="0" w:line="290" w:lineRule="auto"/>
        <w:tabs>
          <w:tab w:leader="none" w:pos="123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 of this Agreement, to the extent that Indemnitee is, by reason of his or her Corporate Status, a party to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57" w:lineRule="exact"/>
        <w:rPr>
          <w:rFonts w:ascii="Arial" w:cs="Arial" w:eastAsia="Arial" w:hAnsi="Arial"/>
          <w:sz w:val="16"/>
          <w:szCs w:val="16"/>
          <w:color w:val="auto"/>
        </w:rPr>
      </w:pPr>
    </w:p>
    <w:p>
      <w:pPr>
        <w:ind w:firstLine="436"/>
        <w:spacing w:after="0" w:line="272" w:lineRule="auto"/>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xml:space="preserve">. In addition to, and without regard to any limitations on, the indemnification provided for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Agreement, the Company shall and hereby does indemnify and hold harmless Indemnitee against all Expenses, judgments, penalties, fines and amounts paid in settlement actually and reasonably incurred by Indemnitee or on his or her behalf if, by reason of his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hereof) to be unlawful.</w:t>
      </w:r>
    </w:p>
    <w:p>
      <w:pPr>
        <w:spacing w:after="0" w:line="69" w:lineRule="exact"/>
        <w:rPr>
          <w:rFonts w:ascii="Arial" w:cs="Arial" w:eastAsia="Arial" w:hAnsi="Arial"/>
          <w:sz w:val="17"/>
          <w:szCs w:val="17"/>
          <w:color w:val="auto"/>
        </w:rPr>
      </w:pPr>
    </w:p>
    <w:p>
      <w:pPr>
        <w:ind w:left="620" w:hanging="184"/>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273" w:lineRule="auto"/>
        <w:tabs>
          <w:tab w:leader="none" w:pos="1236"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Whether or not the indemnification provided in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hereof is available, in respect of any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9" w:name="page90"/>
    <w:bookmarkEnd w:id="89"/>
    <w:p>
      <w:pPr>
        <w:ind w:firstLine="987"/>
        <w:spacing w:after="0" w:line="286" w:lineRule="auto"/>
        <w:tabs>
          <w:tab w:leader="none" w:pos="1246"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diminishing or impairing the obligations of the Company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62" w:lineRule="exact"/>
        <w:rPr>
          <w:rFonts w:ascii="Arial" w:cs="Arial" w:eastAsia="Arial" w:hAnsi="Arial"/>
          <w:sz w:val="16"/>
          <w:szCs w:val="16"/>
          <w:color w:val="auto"/>
        </w:rPr>
      </w:pPr>
    </w:p>
    <w:p>
      <w:pPr>
        <w:ind w:right="140" w:firstLine="987"/>
        <w:spacing w:after="0" w:line="277" w:lineRule="auto"/>
        <w:tabs>
          <w:tab w:leader="none" w:pos="12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62" w:lineRule="exact"/>
        <w:rPr>
          <w:rFonts w:ascii="Arial" w:cs="Arial" w:eastAsia="Arial" w:hAnsi="Arial"/>
          <w:sz w:val="18"/>
          <w:szCs w:val="18"/>
          <w:color w:val="auto"/>
        </w:rPr>
      </w:pPr>
    </w:p>
    <w:p>
      <w:pPr>
        <w:ind w:right="20" w:firstLine="987"/>
        <w:spacing w:after="0" w:line="254" w:lineRule="auto"/>
        <w:tabs>
          <w:tab w:leader="none" w:pos="12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86" w:lineRule="exact"/>
        <w:rPr>
          <w:rFonts w:ascii="Arial" w:cs="Arial" w:eastAsia="Arial" w:hAnsi="Arial"/>
          <w:sz w:val="18"/>
          <w:szCs w:val="18"/>
          <w:color w:val="auto"/>
        </w:rPr>
      </w:pPr>
    </w:p>
    <w:p>
      <w:pPr>
        <w:ind w:right="40" w:firstLine="436"/>
        <w:spacing w:after="0" w:line="311"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Notwithstanding any other provision of this Agreement, to the extent that Indemnitee is, by reason of his or her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0" w:name="page91"/>
    <w:bookmarkEnd w:id="90"/>
    <w:p>
      <w:pPr>
        <w:ind w:left="-40" w:right="40" w:firstLine="436"/>
        <w:spacing w:after="0" w:line="254"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Advancement of Expenses</w:t>
      </w:r>
      <w:r>
        <w:rPr>
          <w:rFonts w:ascii="Arial" w:cs="Arial" w:eastAsia="Arial" w:hAnsi="Arial"/>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unsecured and interest free.</w:t>
      </w:r>
    </w:p>
    <w:p>
      <w:pPr>
        <w:spacing w:after="0" w:line="86" w:lineRule="exact"/>
        <w:rPr>
          <w:rFonts w:ascii="Arial" w:cs="Arial" w:eastAsia="Arial" w:hAnsi="Arial"/>
          <w:sz w:val="18"/>
          <w:szCs w:val="18"/>
          <w:color w:val="auto"/>
        </w:rPr>
      </w:pPr>
    </w:p>
    <w:p>
      <w:pPr>
        <w:ind w:left="-40" w:firstLine="436"/>
        <w:spacing w:after="0" w:line="259"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78" w:lineRule="exact"/>
        <w:rPr>
          <w:rFonts w:ascii="Arial" w:cs="Arial" w:eastAsia="Arial" w:hAnsi="Arial"/>
          <w:sz w:val="18"/>
          <w:szCs w:val="18"/>
          <w:color w:val="auto"/>
        </w:rPr>
      </w:pPr>
    </w:p>
    <w:p>
      <w:pPr>
        <w:ind w:left="-40" w:right="140" w:firstLine="987"/>
        <w:spacing w:after="0" w:line="273" w:lineRule="auto"/>
        <w:tabs>
          <w:tab w:leader="none" w:pos="119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only to the extent such failure actually and materially prejudices the interests of the Company.</w:t>
      </w:r>
    </w:p>
    <w:p>
      <w:pPr>
        <w:spacing w:after="0" w:line="69" w:lineRule="exact"/>
        <w:rPr>
          <w:rFonts w:ascii="Arial" w:cs="Arial" w:eastAsia="Arial" w:hAnsi="Arial"/>
          <w:sz w:val="17"/>
          <w:szCs w:val="17"/>
          <w:color w:val="auto"/>
        </w:rPr>
      </w:pPr>
    </w:p>
    <w:p>
      <w:pPr>
        <w:ind w:left="-40" w:right="40" w:firstLine="987"/>
        <w:spacing w:after="0" w:line="272" w:lineRule="auto"/>
        <w:tabs>
          <w:tab w:leader="none" w:pos="1206"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Upon written request by Indemnitee for indemnification pursuant to the first sentence of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a determination with respect to Indemnitee’s entitlement thereto shall be made in the specific case by one of the following four methods, which shall be at the election of the Board (other than as set forth in Section 6(b)(iii)(B)): (i) by a majority vote of the Disinterested Directors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even though less than a quorum; (ii) by a committee of Disinterested Directors designated by a majority vote of the Disinterested Directors, even though less than a quorum; (iii) by Independent Counsel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in a written opinion to the Board, a copy of which shall be delivered to the Indemnitee, if (A) there are no Disinterested Directors or if the Disinterested Directors so direct, or (B) a Change of Control (as hereinafter defined) shall have occurred and Indemnitee so requests; or (iv) if so directed by the Board, by the stockholders of the Company.</w:t>
      </w:r>
    </w:p>
    <w:p>
      <w:pPr>
        <w:spacing w:after="0" w:line="69" w:lineRule="exact"/>
        <w:rPr>
          <w:rFonts w:ascii="Arial" w:cs="Arial" w:eastAsia="Arial" w:hAnsi="Arial"/>
          <w:sz w:val="17"/>
          <w:szCs w:val="17"/>
          <w:color w:val="auto"/>
        </w:rPr>
      </w:pPr>
    </w:p>
    <w:p>
      <w:pPr>
        <w:ind w:left="-40" w:right="60" w:firstLine="987"/>
        <w:spacing w:after="0" w:line="273" w:lineRule="auto"/>
        <w:tabs>
          <w:tab w:leader="none" w:pos="1196"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Independent Counsel shall be selected as provided in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The Independent Counsel shall be selected by the Board, but shall only be an Independent Counsel to which Indemnitee does not properly object in accordance with the subsequent provisions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provided, however, that if a Change of Control shall have occurred, Indemnitee shall select such Independent Counsel, but only an Independent Counsel to which the Board does not properly object in accordance with the subsequent provisions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Within ten (10) days after such written notice of selection shall have been given, the non-selecting party shall deliver to the selecting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91" w:name="page92"/>
    <w:bookmarkEnd w:id="9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no Independent Counsel shall have been selected and not objected to, either the Company or Indemnitee may petition any court of competent jurisdiction in the State of Delaware for resolution of any objection which shall have been made to the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56" w:lineRule="exact"/>
        <w:rPr>
          <w:sz w:val="20"/>
          <w:szCs w:val="20"/>
          <w:color w:val="auto"/>
        </w:rPr>
      </w:pPr>
    </w:p>
    <w:p>
      <w:pPr>
        <w:ind w:left="4" w:firstLine="987"/>
        <w:spacing w:after="0" w:line="285" w:lineRule="auto"/>
        <w:tabs>
          <w:tab w:leader="none" w:pos="12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purposes of this Section 6, “For purposes of this Section 6, “</w:t>
      </w:r>
      <w:r>
        <w:rPr>
          <w:rFonts w:ascii="Arial" w:cs="Arial" w:eastAsia="Arial" w:hAnsi="Arial"/>
          <w:sz w:val="16"/>
          <w:szCs w:val="16"/>
          <w:b w:val="1"/>
          <w:bCs w:val="1"/>
          <w:color w:val="auto"/>
        </w:rPr>
        <w:t>Change of Control</w:t>
      </w:r>
      <w:r>
        <w:rPr>
          <w:rFonts w:ascii="Arial" w:cs="Arial" w:eastAsia="Arial" w:hAnsi="Arial"/>
          <w:sz w:val="16"/>
          <w:szCs w:val="16"/>
          <w:color w:val="auto"/>
        </w:rPr>
        <w:t>” means a change in control of the Company of a nature that would be required to be reported in response to Item 6(e) of Schedule 14A of Regulation 14A promulgated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whether or not the corporation is then subject to such reporting requirement; provided that, without limitation, such a change in control shall be deemed to have occurred if (i) any Person (as such term is used in Sections 13(d) and 14(d) of the Exchange Act) is or becomes the Beneficial Owner (as defined in Rule l3d-3 under the Exchange Act), directly or indirectly, of securities of the Company representing fifteen percent (15%) or more of the combined voting power of the Company’s then outstanding securities; (ii) during any period of two</w:t>
      </w:r>
    </w:p>
    <w:p>
      <w:pPr>
        <w:spacing w:after="0" w:line="3" w:lineRule="exact"/>
        <w:rPr>
          <w:rFonts w:ascii="Arial" w:cs="Arial" w:eastAsia="Arial" w:hAnsi="Arial"/>
          <w:sz w:val="16"/>
          <w:szCs w:val="16"/>
          <w:color w:val="auto"/>
        </w:rPr>
      </w:pPr>
    </w:p>
    <w:p>
      <w:pPr>
        <w:ind w:left="4" w:right="40" w:hanging="4"/>
        <w:spacing w:after="0" w:line="268" w:lineRule="auto"/>
        <w:tabs>
          <w:tab w:leader="none" w:pos="259"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consecutive years (not including any period prior to the execution of this Agreement), individuals who at the beginning of such period constitute the Board, and any new director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least a majority of the members of the Board; (iii)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fifty one percent (51%) of the combined voting power of the voting securities of the surviving entity outstanding immediately after such merger or consolidation and with the power to elect at least a majority of the Board or other governing body of such surviving entity; and (iv) the approval by the stockholders of the Company of a complete liquidation of the Company or an agreement for the sale or disposition by the Company of all or substantially all of the Company’s assets.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92" w:name="page93"/>
    <w:bookmarkEnd w:id="92"/>
    <w:p>
      <w:pPr>
        <w:ind w:right="40" w:firstLine="987"/>
        <w:spacing w:after="0" w:line="272"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69" w:lineRule="exact"/>
        <w:rPr>
          <w:rFonts w:ascii="Arial" w:cs="Arial" w:eastAsia="Arial" w:hAnsi="Arial"/>
          <w:sz w:val="17"/>
          <w:szCs w:val="17"/>
          <w:color w:val="auto"/>
        </w:rPr>
      </w:pPr>
    </w:p>
    <w:p>
      <w:pPr>
        <w:ind w:right="80" w:firstLine="987"/>
        <w:spacing w:after="0" w:line="270" w:lineRule="auto"/>
        <w:tabs>
          <w:tab w:leader="none" w:pos="1216"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Indemnitee shall be deemed to have acted in good faith if Indemnitee’s action is based on the records or books of account of the Enterprise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7"/>
          <w:szCs w:val="17"/>
          <w:u w:val="single" w:color="auto"/>
          <w:color w:val="auto"/>
        </w:rPr>
        <w:t>Section 6(f)</w:t>
      </w:r>
      <w:r>
        <w:rPr>
          <w:rFonts w:ascii="Arial" w:cs="Arial" w:eastAsia="Arial" w:hAnsi="Arial"/>
          <w:sz w:val="17"/>
          <w:szCs w:val="17"/>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72" w:lineRule="exact"/>
        <w:rPr>
          <w:rFonts w:ascii="Arial" w:cs="Arial" w:eastAsia="Arial" w:hAnsi="Arial"/>
          <w:sz w:val="17"/>
          <w:szCs w:val="17"/>
          <w:color w:val="auto"/>
        </w:rPr>
      </w:pPr>
    </w:p>
    <w:p>
      <w:pPr>
        <w:ind w:firstLine="987"/>
        <w:spacing w:after="0" w:line="286" w:lineRule="auto"/>
        <w:tabs>
          <w:tab w:leader="none" w:pos="1246"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If the person, persons or entity empowered or selected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sixty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Arial" w:cs="Arial" w:eastAsia="Arial" w:hAnsi="Arial"/>
          <w:sz w:val="16"/>
          <w:szCs w:val="16"/>
          <w:u w:val="single" w:color="auto"/>
          <w:color w:val="auto"/>
        </w:rPr>
        <w:t>Section 6(g)</w:t>
      </w:r>
      <w:r>
        <w:rPr>
          <w:rFonts w:ascii="Arial" w:cs="Arial" w:eastAsia="Arial" w:hAnsi="Arial"/>
          <w:sz w:val="16"/>
          <w:szCs w:val="16"/>
          <w:color w:val="auto"/>
        </w:rPr>
        <w:t xml:space="preserve"> shall not apply if the determination of entitlement to indemnification is to be made by the stockholders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65" w:lineRule="exact"/>
        <w:rPr>
          <w:rFonts w:ascii="Arial" w:cs="Arial" w:eastAsia="Arial" w:hAnsi="Arial"/>
          <w:sz w:val="16"/>
          <w:szCs w:val="16"/>
          <w:color w:val="auto"/>
        </w:rPr>
      </w:pPr>
    </w:p>
    <w:p>
      <w:pPr>
        <w:ind w:right="120" w:firstLine="987"/>
        <w:spacing w:after="0" w:line="263"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3" w:name="page94"/>
    <w:bookmarkEnd w:id="93"/>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68" w:lineRule="exact"/>
        <w:rPr>
          <w:sz w:val="20"/>
          <w:szCs w:val="20"/>
          <w:color w:val="auto"/>
        </w:rPr>
      </w:pPr>
    </w:p>
    <w:p>
      <w:pPr>
        <w:ind w:right="120" w:firstLine="987"/>
        <w:spacing w:after="0" w:line="296" w:lineRule="auto"/>
        <w:tabs>
          <w:tab w:leader="none" w:pos="1206"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53" w:lineRule="exact"/>
        <w:rPr>
          <w:rFonts w:ascii="Arial" w:cs="Arial" w:eastAsia="Arial" w:hAnsi="Arial"/>
          <w:sz w:val="16"/>
          <w:szCs w:val="16"/>
          <w:color w:val="auto"/>
        </w:rPr>
      </w:pPr>
    </w:p>
    <w:p>
      <w:pPr>
        <w:ind w:firstLine="987"/>
        <w:spacing w:after="0" w:line="257" w:lineRule="auto"/>
        <w:tabs>
          <w:tab w:leader="none" w:pos="1206"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his conduct was unlawful.</w:t>
      </w:r>
    </w:p>
    <w:p>
      <w:pPr>
        <w:spacing w:after="0" w:line="79" w:lineRule="exact"/>
        <w:rPr>
          <w:rFonts w:ascii="Arial" w:cs="Arial" w:eastAsia="Arial" w:hAnsi="Arial"/>
          <w:sz w:val="18"/>
          <w:szCs w:val="18"/>
          <w:color w:val="auto"/>
        </w:rPr>
      </w:pPr>
    </w:p>
    <w:p>
      <w:pPr>
        <w:ind w:left="620" w:hanging="184"/>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69" w:lineRule="auto"/>
        <w:tabs>
          <w:tab w:leader="none" w:pos="1236"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In the event that (i) a determination is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that Indemnitee is not entitled to indemnification under this Agreement, (ii) advancement of Expenses is not timely made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(iii) no determination of entitlement to indemnification is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within ninety (90) days after receipt by the Company of the request for indemnification, (iv) payment of indemnification is not made pursuant to this Agreement within thirty (30) days after receipt by the Company of a written request therefor or (v) payment of indemnification is not made within thirty (30)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provided, however, that the foregoing clause shall not apply in respect of a proceeding brought by Indemnitee to enforce his or her rights under Section 4 of this Agreement. The Company shall not oppose Indemnitee’s right to seek any such adjudication.</w:t>
      </w:r>
    </w:p>
    <w:p>
      <w:pPr>
        <w:spacing w:after="0" w:line="73" w:lineRule="exact"/>
        <w:rPr>
          <w:rFonts w:ascii="Arial" w:cs="Arial" w:eastAsia="Arial" w:hAnsi="Arial"/>
          <w:sz w:val="17"/>
          <w:szCs w:val="17"/>
          <w:color w:val="auto"/>
        </w:rPr>
      </w:pPr>
    </w:p>
    <w:p>
      <w:pPr>
        <w:jc w:val="both"/>
        <w:ind w:right="280" w:firstLine="987"/>
        <w:spacing w:after="0" w:line="263" w:lineRule="auto"/>
        <w:tabs>
          <w:tab w:leader="none" w:pos="1246"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94" w:name="page95"/>
    <w:bookmarkEnd w:id="94"/>
    <w:p>
      <w:pPr>
        <w:ind w:left="4" w:right="160" w:firstLine="987"/>
        <w:spacing w:after="0" w:line="279" w:lineRule="auto"/>
        <w:tabs>
          <w:tab w:leader="none" w:pos="1240" w:val="left"/>
        </w:tabs>
        <w:numPr>
          <w:ilvl w:val="2"/>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63" w:lineRule="exact"/>
        <w:rPr>
          <w:rFonts w:ascii="Arial" w:cs="Arial" w:eastAsia="Arial" w:hAnsi="Arial"/>
          <w:sz w:val="17"/>
          <w:szCs w:val="17"/>
          <w:color w:val="auto"/>
        </w:rPr>
      </w:pPr>
    </w:p>
    <w:p>
      <w:pPr>
        <w:ind w:left="4" w:right="120" w:firstLine="987"/>
        <w:spacing w:after="0" w:line="257" w:lineRule="auto"/>
        <w:tabs>
          <w:tab w:leader="none" w:pos="1250" w:val="left"/>
        </w:tabs>
        <w:numPr>
          <w:ilvl w:val="2"/>
          <w:numId w:val="79"/>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79" w:lineRule="exact"/>
        <w:rPr>
          <w:rFonts w:ascii="Arial" w:cs="Arial" w:eastAsia="Arial" w:hAnsi="Arial"/>
          <w:sz w:val="18"/>
          <w:szCs w:val="18"/>
          <w:color w:val="auto"/>
        </w:rPr>
      </w:pPr>
    </w:p>
    <w:p>
      <w:pPr>
        <w:ind w:left="4" w:right="80" w:firstLine="987"/>
        <w:spacing w:after="0" w:line="287" w:lineRule="auto"/>
        <w:tabs>
          <w:tab w:leader="none" w:pos="1240" w:val="left"/>
        </w:tabs>
        <w:numPr>
          <w:ilvl w:val="2"/>
          <w:numId w:val="79"/>
        </w:numPr>
        <w:rPr>
          <w:rFonts w:ascii="Arial" w:cs="Arial" w:eastAsia="Arial" w:hAnsi="Arial"/>
          <w:sz w:val="16"/>
          <w:szCs w:val="16"/>
          <w:color w:val="auto"/>
        </w:rPr>
      </w:pPr>
      <w:r>
        <w:rPr>
          <w:rFonts w:ascii="Arial" w:cs="Arial" w:eastAsia="Arial" w:hAnsi="Arial"/>
          <w:sz w:val="16"/>
          <w:szCs w:val="16"/>
          <w:color w:val="auto"/>
        </w:rPr>
        <w:t xml:space="preserve">The Company shall be precluded from asserting in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spacing w:after="0" w:line="2" w:lineRule="exact"/>
        <w:rPr>
          <w:rFonts w:ascii="Arial" w:cs="Arial" w:eastAsia="Arial" w:hAnsi="Arial"/>
          <w:sz w:val="16"/>
          <w:szCs w:val="16"/>
          <w:color w:val="auto"/>
        </w:rPr>
      </w:pPr>
    </w:p>
    <w:p>
      <w:pPr>
        <w:jc w:val="both"/>
        <w:ind w:left="4" w:right="120" w:hanging="4"/>
        <w:spacing w:after="0" w:line="295" w:lineRule="auto"/>
        <w:tabs>
          <w:tab w:leader="none" w:pos="3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53" w:lineRule="exact"/>
        <w:rPr>
          <w:rFonts w:ascii="Arial" w:cs="Arial" w:eastAsia="Arial" w:hAnsi="Arial"/>
          <w:sz w:val="16"/>
          <w:szCs w:val="16"/>
          <w:color w:val="auto"/>
        </w:rPr>
      </w:pPr>
    </w:p>
    <w:p>
      <w:pPr>
        <w:ind w:left="4" w:right="820" w:firstLine="987"/>
        <w:spacing w:after="0" w:line="277" w:lineRule="auto"/>
        <w:tabs>
          <w:tab w:leader="none" w:pos="12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53" w:lineRule="auto"/>
        <w:tabs>
          <w:tab w:leader="none" w:pos="124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rights of indemnification as provided by this Agreement shall not be deemed exclusive of any other rights to which Indemnitee may at any time be entitled under applicable law, the Charter Documents,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than would be afforded currently under the Charter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95" w:name="page96"/>
    <w:bookmarkEnd w:id="95"/>
    <w:p>
      <w:pPr>
        <w:ind w:firstLine="987"/>
        <w:spacing w:after="0" w:line="291" w:lineRule="auto"/>
        <w:tabs>
          <w:tab w:leader="none" w:pos="1246"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that the Company maintains an insurance policy or policies providing liability insurance for directors, officers, employees, or agents or fiduciaries of the Company or of any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58" w:lineRule="exact"/>
        <w:rPr>
          <w:rFonts w:ascii="Arial" w:cs="Arial" w:eastAsia="Arial" w:hAnsi="Arial"/>
          <w:sz w:val="16"/>
          <w:szCs w:val="16"/>
          <w:color w:val="auto"/>
        </w:rPr>
      </w:pPr>
    </w:p>
    <w:p>
      <w:pPr>
        <w:ind w:right="60" w:firstLine="987"/>
        <w:spacing w:after="0" w:line="286"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hereby acknowledges that Indemnitee may have certain rights to indemnification, advancement of expenses and/or insurance provided by third parties (collectively, the “</w:t>
      </w:r>
      <w:r>
        <w:rPr>
          <w:rFonts w:ascii="Arial" w:cs="Arial" w:eastAsia="Arial" w:hAnsi="Arial"/>
          <w:sz w:val="16"/>
          <w:szCs w:val="16"/>
          <w:b w:val="1"/>
          <w:bCs w:val="1"/>
          <w:color w:val="auto"/>
        </w:rPr>
        <w:t>Secondary Indemnitors</w:t>
      </w:r>
      <w:r>
        <w:rPr>
          <w:rFonts w:ascii="Arial" w:cs="Arial" w:eastAsia="Arial" w:hAnsi="Arial"/>
          <w:sz w:val="16"/>
          <w:szCs w:val="16"/>
          <w:color w:val="auto"/>
        </w:rPr>
        <w:t>”). The Company hereby agrees (i) that it is the indemnitor of first resort (i.e.,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8(c). At the request of Indemnitee, the Company shall acknowledge in writing its obligations under this Section 8(c) to any Secondary Indemnitors.</w:t>
      </w:r>
    </w:p>
    <w:p>
      <w:pPr>
        <w:spacing w:after="0" w:line="65" w:lineRule="exact"/>
        <w:rPr>
          <w:rFonts w:ascii="Arial" w:cs="Arial" w:eastAsia="Arial" w:hAnsi="Arial"/>
          <w:sz w:val="16"/>
          <w:szCs w:val="16"/>
          <w:color w:val="auto"/>
        </w:rPr>
      </w:pPr>
    </w:p>
    <w:p>
      <w:pPr>
        <w:ind w:right="60" w:firstLine="987"/>
        <w:spacing w:after="0" w:line="259"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provided in paragraph (c) above, in the event of any payment under this Agreement, the Company shall be subrogated to the extent of such payment to all of the rights of recovery of Indemnitee (other than against the Secondary Indemnitors), and the Indemnitee shall execute all papers required and take all action necessary to secure such rights, including execution of such documents as are necessary to enable the Company to bring suit to enforce such rights.</w:t>
      </w:r>
    </w:p>
    <w:p>
      <w:pPr>
        <w:spacing w:after="0" w:line="78" w:lineRule="exact"/>
        <w:rPr>
          <w:rFonts w:ascii="Arial" w:cs="Arial" w:eastAsia="Arial" w:hAnsi="Arial"/>
          <w:sz w:val="18"/>
          <w:szCs w:val="18"/>
          <w:color w:val="auto"/>
        </w:rPr>
      </w:pPr>
    </w:p>
    <w:p>
      <w:pPr>
        <w:ind w:right="320" w:firstLine="987"/>
        <w:spacing w:after="0" w:line="263"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75" w:lineRule="exact"/>
        <w:rPr>
          <w:rFonts w:ascii="Arial" w:cs="Arial" w:eastAsia="Arial" w:hAnsi="Arial"/>
          <w:sz w:val="18"/>
          <w:szCs w:val="18"/>
          <w:color w:val="auto"/>
        </w:rPr>
      </w:pPr>
    </w:p>
    <w:p>
      <w:pPr>
        <w:ind w:right="120" w:firstLine="987"/>
        <w:spacing w:after="0" w:line="263" w:lineRule="auto"/>
        <w:tabs>
          <w:tab w:leader="none" w:pos="12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Company’s obligation to indemnify or advance Expenses hereunder to Indemnitee who is or was serving at the request of the Company as a director, officer, employee or agent of any other Enterprise shall be reduced by any amount Indemnitee has actually received as indemnification or advancement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96" w:name="page97"/>
    <w:bookmarkEnd w:id="96"/>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expenses from such other Enterprise (the “</w:t>
      </w:r>
      <w:r>
        <w:rPr>
          <w:rFonts w:ascii="Arial" w:cs="Arial" w:eastAsia="Arial" w:hAnsi="Arial"/>
          <w:sz w:val="18"/>
          <w:szCs w:val="18"/>
          <w:b w:val="1"/>
          <w:bCs w:val="1"/>
          <w:color w:val="auto"/>
        </w:rPr>
        <w:t>Primary Indemnitor</w:t>
      </w:r>
      <w:r>
        <w:rPr>
          <w:rFonts w:ascii="Arial" w:cs="Arial" w:eastAsia="Arial" w:hAnsi="Arial"/>
          <w:sz w:val="18"/>
          <w:szCs w:val="18"/>
          <w:color w:val="auto"/>
        </w:rPr>
        <w:t>”). Any indemnification or advancement of Expenses hereunder to Indemnitee who is or was serving at the request of the Company as a director, officer, employee or agent of any other Enterprise shall only be in excess of, and shall be secondary to, the indemnification or advancement of Expenses available from the applicable Primary Indemnitor(s) and any applicable insurance policies.</w:t>
      </w:r>
    </w:p>
    <w:p>
      <w:pPr>
        <w:spacing w:after="0" w:line="76" w:lineRule="exact"/>
        <w:rPr>
          <w:sz w:val="20"/>
          <w:szCs w:val="20"/>
          <w:color w:val="auto"/>
        </w:rPr>
      </w:pPr>
    </w:p>
    <w:p>
      <w:pPr>
        <w:ind w:right="580"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62" w:lineRule="exact"/>
        <w:rPr>
          <w:rFonts w:ascii="Arial" w:cs="Arial" w:eastAsia="Arial" w:hAnsi="Arial"/>
          <w:sz w:val="18"/>
          <w:szCs w:val="18"/>
          <w:color w:val="auto"/>
        </w:rPr>
      </w:pPr>
    </w:p>
    <w:p>
      <w:pPr>
        <w:ind w:right="20" w:firstLine="987"/>
        <w:spacing w:after="0" w:line="263" w:lineRule="auto"/>
        <w:tabs>
          <w:tab w:leader="none" w:pos="12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Secondary Indemnitors as set forth in Section 8(c);</w:t>
      </w:r>
    </w:p>
    <w:p>
      <w:pPr>
        <w:spacing w:after="0" w:line="75" w:lineRule="exact"/>
        <w:rPr>
          <w:rFonts w:ascii="Arial" w:cs="Arial" w:eastAsia="Arial" w:hAnsi="Arial"/>
          <w:sz w:val="18"/>
          <w:szCs w:val="18"/>
          <w:color w:val="auto"/>
        </w:rPr>
      </w:pPr>
    </w:p>
    <w:p>
      <w:pPr>
        <w:ind w:right="40" w:firstLine="987"/>
        <w:spacing w:after="0" w:line="277" w:lineRule="auto"/>
        <w:tabs>
          <w:tab w:leader="none" w:pos="12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62" w:lineRule="exact"/>
        <w:rPr>
          <w:rFonts w:ascii="Arial" w:cs="Arial" w:eastAsia="Arial" w:hAnsi="Arial"/>
          <w:sz w:val="18"/>
          <w:szCs w:val="18"/>
          <w:color w:val="auto"/>
        </w:rPr>
      </w:pPr>
    </w:p>
    <w:p>
      <w:pPr>
        <w:ind w:right="40" w:firstLine="987"/>
        <w:spacing w:after="0" w:line="273" w:lineRule="auto"/>
        <w:tabs>
          <w:tab w:leader="none" w:pos="1236" w:val="left"/>
        </w:tabs>
        <w:numPr>
          <w:ilvl w:val="1"/>
          <w:numId w:val="83"/>
        </w:numPr>
        <w:rPr>
          <w:rFonts w:ascii="Arial" w:cs="Arial" w:eastAsia="Arial" w:hAnsi="Arial"/>
          <w:sz w:val="17"/>
          <w:szCs w:val="17"/>
          <w:color w:val="auto"/>
        </w:rPr>
      </w:pPr>
      <w:r>
        <w:rPr>
          <w:rFonts w:ascii="Arial" w:cs="Arial" w:eastAsia="Arial" w:hAnsi="Arial"/>
          <w:sz w:val="17"/>
          <w:szCs w:val="17"/>
          <w:color w:val="auto"/>
        </w:rPr>
        <w:t>except with respect to a Proceeding relating to enforcement of, or to indemnity under, this Agreement, the Charter Documents, the DGCL or any insurance policy relating to Indemnitee’s Corporate Status,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 provided that this prohibition shall not apply to a counterclaim, cross-claim or third party claim brought in any Proceeding.</w:t>
      </w:r>
    </w:p>
    <w:p>
      <w:pPr>
        <w:spacing w:after="0" w:line="69" w:lineRule="exact"/>
        <w:rPr>
          <w:rFonts w:ascii="Arial" w:cs="Arial" w:eastAsia="Arial" w:hAnsi="Arial"/>
          <w:sz w:val="17"/>
          <w:szCs w:val="17"/>
          <w:color w:val="auto"/>
        </w:rPr>
      </w:pPr>
    </w:p>
    <w:p>
      <w:pPr>
        <w:ind w:firstLine="436"/>
        <w:spacing w:after="0" w:line="270" w:lineRule="auto"/>
        <w:tabs>
          <w:tab w:leader="none" w:pos="71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agreements and obligations of the Company contained herein shall continue during the period Indemnitee is a director of the Company (or is or was serving at the request of the Company as a director, officer, employee or agent of the Company or another Enterprise) and for a period of ten (10) years thereafter, and shall continue thereafter so long as Indemnitee shall be subject to any Proceeding (or any proceeding commenced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by reason of Indemnitee’s Corporate Status, whether or not Indemnitee is acting or serving in any such capacity at the time any liability or expense is incurred for which indemnification can be provided under this Agreement and regardless of any subsequent amendment to the Charter Documents, the DGCL or any other agreement relating to indemnification of Indemnitee.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72" w:lineRule="exact"/>
        <w:rPr>
          <w:rFonts w:ascii="Arial" w:cs="Arial" w:eastAsia="Arial" w:hAnsi="Arial"/>
          <w:sz w:val="17"/>
          <w:szCs w:val="17"/>
          <w:color w:val="auto"/>
        </w:rPr>
      </w:pPr>
    </w:p>
    <w:p>
      <w:pPr>
        <w:ind w:right="320" w:firstLine="436"/>
        <w:spacing w:after="0" w:line="311" w:lineRule="auto"/>
        <w:tabs>
          <w:tab w:leader="none" w:pos="70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97" w:name="page98"/>
    <w:bookmarkEnd w:id="97"/>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00" w:firstLine="987"/>
        <w:spacing w:after="0" w:line="263" w:lineRule="auto"/>
        <w:tabs>
          <w:tab w:leader="none" w:pos="123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 director of the Company, and the Company acknowledges that Indemnitee is relying upon this Agreement in serving as a director of the Company.</w:t>
      </w:r>
    </w:p>
    <w:p>
      <w:pPr>
        <w:spacing w:after="0" w:line="75" w:lineRule="exact"/>
        <w:rPr>
          <w:rFonts w:ascii="Arial" w:cs="Arial" w:eastAsia="Arial" w:hAnsi="Arial"/>
          <w:sz w:val="18"/>
          <w:szCs w:val="18"/>
          <w:color w:val="auto"/>
        </w:rPr>
      </w:pPr>
    </w:p>
    <w:p>
      <w:pPr>
        <w:ind w:right="60" w:firstLine="987"/>
        <w:spacing w:after="0" w:line="342" w:lineRule="auto"/>
        <w:tabs>
          <w:tab w:leader="none" w:pos="1246"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5" w:lineRule="exact"/>
        <w:rPr>
          <w:rFonts w:ascii="Arial" w:cs="Arial" w:eastAsia="Arial" w:hAnsi="Arial"/>
          <w:sz w:val="16"/>
          <w:szCs w:val="16"/>
          <w:color w:val="auto"/>
        </w:rPr>
      </w:pPr>
    </w:p>
    <w:p>
      <w:pPr>
        <w:ind w:right="700" w:firstLine="987"/>
        <w:spacing w:after="0" w:line="277" w:lineRule="auto"/>
        <w:tabs>
          <w:tab w:leader="none" w:pos="123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rFonts w:ascii="Arial" w:cs="Arial" w:eastAsia="Arial" w:hAnsi="Arial"/>
          <w:sz w:val="18"/>
          <w:szCs w:val="18"/>
          <w:color w:val="auto"/>
        </w:rPr>
      </w:pPr>
    </w:p>
    <w:p>
      <w:pPr>
        <w:ind w:right="120" w:firstLine="987"/>
        <w:spacing w:after="0" w:line="282" w:lineRule="auto"/>
        <w:tabs>
          <w:tab w:leader="none" w:pos="123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Enterprise that such person is or was serving at the express written request of the Company.</w:t>
      </w:r>
    </w:p>
    <w:p>
      <w:pPr>
        <w:spacing w:after="0" w:line="53" w:lineRule="exact"/>
        <w:rPr>
          <w:rFonts w:ascii="Arial" w:cs="Arial" w:eastAsia="Arial" w:hAnsi="Arial"/>
          <w:sz w:val="18"/>
          <w:szCs w:val="18"/>
          <w:color w:val="auto"/>
        </w:rPr>
      </w:pPr>
    </w:p>
    <w:p>
      <w:pPr>
        <w:ind w:right="500" w:firstLine="987"/>
        <w:spacing w:after="0" w:line="282" w:lineRule="auto"/>
        <w:tabs>
          <w:tab w:leader="none" w:pos="12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53" w:lineRule="exact"/>
        <w:rPr>
          <w:rFonts w:ascii="Arial" w:cs="Arial" w:eastAsia="Arial" w:hAnsi="Arial"/>
          <w:sz w:val="18"/>
          <w:szCs w:val="18"/>
          <w:color w:val="auto"/>
        </w:rPr>
      </w:pPr>
    </w:p>
    <w:p>
      <w:pPr>
        <w:ind w:right="440" w:firstLine="987"/>
        <w:spacing w:after="0" w:line="347" w:lineRule="auto"/>
        <w:tabs>
          <w:tab w:leader="none" w:pos="1236"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7" w:lineRule="exact"/>
        <w:rPr>
          <w:rFonts w:ascii="Arial" w:cs="Arial" w:eastAsia="Arial" w:hAnsi="Arial"/>
          <w:sz w:val="16"/>
          <w:szCs w:val="16"/>
          <w:color w:val="auto"/>
        </w:rPr>
      </w:pPr>
    </w:p>
    <w:p>
      <w:pPr>
        <w:ind w:firstLine="987"/>
        <w:spacing w:after="0" w:line="272" w:lineRule="auto"/>
        <w:tabs>
          <w:tab w:leader="none" w:pos="1246"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63" w:lineRule="exact"/>
        <w:rPr>
          <w:rFonts w:ascii="Arial" w:cs="Arial" w:eastAsia="Arial" w:hAnsi="Arial"/>
          <w:sz w:val="17"/>
          <w:szCs w:val="17"/>
          <w:color w:val="auto"/>
        </w:rPr>
      </w:pPr>
    </w:p>
    <w:p>
      <w:pPr>
        <w:jc w:val="both"/>
        <w:ind w:right="40" w:firstLine="987"/>
        <w:spacing w:after="0" w:line="281" w:lineRule="auto"/>
        <w:tabs>
          <w:tab w:leader="none" w:pos="1236"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98" w:name="page99"/>
    <w:bookmarkEnd w:id="98"/>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45" w:lineRule="exact"/>
        <w:rPr>
          <w:sz w:val="20"/>
          <w:szCs w:val="20"/>
          <w:color w:val="auto"/>
        </w:rPr>
      </w:pPr>
    </w:p>
    <w:p>
      <w:pPr>
        <w:ind w:firstLine="987"/>
        <w:spacing w:after="0" w:line="291" w:lineRule="auto"/>
        <w:tabs>
          <w:tab w:leader="none" w:pos="1216"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 director of the Company, by reason of any action taken by Indemnitee or of any inaction on Indemnitee’s part while acting as a director of the Company, or by reason of the fact that Indemnitee is or was serving at the request of the Company as a director, officer, employee, agent or fiduciary of another Enterprise;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to enforce his rights under this Agreement.</w:t>
      </w:r>
    </w:p>
    <w:p>
      <w:pPr>
        <w:spacing w:after="0" w:line="55" w:lineRule="exact"/>
        <w:rPr>
          <w:rFonts w:ascii="Arial" w:cs="Arial" w:eastAsia="Arial" w:hAnsi="Arial"/>
          <w:sz w:val="16"/>
          <w:szCs w:val="16"/>
          <w:color w:val="auto"/>
        </w:rPr>
      </w:pPr>
    </w:p>
    <w:p>
      <w:pPr>
        <w:ind w:right="100" w:firstLine="436"/>
        <w:spacing w:after="0" w:line="275" w:lineRule="auto"/>
        <w:tabs>
          <w:tab w:leader="none" w:pos="71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 provision. Further, the invalidity or unenforceability of any provision hereof as to Indemnitee shall in no way affect the validity or enforceability of any provision hereof as to the other.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68" w:lineRule="exact"/>
        <w:rPr>
          <w:rFonts w:ascii="Arial" w:cs="Arial" w:eastAsia="Arial" w:hAnsi="Arial"/>
          <w:sz w:val="17"/>
          <w:szCs w:val="17"/>
          <w:color w:val="auto"/>
        </w:rPr>
      </w:pPr>
    </w:p>
    <w:p>
      <w:pPr>
        <w:jc w:val="both"/>
        <w:ind w:right="380" w:firstLine="436"/>
        <w:spacing w:after="0" w:line="263" w:lineRule="auto"/>
        <w:tabs>
          <w:tab w:leader="none" w:pos="71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75" w:lineRule="exact"/>
        <w:rPr>
          <w:rFonts w:ascii="Arial" w:cs="Arial" w:eastAsia="Arial" w:hAnsi="Arial"/>
          <w:sz w:val="18"/>
          <w:szCs w:val="18"/>
          <w:color w:val="auto"/>
        </w:rPr>
      </w:pPr>
    </w:p>
    <w:p>
      <w:pPr>
        <w:ind w:right="500" w:firstLine="436"/>
        <w:spacing w:after="0" w:line="301" w:lineRule="auto"/>
        <w:tabs>
          <w:tab w:leader="none" w:pos="71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Notice By Indemnitee</w:t>
      </w:r>
      <w:r>
        <w:rPr>
          <w:rFonts w:ascii="Arial" w:cs="Arial" w:eastAsia="Arial" w:hAnsi="Arial"/>
          <w:sz w:val="16"/>
          <w:szCs w:val="16"/>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actually materially prejudices the Company.</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46"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specifying next day delivery, with written verification of receipt. All communications shall be sent:</w:t>
      </w:r>
    </w:p>
    <w:p>
      <w:pPr>
        <w:spacing w:after="0" w:line="131" w:lineRule="exact"/>
        <w:rPr>
          <w:sz w:val="20"/>
          <w:szCs w:val="20"/>
          <w:color w:val="auto"/>
        </w:rPr>
      </w:pPr>
    </w:p>
    <w:p>
      <w:pPr>
        <w:ind w:left="1420" w:hanging="439"/>
        <w:spacing w:after="0"/>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the Company at: Larimar Therapeutics, Inc.</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Attn: Board of Directors</w:t>
      </w:r>
    </w:p>
    <w:p>
      <w:pPr>
        <w:spacing w:after="0" w:line="10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With a copy to (which shall not constitute notice):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Pepper Hamilton LLP</w:t>
      </w:r>
    </w:p>
    <w:p>
      <w:pPr>
        <w:spacing w:after="0" w:line="23" w:lineRule="exact"/>
        <w:rPr>
          <w:rFonts w:ascii="Arial" w:cs="Arial" w:eastAsia="Arial" w:hAnsi="Arial"/>
          <w:sz w:val="18"/>
          <w:szCs w:val="18"/>
          <w:color w:val="auto"/>
        </w:rPr>
      </w:pPr>
    </w:p>
    <w:p>
      <w:pPr>
        <w:ind w:left="1420" w:right="7440"/>
        <w:spacing w:after="0" w:line="265" w:lineRule="auto"/>
        <w:rPr>
          <w:rFonts w:ascii="Arial" w:cs="Arial" w:eastAsia="Arial" w:hAnsi="Arial"/>
          <w:sz w:val="18"/>
          <w:szCs w:val="18"/>
          <w:color w:val="auto"/>
        </w:rPr>
      </w:pPr>
      <w:r>
        <w:rPr>
          <w:rFonts w:ascii="Arial" w:cs="Arial" w:eastAsia="Arial" w:hAnsi="Arial"/>
          <w:sz w:val="17"/>
          <w:szCs w:val="17"/>
          <w:color w:val="auto"/>
        </w:rPr>
        <w:t>3000 Two Logan Square Philadelphia, PA 19103-2799 Attn: Rachael Bushey</w:t>
      </w:r>
    </w:p>
    <w:p>
      <w:pPr>
        <w:ind w:left="1420"/>
        <w:spacing w:after="0"/>
        <w:rPr>
          <w:rFonts w:ascii="Arial" w:cs="Arial" w:eastAsia="Arial" w:hAnsi="Arial"/>
          <w:sz w:val="18"/>
          <w:szCs w:val="18"/>
          <w:color w:val="auto"/>
        </w:rPr>
      </w:pPr>
      <w:r>
        <w:rPr>
          <w:rFonts w:ascii="Arial" w:cs="Arial" w:eastAsia="Arial" w:hAnsi="Arial"/>
          <w:sz w:val="18"/>
          <w:szCs w:val="18"/>
          <w:color w:val="auto"/>
        </w:rPr>
        <w:t>Email: busheyr@pepperlaw.com</w:t>
      </w:r>
    </w:p>
    <w:p>
      <w:pPr>
        <w:spacing w:after="0" w:line="102" w:lineRule="exact"/>
        <w:rPr>
          <w:rFonts w:ascii="Arial" w:cs="Arial" w:eastAsia="Arial" w:hAnsi="Arial"/>
          <w:sz w:val="18"/>
          <w:szCs w:val="18"/>
          <w:color w:val="auto"/>
        </w:rPr>
      </w:pPr>
    </w:p>
    <w:p>
      <w:pPr>
        <w:ind w:left="1420" w:right="200"/>
        <w:spacing w:after="0" w:line="277" w:lineRule="auto"/>
        <w:rPr>
          <w:rFonts w:ascii="Arial" w:cs="Arial" w:eastAsia="Arial" w:hAnsi="Arial"/>
          <w:sz w:val="18"/>
          <w:szCs w:val="18"/>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170" w:lineRule="exact"/>
        <w:rPr>
          <w:rFonts w:ascii="Arial" w:cs="Arial" w:eastAsia="Arial" w:hAnsi="Arial"/>
          <w:sz w:val="18"/>
          <w:szCs w:val="18"/>
          <w:color w:val="auto"/>
        </w:rPr>
      </w:pPr>
    </w:p>
    <w:p>
      <w:pPr>
        <w:ind w:right="320" w:firstLine="436"/>
        <w:spacing w:after="0" w:line="279" w:lineRule="auto"/>
        <w:tabs>
          <w:tab w:leader="none" w:pos="71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Agreement. This Agreement may also be executed and delivered by facsimile signature or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xml:space="preserve"> www.docusign.com) and in two or more counterparts, each of which shall be deemed an original, but all of which together shall constitute one and the same instrument.</w:t>
      </w:r>
    </w:p>
    <w:p>
      <w:pPr>
        <w:spacing w:after="0" w:line="171"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inserted for convenience only and shall not be deemed to constitute part of this Agreement or to affect the construction thereof.</w:t>
      </w:r>
    </w:p>
    <w:p>
      <w:pPr>
        <w:spacing w:after="0" w:line="170" w:lineRule="exact"/>
        <w:rPr>
          <w:rFonts w:ascii="Arial" w:cs="Arial" w:eastAsia="Arial" w:hAnsi="Arial"/>
          <w:sz w:val="18"/>
          <w:szCs w:val="18"/>
          <w:color w:val="auto"/>
        </w:rPr>
      </w:pPr>
    </w:p>
    <w:p>
      <w:pPr>
        <w:ind w:firstLine="436"/>
        <w:spacing w:after="0" w:line="271" w:lineRule="auto"/>
        <w:tabs>
          <w:tab w:leader="none" w:pos="71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Governing Law and Consent to Jurisdiction</w:t>
      </w:r>
      <w:r>
        <w:rPr>
          <w:rFonts w:ascii="Arial" w:cs="Arial" w:eastAsia="Arial" w:hAnsi="Arial"/>
          <w:sz w:val="17"/>
          <w:szCs w:val="17"/>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(a) agree that any action or proceeding arising out of or in connection with this Agreement shall be brought only in the state and federal courts of the State of Delaware (the “</w:t>
      </w:r>
      <w:r>
        <w:rPr>
          <w:rFonts w:ascii="Arial" w:cs="Arial" w:eastAsia="Arial" w:hAnsi="Arial"/>
          <w:sz w:val="17"/>
          <w:szCs w:val="17"/>
          <w:b w:val="1"/>
          <w:bCs w:val="1"/>
          <w:color w:val="auto"/>
        </w:rPr>
        <w:t>Delaware Courts</w:t>
      </w:r>
      <w:r>
        <w:rPr>
          <w:rFonts w:ascii="Arial" w:cs="Arial" w:eastAsia="Arial" w:hAnsi="Arial"/>
          <w:sz w:val="17"/>
          <w:szCs w:val="17"/>
          <w:color w:val="auto"/>
        </w:rPr>
        <w:t>”), and not in any other state or federal court in the United States of America or any court in any other country, (b) consent to submit to the exclusive jurisdiction of the Delaware Courts for purposes of any action or proceeding arising out of or in connection with this Agreement, (c) waive any objection to the laying of venue of any such action or proceeding in the Delaware Courts, and (d) waive, and agree not to plead or to make, any claim that any such action or proceeding brought in the Delaware Courts has been brought in an improper or inconvenient forum.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00" w:name="page101"/>
    <w:bookmarkEnd w:id="10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Indemnification Agreement on and as of the day and year first above written.</w:t>
      </w:r>
    </w:p>
    <w:p>
      <w:pPr>
        <w:spacing w:after="0" w:line="27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Larimar Therapeutics,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142875</wp:posOffset>
            </wp:positionV>
            <wp:extent cx="34201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297180</wp:posOffset>
            </wp:positionV>
            <wp:extent cx="34201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451485</wp:posOffset>
            </wp:positionV>
            <wp:extent cx="34201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605790</wp:posOffset>
            </wp:positionV>
            <wp:extent cx="34201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0640"/>
          </w:cols>
          <w:pgMar w:left="440" w:top="274" w:right="8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on June 1, 2020 by and between LARIMAR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and MICHAEL CELANO (the “</w:t>
      </w:r>
      <w:r>
        <w:rPr>
          <w:rFonts w:ascii="Arial" w:cs="Arial" w:eastAsia="Arial" w:hAnsi="Arial"/>
          <w:sz w:val="18"/>
          <w:szCs w:val="18"/>
          <w:b w:val="1"/>
          <w:bCs w:val="1"/>
          <w:color w:val="auto"/>
        </w:rPr>
        <w:t>Executive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Company desires to retain the services of the Executive pursuant to the terms and conditions set forth herein and the Executive wishes to be employed by the Company on such terms and conditions. The Executive will be a key employee of the Company, with significant access to information concerning the Company and its business. The disclosure or misuse of such information or the engaging in competitive activities would cause substantial harm to the Company.</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 THEREFORE, for good and valuable consideration , the receipt and sufficiency of which are hereby acknowledged, the parties agree as follows:</w:t>
      </w:r>
    </w:p>
    <w:p>
      <w:pPr>
        <w:spacing w:after="0" w:line="58" w:lineRule="exact"/>
        <w:rPr>
          <w:sz w:val="20"/>
          <w:szCs w:val="20"/>
          <w:color w:val="auto"/>
        </w:rPr>
      </w:pPr>
    </w:p>
    <w:p>
      <w:pPr>
        <w:ind w:right="120" w:firstLine="436"/>
        <w:spacing w:after="0" w:line="266" w:lineRule="auto"/>
        <w:tabs>
          <w:tab w:leader="none" w:pos="6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Company agrees to employ Executive, and Executive accepts employment with the Company,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Agreement. Executive’s period of employment with the Company commenced on May 28, 2020 and will continue until terminated in accordance with this Agreement.</w:t>
      </w:r>
    </w:p>
    <w:p>
      <w:pPr>
        <w:spacing w:after="0" w:line="67" w:lineRule="exact"/>
        <w:rPr>
          <w:rFonts w:ascii="Arial" w:cs="Arial" w:eastAsia="Arial" w:hAnsi="Arial"/>
          <w:sz w:val="18"/>
          <w:szCs w:val="18"/>
          <w:b w:val="1"/>
          <w:bCs w:val="1"/>
          <w:color w:val="auto"/>
        </w:rPr>
      </w:pPr>
    </w:p>
    <w:p>
      <w:pPr>
        <w:ind w:right="140" w:firstLine="436"/>
        <w:spacing w:after="0" w:line="347" w:lineRule="auto"/>
        <w:tabs>
          <w:tab w:leader="none" w:pos="6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w:t>
      </w:r>
      <w:r>
        <w:rPr>
          <w:rFonts w:ascii="Arial" w:cs="Arial" w:eastAsia="Arial" w:hAnsi="Arial"/>
          <w:sz w:val="16"/>
          <w:szCs w:val="16"/>
          <w:color w:val="auto"/>
        </w:rPr>
        <w:t>The Executive will serve as the Chief Financial Officer of the Company and shall have such duties of an executive nature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shall determine from time to time. The Executive will report to the Company’s Chief Executive Officer.</w:t>
      </w:r>
    </w:p>
    <w:p>
      <w:pPr>
        <w:spacing w:after="0" w:line="7" w:lineRule="exact"/>
        <w:rPr>
          <w:rFonts w:ascii="Arial" w:cs="Arial" w:eastAsia="Arial" w:hAnsi="Arial"/>
          <w:sz w:val="16"/>
          <w:szCs w:val="16"/>
          <w:b w:val="1"/>
          <w:bCs w:val="1"/>
          <w:color w:val="auto"/>
        </w:rPr>
      </w:pPr>
    </w:p>
    <w:p>
      <w:pPr>
        <w:ind w:right="40" w:firstLine="436"/>
        <w:spacing w:after="0" w:line="255" w:lineRule="auto"/>
        <w:tabs>
          <w:tab w:leader="none" w:pos="6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Time; Best Efforts. </w:t>
      </w:r>
      <w:r>
        <w:rPr>
          <w:rFonts w:ascii="Arial" w:cs="Arial" w:eastAsia="Arial" w:hAnsi="Arial"/>
          <w:sz w:val="18"/>
          <w:szCs w:val="18"/>
          <w:color w:val="auto"/>
        </w:rPr>
        <w:t>The Executive shall devote Executive’ s full business time and best efforts to the performance of Executive’ s duties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to the promotion of the business and affairs of the Company. The Executive shall not engage in any other commercial activity; provided however, that the Executive may continue to serve as a board member of OraSure Technologies, Inc. and one private company, so long as such board service does not interfere with the performance of the Executive’ s duties and responsibilities hereunder. Similarly, the Executive may engage in charitable or civic endeavors so long as they do not interfere with the performance of the Executive’ s duties and responsibilities hereunder. The Executive shall not engage in any other activity which could reasonably be expected to interfere with the performance of the Executive’s duties, services and responsibilities hereunder.</w:t>
      </w:r>
    </w:p>
    <w:p>
      <w:pPr>
        <w:spacing w:after="0" w:line="80" w:lineRule="exact"/>
        <w:rPr>
          <w:rFonts w:ascii="Arial" w:cs="Arial" w:eastAsia="Arial" w:hAnsi="Arial"/>
          <w:sz w:val="18"/>
          <w:szCs w:val="18"/>
          <w:b w:val="1"/>
          <w:bCs w:val="1"/>
          <w:color w:val="auto"/>
        </w:rPr>
      </w:pPr>
    </w:p>
    <w:p>
      <w:pPr>
        <w:ind w:right="140" w:firstLine="436"/>
        <w:spacing w:after="0" w:line="282" w:lineRule="auto"/>
        <w:tabs>
          <w:tab w:leader="none" w:pos="6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During the Executive’s employment with the Company under this Agreement , the Executive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as follows:</w:t>
      </w:r>
    </w:p>
    <w:p>
      <w:pPr>
        <w:sectPr>
          <w:pgSz w:w="11900" w:h="16838" w:orient="portrait"/>
          <w:cols w:equalWidth="0" w:num="1">
            <w:col w:w="11020"/>
          </w:cols>
          <w:pgMar w:left="440" w:top="121" w:right="439" w:bottom="1440" w:gutter="0" w:footer="0" w:header="0"/>
        </w:sectPr>
      </w:pPr>
    </w:p>
    <w:bookmarkStart w:id="102" w:name="page103"/>
    <w:bookmarkEnd w:id="102"/>
    <w:p>
      <w:pPr>
        <w:jc w:val="both"/>
        <w:ind w:right="420" w:firstLine="987"/>
        <w:spacing w:after="0" w:line="261" w:lineRule="auto"/>
        <w:tabs>
          <w:tab w:leader="none" w:pos="1246"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Base Salary. </w:t>
      </w:r>
      <w:r>
        <w:rPr>
          <w:rFonts w:ascii="Arial" w:cs="Arial" w:eastAsia="Arial" w:hAnsi="Arial"/>
          <w:sz w:val="18"/>
          <w:szCs w:val="18"/>
          <w:color w:val="auto"/>
        </w:rPr>
        <w:t>The Executive will receive a salary at the rate of $350,000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equal increments not less often than</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 arrears. The Executive’s rate of base salary, as in effect from time to time, (the “</w:t>
      </w:r>
      <w:r>
        <w:rPr>
          <w:rFonts w:ascii="Arial" w:cs="Arial" w:eastAsia="Arial" w:hAnsi="Arial"/>
          <w:sz w:val="18"/>
          <w:szCs w:val="18"/>
          <w:b w:val="1"/>
          <w:bCs w:val="1"/>
          <w:color w:val="auto"/>
        </w:rPr>
        <w:t>Base Salary</w:t>
      </w:r>
      <w:r>
        <w:rPr>
          <w:rFonts w:ascii="Arial" w:cs="Arial" w:eastAsia="Arial" w:hAnsi="Arial"/>
          <w:sz w:val="18"/>
          <w:szCs w:val="18"/>
          <w:color w:val="auto"/>
        </w:rPr>
        <w:t>”) will be reviewed at least annually by the Compensation Committee of the Board (the “</w:t>
      </w:r>
      <w:r>
        <w:rPr>
          <w:rFonts w:ascii="Arial" w:cs="Arial" w:eastAsia="Arial" w:hAnsi="Arial"/>
          <w:sz w:val="18"/>
          <w:szCs w:val="18"/>
          <w:b w:val="1"/>
          <w:bCs w:val="1"/>
          <w:color w:val="auto"/>
        </w:rPr>
        <w:t>Committee</w:t>
      </w:r>
      <w:r>
        <w:rPr>
          <w:rFonts w:ascii="Arial" w:cs="Arial" w:eastAsia="Arial" w:hAnsi="Arial"/>
          <w:sz w:val="18"/>
          <w:szCs w:val="18"/>
          <w:color w:val="auto"/>
        </w:rPr>
        <w:t>”) and may not be decreased, except in connection with a proportionate reduction of the salaries of all the Company’s other executive officers.</w:t>
      </w:r>
    </w:p>
    <w:p>
      <w:pPr>
        <w:spacing w:after="0" w:line="71" w:lineRule="exact"/>
        <w:rPr>
          <w:rFonts w:ascii="Arial" w:cs="Arial" w:eastAsia="Arial" w:hAnsi="Arial"/>
          <w:sz w:val="18"/>
          <w:szCs w:val="18"/>
          <w:b w:val="1"/>
          <w:bCs w:val="1"/>
          <w:color w:val="auto"/>
        </w:rPr>
      </w:pPr>
    </w:p>
    <w:p>
      <w:pPr>
        <w:ind w:left="1260" w:hanging="273"/>
        <w:spacing w:after="0"/>
        <w:tabs>
          <w:tab w:leader="none" w:pos="12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For each calendar year ending during his employment, the Executive will have the opportunity to earn an annual bonus (the</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Bonus</w:t>
      </w:r>
      <w:r>
        <w:rPr>
          <w:rFonts w:ascii="Arial" w:cs="Arial" w:eastAsia="Arial" w:hAnsi="Arial"/>
          <w:sz w:val="18"/>
          <w:szCs w:val="18"/>
          <w:color w:val="auto"/>
        </w:rPr>
        <w:t>”) with a target amount not less than 35% of the Base Salary actually earned by the Executive in the applicable year. The actual Bonus payable to the Executive, if any, may be more or less than the target amount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79" w:lineRule="exact"/>
        <w:rPr>
          <w:sz w:val="20"/>
          <w:szCs w:val="20"/>
          <w:color w:val="auto"/>
        </w:rPr>
      </w:pPr>
    </w:p>
    <w:p>
      <w:pPr>
        <w:ind w:right="20" w:firstLine="987"/>
        <w:spacing w:after="0" w:line="270" w:lineRule="auto"/>
        <w:tabs>
          <w:tab w:leader="none" w:pos="1236"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Initial Equity Award. </w:t>
      </w:r>
      <w:r>
        <w:rPr>
          <w:rFonts w:ascii="Arial" w:cs="Arial" w:eastAsia="Arial" w:hAnsi="Arial"/>
          <w:sz w:val="17"/>
          <w:szCs w:val="17"/>
          <w:color w:val="auto"/>
        </w:rPr>
        <w:t>On May 28, 2020 (the “</w:t>
      </w:r>
      <w:r>
        <w:rPr>
          <w:rFonts w:ascii="Arial" w:cs="Arial" w:eastAsia="Arial" w:hAnsi="Arial"/>
          <w:sz w:val="17"/>
          <w:szCs w:val="17"/>
          <w:b w:val="1"/>
          <w:bCs w:val="1"/>
          <w:color w:val="auto"/>
        </w:rPr>
        <w:t>Grant Date</w:t>
      </w:r>
      <w:r>
        <w:rPr>
          <w:rFonts w:ascii="Arial" w:cs="Arial" w:eastAsia="Arial" w:hAnsi="Arial"/>
          <w:sz w:val="17"/>
          <w:szCs w:val="17"/>
          <w:color w:val="auto"/>
        </w:rPr>
        <w:t>”), the Company granted to the Executive a stock option (the “</w:t>
      </w:r>
      <w:r>
        <w:rPr>
          <w:rFonts w:ascii="Arial" w:cs="Arial" w:eastAsia="Arial" w:hAnsi="Arial"/>
          <w:sz w:val="17"/>
          <w:szCs w:val="17"/>
          <w:b w:val="1"/>
          <w:bCs w:val="1"/>
          <w:color w:val="auto"/>
        </w:rPr>
        <w:t>Initial Award</w:t>
      </w:r>
      <w:r>
        <w:rPr>
          <w:rFonts w:ascii="Arial" w:cs="Arial" w:eastAsia="Arial" w:hAnsi="Arial"/>
          <w:sz w:val="17"/>
          <w:szCs w:val="17"/>
          <w:color w:val="auto"/>
        </w:rPr>
        <w:t>”) in respect of 60,479 shares of the Company’s common stock. The Initial Award has an exercise price equal to the closing price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common stock on the Grant Date ($11.88) and will vest as follows: (i) 25% of the Initial Award will vest on the first anniversary of the Grant Date, and (ii) the remaining 75% of the Initial Award will in equal monthly installments (on the last day of each of the 36 calendar months commencing on or after the first anniversary of the Grant Date), subject in each case to the Executive’s continued service to the Company through the applicable vesting date. In addition, if the Executive’ s employment ceases due to a termination by the Company without Cause or a resignation by the Executive with Good Reason, in either case within one year following a Change in Control (as those terms are defined below), then subject to the timely fulfillment of the Release requirements described below in </w:t>
      </w:r>
      <w:r>
        <w:rPr>
          <w:rFonts w:ascii="Arial" w:cs="Arial" w:eastAsia="Arial" w:hAnsi="Arial"/>
          <w:sz w:val="17"/>
          <w:szCs w:val="17"/>
          <w:u w:val="single" w:color="auto"/>
          <w:color w:val="auto"/>
        </w:rPr>
        <w:t>Section 6(f)</w:t>
      </w:r>
      <w:r>
        <w:rPr>
          <w:rFonts w:ascii="Arial" w:cs="Arial" w:eastAsia="Arial" w:hAnsi="Arial"/>
          <w:sz w:val="17"/>
          <w:szCs w:val="17"/>
          <w:color w:val="auto"/>
        </w:rPr>
        <w:t>, any then outstanding, unvested portion of the Initial Award will vest and become immediately exercisable. The Initial Award will be subject to additional terms and conditions specified by the Committee, in its discretion, and will be memorialized in a separate award agreement in form and substance acceptable to the Company.</w:t>
      </w:r>
    </w:p>
    <w:p>
      <w:pPr>
        <w:spacing w:after="0" w:line="68" w:lineRule="exact"/>
        <w:rPr>
          <w:rFonts w:ascii="Arial" w:cs="Arial" w:eastAsia="Arial" w:hAnsi="Arial"/>
          <w:sz w:val="17"/>
          <w:szCs w:val="17"/>
          <w:b w:val="1"/>
          <w:bCs w:val="1"/>
          <w:color w:val="auto"/>
        </w:rPr>
      </w:pPr>
    </w:p>
    <w:p>
      <w:pPr>
        <w:ind w:right="580" w:firstLine="987"/>
        <w:spacing w:after="0" w:line="312" w:lineRule="auto"/>
        <w:tabs>
          <w:tab w:leader="none" w:pos="1256"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 </w:t>
      </w:r>
      <w:r>
        <w:rPr>
          <w:rFonts w:ascii="Arial" w:cs="Arial" w:eastAsia="Arial" w:hAnsi="Arial"/>
          <w:sz w:val="17"/>
          <w:szCs w:val="17"/>
          <w:color w:val="auto"/>
        </w:rPr>
        <w:t>The Executive shall be entitled to participate in Company benefit plans that are generally available to the Company’ 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employees in accordance with and subject to the terms and conditions of such plans, as in effect from time to time.</w:t>
      </w:r>
    </w:p>
    <w:p>
      <w:pPr>
        <w:spacing w:after="0" w:line="31" w:lineRule="exact"/>
        <w:rPr>
          <w:rFonts w:ascii="Arial" w:cs="Arial" w:eastAsia="Arial" w:hAnsi="Arial"/>
          <w:sz w:val="17"/>
          <w:szCs w:val="17"/>
          <w:b w:val="1"/>
          <w:bCs w:val="1"/>
          <w:color w:val="auto"/>
        </w:rPr>
      </w:pPr>
    </w:p>
    <w:p>
      <w:pPr>
        <w:ind w:left="1220" w:hanging="233"/>
        <w:spacing w:after="0"/>
        <w:tabs>
          <w:tab w:leader="none" w:pos="122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Vacation. </w:t>
      </w:r>
      <w:r>
        <w:rPr>
          <w:rFonts w:ascii="Arial" w:cs="Arial" w:eastAsia="Arial" w:hAnsi="Arial"/>
          <w:sz w:val="17"/>
          <w:szCs w:val="17"/>
          <w:color w:val="auto"/>
        </w:rPr>
        <w:t>The Executive will be entitled to paid time off in accordance with the Company’s policies, as in effect from time to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03" w:name="page104"/>
    <w:bookmarkEnd w:id="103"/>
    <w:p>
      <w:pPr>
        <w:ind w:right="180" w:firstLine="987"/>
        <w:spacing w:after="0" w:line="282" w:lineRule="auto"/>
        <w:tabs>
          <w:tab w:leader="none" w:pos="1216"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Expenses. </w:t>
      </w:r>
      <w:r>
        <w:rPr>
          <w:rFonts w:ascii="Arial" w:cs="Arial" w:eastAsia="Arial" w:hAnsi="Arial"/>
          <w:sz w:val="18"/>
          <w:szCs w:val="18"/>
          <w:color w:val="auto"/>
        </w:rPr>
        <w:t>The Executive will be entitled to reimbursement of all reasonable expenses incurred in the ordinary course of business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Company in accordance with Company expense reimbursement policies.</w:t>
      </w:r>
    </w:p>
    <w:p>
      <w:pPr>
        <w:spacing w:after="0" w:line="53" w:lineRule="exact"/>
        <w:rPr>
          <w:rFonts w:ascii="Arial" w:cs="Arial" w:eastAsia="Arial" w:hAnsi="Arial"/>
          <w:sz w:val="18"/>
          <w:szCs w:val="18"/>
          <w:b w:val="1"/>
          <w:bCs w:val="1"/>
          <w:color w:val="auto"/>
        </w:rPr>
      </w:pPr>
    </w:p>
    <w:p>
      <w:pPr>
        <w:ind w:right="640" w:firstLine="987"/>
        <w:spacing w:after="0" w:line="282" w:lineRule="auto"/>
        <w:tabs>
          <w:tab w:leader="none" w:pos="1246"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may withhold from compensation payable to the Executive all applicable federal,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taxes.</w:t>
      </w:r>
    </w:p>
    <w:p>
      <w:pPr>
        <w:spacing w:after="0" w:line="53" w:lineRule="exact"/>
        <w:rPr>
          <w:rFonts w:ascii="Arial" w:cs="Arial" w:eastAsia="Arial" w:hAnsi="Arial"/>
          <w:sz w:val="18"/>
          <w:szCs w:val="18"/>
          <w:b w:val="1"/>
          <w:bCs w:val="1"/>
          <w:color w:val="auto"/>
        </w:rPr>
      </w:pPr>
    </w:p>
    <w:p>
      <w:pPr>
        <w:ind w:right="340" w:firstLine="436"/>
        <w:spacing w:after="0" w:line="266" w:lineRule="auto"/>
        <w:tabs>
          <w:tab w:leader="none" w:pos="6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 Agreement. </w:t>
      </w:r>
      <w:r>
        <w:rPr>
          <w:rFonts w:ascii="Arial" w:cs="Arial" w:eastAsia="Arial" w:hAnsi="Arial"/>
          <w:sz w:val="18"/>
          <w:szCs w:val="18"/>
          <w:color w:val="auto"/>
        </w:rPr>
        <w:t>In consideration of good and valuable consideration received hereunder, the Executive will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execute the Confidentiality, Intellectual Property Assignment and Restrictive Covenant Agreement attached hereto as Appendix A (the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620" w:hanging="184"/>
        <w:spacing w:after="0"/>
        <w:tabs>
          <w:tab w:leader="none" w:pos="6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40" w:firstLine="987"/>
        <w:spacing w:after="0" w:line="281" w:lineRule="auto"/>
        <w:tabs>
          <w:tab w:leader="none" w:pos="1246" w:val="left"/>
        </w:tabs>
        <w:numPr>
          <w:ilvl w:val="1"/>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Executive’ s employment with the Company may be terminated by the Company at any time, for any reason.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 employment with the Company may also be terminated by the Executive for Good Reason or, after at least 30 days prior written notice thereof from the Executive to the Company, without Good Reason (provided that upon notice by the Executive of a resignation without Good Reason, the Company may without any liability accept such resignation with an earlier effective date than proposed by the Executive).</w:t>
      </w:r>
    </w:p>
    <w:p>
      <w:pPr>
        <w:spacing w:after="0" w:line="56" w:lineRule="exact"/>
        <w:rPr>
          <w:rFonts w:ascii="Arial" w:cs="Arial" w:eastAsia="Arial" w:hAnsi="Arial"/>
          <w:sz w:val="17"/>
          <w:szCs w:val="17"/>
          <w:b w:val="1"/>
          <w:bCs w:val="1"/>
          <w:color w:val="auto"/>
        </w:rPr>
      </w:pPr>
    </w:p>
    <w:p>
      <w:pPr>
        <w:ind w:left="1260" w:hanging="273"/>
        <w:spacing w:after="0"/>
        <w:tabs>
          <w:tab w:leader="none" w:pos="126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herein, the following terms shall have the following meanings:</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(a) a good faith finding by the Company’ s Board (i) of a willful failure of the Executive to perform his reasonably assigned duties for the Company, which failure is not cured within ten days after written notice thereof, unless the Board determines in good faith such failure is not curable, or (ii) that the Executive has engaged in a material act of dishonesty, gross negligence or material misconduct; (b) the conviction of the Executive of, or the entry of a pleading of guilty by the Executive to, a felony; or (c) a breach by the Executive of any duty owed to or any agreement with the Company, which breach is not cured within ten days after written notice thereof, unless the Board determines in good faith such breach is not curable. For avoidance of doubt, any termination of the Executive’s employment due to a Disability (as defined below) will not be deemed a termination “without Cause.”</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 “change in control event,” as that term is used in Treas. Reg. § 1.409A-3(i)(5)(i).</w:t>
      </w:r>
    </w:p>
    <w:p>
      <w:pPr>
        <w:spacing w:after="0" w:line="225" w:lineRule="exact"/>
        <w:rPr>
          <w:sz w:val="20"/>
          <w:szCs w:val="20"/>
          <w:color w:val="auto"/>
        </w:rPr>
      </w:pPr>
    </w:p>
    <w:p>
      <w:pPr>
        <w:ind w:right="34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Executive’s inability to substantially perform his duties to the Company as a result of incapacity by reason of any medically determinable physical or mental impairment that can be expected to result in death or to last for a period of 12 months.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104" w:name="page105"/>
    <w:bookmarkEnd w:id="104"/>
    <w:p>
      <w:pPr>
        <w:jc w:val="both"/>
        <w:ind w:left="4" w:right="6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for resignation shall exist upon, without the Executive’s written consent: (a) a change by the Company in the location at which the Executive performs his principal duties for the Company of more than 25 miles from the location at which the Executive was performing his principal duties for the Company prior to such change; (b) a reduction of the Executive’s Base Salary (other than a reduction permitted by </w:t>
      </w:r>
      <w:r>
        <w:rPr>
          <w:rFonts w:ascii="Arial" w:cs="Arial" w:eastAsia="Arial" w:hAnsi="Arial"/>
          <w:sz w:val="16"/>
          <w:szCs w:val="16"/>
          <w:u w:val="single" w:color="auto"/>
          <w:color w:val="auto"/>
        </w:rPr>
        <w:t>Section 4(a)</w:t>
      </w:r>
      <w:r>
        <w:rPr>
          <w:rFonts w:ascii="Arial" w:cs="Arial" w:eastAsia="Arial" w:hAnsi="Arial"/>
          <w:sz w:val="16"/>
          <w:szCs w:val="16"/>
          <w:color w:val="auto"/>
        </w:rPr>
        <w:t>);</w:t>
      </w:r>
    </w:p>
    <w:p>
      <w:pPr>
        <w:spacing w:after="0" w:line="2" w:lineRule="exact"/>
        <w:rPr>
          <w:sz w:val="20"/>
          <w:szCs w:val="20"/>
          <w:color w:val="auto"/>
        </w:rPr>
      </w:pPr>
    </w:p>
    <w:p>
      <w:pPr>
        <w:ind w:left="4" w:hanging="4"/>
        <w:spacing w:after="0" w:line="253" w:lineRule="auto"/>
        <w:tabs>
          <w:tab w:leader="none" w:pos="2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 reduction of the Executive’s target Bonus opportunity below that specified in </w:t>
      </w:r>
      <w:r>
        <w:rPr>
          <w:rFonts w:ascii="Arial" w:cs="Arial" w:eastAsia="Arial" w:hAnsi="Arial"/>
          <w:sz w:val="18"/>
          <w:szCs w:val="18"/>
          <w:u w:val="single" w:color="auto"/>
          <w:color w:val="auto"/>
        </w:rPr>
        <w:t>Section 4(b)</w:t>
      </w:r>
      <w:r>
        <w:rPr>
          <w:rFonts w:ascii="Arial" w:cs="Arial" w:eastAsia="Arial" w:hAnsi="Arial"/>
          <w:sz w:val="18"/>
          <w:szCs w:val="18"/>
          <w:color w:val="auto"/>
        </w:rPr>
        <w:t>; or (d) a material adverse change in the Executive’ s title, authority or duties; provided that no such event or condition in clauses (a) through (d) shall constitute Good Reason unless (x) the Executive gives the Company a written notice of termination not more than 30 days after the initial existence of the condition, (y) the grounds for termination (if susceptible to correction) are not corrected by the Company within 30 days of its receipt of such notice, and (z) the Executive’s termination occurs within 60 days following the Company’s receipt of such notice.</w:t>
      </w:r>
    </w:p>
    <w:p>
      <w:pPr>
        <w:spacing w:after="0" w:line="78" w:lineRule="exact"/>
        <w:rPr>
          <w:rFonts w:ascii="Arial" w:cs="Arial" w:eastAsia="Arial" w:hAnsi="Arial"/>
          <w:sz w:val="18"/>
          <w:szCs w:val="18"/>
          <w:color w:val="auto"/>
        </w:rPr>
      </w:pPr>
    </w:p>
    <w:p>
      <w:pPr>
        <w:ind w:left="4" w:right="40" w:firstLine="987"/>
        <w:spacing w:after="0" w:line="272" w:lineRule="auto"/>
        <w:tabs>
          <w:tab w:leader="none" w:pos="1240" w:val="left"/>
        </w:tabs>
        <w:numPr>
          <w:ilvl w:val="1"/>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Effects of Termination. </w:t>
      </w:r>
      <w:r>
        <w:rPr>
          <w:rFonts w:ascii="Arial" w:cs="Arial" w:eastAsia="Arial" w:hAnsi="Arial"/>
          <w:sz w:val="17"/>
          <w:szCs w:val="17"/>
          <w:color w:val="auto"/>
        </w:rPr>
        <w:t>If the Executive’s employment with the Company ceases for any reason, then the Executive’s rights in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of outstanding equity awards will be determined in accordance with terms of the applicable award agreements and the Company will pay to the Executive any Base Salary that had been accrued but not yet paid, and any expenses subject to reimbursement under Section 4(f) that had been incurred but not yet reimbursed, in each case prior to the date of termination (the “</w:t>
      </w:r>
      <w:r>
        <w:rPr>
          <w:rFonts w:ascii="Arial" w:cs="Arial" w:eastAsia="Arial" w:hAnsi="Arial"/>
          <w:sz w:val="17"/>
          <w:szCs w:val="17"/>
          <w:b w:val="1"/>
          <w:bCs w:val="1"/>
          <w:color w:val="auto"/>
        </w:rPr>
        <w:t>Accrued Rights</w:t>
      </w:r>
      <w:r>
        <w:rPr>
          <w:rFonts w:ascii="Arial" w:cs="Arial" w:eastAsia="Arial" w:hAnsi="Arial"/>
          <w:sz w:val="17"/>
          <w:szCs w:val="17"/>
          <w:color w:val="auto"/>
        </w:rPr>
        <w:t>”). All compensation and benefits will cease at the time of such cessation of employment and, except as otherwise provided by COBRA or as expressly provided herein, the Company will have no further liability or obligation by reason of such cessation. Contemporaneous with any cessation of the Executive’s employment, unless otherwise requested by the Board, the Executive will resign from all officer and director positions with the Company and its affiliates and execute such documents as may be requested by the Company to confirm that resignation.</w:t>
      </w:r>
    </w:p>
    <w:p>
      <w:pPr>
        <w:spacing w:after="0" w:line="63" w:lineRule="exact"/>
        <w:rPr>
          <w:rFonts w:ascii="Arial" w:cs="Arial" w:eastAsia="Arial" w:hAnsi="Arial"/>
          <w:sz w:val="17"/>
          <w:szCs w:val="17"/>
          <w:b w:val="1"/>
          <w:bCs w:val="1"/>
          <w:color w:val="auto"/>
        </w:rPr>
      </w:pPr>
    </w:p>
    <w:p>
      <w:pPr>
        <w:ind w:left="4" w:firstLine="987"/>
        <w:spacing w:after="0" w:line="347" w:lineRule="auto"/>
        <w:tabs>
          <w:tab w:leader="none" w:pos="1260"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Involuntary Termination. </w:t>
      </w:r>
      <w:r>
        <w:rPr>
          <w:rFonts w:ascii="Arial" w:cs="Arial" w:eastAsia="Arial" w:hAnsi="Arial"/>
          <w:sz w:val="16"/>
          <w:szCs w:val="16"/>
          <w:color w:val="auto"/>
        </w:rPr>
        <w:t>If the Executive’ s employment ceases due to a termination by the Company without Cause or a resignation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Executive with Good Reason, then in addition to the Accrued Right and subject to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below, Executive will be entitled to receive:</w:t>
      </w:r>
    </w:p>
    <w:p>
      <w:pPr>
        <w:spacing w:after="0" w:line="11" w:lineRule="exact"/>
        <w:rPr>
          <w:rFonts w:ascii="Arial" w:cs="Arial" w:eastAsia="Arial" w:hAnsi="Arial"/>
          <w:sz w:val="16"/>
          <w:szCs w:val="16"/>
          <w:b w:val="1"/>
          <w:bCs w:val="1"/>
          <w:color w:val="auto"/>
        </w:rPr>
      </w:pPr>
    </w:p>
    <w:p>
      <w:pPr>
        <w:ind w:left="4" w:right="200" w:firstLine="1428"/>
        <w:spacing w:after="0" w:line="277" w:lineRule="auto"/>
        <w:tabs>
          <w:tab w:leader="none" w:pos="1651" w:val="left"/>
        </w:tabs>
        <w:numPr>
          <w:ilvl w:val="2"/>
          <w:numId w:val="94"/>
        </w:numPr>
        <w:rPr>
          <w:rFonts w:ascii="Arial" w:cs="Arial" w:eastAsia="Arial" w:hAnsi="Arial"/>
          <w:sz w:val="18"/>
          <w:szCs w:val="18"/>
          <w:color w:val="auto"/>
        </w:rPr>
      </w:pPr>
      <w:r>
        <w:rPr>
          <w:rFonts w:ascii="Arial" w:cs="Arial" w:eastAsia="Arial" w:hAnsi="Arial"/>
          <w:sz w:val="18"/>
          <w:szCs w:val="18"/>
          <w:color w:val="auto"/>
        </w:rPr>
        <w:t>payment of any Bonus otherwise earned and payable (but for the cessation of the Executive’s employment), but not yet paid, in respect of the calendar year immediately preceding such cessation (the “</w:t>
      </w:r>
      <w:r>
        <w:rPr>
          <w:rFonts w:ascii="Arial" w:cs="Arial" w:eastAsia="Arial" w:hAnsi="Arial"/>
          <w:sz w:val="18"/>
          <w:szCs w:val="18"/>
          <w:b w:val="1"/>
          <w:bCs w:val="1"/>
          <w:color w:val="auto"/>
        </w:rPr>
        <w:t>Prior Year Bonus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40" w:firstLine="1428"/>
        <w:spacing w:after="0" w:line="263" w:lineRule="auto"/>
        <w:tabs>
          <w:tab w:leader="none" w:pos="1701" w:val="left"/>
        </w:tabs>
        <w:numPr>
          <w:ilvl w:val="2"/>
          <w:numId w:val="94"/>
        </w:numPr>
        <w:rPr>
          <w:rFonts w:ascii="Arial" w:cs="Arial" w:eastAsia="Arial" w:hAnsi="Arial"/>
          <w:sz w:val="18"/>
          <w:szCs w:val="18"/>
          <w:color w:val="auto"/>
        </w:rPr>
      </w:pPr>
      <w:r>
        <w:rPr>
          <w:rFonts w:ascii="Arial" w:cs="Arial" w:eastAsia="Arial" w:hAnsi="Arial"/>
          <w:sz w:val="18"/>
          <w:szCs w:val="18"/>
          <w:color w:val="auto"/>
        </w:rPr>
        <w:t>monthly severance payments for a period of nine months, with each payment equal to one-twelfth the sum of the Base Salary (as in effect immediately prior to such cessation or, if the cessation is a resignation for the Good Reason described in clause (b) of the definition thereof, as in effect immediately prior to such Good Reason); and</w:t>
      </w:r>
    </w:p>
    <w:p>
      <w:pPr>
        <w:spacing w:after="0" w:line="75" w:lineRule="exact"/>
        <w:rPr>
          <w:rFonts w:ascii="Arial" w:cs="Arial" w:eastAsia="Arial" w:hAnsi="Arial"/>
          <w:sz w:val="18"/>
          <w:szCs w:val="18"/>
          <w:color w:val="auto"/>
        </w:rPr>
      </w:pPr>
    </w:p>
    <w:p>
      <w:pPr>
        <w:ind w:left="4" w:right="40" w:firstLine="1428"/>
        <w:spacing w:after="0" w:line="308" w:lineRule="auto"/>
        <w:tabs>
          <w:tab w:leader="none" w:pos="1751" w:val="left"/>
        </w:tabs>
        <w:numPr>
          <w:ilvl w:val="2"/>
          <w:numId w:val="94"/>
        </w:numPr>
        <w:rPr>
          <w:rFonts w:ascii="Arial" w:cs="Arial" w:eastAsia="Arial" w:hAnsi="Arial"/>
          <w:sz w:val="17"/>
          <w:szCs w:val="17"/>
          <w:color w:val="auto"/>
        </w:rPr>
      </w:pPr>
      <w:r>
        <w:rPr>
          <w:rFonts w:ascii="Arial" w:cs="Arial" w:eastAsia="Arial" w:hAnsi="Arial"/>
          <w:sz w:val="17"/>
          <w:szCs w:val="17"/>
          <w:color w:val="auto"/>
        </w:rPr>
        <w:t>waiver or reimbursement of the applicable premium otherwise payable or paid for COBRA continuation coverage for Executive (and, to the extent covered immediately prior to the date of such cessation, his eligible dependents) for a period equal to nine months.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105" w:name="page106"/>
    <w:bookmarkEnd w:id="105"/>
    <w:p>
      <w:pPr>
        <w:ind w:left="4" w:firstLine="987"/>
        <w:spacing w:after="0" w:line="282" w:lineRule="auto"/>
        <w:tabs>
          <w:tab w:leader="none" w:pos="124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Involuntary Termination Proximate to a Change in Control. </w:t>
      </w:r>
      <w:r>
        <w:rPr>
          <w:rFonts w:ascii="Arial" w:cs="Arial" w:eastAsia="Arial" w:hAnsi="Arial"/>
          <w:sz w:val="18"/>
          <w:szCs w:val="18"/>
          <w:color w:val="auto"/>
        </w:rPr>
        <w:t>Notwithstanding the foregoing, if a cessation of employment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this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occurs during the one year period immediately following a Change in Control, then</w:t>
      </w:r>
    </w:p>
    <w:p>
      <w:pPr>
        <w:spacing w:after="0" w:line="57" w:lineRule="exact"/>
        <w:rPr>
          <w:rFonts w:ascii="Arial" w:cs="Arial" w:eastAsia="Arial" w:hAnsi="Arial"/>
          <w:sz w:val="18"/>
          <w:szCs w:val="18"/>
          <w:b w:val="1"/>
          <w:bCs w:val="1"/>
          <w:color w:val="auto"/>
        </w:rPr>
      </w:pPr>
    </w:p>
    <w:p>
      <w:pPr>
        <w:ind w:left="4" w:right="100" w:firstLine="1428"/>
        <w:spacing w:after="0" w:line="286" w:lineRule="auto"/>
        <w:tabs>
          <w:tab w:leader="none" w:pos="1651" w:val="left"/>
        </w:tabs>
        <w:numPr>
          <w:ilvl w:val="2"/>
          <w:numId w:val="95"/>
        </w:numPr>
        <w:rPr>
          <w:rFonts w:ascii="Arial" w:cs="Arial" w:eastAsia="Arial" w:hAnsi="Arial"/>
          <w:sz w:val="16"/>
          <w:szCs w:val="16"/>
          <w:color w:val="auto"/>
        </w:rPr>
      </w:pPr>
      <w:r>
        <w:rPr>
          <w:rFonts w:ascii="Arial" w:cs="Arial" w:eastAsia="Arial" w:hAnsi="Arial"/>
          <w:sz w:val="16"/>
          <w:szCs w:val="16"/>
          <w:u w:val="single" w:color="auto"/>
          <w:color w:val="auto"/>
        </w:rPr>
        <w:t>Section 6(d)(ii)</w:t>
      </w:r>
      <w:r>
        <w:rPr>
          <w:rFonts w:ascii="Arial" w:cs="Arial" w:eastAsia="Arial" w:hAnsi="Arial"/>
          <w:sz w:val="16"/>
          <w:szCs w:val="16"/>
          <w:color w:val="auto"/>
        </w:rPr>
        <w:t xml:space="preserve"> will be replaced with the following: “monthly severance payments for a period of 12 months, with each payment equal to one-twelfth the sum of (A) the Base Salary (as in effect immediately prior to such cessation or, if the cessation is a resignation for the Good Reason described in clause (b) of the definition thereof, as in effect immediately prior to such Good Reason), plus (B) the target Bonus opportunity for the year of the cessation (as in effect immediately prior to such cessation or, if the cessation is a resignation for the Good Reason described in clause</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 the definition thereof, as in effect immediately prior to such Good Reason);” and</w:t>
      </w:r>
    </w:p>
    <w:p>
      <w:pPr>
        <w:spacing w:after="0" w:line="102" w:lineRule="exact"/>
        <w:rPr>
          <w:rFonts w:ascii="Arial" w:cs="Arial" w:eastAsia="Arial" w:hAnsi="Arial"/>
          <w:sz w:val="18"/>
          <w:szCs w:val="18"/>
          <w:color w:val="auto"/>
        </w:rPr>
      </w:pPr>
    </w:p>
    <w:p>
      <w:pPr>
        <w:ind w:left="1704" w:hanging="272"/>
        <w:spacing w:after="0"/>
        <w:tabs>
          <w:tab w:leader="none" w:pos="1704"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the reference in </w:t>
      </w:r>
      <w:r>
        <w:rPr>
          <w:rFonts w:ascii="Arial" w:cs="Arial" w:eastAsia="Arial" w:hAnsi="Arial"/>
          <w:sz w:val="18"/>
          <w:szCs w:val="18"/>
          <w:u w:val="single" w:color="auto"/>
          <w:color w:val="auto"/>
        </w:rPr>
        <w:t>Section 6(d)(iii)</w:t>
      </w:r>
      <w:r>
        <w:rPr>
          <w:rFonts w:ascii="Arial" w:cs="Arial" w:eastAsia="Arial" w:hAnsi="Arial"/>
          <w:sz w:val="18"/>
          <w:szCs w:val="18"/>
          <w:color w:val="auto"/>
        </w:rPr>
        <w:t xml:space="preserve"> to “nine months” will be replaced with “12 months.”</w:t>
      </w:r>
    </w:p>
    <w:p>
      <w:pPr>
        <w:spacing w:after="0" w:line="113" w:lineRule="exact"/>
        <w:rPr>
          <w:rFonts w:ascii="Arial" w:cs="Arial" w:eastAsia="Arial" w:hAnsi="Arial"/>
          <w:sz w:val="18"/>
          <w:szCs w:val="18"/>
          <w:color w:val="auto"/>
        </w:rPr>
      </w:pPr>
    </w:p>
    <w:p>
      <w:pPr>
        <w:ind w:left="1224" w:hanging="233"/>
        <w:spacing w:after="0"/>
        <w:tabs>
          <w:tab w:leader="none" w:pos="1224" w:val="left"/>
        </w:tabs>
        <w:numPr>
          <w:ilvl w:val="1"/>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Severance Benefits Conditioned on Release. </w:t>
      </w:r>
      <w:r>
        <w:rPr>
          <w:rFonts w:ascii="Arial" w:cs="Arial" w:eastAsia="Arial" w:hAnsi="Arial"/>
          <w:sz w:val="17"/>
          <w:szCs w:val="17"/>
          <w:color w:val="auto"/>
        </w:rPr>
        <w:t>The payments and benefits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6(d)(i) – (iii)</w:t>
      </w:r>
      <w:r>
        <w:rPr>
          <w:rFonts w:ascii="Arial" w:cs="Arial" w:eastAsia="Arial" w:hAnsi="Arial"/>
          <w:sz w:val="17"/>
          <w:szCs w:val="17"/>
          <w:b w:val="1"/>
          <w:bCs w:val="1"/>
          <w:color w:val="auto"/>
        </w:rPr>
        <w:t xml:space="preserve"> </w:t>
      </w:r>
      <w:r>
        <w:rPr>
          <w:rFonts w:ascii="Arial" w:cs="Arial" w:eastAsia="Arial" w:hAnsi="Arial"/>
          <w:sz w:val="17"/>
          <w:szCs w:val="17"/>
          <w:color w:val="auto"/>
        </w:rPr>
        <w:t>(as modified by</w:t>
      </w:r>
    </w:p>
    <w:p>
      <w:pPr>
        <w:spacing w:after="0" w:line="39" w:lineRule="exact"/>
        <w:rPr>
          <w:sz w:val="20"/>
          <w:szCs w:val="20"/>
          <w:color w:val="auto"/>
        </w:rPr>
      </w:pPr>
    </w:p>
    <w:p>
      <w:pPr>
        <w:ind w:left="4" w:right="80"/>
        <w:spacing w:after="0" w:line="268" w:lineRule="auto"/>
        <w:rPr>
          <w:sz w:val="20"/>
          <w:szCs w:val="20"/>
          <w:color w:val="auto"/>
        </w:rPr>
      </w:pPr>
      <w:r>
        <w:rPr>
          <w:rFonts w:ascii="Arial" w:cs="Arial" w:eastAsia="Arial" w:hAnsi="Arial"/>
          <w:sz w:val="17"/>
          <w:szCs w:val="17"/>
          <w:u w:val="single" w:color="auto"/>
          <w:color w:val="auto"/>
        </w:rPr>
        <w:t>Section 6(e)</w:t>
      </w:r>
      <w:r>
        <w:rPr>
          <w:rFonts w:ascii="Arial" w:cs="Arial" w:eastAsia="Arial" w:hAnsi="Arial"/>
          <w:sz w:val="17"/>
          <w:szCs w:val="17"/>
          <w:color w:val="auto"/>
        </w:rPr>
        <w:t>, if applicable) (the “</w:t>
      </w:r>
      <w:r>
        <w:rPr>
          <w:rFonts w:ascii="Arial" w:cs="Arial" w:eastAsia="Arial" w:hAnsi="Arial"/>
          <w:sz w:val="17"/>
          <w:szCs w:val="17"/>
          <w:b w:val="1"/>
          <w:bCs w:val="1"/>
          <w:color w:val="auto"/>
        </w:rPr>
        <w:t>Severance Benefits</w:t>
      </w:r>
      <w:r>
        <w:rPr>
          <w:rFonts w:ascii="Arial" w:cs="Arial" w:eastAsia="Arial" w:hAnsi="Arial"/>
          <w:sz w:val="17"/>
          <w:szCs w:val="17"/>
          <w:color w:val="auto"/>
        </w:rPr>
        <w:t>”) are in lieu of, and not in addition to, any other severance arrangement maintained by the Company. The Severance Benefits are conditioned on Executive’s execution and delivery to the Company of a general release of claims against the Company and its affiliates in such form as the Company may prescribe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and on such Release becoming irrevocable within 30 days following his cessation of employment. The Prior Year Bonus, if any, will be paid on the date that annual bonuses are paid to other executive officers generally with respect to the applicable year or, if later, within 15 days after the Release has become irrevocable. Subject to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below, the Severance Benefits described in </w:t>
      </w:r>
      <w:r>
        <w:rPr>
          <w:rFonts w:ascii="Arial" w:cs="Arial" w:eastAsia="Arial" w:hAnsi="Arial"/>
          <w:sz w:val="17"/>
          <w:szCs w:val="17"/>
          <w:u w:val="single" w:color="auto"/>
          <w:color w:val="auto"/>
        </w:rPr>
        <w:t>Section 6(d)(ii) and (iii)</w:t>
      </w:r>
      <w:r>
        <w:rPr>
          <w:rFonts w:ascii="Arial" w:cs="Arial" w:eastAsia="Arial" w:hAnsi="Arial"/>
          <w:sz w:val="17"/>
          <w:szCs w:val="17"/>
          <w:color w:val="auto"/>
        </w:rPr>
        <w:t xml:space="preserve"> (as modified by </w:t>
      </w:r>
      <w:r>
        <w:rPr>
          <w:rFonts w:ascii="Arial" w:cs="Arial" w:eastAsia="Arial" w:hAnsi="Arial"/>
          <w:sz w:val="17"/>
          <w:szCs w:val="17"/>
          <w:u w:val="single" w:color="auto"/>
          <w:color w:val="auto"/>
        </w:rPr>
        <w:t>Section 6(e)</w:t>
      </w:r>
      <w:r>
        <w:rPr>
          <w:rFonts w:ascii="Arial" w:cs="Arial" w:eastAsia="Arial" w:hAnsi="Arial"/>
          <w:sz w:val="17"/>
          <w:szCs w:val="17"/>
          <w:color w:val="auto"/>
        </w:rPr>
        <w:t>, if applicable) will begin to be paid or provided (x) 15 days after the Release has become irrevocable, if the 45-day period following the cessation of employment does not straddle two calendar years; or (y) the later of 15 days after the Release has become irrevocable or the first regularly scheduled payroll date in the calendar year following the cessation of employment, if the 45-day period following such cessation straddles two calendar years.</w:t>
      </w:r>
    </w:p>
    <w:p>
      <w:pPr>
        <w:spacing w:after="0" w:line="69" w:lineRule="exact"/>
        <w:rPr>
          <w:sz w:val="20"/>
          <w:szCs w:val="20"/>
          <w:color w:val="auto"/>
        </w:rPr>
      </w:pPr>
    </w:p>
    <w:p>
      <w:pPr>
        <w:ind w:left="4" w:right="120" w:firstLine="987"/>
        <w:spacing w:after="0" w:line="261" w:lineRule="auto"/>
        <w:tabs>
          <w:tab w:leader="none" w:pos="1250"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or Disability. </w:t>
      </w:r>
      <w:r>
        <w:rPr>
          <w:rFonts w:ascii="Arial" w:cs="Arial" w:eastAsia="Arial" w:hAnsi="Arial"/>
          <w:sz w:val="18"/>
          <w:szCs w:val="18"/>
          <w:color w:val="auto"/>
        </w:rPr>
        <w:t>If the Executive’ s employment ceases due to the Executive’s death or Disability, then in addition to the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Executive (or his estate or personal representative, as applicable) will be entitled to receive any otherwise unpaid Prior Year Bonus. Such Prior Year Bonus, if any, will be paid on the same date that annual bonuses are paid to other executive officers generally with respect to the applicable year.</w:t>
      </w:r>
    </w:p>
    <w:p>
      <w:pPr>
        <w:spacing w:after="0" w:line="71" w:lineRule="exact"/>
        <w:rPr>
          <w:rFonts w:ascii="Arial" w:cs="Arial" w:eastAsia="Arial" w:hAnsi="Arial"/>
          <w:sz w:val="18"/>
          <w:szCs w:val="18"/>
          <w:b w:val="1"/>
          <w:bCs w:val="1"/>
          <w:color w:val="auto"/>
        </w:rPr>
      </w:pPr>
    </w:p>
    <w:p>
      <w:pPr>
        <w:ind w:left="4" w:right="120" w:firstLine="436"/>
        <w:spacing w:after="0" w:line="281" w:lineRule="auto"/>
        <w:tabs>
          <w:tab w:leader="none" w:pos="624"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demands or other communications hereunder shall be in writing and shall be deemed to have been duly given if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in person, by e-mail or fax, by United States mail, certified or registered with return receipt requested, or by a nationally recognized overnight courier service, or otherwise actually delivered: (a) if to the Executive, at the most recent address contained in the Company’s personnel files; (b) if to the Company, to the attention of its Legal Department at the address of its principal executive office; or (c) or at</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06" w:name="page107"/>
    <w:bookmarkEnd w:id="106"/>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53" w:lineRule="exact"/>
        <w:rPr>
          <w:sz w:val="20"/>
          <w:szCs w:val="20"/>
          <w:color w:val="auto"/>
        </w:rPr>
      </w:pPr>
    </w:p>
    <w:p>
      <w:pPr>
        <w:ind w:right="300" w:firstLine="436"/>
        <w:spacing w:after="0" w:line="282" w:lineRule="auto"/>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internal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choice of law provisions.</w:t>
      </w:r>
    </w:p>
    <w:p>
      <w:pPr>
        <w:spacing w:after="0" w:line="53" w:lineRule="exact"/>
        <w:rPr>
          <w:rFonts w:ascii="Arial" w:cs="Arial" w:eastAsia="Arial" w:hAnsi="Arial"/>
          <w:sz w:val="18"/>
          <w:szCs w:val="18"/>
          <w:b w:val="1"/>
          <w:bCs w:val="1"/>
          <w:color w:val="auto"/>
        </w:rPr>
      </w:pPr>
    </w:p>
    <w:p>
      <w:pPr>
        <w:ind w:firstLine="436"/>
        <w:spacing w:after="0" w:line="253" w:lineRule="auto"/>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In the event of any dispute under the provisions of this Agreement or otherwise regarding the Executive’s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(other than a dispute in which the primary relief sought is an injunction or other equitable remedy, such as an action to enforce compliance with the Restrictive Covenant Agreement), the parties shall be required to have the dispute, controversy or claim settled by arbitration in Philadelphia, Pennsylvania in accordance with the National Rules for the Resolution of Employment Disputes then in effect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83" w:lineRule="exact"/>
        <w:rPr>
          <w:rFonts w:ascii="Arial" w:cs="Arial" w:eastAsia="Arial" w:hAnsi="Arial"/>
          <w:sz w:val="18"/>
          <w:szCs w:val="18"/>
          <w:b w:val="1"/>
          <w:bCs w:val="1"/>
          <w:color w:val="auto"/>
        </w:rPr>
      </w:pPr>
    </w:p>
    <w:p>
      <w:pPr>
        <w:ind w:right="40" w:firstLine="436"/>
        <w:spacing w:after="0" w:line="282" w:lineRule="auto"/>
        <w:tabs>
          <w:tab w:leader="none" w:pos="71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This Agreement may be amended or modified only by a written instrument signed by a duly authorized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Executive.</w:t>
      </w:r>
    </w:p>
    <w:p>
      <w:pPr>
        <w:spacing w:after="0" w:line="53" w:lineRule="exact"/>
        <w:rPr>
          <w:rFonts w:ascii="Arial" w:cs="Arial" w:eastAsia="Arial" w:hAnsi="Arial"/>
          <w:sz w:val="18"/>
          <w:szCs w:val="18"/>
          <w:b w:val="1"/>
          <w:bCs w:val="1"/>
          <w:color w:val="auto"/>
        </w:rPr>
      </w:pPr>
    </w:p>
    <w:p>
      <w:pPr>
        <w:ind w:right="140" w:firstLine="436"/>
        <w:spacing w:after="0" w:line="261" w:lineRule="auto"/>
        <w:tabs>
          <w:tab w:leader="none" w:pos="7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Waivers. </w:t>
      </w:r>
      <w:r>
        <w:rPr>
          <w:rFonts w:ascii="Arial" w:cs="Arial" w:eastAsia="Arial" w:hAnsi="Arial"/>
          <w:sz w:val="18"/>
          <w:szCs w:val="18"/>
          <w:color w:val="auto"/>
        </w:rPr>
        <w:t>No waiver of this Agreement or any provision hereof shall be binding upon the party against whom enforcement of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71" w:lineRule="exact"/>
        <w:rPr>
          <w:rFonts w:ascii="Arial" w:cs="Arial" w:eastAsia="Arial" w:hAnsi="Arial"/>
          <w:sz w:val="18"/>
          <w:szCs w:val="18"/>
          <w:b w:val="1"/>
          <w:bCs w:val="1"/>
          <w:color w:val="auto"/>
        </w:rPr>
      </w:pPr>
    </w:p>
    <w:p>
      <w:pPr>
        <w:ind w:right="220" w:firstLine="436"/>
        <w:spacing w:after="0" w:line="261" w:lineRule="auto"/>
        <w:tabs>
          <w:tab w:leader="none" w:pos="71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on and inure to the benefit of the parties hereto and their respective heirs, executors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and assigns, except that the rights and obligations of the Executive hereunder are personal and may not be assigned without the Company’ s prior written consent. Any assignment of this Agreement by the Company shall not be considered a termination of the Executive’s employment.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7" w:name="page108"/>
    <w:bookmarkEnd w:id="107"/>
    <w:p>
      <w:pPr>
        <w:ind w:right="440" w:firstLine="436"/>
        <w:spacing w:after="0" w:line="266" w:lineRule="auto"/>
        <w:tabs>
          <w:tab w:leader="none" w:pos="71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Entire Agreement. </w:t>
      </w:r>
      <w:r>
        <w:rPr>
          <w:rFonts w:ascii="Arial" w:cs="Arial" w:eastAsia="Arial" w:hAnsi="Arial"/>
          <w:sz w:val="18"/>
          <w:szCs w:val="18"/>
          <w:color w:val="auto"/>
        </w:rPr>
        <w:t>This Agreement, together with the Restrictive Covenant Agreement, constitutes the final and entire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matters covered hereby and replaces and supersedes all other agreements and understandings relating hereto and to the Executive’s employment.</w:t>
      </w:r>
    </w:p>
    <w:p>
      <w:pPr>
        <w:spacing w:after="0" w:line="67" w:lineRule="exact"/>
        <w:rPr>
          <w:rFonts w:ascii="Arial" w:cs="Arial" w:eastAsia="Arial" w:hAnsi="Arial"/>
          <w:sz w:val="18"/>
          <w:szCs w:val="18"/>
          <w:b w:val="1"/>
          <w:bCs w:val="1"/>
          <w:color w:val="auto"/>
        </w:rPr>
      </w:pPr>
    </w:p>
    <w:p>
      <w:pPr>
        <w:ind w:right="680" w:firstLine="436"/>
        <w:spacing w:after="0" w:line="347" w:lineRule="auto"/>
        <w:tabs>
          <w:tab w:leader="none" w:pos="71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any number of counterparts, including counterpart signature pages or counterpart</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signature pages, each of which shall be deemed an original, but all of which together shall constitute one and the same instrument.</w:t>
      </w:r>
    </w:p>
    <w:p>
      <w:pPr>
        <w:spacing w:after="0" w:line="7" w:lineRule="exact"/>
        <w:rPr>
          <w:rFonts w:ascii="Arial" w:cs="Arial" w:eastAsia="Arial" w:hAnsi="Arial"/>
          <w:sz w:val="16"/>
          <w:szCs w:val="16"/>
          <w:b w:val="1"/>
          <w:bCs w:val="1"/>
          <w:color w:val="auto"/>
        </w:rPr>
      </w:pPr>
    </w:p>
    <w:p>
      <w:pPr>
        <w:ind w:right="180" w:firstLine="436"/>
        <w:spacing w:after="0" w:line="289" w:lineRule="auto"/>
        <w:tabs>
          <w:tab w:leader="none" w:pos="71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Conflicting Agreements. </w:t>
      </w:r>
      <w:r>
        <w:rPr>
          <w:rFonts w:ascii="Arial" w:cs="Arial" w:eastAsia="Arial" w:hAnsi="Arial"/>
          <w:sz w:val="17"/>
          <w:szCs w:val="17"/>
          <w:color w:val="auto"/>
        </w:rPr>
        <w:t>The Executive represents and warrants that he is not a party to or otherwise bound by any agreement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that could conflict with, or be violated by, the performance of his duties to the Company or his obligations under this Agreement. Executive will not use or misappropriate any intellectual property, trade secrets or confidential information belonging to any third party.</w:t>
      </w:r>
    </w:p>
    <w:p>
      <w:pPr>
        <w:spacing w:after="0" w:line="49" w:lineRule="exact"/>
        <w:rPr>
          <w:rFonts w:ascii="Arial" w:cs="Arial" w:eastAsia="Arial" w:hAnsi="Arial"/>
          <w:sz w:val="17"/>
          <w:szCs w:val="17"/>
          <w:b w:val="1"/>
          <w:bCs w:val="1"/>
          <w:color w:val="auto"/>
        </w:rPr>
      </w:pPr>
    </w:p>
    <w:p>
      <w:pPr>
        <w:ind w:right="20" w:firstLine="436"/>
        <w:spacing w:after="0" w:line="258" w:lineRule="auto"/>
        <w:tabs>
          <w:tab w:leader="none" w:pos="71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captions of the sections of this Agreement are for convenience of reference only and in no way define, limit or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or substance of any section of this Agreement. The parties have participated jointly in the negotiation and drafting of this Agreement. In the event an 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75" w:lineRule="exact"/>
        <w:rPr>
          <w:rFonts w:ascii="Arial" w:cs="Arial" w:eastAsia="Arial" w:hAnsi="Arial"/>
          <w:sz w:val="18"/>
          <w:szCs w:val="18"/>
          <w:b w:val="1"/>
          <w:bCs w:val="1"/>
          <w:color w:val="auto"/>
        </w:rPr>
      </w:pPr>
    </w:p>
    <w:p>
      <w:pPr>
        <w:ind w:left="700" w:hanging="264"/>
        <w:spacing w:after="0"/>
        <w:tabs>
          <w:tab w:leader="none" w:pos="7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80" w:firstLine="987"/>
        <w:spacing w:after="0" w:line="263" w:lineRule="auto"/>
        <w:tabs>
          <w:tab w:leader="none" w:pos="1246"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The parties intend for this Agreement to comply with or be exempt from Section 409A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all provisions of this Agreement will be interpreted and applied accordingly. Nonetheless, the Company does not guaranty the tax treatment of any compensation payable to the Executive.</w:t>
      </w:r>
    </w:p>
    <w:p>
      <w:pPr>
        <w:spacing w:after="0" w:line="75" w:lineRule="exact"/>
        <w:rPr>
          <w:rFonts w:ascii="Arial" w:cs="Arial" w:eastAsia="Arial" w:hAnsi="Arial"/>
          <w:sz w:val="18"/>
          <w:szCs w:val="18"/>
          <w:b w:val="1"/>
          <w:bCs w:val="1"/>
          <w:color w:val="auto"/>
        </w:rPr>
      </w:pPr>
    </w:p>
    <w:p>
      <w:pPr>
        <w:ind w:right="100" w:firstLine="987"/>
        <w:spacing w:after="0" w:line="287" w:lineRule="auto"/>
        <w:tabs>
          <w:tab w:leader="none" w:pos="1256"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 xml:space="preserve">If the cessation of employment giving rise to the payments described in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(as modified by </w:t>
      </w:r>
      <w:r>
        <w:rPr>
          <w:rFonts w:ascii="Arial" w:cs="Arial" w:eastAsia="Arial" w:hAnsi="Arial"/>
          <w:sz w:val="16"/>
          <w:szCs w:val="16"/>
          <w:u w:val="single" w:color="auto"/>
          <w:color w:val="auto"/>
        </w:rPr>
        <w:t>Section 6(e)</w:t>
      </w:r>
      <w:r>
        <w:rPr>
          <w:rFonts w:ascii="Arial" w:cs="Arial" w:eastAsia="Arial" w:hAnsi="Arial"/>
          <w:sz w:val="16"/>
          <w:szCs w:val="16"/>
          <w:color w:val="auto"/>
        </w:rPr>
        <w:t>, if applicable) is not a “Separation from Service” within the meaning of Treas. Reg. § 1.409A-1(h)(1) (or any successor provision), then the amounts otherwise payable pursuant to that section will instead be deferred without interest and will not be paid until the Executive experiences a Separation from Service.</w:t>
      </w:r>
    </w:p>
    <w:p>
      <w:pPr>
        <w:spacing w:after="0" w:line="2" w:lineRule="exact"/>
        <w:rPr>
          <w:rFonts w:ascii="Arial" w:cs="Arial" w:eastAsia="Arial" w:hAnsi="Arial"/>
          <w:sz w:val="16"/>
          <w:szCs w:val="16"/>
          <w:b w:val="1"/>
          <w:bCs w:val="1"/>
          <w:color w:val="auto"/>
        </w:rPr>
      </w:pPr>
    </w:p>
    <w:p>
      <w:pPr>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In addition, to the extent compliance with the requirements of Treas. Reg. § 1.409A-3(i)(2) (or any successor provision) is necessary to avoid the application of an additional tax under Section 409A of the Code to payments due to the Executive upon or following his Separation from Service, then notwithstanding any other provision of this Agreement (or any otherwise applicable plan, policy, agreement or arrangement), any such payments that are otherwise due within six months following the Executive’s Separation from Service (taking into account the preceding sentence of this paragraph) will be deferred without interest and paid to Executive in a lump sum immediately following that six-month period. This paragraph should not be construed to prevent the application of Treas. Reg. § 1.409A-1(b)(9)(iii)(or any successor provision) to amounts payable hereunder. For purposes of the application of Treas. Reg. § 1.409A-1(b)(4)(or any successor provision), each payment in a series of payments will be deemed a separate payment.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8" w:name="page109"/>
    <w:bookmarkEnd w:id="108"/>
    <w:p>
      <w:pPr>
        <w:ind w:left="4" w:right="60" w:firstLine="987"/>
        <w:spacing w:after="0" w:line="291" w:lineRule="auto"/>
        <w:tabs>
          <w:tab w:leader="none" w:pos="1240" w:val="left"/>
        </w:tabs>
        <w:numPr>
          <w:ilvl w:val="2"/>
          <w:numId w:val="10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this Agreement to the contrary, to the extent an expense, reimbursement or in-kind benefit provided to the Executive pursuant to this Agreement or otherwise constitutes a “deferral of compensation” within the meaning of Section 409A of the Code</w:t>
      </w:r>
    </w:p>
    <w:p>
      <w:pPr>
        <w:ind w:left="4" w:right="60" w:hanging="4"/>
        <w:spacing w:after="0" w:line="253"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of expenses eligible for reimbursement or in-kind benefits provided to the Executive during any calendar year will not affect the amount of expenses eligible for reimbursement or in-kind benefits provided to the Executive in any other calendar year, (b) the reimbursements for expenses for which the Executive is entitled to be reimbursed shall be made on or before the last day of the calendar year following the calendar year in which the applicable expense is incurred, and (c) the right to payment or reimbursement or in-kind benefits hereunder may not be liquidated or exchanged for any other benefit.</w:t>
      </w:r>
    </w:p>
    <w:p>
      <w:pPr>
        <w:spacing w:after="0" w:line="78" w:lineRule="exact"/>
        <w:rPr>
          <w:rFonts w:ascii="Arial" w:cs="Arial" w:eastAsia="Arial" w:hAnsi="Arial"/>
          <w:sz w:val="18"/>
          <w:szCs w:val="18"/>
          <w:color w:val="auto"/>
        </w:rPr>
      </w:pPr>
    </w:p>
    <w:p>
      <w:pPr>
        <w:ind w:left="4" w:right="40" w:firstLine="436"/>
        <w:spacing w:after="0" w:line="269" w:lineRule="auto"/>
        <w:tabs>
          <w:tab w:leader="none" w:pos="714" w:val="left"/>
        </w:tabs>
        <w:numPr>
          <w:ilvl w:val="1"/>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Section 280G</w:t>
      </w:r>
      <w:r>
        <w:rPr>
          <w:rFonts w:ascii="Arial" w:cs="Arial" w:eastAsia="Arial" w:hAnsi="Arial"/>
          <w:sz w:val="17"/>
          <w:szCs w:val="17"/>
          <w:color w:val="auto"/>
        </w:rPr>
        <w:t>. Notwithstanding any other provision of this Agreement or the terms of any other agreement, award or plan, if any payment to</w:t>
      </w:r>
      <w:r>
        <w:rPr>
          <w:rFonts w:ascii="Arial" w:cs="Arial" w:eastAsia="Arial" w:hAnsi="Arial"/>
          <w:sz w:val="17"/>
          <w:szCs w:val="17"/>
          <w:b w:val="1"/>
          <w:bCs w:val="1"/>
          <w:color w:val="auto"/>
        </w:rPr>
        <w:t xml:space="preserve"> </w:t>
      </w:r>
      <w:r>
        <w:rPr>
          <w:rFonts w:ascii="Arial" w:cs="Arial" w:eastAsia="Arial" w:hAnsi="Arial"/>
          <w:sz w:val="17"/>
          <w:szCs w:val="17"/>
          <w:color w:val="auto"/>
        </w:rPr>
        <w:t>or for the benefit of the Executive, whether paid or payable pursuant to the terms of this Agreement or otherwise (all such payments and benefits, including the Severance Benefits, the “</w:t>
      </w:r>
      <w:r>
        <w:rPr>
          <w:rFonts w:ascii="Arial" w:cs="Arial" w:eastAsia="Arial" w:hAnsi="Arial"/>
          <w:sz w:val="17"/>
          <w:szCs w:val="17"/>
          <w:b w:val="1"/>
          <w:bCs w:val="1"/>
          <w:color w:val="auto"/>
        </w:rPr>
        <w:t>Total Payments</w:t>
      </w:r>
      <w:r>
        <w:rPr>
          <w:rFonts w:ascii="Arial" w:cs="Arial" w:eastAsia="Arial" w:hAnsi="Arial"/>
          <w:sz w:val="17"/>
          <w:szCs w:val="17"/>
          <w:color w:val="auto"/>
        </w:rPr>
        <w:t>”), would be subject (in whole or in part)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the Total Payments shall be reduced to the minimum extent necessary to avoid the imposition of the Excise Tax on the Total Payments, but only if (i) the net amount of such Total Payments, as so reduced, is greater than or equal to (ii) the net amount of such Total Payments without such reduction (in each case, after subtracting the expected federal, state and local taxes on such Total Payments and after taking into account the phase out of itemized deductions and personal exemptions attributable to such Total Payments). The reduction of the Total Payments contemplated in this paragraph will be implemented by determining the Parachute Payment Ratio (as defined below), as determined in good faith by the Company, for each Total Payment and then reducing the Total Payments in order beginning with the Total Payment with the highest Parachute Payment Ratio. For Total Payments with the same Parachute Payment Ratio, such Total Payments will be reduced based on the time of payment of such Total Payments, with the latest payments reduced first. For purposes hereof, the term “</w:t>
      </w:r>
      <w:r>
        <w:rPr>
          <w:rFonts w:ascii="Arial" w:cs="Arial" w:eastAsia="Arial" w:hAnsi="Arial"/>
          <w:sz w:val="17"/>
          <w:szCs w:val="17"/>
          <w:b w:val="1"/>
          <w:bCs w:val="1"/>
          <w:color w:val="auto"/>
        </w:rPr>
        <w:t>Parachute Payment Ratio</w:t>
      </w:r>
      <w:r>
        <w:rPr>
          <w:rFonts w:ascii="Arial" w:cs="Arial" w:eastAsia="Arial" w:hAnsi="Arial"/>
          <w:sz w:val="17"/>
          <w:szCs w:val="17"/>
          <w:color w:val="auto"/>
        </w:rPr>
        <w:t>” shall mean a fraction, (x) the numerator of which is the value of the applicable Total Payment (as calculated for purposes of Section 280G of the Code), and (y) the denominator of which is the intrinsic (i.e., economic) value of such Total Payment.</w:t>
      </w:r>
    </w:p>
    <w:p>
      <w:pPr>
        <w:spacing w:after="0" w:line="67" w:lineRule="exact"/>
        <w:rPr>
          <w:rFonts w:ascii="Arial" w:cs="Arial" w:eastAsia="Arial" w:hAnsi="Arial"/>
          <w:sz w:val="17"/>
          <w:szCs w:val="17"/>
          <w:b w:val="1"/>
          <w:bCs w:val="1"/>
          <w:color w:val="auto"/>
        </w:rPr>
      </w:pPr>
    </w:p>
    <w:p>
      <w:pPr>
        <w:ind w:left="4" w:firstLine="436"/>
        <w:spacing w:after="0" w:line="258" w:lineRule="auto"/>
        <w:tabs>
          <w:tab w:leader="none" w:pos="714"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CARES Act Limitation</w:t>
      </w:r>
      <w:r>
        <w:rPr>
          <w:rFonts w:ascii="Arial" w:cs="Arial" w:eastAsia="Arial" w:hAnsi="Arial"/>
          <w:sz w:val="18"/>
          <w:szCs w:val="18"/>
          <w:color w:val="auto"/>
        </w:rPr>
        <w:t>. Notwithstanding anything to the contrary in this Agreement or otherwise, to the extent required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qualify for a loan, loan guarantee or other form of financial assistance with the Secretary of the Treasury or other governmental entity under the Coronavirus Aid, Relief, and Economic Security Act (as may be amended or modified, the “</w:t>
      </w:r>
      <w:r>
        <w:rPr>
          <w:rFonts w:ascii="Arial" w:cs="Arial" w:eastAsia="Arial" w:hAnsi="Arial"/>
          <w:sz w:val="18"/>
          <w:szCs w:val="18"/>
          <w:b w:val="1"/>
          <w:bCs w:val="1"/>
          <w:color w:val="auto"/>
        </w:rPr>
        <w:t>CARES Act</w:t>
      </w:r>
      <w:r>
        <w:rPr>
          <w:rFonts w:ascii="Arial" w:cs="Arial" w:eastAsia="Arial" w:hAnsi="Arial"/>
          <w:sz w:val="18"/>
          <w:szCs w:val="18"/>
          <w:color w:val="auto"/>
        </w:rPr>
        <w:t>”), the Executive’s rights to compensation from the Company, whether under this Agreement or otherwise, will be limited to the maximum amounts permitted under Section 4004 of the CARES Act.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09" w:name="page110"/>
    <w:bookmarkEnd w:id="109"/>
    <w:p>
      <w:pPr>
        <w:ind w:left="-300" w:firstLine="436"/>
        <w:spacing w:after="0" w:line="312" w:lineRule="auto"/>
        <w:tabs>
          <w:tab w:leader="none" w:pos="41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Policies. </w:t>
      </w:r>
      <w:r>
        <w:rPr>
          <w:rFonts w:ascii="Arial" w:cs="Arial" w:eastAsia="Arial" w:hAnsi="Arial"/>
          <w:sz w:val="17"/>
          <w:szCs w:val="17"/>
          <w:color w:val="auto"/>
        </w:rPr>
        <w:t>The Executive will be subject to all policies of the Company in effect from time to time,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regarding ethics, personal conduct, stock ownership, securities trading, clawback and hedging and pledging of securities.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00"/>
          </w:cols>
          <w:pgMar w:left="740" w:top="270" w:right="7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has been executed and delivered on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Carole Ben-Maimon, M.D.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Celano</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11" w:name="page112"/>
    <w:bookmarkEnd w:id="111"/>
    <w:p>
      <w:pPr>
        <w:jc w:val="center"/>
        <w:ind w:right="-6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1"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Confidentiality, Intellectual Property Assignment and</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Restrictive Covenant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1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In consideration and as a condition of my service relationship, whether as an employee, consultant, advisor or otherwise (collectively, “</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Relationship</w:t>
      </w:r>
      <w:r>
        <w:rPr>
          <w:rFonts w:ascii="Arial" w:cs="Arial" w:eastAsia="Arial" w:hAnsi="Arial"/>
          <w:sz w:val="18"/>
          <w:szCs w:val="18"/>
          <w:color w:val="auto"/>
        </w:rPr>
        <w:t>”) with Larimar Therapeutics, Inc. or any of its current or future parents, subsidiaries or affiliates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I agree as follows:</w:t>
      </w:r>
    </w:p>
    <w:p>
      <w:pPr>
        <w:spacing w:after="0" w:line="288" w:lineRule="exact"/>
        <w:rPr>
          <w:sz w:val="20"/>
          <w:szCs w:val="20"/>
          <w:color w:val="auto"/>
        </w:rPr>
      </w:pPr>
    </w:p>
    <w:p>
      <w:pPr>
        <w:ind w:left="324" w:hanging="324"/>
        <w:spacing w:after="0"/>
        <w:tabs>
          <w:tab w:leader="none" w:pos="3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20" w:hanging="4"/>
        <w:spacing w:after="0" w:line="293" w:lineRule="auto"/>
        <w:tabs>
          <w:tab w:leader="none" w:pos="3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agree that all information, whether or not in writing, concerning the Company’s business, technology, business relationships or financial affairs which the Company has not released to the general public (collectively,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is and will be the exclusive property of the Company. Confidential Information also includes information received in confidence by the Company from its customers or suppliers or other third parties. Confidential Information may include, without limitation, information on finance, structure, business plans, employee performance, staffing, compensation of others, research and development, operations, manufacturing and marketing, strategies, customers, files, keys, certificates, passwords and other computer information, as well as information that the Company receives from others under an obligation of confidentiality.</w:t>
      </w:r>
    </w:p>
    <w:p>
      <w:pPr>
        <w:spacing w:after="0" w:line="164" w:lineRule="exact"/>
        <w:rPr>
          <w:rFonts w:ascii="Arial" w:cs="Arial" w:eastAsia="Arial" w:hAnsi="Arial"/>
          <w:sz w:val="16"/>
          <w:szCs w:val="16"/>
          <w:color w:val="auto"/>
        </w:rPr>
      </w:pPr>
    </w:p>
    <w:p>
      <w:pPr>
        <w:ind w:left="4" w:hanging="4"/>
        <w:spacing w:after="0" w:line="257" w:lineRule="auto"/>
        <w:tabs>
          <w:tab w:leader="none" w:pos="3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will not, at any time, without the Company’s prior written permission, either during or after my Service Relationship, disclose any Confidential Information to anyone outside of the Company, or use or permit to be used any Confidential Information for any purpose other than the performance of my duties as a service provider of the Company. I will cooperate with the Company and use my best efforts to prevent the unauthorized disclosure of all Confidential Information. I will deliver to the Company all copies of Confidential Information in my possession or control upon the earlier of a request by the Company or termination of my Service Relationship.</w:t>
      </w:r>
    </w:p>
    <w:p>
      <w:pPr>
        <w:spacing w:after="0" w:line="187" w:lineRule="exact"/>
        <w:rPr>
          <w:rFonts w:ascii="Arial" w:cs="Arial" w:eastAsia="Arial" w:hAnsi="Arial"/>
          <w:sz w:val="18"/>
          <w:szCs w:val="18"/>
          <w:color w:val="auto"/>
        </w:rPr>
      </w:pPr>
    </w:p>
    <w:p>
      <w:pPr>
        <w:ind w:left="4" w:right="140" w:hanging="4"/>
        <w:spacing w:after="0" w:line="259" w:lineRule="auto"/>
        <w:tabs>
          <w:tab w:leader="none" w:pos="3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186" w:lineRule="exact"/>
        <w:rPr>
          <w:rFonts w:ascii="Arial" w:cs="Arial" w:eastAsia="Arial" w:hAnsi="Arial"/>
          <w:sz w:val="18"/>
          <w:szCs w:val="18"/>
          <w:color w:val="auto"/>
        </w:rPr>
      </w:pPr>
    </w:p>
    <w:p>
      <w:pPr>
        <w:ind w:left="4" w:right="40" w:hanging="4"/>
        <w:spacing w:after="0" w:line="255" w:lineRule="auto"/>
        <w:tabs>
          <w:tab w:leader="none" w:pos="3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understand that this Agreement will not (1)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I am not authorized to disclose communications with counsel that were made for the purpose of receiving legal advice or that contain legal advice or that are protected by the attorney work product or similar privilege.</w:t>
      </w:r>
    </w:p>
    <w:p>
      <w:pPr>
        <w:sectPr>
          <w:pgSz w:w="11900" w:h="16838" w:orient="portrait"/>
          <w:cols w:equalWidth="0" w:num="1">
            <w:col w:w="10944"/>
          </w:cols>
          <w:pgMar w:left="436" w:top="274" w:right="519" w:bottom="1440" w:gutter="0" w:footer="0" w:header="0"/>
        </w:sectPr>
      </w:pPr>
    </w:p>
    <w:bookmarkStart w:id="112" w:name="page113"/>
    <w:bookmarkEnd w:id="112"/>
    <w:p>
      <w:pPr>
        <w:ind w:left="4"/>
        <w:spacing w:after="0"/>
        <w:tabs>
          <w:tab w:leader="none" w:pos="3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w:t>
      </w:r>
      <w:r>
        <w:rPr>
          <w:sz w:val="20"/>
          <w:szCs w:val="20"/>
          <w:color w:val="auto"/>
        </w:rPr>
        <w:tab/>
      </w:r>
      <w:r>
        <w:rPr>
          <w:rFonts w:ascii="Arial" w:cs="Arial" w:eastAsia="Arial" w:hAnsi="Arial"/>
          <w:sz w:val="15"/>
          <w:szCs w:val="15"/>
          <w:b w:val="1"/>
          <w:bCs w:val="1"/>
          <w:color w:val="auto"/>
        </w:rPr>
        <w:t>Developments.</w:t>
      </w:r>
    </w:p>
    <w:p>
      <w:pPr>
        <w:spacing w:after="0" w:line="121" w:lineRule="exact"/>
        <w:rPr>
          <w:sz w:val="20"/>
          <w:szCs w:val="20"/>
          <w:color w:val="auto"/>
        </w:rPr>
      </w:pPr>
    </w:p>
    <w:p>
      <w:pPr>
        <w:ind w:left="4" w:right="20" w:hanging="4"/>
        <w:spacing w:after="0" w:line="269" w:lineRule="auto"/>
        <w:tabs>
          <w:tab w:leader="none" w:pos="37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All inventions, know-how, knowledge, discoveries, data, technology, designs, innovations and improvements (whether or not patentable and whether or not copyrightable), which are created, invented, developed, conceived, discovered or reduced to practice by me, solely or jointly with others, in the course of the performance of services for the Company (the </w:t>
      </w:r>
      <w:r>
        <w:rPr>
          <w:rFonts w:ascii="Arial" w:cs="Arial" w:eastAsia="Arial" w:hAnsi="Arial"/>
          <w:sz w:val="17"/>
          <w:szCs w:val="17"/>
          <w:u w:val="single" w:color="auto"/>
          <w:color w:val="auto"/>
        </w:rPr>
        <w:t>“Inventions”)</w:t>
      </w:r>
      <w:r>
        <w:rPr>
          <w:rFonts w:ascii="Arial" w:cs="Arial" w:eastAsia="Arial" w:hAnsi="Arial"/>
          <w:sz w:val="17"/>
          <w:szCs w:val="17"/>
          <w:color w:val="auto"/>
        </w:rPr>
        <w:t xml:space="preserve"> shall be the sole property of the Company, and the Company shall have the right to use any Inventions to develop products, to effect its development, marketing and sales activities and to otherwise freely use such Inventions in the conduct of its business operations. I agree to assign and hereby assign to the Company all of my rights, title and interest in any Inventions and any and all related patents, copyrights, trademarks, trade names, and other industrial and intellectual property rights and applications therefor, in the United States and elsewhere, and appoints any officer of the Company as my duly authorized attorney to execute, file, prosecute and protect the same before any government agency, court or authority. Upon the request of the Company and at the Company’ s expense, I will execute such further assignments, documents and other 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w:t>
      </w:r>
    </w:p>
    <w:p>
      <w:pPr>
        <w:spacing w:after="0" w:line="181" w:lineRule="exact"/>
        <w:rPr>
          <w:rFonts w:ascii="Arial" w:cs="Arial" w:eastAsia="Arial" w:hAnsi="Arial"/>
          <w:sz w:val="17"/>
          <w:szCs w:val="17"/>
          <w:color w:val="auto"/>
        </w:rPr>
      </w:pPr>
    </w:p>
    <w:p>
      <w:pPr>
        <w:ind w:left="4" w:right="260" w:hanging="4"/>
        <w:spacing w:after="0" w:line="263" w:lineRule="auto"/>
        <w:tabs>
          <w:tab w:leader="none" w:pos="39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will promptly disclose to the Company all Inventions and will maintain adequate and current written records (in the form of notes, sketches, drawings or in such form as may be specified by the Company) to document the conception and/or first actual reduction to practice of any Invention. Such written records shall be and remain the sole property of the Company at all times.</w:t>
      </w:r>
    </w:p>
    <w:p>
      <w:pPr>
        <w:spacing w:after="0" w:line="183" w:lineRule="exact"/>
        <w:rPr>
          <w:rFonts w:ascii="Arial" w:cs="Arial" w:eastAsia="Arial" w:hAnsi="Arial"/>
          <w:sz w:val="18"/>
          <w:szCs w:val="18"/>
          <w:color w:val="auto"/>
        </w:rPr>
      </w:pPr>
    </w:p>
    <w:p>
      <w:pPr>
        <w:ind w:left="4" w:right="80" w:hanging="4"/>
        <w:spacing w:after="0" w:line="270" w:lineRule="auto"/>
        <w:tabs>
          <w:tab w:leader="none" w:pos="38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any Invention is not the property of the Company by operation of law, this Agreement or otherwise, I will, and I hereby do, assign to the Company all right, title and interest in such Invention, without further consideration, and will assist the Company and its nominees in every way, at the Company’ s expense, to secure, maintain and defend the Company’ s rights in such Invention. I will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Invention. I hereby irrevocably designate and appoint the Company and its duly authorized officers and agents as my agent and attorney-in-fact (which designation and appointment shall be deemed coupled with an interest and shall survive my death or incapacity), to act on my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me.</w:t>
      </w:r>
    </w:p>
    <w:p>
      <w:pPr>
        <w:spacing w:after="0" w:line="180" w:lineRule="exact"/>
        <w:rPr>
          <w:rFonts w:ascii="Arial" w:cs="Arial" w:eastAsia="Arial" w:hAnsi="Arial"/>
          <w:sz w:val="17"/>
          <w:szCs w:val="17"/>
          <w:color w:val="auto"/>
        </w:rPr>
      </w:pPr>
    </w:p>
    <w:p>
      <w:pPr>
        <w:ind w:left="4" w:hanging="4"/>
        <w:spacing w:after="0" w:line="263" w:lineRule="auto"/>
        <w:tabs>
          <w:tab w:leader="none" w:pos="38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is a list of all inventions, modifications, discoveries, designs, developments, improvements, processes, software programs, works of authorship, documentation, formulae, data, techniques, know-how, secrets or intellectual property rights or any interest therein made by me prior to the commencement of my Service Relationship (collectively, the “</w:t>
      </w:r>
      <w:r>
        <w:rPr>
          <w:rFonts w:ascii="Arial" w:cs="Arial" w:eastAsia="Arial" w:hAnsi="Arial"/>
          <w:sz w:val="18"/>
          <w:szCs w:val="18"/>
          <w:u w:val="single" w:color="auto"/>
          <w:color w:val="auto"/>
        </w:rPr>
        <w:t>Prior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13" w:name="page114"/>
    <w:bookmarkEnd w:id="113"/>
    <w:p>
      <w:pPr>
        <w:ind w:left="4" w:right="40"/>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Inventions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which belong to me and which relate directly to the business of the Company and which are not assigned to the Company hereunder; (or if no such list is attached, I represent that there are no such Prior Inventions that relate to the business of the Company). If, in the course of my Service Relationship, I incorporate into a Company product, process or machine a Prior Invention owned by me or in which I have an interest, the Company is hereby granted and shall have a non-exclusive, royalty-free, irrevocable, perpetual, transferable, worldwide license to make, have made, modify, use, sell and otherwise exploit such Prior Invention as part of or in connection with such product, process or machine, or any enhancements or extensions thereof.</w:t>
      </w:r>
    </w:p>
    <w:p>
      <w:pPr>
        <w:spacing w:after="0" w:line="295" w:lineRule="exact"/>
        <w:rPr>
          <w:sz w:val="20"/>
          <w:szCs w:val="20"/>
          <w:color w:val="auto"/>
        </w:rPr>
      </w:pPr>
    </w:p>
    <w:p>
      <w:pPr>
        <w:ind w:left="324" w:hanging="324"/>
        <w:spacing w:after="0"/>
        <w:tabs>
          <w:tab w:leader="none" w:pos="3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 and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Service Relationship and at all times thereafter:</w:t>
      </w:r>
    </w:p>
    <w:p>
      <w:pPr>
        <w:spacing w:after="0" w:line="121" w:lineRule="exact"/>
        <w:rPr>
          <w:sz w:val="20"/>
          <w:szCs w:val="20"/>
          <w:color w:val="auto"/>
        </w:rPr>
      </w:pPr>
    </w:p>
    <w:p>
      <w:pPr>
        <w:ind w:left="4" w:right="40" w:hanging="4"/>
        <w:spacing w:after="0" w:line="263" w:lineRule="auto"/>
        <w:tabs>
          <w:tab w:leader="none" w:pos="38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will not, directly or indirectly, disparage or otherwise take any action that could reasonably be expected to harm the reputation of the Company or any of its products or practices, directors , officers, employees, stockholders, partners or agents. This Section shall not, however, prohibit the Executive from testifying truthfully as a witness in any court proceeding or governmental investigation.</w:t>
      </w:r>
    </w:p>
    <w:p>
      <w:pPr>
        <w:spacing w:after="0" w:line="183" w:lineRule="exact"/>
        <w:rPr>
          <w:rFonts w:ascii="Arial" w:cs="Arial" w:eastAsia="Arial" w:hAnsi="Arial"/>
          <w:sz w:val="18"/>
          <w:szCs w:val="18"/>
          <w:color w:val="auto"/>
        </w:rPr>
      </w:pPr>
    </w:p>
    <w:p>
      <w:pPr>
        <w:jc w:val="both"/>
        <w:ind w:left="4" w:right="180" w:hanging="4"/>
        <w:spacing w:after="0" w:line="279" w:lineRule="auto"/>
        <w:tabs>
          <w:tab w:leader="none" w:pos="3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will cooperate with the Company its counsel with respect to litigation, investigations, audits, governmental proceedings and all similar matters that relate to events occurring, in whole or in part, during my Service Relationship. The Executive will render such cooperation in a timely manner on reasonable notice from the Company. Following my Service Relationship, the Company will exercise reasonable efforts to limit and schedule the need for my cooperation so as not to materially interfere with my other professional obligations.</w:t>
      </w:r>
    </w:p>
    <w:p>
      <w:pPr>
        <w:spacing w:after="0" w:line="275" w:lineRule="exact"/>
        <w:rPr>
          <w:sz w:val="20"/>
          <w:szCs w:val="20"/>
          <w:color w:val="auto"/>
        </w:rPr>
      </w:pPr>
    </w:p>
    <w:p>
      <w:pPr>
        <w:ind w:left="324" w:hanging="324"/>
        <w:spacing w:after="0"/>
        <w:tabs>
          <w:tab w:leader="none" w:pos="3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 and Assignment by the Company</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320" w:hanging="4"/>
        <w:spacing w:after="0" w:line="259" w:lineRule="auto"/>
        <w:tabs>
          <w:tab w:leader="none" w:pos="3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understand that my obligations under this Agreement will continue in accordance with its express terms regardless of any changes in my title, position, duties, salary, compensation or benefits or other terms and conditions of my Service Relationship. I further understand that my obligations under this Agreement will continue following the termination of my Service Relationship regardless of the manner of such termination and will be binding upon my heirs, executors and administrators.</w:t>
      </w:r>
    </w:p>
    <w:p>
      <w:pPr>
        <w:spacing w:after="0" w:line="186" w:lineRule="exact"/>
        <w:rPr>
          <w:rFonts w:ascii="Arial" w:cs="Arial" w:eastAsia="Arial" w:hAnsi="Arial"/>
          <w:sz w:val="18"/>
          <w:szCs w:val="18"/>
          <w:color w:val="auto"/>
        </w:rPr>
      </w:pPr>
    </w:p>
    <w:p>
      <w:pPr>
        <w:ind w:left="4" w:hanging="4"/>
        <w:spacing w:after="0" w:line="342" w:lineRule="auto"/>
        <w:tabs>
          <w:tab w:leader="none" w:pos="39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 acknowledge that the current and future parents, subsidiaries or affiliates of the Company are intended third party beneficiaries of this Agreement. I agree that the Company may assign this Agreement to a successor to or acquirer of any portion of its business or assets, without my consent.</w:t>
      </w:r>
    </w:p>
    <w:p>
      <w:pPr>
        <w:spacing w:after="0" w:line="120" w:lineRule="exact"/>
        <w:rPr>
          <w:sz w:val="20"/>
          <w:szCs w:val="20"/>
          <w:color w:val="auto"/>
        </w:rPr>
      </w:pPr>
    </w:p>
    <w:p>
      <w:pPr>
        <w:ind w:left="4" w:right="20" w:hanging="4"/>
        <w:spacing w:after="0" w:line="277" w:lineRule="auto"/>
        <w:tabs>
          <w:tab w:leader="none" w:pos="319"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interpreted in such a manner as to be effective and valid under applicable law, but if any provision hereof</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114" w:name="page115"/>
    <w:bookmarkEnd w:id="114"/>
    <w:p>
      <w:pPr>
        <w:ind w:left="4" w:right="360" w:hanging="4"/>
        <w:spacing w:after="0" w:line="266" w:lineRule="auto"/>
        <w:tabs>
          <w:tab w:leader="none" w:pos="319"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Service Relationship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this Agreement does not create an obligation on the Company or any other person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my Service Relationship. I acknowledge that my Service Relationship with the Company is at-will and therefore may be terminated by the Company or me at any time and for any reason, with or without cause.</w:t>
      </w:r>
    </w:p>
    <w:p>
      <w:pPr>
        <w:spacing w:after="0" w:line="283" w:lineRule="exact"/>
        <w:rPr>
          <w:rFonts w:ascii="Arial" w:cs="Arial" w:eastAsia="Arial" w:hAnsi="Arial"/>
          <w:sz w:val="18"/>
          <w:szCs w:val="18"/>
          <w:b w:val="1"/>
          <w:bCs w:val="1"/>
          <w:color w:val="auto"/>
        </w:rPr>
      </w:pPr>
    </w:p>
    <w:p>
      <w:pPr>
        <w:ind w:left="324" w:hanging="324"/>
        <w:spacing w:after="0"/>
        <w:tabs>
          <w:tab w:leader="none" w:pos="32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 Solicitation and Non-Competition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200" w:hanging="4"/>
        <w:spacing w:after="0" w:line="263" w:lineRule="auto"/>
        <w:tabs>
          <w:tab w:leader="none" w:pos="3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agree that during the period of my Service Relationship and for the one year period after my Service Relationship ends for any reason (whether the relationship is terminated by me or the Company, with or without cause), I will not do any of the following, either directly or indirectly, except on behalf of the Company:</w:t>
      </w:r>
    </w:p>
    <w:p>
      <w:pPr>
        <w:spacing w:after="0" w:line="75" w:lineRule="exact"/>
        <w:rPr>
          <w:rFonts w:ascii="Arial" w:cs="Arial" w:eastAsia="Arial" w:hAnsi="Arial"/>
          <w:sz w:val="18"/>
          <w:szCs w:val="18"/>
          <w:color w:val="auto"/>
        </w:rPr>
      </w:pPr>
    </w:p>
    <w:p>
      <w:pPr>
        <w:ind w:left="4" w:firstLine="436"/>
        <w:spacing w:after="0" w:line="277" w:lineRule="auto"/>
        <w:tabs>
          <w:tab w:leader="none" w:pos="8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solicit, induce, encourage, or participate in soliciting, inducing, or encouraging any employee, contractor, investor, lender, partner or supplier of the Company to terminate or alter his, her or its relationship with the Company;</w:t>
      </w:r>
    </w:p>
    <w:p>
      <w:pPr>
        <w:spacing w:after="0" w:line="62" w:lineRule="exact"/>
        <w:rPr>
          <w:rFonts w:ascii="Arial" w:cs="Arial" w:eastAsia="Arial" w:hAnsi="Arial"/>
          <w:sz w:val="18"/>
          <w:szCs w:val="18"/>
          <w:color w:val="auto"/>
        </w:rPr>
      </w:pPr>
    </w:p>
    <w:p>
      <w:pPr>
        <w:ind w:left="4" w:right="180" w:firstLine="436"/>
        <w:spacing w:after="0" w:line="263" w:lineRule="auto"/>
        <w:tabs>
          <w:tab w:leader="none" w:pos="8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hire, employ, or engage, or attempt to hire, employ, or engage any person employed or engaged by the Company (or who was employed or engaged by the Company within the preceding 12 months) or discuss any potential employment or engagement with such person, even if I did not initiate the discussion or seek out the contact;</w:t>
      </w:r>
    </w:p>
    <w:p>
      <w:pPr>
        <w:spacing w:after="0" w:line="75" w:lineRule="exact"/>
        <w:rPr>
          <w:rFonts w:ascii="Arial" w:cs="Arial" w:eastAsia="Arial" w:hAnsi="Arial"/>
          <w:sz w:val="18"/>
          <w:szCs w:val="18"/>
          <w:color w:val="auto"/>
        </w:rPr>
      </w:pPr>
    </w:p>
    <w:p>
      <w:pPr>
        <w:ind w:left="4" w:right="160" w:firstLine="436"/>
        <w:spacing w:after="0" w:line="277" w:lineRule="auto"/>
        <w:tabs>
          <w:tab w:leader="none" w:pos="8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solicit, perform, provide or attempt to perform or provide Competitive Products to any Customer or Potential Customer (as those terms are defined below); or</w:t>
      </w:r>
    </w:p>
    <w:p>
      <w:pPr>
        <w:spacing w:after="0" w:line="62" w:lineRule="exact"/>
        <w:rPr>
          <w:rFonts w:ascii="Arial" w:cs="Arial" w:eastAsia="Arial" w:hAnsi="Arial"/>
          <w:sz w:val="18"/>
          <w:szCs w:val="18"/>
          <w:color w:val="auto"/>
        </w:rPr>
      </w:pPr>
    </w:p>
    <w:p>
      <w:pPr>
        <w:ind w:left="4" w:right="80" w:firstLine="436"/>
        <w:spacing w:after="0" w:line="263" w:lineRule="auto"/>
        <w:tabs>
          <w:tab w:leader="none" w:pos="8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establish, invest in, promote or perform services for another enterprise engaged anywhere in the world in the development, manufacture or marketing of Competitive Products; </w:t>
      </w:r>
      <w:r>
        <w:rPr>
          <w:rFonts w:ascii="Arial" w:cs="Arial" w:eastAsia="Arial" w:hAnsi="Arial"/>
          <w:sz w:val="18"/>
          <w:szCs w:val="18"/>
          <w:i w:val="1"/>
          <w:iCs w:val="1"/>
          <w:color w:val="auto"/>
        </w:rPr>
        <w:t>provided, however</w:t>
      </w:r>
      <w:r>
        <w:rPr>
          <w:rFonts w:ascii="Arial" w:cs="Arial" w:eastAsia="Arial" w:hAnsi="Arial"/>
          <w:sz w:val="18"/>
          <w:szCs w:val="18"/>
          <w:color w:val="auto"/>
        </w:rPr>
        <w:t>, that my ownership of one percent or less of the outstanding publicly traded capital stock of any company will not violate this paragraph, provided that I have no other relationship with such company.</w:t>
      </w:r>
    </w:p>
    <w:p>
      <w:pPr>
        <w:spacing w:after="0" w:line="183" w:lineRule="exact"/>
        <w:rPr>
          <w:rFonts w:ascii="Arial" w:cs="Arial" w:eastAsia="Arial" w:hAnsi="Arial"/>
          <w:sz w:val="18"/>
          <w:szCs w:val="18"/>
          <w:color w:val="auto"/>
        </w:rPr>
      </w:pPr>
    </w:p>
    <w:p>
      <w:pPr>
        <w:ind w:left="384" w:hanging="384"/>
        <w:spacing w:after="0"/>
        <w:tabs>
          <w:tab w:leader="none" w:pos="3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4" w:right="100" w:firstLine="436"/>
        <w:spacing w:after="0" w:line="308" w:lineRule="auto"/>
        <w:tabs>
          <w:tab w:leader="none" w:pos="83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Competitive Products</w:t>
      </w:r>
      <w:r>
        <w:rPr>
          <w:rFonts w:ascii="Arial" w:cs="Arial" w:eastAsia="Arial" w:hAnsi="Arial"/>
          <w:sz w:val="17"/>
          <w:szCs w:val="17"/>
          <w:color w:val="auto"/>
        </w:rPr>
        <w:t>” means products or services that are competitive with or similar to products or services of the Company, or products or services that the Company has under development or that are the subject of active planning during my Service Relationship.</w:t>
      </w:r>
    </w:p>
    <w:p>
      <w:pPr>
        <w:spacing w:after="0" w:line="38" w:lineRule="exact"/>
        <w:rPr>
          <w:rFonts w:ascii="Arial" w:cs="Arial" w:eastAsia="Arial" w:hAnsi="Arial"/>
          <w:sz w:val="17"/>
          <w:szCs w:val="17"/>
          <w:color w:val="auto"/>
        </w:rPr>
      </w:pPr>
    </w:p>
    <w:p>
      <w:pPr>
        <w:ind w:left="4" w:right="200" w:firstLine="436"/>
        <w:spacing w:after="0" w:line="257" w:lineRule="auto"/>
        <w:tabs>
          <w:tab w:leader="none" w:pos="8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or Potential Customer</w:t>
      </w:r>
      <w:r>
        <w:rPr>
          <w:rFonts w:ascii="Arial" w:cs="Arial" w:eastAsia="Arial" w:hAnsi="Arial"/>
          <w:sz w:val="18"/>
          <w:szCs w:val="18"/>
          <w:color w:val="auto"/>
        </w:rPr>
        <w:t>” means any person or entity who or which, at any time during the preceding two years (while I am still employed or engaged by the Company) or during the two years preceding the end of my Service Relationship (once I am no longer employed or engaged by the Company): (i) contracted for, was billed for or received from the Company any product, service or process; or (ii) was solicited by the Company in an effort in which I was involved, or of which I was or should have been aware, concerning any product, service or process of the Company.</w:t>
      </w:r>
    </w:p>
    <w:p>
      <w:pPr>
        <w:spacing w:after="0" w:line="292" w:lineRule="exact"/>
        <w:rPr>
          <w:sz w:val="20"/>
          <w:szCs w:val="20"/>
          <w:color w:val="auto"/>
        </w:rPr>
      </w:pPr>
    </w:p>
    <w:p>
      <w:pPr>
        <w:ind w:left="324" w:hanging="324"/>
        <w:spacing w:after="0"/>
        <w:tabs>
          <w:tab w:leader="none" w:pos="3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and Equitable Remedies</w:t>
      </w:r>
      <w:r>
        <w:rPr>
          <w:rFonts w:ascii="Arial" w:cs="Arial" w:eastAsia="Arial" w:hAnsi="Arial"/>
          <w:sz w:val="18"/>
          <w:szCs w:val="18"/>
          <w:color w:val="auto"/>
        </w:rPr>
        <w:t>.</w:t>
      </w:r>
    </w:p>
    <w:p>
      <w:pPr>
        <w:spacing w:after="0" w:line="121" w:lineRule="exact"/>
        <w:rPr>
          <w:sz w:val="20"/>
          <w:szCs w:val="20"/>
          <w:color w:val="auto"/>
        </w:rPr>
      </w:pPr>
    </w:p>
    <w:p>
      <w:pPr>
        <w:ind w:left="4" w:right="40" w:hanging="4"/>
        <w:spacing w:after="0" w:line="277" w:lineRule="auto"/>
        <w:tabs>
          <w:tab w:leader="none" w:pos="38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agree that it may be impossible to assess the damages caused by my violation of this Agreement or any of its terms. I agree that any threatened or actual violation of this Agreement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115" w:name="page116"/>
    <w:bookmarkEnd w:id="115"/>
    <w:p>
      <w:pPr>
        <w:ind w:left="4"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any of its terms will constitute immediate and irreparable injury to the Company for which there would be no adequate remedy at law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w:t>
      </w:r>
    </w:p>
    <w:p>
      <w:pPr>
        <w:spacing w:after="0" w:line="149" w:lineRule="exact"/>
        <w:rPr>
          <w:sz w:val="20"/>
          <w:szCs w:val="20"/>
          <w:color w:val="auto"/>
        </w:rPr>
      </w:pPr>
    </w:p>
    <w:p>
      <w:pPr>
        <w:ind w:left="4" w:right="180" w:hanging="4"/>
        <w:spacing w:after="0" w:line="277" w:lineRule="auto"/>
        <w:tabs>
          <w:tab w:leader="none" w:pos="3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agree that if the Company is successful in whole or in part in any legal or equitable action against me under this Agreement, the Company shall be entitled to payment of all costs, including reasonable attorney’s fees, from me.</w:t>
      </w:r>
    </w:p>
    <w:p>
      <w:pPr>
        <w:spacing w:after="0" w:line="170" w:lineRule="exact"/>
        <w:rPr>
          <w:rFonts w:ascii="Arial" w:cs="Arial" w:eastAsia="Arial" w:hAnsi="Arial"/>
          <w:sz w:val="18"/>
          <w:szCs w:val="18"/>
          <w:color w:val="auto"/>
        </w:rPr>
      </w:pPr>
    </w:p>
    <w:p>
      <w:pPr>
        <w:ind w:left="4" w:right="120" w:hanging="4"/>
        <w:spacing w:after="0" w:line="277" w:lineRule="auto"/>
        <w:tabs>
          <w:tab w:leader="none" w:pos="3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I am found to have been in breach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the restrictions described in that section will be extended by the period equal to the length of time I was in breach of that section.</w:t>
      </w:r>
    </w:p>
    <w:p>
      <w:pPr>
        <w:spacing w:after="0" w:line="274" w:lineRule="exact"/>
        <w:rPr>
          <w:sz w:val="20"/>
          <w:szCs w:val="20"/>
          <w:color w:val="auto"/>
        </w:rPr>
      </w:pPr>
    </w:p>
    <w:p>
      <w:pPr>
        <w:ind w:left="4" w:right="240" w:hanging="4"/>
        <w:spacing w:after="0" w:line="274" w:lineRule="auto"/>
        <w:tabs>
          <w:tab w:leader="none" w:pos="319"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Reasonableness of Restrictions</w:t>
      </w:r>
      <w:r>
        <w:rPr>
          <w:rFonts w:ascii="Arial" w:cs="Arial" w:eastAsia="Arial" w:hAnsi="Arial"/>
          <w:sz w:val="17"/>
          <w:szCs w:val="17"/>
          <w:color w:val="auto"/>
        </w:rPr>
        <w:t>. I have read this entire Agreement, understand it and have had the opportunity to review it with counsel. I agree</w:t>
      </w:r>
      <w:r>
        <w:rPr>
          <w:rFonts w:ascii="Arial" w:cs="Arial" w:eastAsia="Arial" w:hAnsi="Arial"/>
          <w:sz w:val="17"/>
          <w:szCs w:val="17"/>
          <w:b w:val="1"/>
          <w:bCs w:val="1"/>
          <w:color w:val="auto"/>
        </w:rPr>
        <w:t xml:space="preserve"> </w:t>
      </w:r>
      <w:r>
        <w:rPr>
          <w:rFonts w:ascii="Arial" w:cs="Arial" w:eastAsia="Arial" w:hAnsi="Arial"/>
          <w:sz w:val="17"/>
          <w:szCs w:val="17"/>
          <w:color w:val="auto"/>
        </w:rPr>
        <w:t>that this Agreement does not prevent me from earning a living or pursuing my career and that I have the ability to secure other non-competitive employment using my marketable skills. I agree that the restrictions contained in this Agreement, including the duration and scope thereof, are reasonable, proper and necessary to protect the Company’s legitimate business interests, including without limitation the Company’s intellectual property rights, Confidential Information and goodwill. I represent and agree that I am entering into this Agreement freely and with knowledge of its contents with the intent to be bound by the Agreement and the restrictions contained in it.</w:t>
      </w:r>
    </w:p>
    <w:p>
      <w:pPr>
        <w:spacing w:after="0" w:line="281" w:lineRule="exact"/>
        <w:rPr>
          <w:rFonts w:ascii="Arial" w:cs="Arial" w:eastAsia="Arial" w:hAnsi="Arial"/>
          <w:sz w:val="17"/>
          <w:szCs w:val="17"/>
          <w:b w:val="1"/>
          <w:bCs w:val="1"/>
          <w:color w:val="auto"/>
        </w:rPr>
      </w:pPr>
    </w:p>
    <w:p>
      <w:pPr>
        <w:ind w:left="4" w:hanging="4"/>
        <w:spacing w:after="0" w:line="312" w:lineRule="auto"/>
        <w:tabs>
          <w:tab w:leader="none" w:pos="409"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Notification of New Employer</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I leave the employ of the Company, I authorize the Company to provide notice of my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to my subsequent employer and to any other entity or person to whom I provide or propose to provide services.</w:t>
      </w:r>
    </w:p>
    <w:p>
      <w:pPr>
        <w:spacing w:after="0" w:line="247" w:lineRule="exact"/>
        <w:rPr>
          <w:rFonts w:ascii="Arial" w:cs="Arial" w:eastAsia="Arial" w:hAnsi="Arial"/>
          <w:sz w:val="17"/>
          <w:szCs w:val="17"/>
          <w:b w:val="1"/>
          <w:bCs w:val="1"/>
          <w:color w:val="auto"/>
        </w:rPr>
      </w:pPr>
    </w:p>
    <w:p>
      <w:pPr>
        <w:ind w:left="4" w:right="340" w:hanging="4"/>
        <w:spacing w:after="0" w:line="282" w:lineRule="auto"/>
        <w:tabs>
          <w:tab w:leader="none" w:pos="399"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actions taken hereunder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applied without regard to conflict of law principles.</w:t>
      </w:r>
    </w:p>
    <w:p>
      <w:pPr>
        <w:spacing w:after="0" w:line="16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16" w:name="page117"/>
    <w:bookmarkEnd w:id="1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executed this Confidentiality, Intellectual Property Assignment and Restrictive Covenant Agreement as of the date set forth below.</w:t>
      </w:r>
    </w:p>
    <w:p>
      <w:pPr>
        <w:spacing w:after="0" w:line="197" w:lineRule="exact"/>
        <w:rPr>
          <w:sz w:val="20"/>
          <w:szCs w:val="20"/>
          <w:color w:val="auto"/>
        </w:rPr>
      </w:pPr>
    </w:p>
    <w:p>
      <w:pPr>
        <w:spacing w:after="0"/>
        <w:tabs>
          <w:tab w:leader="none" w:pos="740" w:val="left"/>
          <w:tab w:leader="none" w:pos="5940" w:val="left"/>
          <w:tab w:leader="none" w:pos="6480" w:val="left"/>
        </w:tabs>
        <w:rPr>
          <w:sz w:val="20"/>
          <w:szCs w:val="20"/>
          <w:color w:val="auto"/>
        </w:rPr>
      </w:pPr>
      <w:r>
        <w:rPr>
          <w:rFonts w:ascii="Arial" w:cs="Arial" w:eastAsia="Arial" w:hAnsi="Arial"/>
          <w:sz w:val="18"/>
          <w:szCs w:val="18"/>
          <w:color w:val="auto"/>
        </w:rPr>
        <w:t>Signed:</w:t>
        <w:tab/>
        <w:t>/s/ Michael Celano</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65151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 name above)</w:t>
      </w:r>
    </w:p>
    <w:p>
      <w:pPr>
        <w:spacing w:after="0" w:line="2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14605</wp:posOffset>
            </wp:positionV>
            <wp:extent cx="26574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Prior Inventions</w:t>
      </w:r>
    </w:p>
    <w:p>
      <w:pPr>
        <w:sectPr>
          <w:pgSz w:w="11900" w:h="16838" w:orient="portrait"/>
          <w:cols w:equalWidth="0" w:num="1">
            <w:col w:w="9019"/>
          </w:cols>
          <w:pgMar w:left="1440" w:top="27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Effective May 28, 2020</w:t>
      </w:r>
    </w:p>
    <w:p>
      <w:pPr>
        <w:spacing w:after="0" w:line="329" w:lineRule="exact"/>
        <w:rPr>
          <w:sz w:val="20"/>
          <w:szCs w:val="20"/>
          <w:color w:val="auto"/>
        </w:rPr>
      </w:pPr>
    </w:p>
    <w:p>
      <w:pPr>
        <w:ind w:left="164" w:hanging="164"/>
        <w:spacing w:after="0"/>
        <w:tabs>
          <w:tab w:leader="none" w:pos="16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This Code of Business Conduct and Ethics (this “</w:t>
      </w:r>
      <w:r>
        <w:rPr>
          <w:rFonts w:ascii="Arial" w:cs="Arial" w:eastAsia="Arial" w:hAnsi="Arial"/>
          <w:sz w:val="18"/>
          <w:szCs w:val="18"/>
          <w:u w:val="single" w:color="auto"/>
          <w:color w:val="auto"/>
        </w:rPr>
        <w:t>Code</w:t>
      </w:r>
      <w:r>
        <w:rPr>
          <w:rFonts w:ascii="Arial" w:cs="Arial" w:eastAsia="Arial" w:hAnsi="Arial"/>
          <w:sz w:val="18"/>
          <w:szCs w:val="18"/>
          <w:color w:val="auto"/>
        </w:rPr>
        <w:t>”) has been adopted by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Larimar Therapeutics, Inc. (together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and summarizes the standards that must guide the actions of all employees of the Company. While covering a wide range of business practices and procedures, these standards cannot and do not cover every issue that may arise, or every situation where ethical decisions must be made, but rather constitute key guiding principles that represent Company policies and establish conditions for employment at the Company.</w:t>
      </w:r>
    </w:p>
    <w:p>
      <w:pPr>
        <w:spacing w:after="0" w:line="188"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Our Company strives to foster a culture of honesty and accountability. Our commitment to the highest level of ethical conduct should be reflected in all of the Company’s business activities including, but not limited to, relationships with employees, customers, suppliers, competitors, the government, the public, and our stockholders. All of our employees, officers and directors must conduct themselves according to the letter and spirit of this Code and avoid even the appearance of improper behavior. Even well-intentioned actions that violate the law or this Code may result in negative consequences for the Company and for the individuals involved.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One of our Company’s most valuable assets is our reputation for integrity, professionalism and fairness. This Code is designed to promote</w:t>
      </w:r>
    </w:p>
    <w:p>
      <w:pPr>
        <w:spacing w:after="0" w:line="35" w:lineRule="exact"/>
        <w:rPr>
          <w:sz w:val="20"/>
          <w:szCs w:val="20"/>
          <w:color w:val="auto"/>
        </w:rPr>
      </w:pPr>
    </w:p>
    <w:p>
      <w:pPr>
        <w:ind w:left="224" w:hanging="224"/>
        <w:spacing w:after="0"/>
        <w:tabs>
          <w:tab w:leader="none" w:pos="22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32" w:lineRule="exact"/>
        <w:rPr>
          <w:rFonts w:ascii="Arial" w:cs="Arial" w:eastAsia="Arial" w:hAnsi="Arial"/>
          <w:sz w:val="16"/>
          <w:szCs w:val="16"/>
          <w:color w:val="auto"/>
        </w:rPr>
      </w:pPr>
    </w:p>
    <w:p>
      <w:pPr>
        <w:ind w:left="4" w:right="100" w:hanging="4"/>
        <w:spacing w:after="0" w:line="281" w:lineRule="auto"/>
        <w:tabs>
          <w:tab w:leader="none" w:pos="26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full, fair, accurate, timely, and understandable disclosure in reports and documents the Company files with, or submits to,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and in our other public communications, (iii) compliance with applicable governmental laws, rules and regulations,</w:t>
      </w:r>
    </w:p>
    <w:p>
      <w:pPr>
        <w:spacing w:after="0" w:line="1" w:lineRule="exact"/>
        <w:rPr>
          <w:rFonts w:ascii="Arial" w:cs="Arial" w:eastAsia="Arial" w:hAnsi="Arial"/>
          <w:sz w:val="16"/>
          <w:szCs w:val="16"/>
          <w:color w:val="auto"/>
        </w:rPr>
      </w:pPr>
    </w:p>
    <w:p>
      <w:pPr>
        <w:ind w:left="4" w:right="300" w:hanging="4"/>
        <w:spacing w:after="0" w:line="255" w:lineRule="auto"/>
        <w:tabs>
          <w:tab w:leader="none" w:pos="30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to an appropriate person or persons identified in the Code and (v) to ensure accountability for adherence to the Code. We should all recognize that our actions are the foundation of our reputation and adhering to this Code and applicable law is imperative.</w:t>
      </w:r>
    </w:p>
    <w:p>
      <w:pPr>
        <w:spacing w:after="0" w:line="294" w:lineRule="exact"/>
        <w:rPr>
          <w:sz w:val="20"/>
          <w:szCs w:val="20"/>
          <w:color w:val="auto"/>
        </w:rPr>
      </w:pPr>
    </w:p>
    <w:p>
      <w:pPr>
        <w:ind w:left="224" w:hanging="224"/>
        <w:spacing w:after="0"/>
        <w:tabs>
          <w:tab w:leader="none" w:pos="22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Rules and Regulations</w:t>
      </w:r>
    </w:p>
    <w:p>
      <w:pPr>
        <w:spacing w:after="0" w:line="121"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We are strongly committed to conducting our business affairs with honesty and integrity and in full compliance with all applicable laws, rules and regulations. No employee, officer or director of the Company shall commit an illegal or unethical act, or instruct others to do so, for any reason.</w:t>
      </w:r>
    </w:p>
    <w:p>
      <w:pPr>
        <w:sectPr>
          <w:pgSz w:w="11900" w:h="16838" w:orient="portrait"/>
          <w:cols w:equalWidth="0" w:num="1">
            <w:col w:w="11024"/>
          </w:cols>
          <w:pgMar w:left="436" w:top="121" w:right="439" w:bottom="1440" w:gutter="0" w:footer="0" w:header="0"/>
        </w:sectPr>
      </w:pPr>
    </w:p>
    <w:bookmarkStart w:id="119" w:name="page120"/>
    <w:bookmarkEnd w:id="119"/>
    <w:p>
      <w:pPr>
        <w:ind w:left="304" w:hanging="304"/>
        <w:spacing w:after="0"/>
        <w:tabs>
          <w:tab w:leader="none" w:pos="30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Trading on Inside Information</w:t>
      </w:r>
    </w:p>
    <w:p>
      <w:pPr>
        <w:spacing w:after="0" w:line="12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Using material non-public, Company information to trade in securities of the Company, or providing a family member, friend or any other person with a “tip” is illegal. To help ensure that you do not engage in prohibited insider trading, the Company has adopted an Insider Trading Policy. You are required to familiarize yourself and comply with the Company’s Insider Trading Policy, copies of which are available on the Company’s internal website. If you ever have any questions about your ability to buy or sell securities, you should contact the Chief Financial Officer.</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Protection of Confidential Proprietary Information</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Confidential proprietary information generated and gathered in our business is a valuable Company asset. Protecting this information plays a vital role in our continued growth and ability to compete. All proprietary information should be maintained in strict confidence, except when disclosure is authorized by the Company or required by law.</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Proprietary information includes all non-public information that might be useful to competitors or that could be harmful to the Company, its customers or its suppliers if disclosed. Intellectual property, such as trade secrets, patents, trademarks and copyrights, as well as business, research and new product plans, objectives and strategies, clinical trial results, records, databases, salary and benefits data, employee medical information, customer, employee and suppliers lists, any unpublished financial or pricing information and any information about patients on whom our products have been used must also be protected.</w:t>
      </w:r>
    </w:p>
    <w:p>
      <w:pPr>
        <w:spacing w:after="0" w:line="188"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Unauthorized use or distribution of proprietary information violates Company policy and could be illegal. Unauthorized use or distribution could result in negative consequences for both the Company and the individuals involved, including potential legal and disciplinary actions. We respect the property rights and proprietary information of other companies and require our employees, officers and directors to observe such rights. Indeed, the Company is often contractually bound not to disclose the confidential and proprietary information of a variety of companies and individuals, including inventors, vendors and potential vendors. In addition, Company employees who have signed non-disclosure agreements with their former employers are expected to fully and strictly adhere to the terms of those agreements.</w:t>
      </w:r>
    </w:p>
    <w:p>
      <w:pPr>
        <w:spacing w:after="0" w:line="178"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Your obligation to protect the Company’s proprietary and confidential information continues even after you leave the Company, and you must return all proprietary information in your possession upon leaving the Company.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V. </w:t>
      </w:r>
      <w:r>
        <w:rPr>
          <w:rFonts w:ascii="Arial" w:cs="Arial" w:eastAsia="Arial" w:hAnsi="Arial"/>
          <w:sz w:val="18"/>
          <w:szCs w:val="18"/>
          <w:b w:val="1"/>
          <w:bCs w:val="1"/>
          <w:u w:val="single" w:color="auto"/>
          <w:color w:val="auto"/>
        </w:rPr>
        <w:t>Conflicts of Interest</w:t>
      </w:r>
    </w:p>
    <w:p>
      <w:pPr>
        <w:spacing w:after="0" w:line="121"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Our employees, officers and directors have an obligation to act in the best interest of the Company. All employees, officers and directors should endeavor to avoid situations that present a potential or actual conflict between their interest and the interest of the Company.</w:t>
      </w:r>
    </w:p>
    <w:p>
      <w:pPr>
        <w:spacing w:after="0" w:line="146"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 “conflict of interest” occurs when a person’s private interest interferes in any way, or even appears to interfere, with the interest of the Company, including its subsidiaries and affiliates. A conflict of interest can arise when an employee, officer or director takes an action or has an interest that may make it difficult for him or her to perform his or her work objectively and effectively. Conflicts of interest may also arise when an employee, officer or director (or his or her family members) receives improper personal benefits as a result of the employee’s, officer’s or director’s position in the Company.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20" w:name="page121"/>
    <w:bookmarkEnd w:id="12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Although it is not possible to describe every situation in which a conflict of interest may arise, the following are examples of situations that may constitute a conflict of interest:</w:t>
      </w:r>
    </w:p>
    <w:p>
      <w:pPr>
        <w:spacing w:after="0" w:line="76" w:lineRule="exact"/>
        <w:rPr>
          <w:sz w:val="20"/>
          <w:szCs w:val="20"/>
          <w:color w:val="auto"/>
        </w:rPr>
      </w:pPr>
    </w:p>
    <w:p>
      <w:pPr>
        <w:ind w:left="420" w:hanging="316"/>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Working, in any capacity, for a competitor, customer or supplier while employed by the Company.</w:t>
      </w:r>
    </w:p>
    <w:p>
      <w:pPr>
        <w:spacing w:after="0" w:line="130" w:lineRule="exact"/>
        <w:rPr>
          <w:rFonts w:ascii="Arial" w:cs="Arial" w:eastAsia="Arial" w:hAnsi="Arial"/>
          <w:sz w:val="18"/>
          <w:szCs w:val="18"/>
          <w:color w:val="auto"/>
        </w:rPr>
      </w:pPr>
    </w:p>
    <w:p>
      <w:pPr>
        <w:ind w:left="420" w:right="220" w:hanging="316"/>
        <w:spacing w:after="0" w:line="308" w:lineRule="auto"/>
        <w:tabs>
          <w:tab w:leader="none" w:pos="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Accepting gifts of more than modest value or receiving personal discounts or other benefits as a result of your position in the Company from a competitor, customer or supplier where you are in a position to influence a decision about that competitor, customer or supplier.</w:t>
      </w:r>
    </w:p>
    <w:p>
      <w:pPr>
        <w:spacing w:after="0" w:line="51" w:lineRule="exact"/>
        <w:rPr>
          <w:rFonts w:ascii="Arial" w:cs="Arial" w:eastAsia="Arial" w:hAnsi="Arial"/>
          <w:sz w:val="17"/>
          <w:szCs w:val="17"/>
          <w:color w:val="auto"/>
        </w:rPr>
      </w:pPr>
    </w:p>
    <w:p>
      <w:pPr>
        <w:ind w:left="420" w:hanging="316"/>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Competing with the Company for the purchase or sale of property, products, services or other interests.</w:t>
      </w:r>
    </w:p>
    <w:p>
      <w:pPr>
        <w:spacing w:after="0" w:line="130" w:lineRule="exact"/>
        <w:rPr>
          <w:rFonts w:ascii="Arial" w:cs="Arial" w:eastAsia="Arial" w:hAnsi="Arial"/>
          <w:sz w:val="18"/>
          <w:szCs w:val="18"/>
          <w:color w:val="auto"/>
        </w:rPr>
      </w:pPr>
    </w:p>
    <w:p>
      <w:pPr>
        <w:ind w:left="420" w:right="60" w:hanging="316"/>
        <w:spacing w:after="0" w:line="277" w:lineRule="auto"/>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Having an interest in a transaction involving the Company, a competitor, a customer or supplier (other than as an employee, officer or director of the Company and not including routine investments in publicly traded companies).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Receiving a loan or guarantee of an obligation as a result of your position with the Company.</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Directing business to a supplier owned or managed by, or which employs, a relative or friend.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Situations involving a conflict of interest may not always be obvious or easy to resolve. You should report actions that may involve a conflict of interest to the Chief Financial Officer.</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order to avoid conflicts of interest, each of the employees must disclose to the Chief Financial Officer any material transaction or relationship that reasonably could be expected to give rise to such a conflict, and the Chief Financial Officer shall notify the Nominating and Corporate Governance Committee (the “</w:t>
      </w:r>
      <w:r>
        <w:rPr>
          <w:rFonts w:ascii="Arial" w:cs="Arial" w:eastAsia="Arial" w:hAnsi="Arial"/>
          <w:sz w:val="18"/>
          <w:szCs w:val="18"/>
          <w:u w:val="single" w:color="auto"/>
          <w:color w:val="auto"/>
        </w:rPr>
        <w:t>Nominating Committee</w:t>
      </w:r>
      <w:r>
        <w:rPr>
          <w:rFonts w:ascii="Arial" w:cs="Arial" w:eastAsia="Arial" w:hAnsi="Arial"/>
          <w:sz w:val="18"/>
          <w:szCs w:val="18"/>
          <w:color w:val="auto"/>
        </w:rPr>
        <w:t>”) of any such disclosure. Conflicts of interests involving the Chief Financial Officer and directors shall be disclosed to the Nominating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 </w:t>
      </w:r>
      <w:r>
        <w:rPr>
          <w:rFonts w:ascii="Arial" w:cs="Arial" w:eastAsia="Arial" w:hAnsi="Arial"/>
          <w:sz w:val="18"/>
          <w:szCs w:val="18"/>
          <w:b w:val="1"/>
          <w:bCs w:val="1"/>
          <w:u w:val="single" w:color="auto"/>
          <w:color w:val="auto"/>
        </w:rPr>
        <w:t>Protection and Proper Use of Company Assets</w:t>
      </w:r>
    </w:p>
    <w:p>
      <w:pPr>
        <w:spacing w:after="0" w:line="121"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Protecting Company assets against loss, theft or other misuse is the responsibility of every employee, officer and director. Loss, theft and misuse of Company assets directly impact our profitability. Any suspected loss, misuse or theft should be reported to the Chief Financial Officer.</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sole purpose of the Company’s equipment, vehicles, supplies and technology is the conduct of our business. They may only be used for Company business consistent with Company guidelines.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Corporate Opportunities</w:t>
      </w:r>
    </w:p>
    <w:p>
      <w:pPr>
        <w:spacing w:after="0" w:line="12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Employees, officers and directors are prohibited from taking for themselves business opportunities that are discovered through the use of corporate property, information or position unless that opportunity has first been presented to, and rejected by, the Company. No employee, officer or director may use corporate property, information or position for personal gain, and no employee, officer or director may compete with the Company. Employees, officers and directors owe a duty to the Company to advance its legitimate interests when the opportunity to do so arises.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VIII. </w:t>
      </w:r>
      <w:r>
        <w:rPr>
          <w:rFonts w:ascii="Arial" w:cs="Arial" w:eastAsia="Arial" w:hAnsi="Arial"/>
          <w:sz w:val="18"/>
          <w:szCs w:val="18"/>
          <w:b w:val="1"/>
          <w:bCs w:val="1"/>
          <w:u w:val="single" w:color="auto"/>
          <w:color w:val="auto"/>
        </w:rPr>
        <w:t>Fair Dealing</w:t>
      </w:r>
    </w:p>
    <w:p>
      <w:pPr>
        <w:spacing w:after="0" w:line="121"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Each employee, officer and director of the Company should endeavor to deal fairly with customers, suppliers, competitors, the public and one another at all times and in accordance with ethical business practices. No one should take unfair advantage of anyone through manipulation, concealment, abuse of privileged information, misrepresentation of material facts or any other unfair dealing practice. No bribes, kickbacks or other similar payments in any form shall be made directly or indirectly to or for anyone for the purpose of obtaining or retaining business or obtaining any other favorable action. The Company and any employee, officer or director involved may be subject to disciplinary action as well as potential civil or criminal liability for violation of this Code.</w:t>
      </w:r>
    </w:p>
    <w:p>
      <w:pPr>
        <w:spacing w:after="0" w:line="192"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Occasional business gifts to, or entertainment of, non-government employees (other than healthcare providers) in connection with business discussions or the development of business relationships are generally deemed appropriate in the conduct of Company business. However, these gifts should be given infrequently and their value should be modest. Gifts or entertainment in any form that would likely result in a feeling or expectation of personal obligation should not be extended or accepted. Gifts to and entertainment of healthcare providers is prohibited.</w:t>
      </w:r>
    </w:p>
    <w:p>
      <w:pPr>
        <w:spacing w:after="0" w:line="15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Practices that are acceptable in a commercial business environment may be against the law or the policies governing federal, state or local government employees. Therefore, no gifts or business entertainment of any kind may be given to any government employee without the prior approval of the Chief Financial Officer. All business dealings must be on arm’s length terms and free of any favorable treatment resulting from the personal interest of our directors, executive officers and employees.</w:t>
      </w:r>
    </w:p>
    <w:p>
      <w:pPr>
        <w:spacing w:after="0" w:line="18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Except in certain limited circumstances, the Foreign Corrupt Practices Act (“</w:t>
      </w:r>
      <w:r>
        <w:rPr>
          <w:rFonts w:ascii="Arial" w:cs="Arial" w:eastAsia="Arial" w:hAnsi="Arial"/>
          <w:sz w:val="18"/>
          <w:szCs w:val="18"/>
          <w:u w:val="single" w:color="auto"/>
          <w:color w:val="auto"/>
        </w:rPr>
        <w:t>FCPA</w:t>
      </w:r>
      <w:r>
        <w:rPr>
          <w:rFonts w:ascii="Arial" w:cs="Arial" w:eastAsia="Arial" w:hAnsi="Arial"/>
          <w:sz w:val="18"/>
          <w:szCs w:val="18"/>
          <w:color w:val="auto"/>
        </w:rPr>
        <w:t>”) prohibits giving anything of value directly or indirectly to any “foreign official” for the purpose of obtaining or retaining business. When in doubt as to whether a contemplated payment or gift may violate the FCPA, contact the Chief Financial Officer before taking any 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IX. </w:t>
      </w:r>
      <w:r>
        <w:rPr>
          <w:rFonts w:ascii="Arial" w:cs="Arial" w:eastAsia="Arial" w:hAnsi="Arial"/>
          <w:sz w:val="18"/>
          <w:szCs w:val="18"/>
          <w:b w:val="1"/>
          <w:bCs w:val="1"/>
          <w:u w:val="single" w:color="auto"/>
          <w:color w:val="auto"/>
        </w:rPr>
        <w:t>Quality of Public Disclosures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Company has a responsibility to provide full and accurate information, in all material respects, in our public disclosures about the Company’s financial condition and results of operations. Our reports and documents filed with or submitted to the SEC and our other public communications shall include full, fair, accurate, timely and understandable disclosure, and the Company has established a Disclosure Committee consisting of senior management to assist in monitoring such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18"/>
          <w:szCs w:val="18"/>
          <w:b w:val="1"/>
          <w:bCs w:val="1"/>
          <w:u w:val="single" w:color="auto"/>
          <w:color w:val="auto"/>
        </w:rPr>
        <w:t>Compliance with This Code and Reporting of Any Illegal or Unethical Behavior</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All employees, directors and officers are expected to comply with all of the provisions of this Code. The Code will be strictly enforced throughout the Company and violations will be dealt with immediately, including subjecting persons to corrective and/or disciplinary action such as dismissal or removal from office. Violations of the Code that involve illegal behavior will be reported to the appropriate authorities. Situations that may involve a violation of ethics, laws, rules, regulations or this Code may not always be clear and may require difficult judgment.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22" w:name="page123"/>
    <w:bookmarkEnd w:id="122"/>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 directors or officers should report any concerns or questions about a violation of ethics, laws, rules, regulations or this Code to their supervisors/managers, the Chief Financial Officer, or, in the case of accounting, internal accounting controls or auditing matters, the Audit Committee of the Board (the “</w:t>
      </w: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184" w:lineRule="exact"/>
        <w:rPr>
          <w:sz w:val="20"/>
          <w:szCs w:val="20"/>
          <w:color w:val="auto"/>
        </w:rPr>
      </w:pPr>
    </w:p>
    <w:p>
      <w:pPr>
        <w:ind w:right="320" w:firstLine="440"/>
        <w:spacing w:after="0" w:line="254" w:lineRule="auto"/>
        <w:rPr>
          <w:sz w:val="20"/>
          <w:szCs w:val="20"/>
          <w:color w:val="auto"/>
        </w:rPr>
      </w:pPr>
      <w:r>
        <w:rPr>
          <w:rFonts w:ascii="Arial" w:cs="Arial" w:eastAsia="Arial" w:hAnsi="Arial"/>
          <w:sz w:val="18"/>
          <w:szCs w:val="18"/>
          <w:color w:val="auto"/>
        </w:rPr>
        <w:t>Any concerns about a violation of ethics, laws, rules, regulations or this Code by any senior executive officer or director should be reported promptly to the Chief Financial Officer and the Chief Financial Officer shall notify the Nominating Committee of any violation. Any such concerns involving the Chief Financial Officer should be reported to the Nominating Committee. Reporting of such violations may also be done anonymously through the Company hotline, the phone number of which can be found on the Company’s internal website. An anonymous report should provide enough information about the incident or situation to allow the Company to investigate properly. If concerns or complaints require confidentiality, including keeping an identity anonymous, the Company will endeavor to protect this confidentiality, subject to applicable law, regulation or legal proceedings.</w:t>
      </w:r>
    </w:p>
    <w:p>
      <w:pPr>
        <w:spacing w:after="0" w:line="195"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The Company encourages all employees, officers and directors to report any suspected violations promptly and intends to thoroughly investigate any good faith reports of violations. The Company will not tolerate any kind of retaliation for reports or complaints regarding misconduct that were made in good faith. Open communication of issues and concerns by all employees without fear of retribution or retaliation is vital to the successful implementation of this Code. All employees, officers and directors are required to cooperate in any internal investigations of misconduct and unethical behavior and to respond to any questions in a complete and truthful manner.</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 recognizes the need for this Code to be applied equally to everyone it covers. The Chief Financial Officer of the Company will have primary authority and responsibility for the enforcement of this Code, subject to the supervision of the Nominating Committee, or, in the case of accounting, internal accounting controls or auditing matters, the Audit Committee, and the Company will devote the necessary resources to enable the Chief Financial Officer to establish such procedures as may be reasonably necessary to create a culture of accountability and facilitate compliance with the Code. Questions concerning this Code should be directed to the Chief Financial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 </w:t>
      </w:r>
      <w:r>
        <w:rPr>
          <w:rFonts w:ascii="Arial" w:cs="Arial" w:eastAsia="Arial" w:hAnsi="Arial"/>
          <w:sz w:val="18"/>
          <w:szCs w:val="18"/>
          <w:b w:val="1"/>
          <w:bCs w:val="1"/>
          <w:u w:val="single" w:color="auto"/>
          <w:color w:val="auto"/>
        </w:rPr>
        <w:t>Reporting Violations to a Governmental Agency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understand that you have the right to:</w:t>
      </w:r>
    </w:p>
    <w:p>
      <w:pPr>
        <w:spacing w:after="0" w:line="131" w:lineRule="exact"/>
        <w:rPr>
          <w:sz w:val="20"/>
          <w:szCs w:val="20"/>
          <w:color w:val="auto"/>
        </w:rPr>
      </w:pPr>
    </w:p>
    <w:p>
      <w:pPr>
        <w:ind w:left="420" w:right="60" w:hanging="316"/>
        <w:spacing w:after="0" w:line="277" w:lineRule="auto"/>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Report possible violations of state or federal law or regulation that have occurred, are occurring, or are about to occur to any governmental agency or entity, or self-regulatory organization;</w:t>
      </w:r>
    </w:p>
    <w:p>
      <w:pPr>
        <w:spacing w:after="0" w:line="75" w:lineRule="exact"/>
        <w:rPr>
          <w:rFonts w:ascii="Arial" w:cs="Arial" w:eastAsia="Arial" w:hAnsi="Arial"/>
          <w:sz w:val="18"/>
          <w:szCs w:val="18"/>
          <w:color w:val="auto"/>
        </w:rPr>
      </w:pPr>
    </w:p>
    <w:p>
      <w:pPr>
        <w:ind w:left="420" w:right="20" w:hanging="316"/>
        <w:spacing w:after="0" w:line="277" w:lineRule="auto"/>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Cooperate voluntarily with, or respond to any inquiry from, or provide testimony before any self-regulatory organization or any other federal, state or local regulatory or law enforcement authority;</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Make reports or disclosures to law enforcement or a regulatory authority without prior notice to, or authorization from, the Company; and</w:t>
      </w:r>
    </w:p>
    <w:p>
      <w:pPr>
        <w:spacing w:after="0" w:line="142" w:lineRule="exact"/>
        <w:rPr>
          <w:rFonts w:ascii="Arial" w:cs="Arial" w:eastAsia="Arial" w:hAnsi="Arial"/>
          <w:sz w:val="17"/>
          <w:szCs w:val="17"/>
          <w:color w:val="auto"/>
        </w:rPr>
      </w:pPr>
    </w:p>
    <w:p>
      <w:pPr>
        <w:ind w:left="420" w:hanging="316"/>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Respond truthfully to a valid subpoena.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3" w:name="page124"/>
    <w:bookmarkEnd w:id="123"/>
    <w:p>
      <w:pPr>
        <w:ind w:right="1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have the right to not be retaliated against for reporting, either internally to the Company or to any governmental agency or entity or self-regulatory organization, information which you reasonably believe relates to a possible violation of law. It is a violation of federal law to retaliate against anyone who has reported such potential misconduct either internally or to any governmental agency or entity or self-regulatory organization. Retaliatory conduct includes discharge, demotion, suspension, threats, harassment, and any other manner of discrimination in the terms and conditions of employment because of any lawful act you may have performed. It is unlawful for the Company to retaliate against you for reporting possible misconduct either internally or to any governmental agency or entity or self-regulatory organization.</w:t>
      </w:r>
    </w:p>
    <w:p>
      <w:pPr>
        <w:spacing w:after="0" w:line="1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Notwithstanding anything contained in this Code or otherwise, you may disclose confidential Company information, including the existence and terms of any confidential agreements between yourself and the Company (including employment or severance agreements), to any governmental agency or entity or self-regulatory organization.</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Company cannot require you to withdraw reports or filings alleging possible violations of federal, state or local law or regulation, and the Company may not offer you any kind of inducement, including payment, to do so.</w:t>
      </w:r>
    </w:p>
    <w:p>
      <w:pPr>
        <w:spacing w:after="0" w:line="170"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Your rights and remedies as a whistleblower protected under applicable whistleblower laws, including a monetary award, if any, may not be waived by any agreement, policy form, or condition of employment, including by a predispute arbitration agreement.</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Even if you have participated in a possible violation of law, you may be eligible to participate in the confidentiality and retaliation protections afforded under applicable whistleblower laws, and you may also be eligible to receive an award under such 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 </w:t>
      </w:r>
      <w:r>
        <w:rPr>
          <w:rFonts w:ascii="Arial" w:cs="Arial" w:eastAsia="Arial" w:hAnsi="Arial"/>
          <w:sz w:val="18"/>
          <w:szCs w:val="18"/>
          <w:b w:val="1"/>
          <w:bCs w:val="1"/>
          <w:u w:val="single" w:color="auto"/>
          <w:color w:val="auto"/>
        </w:rPr>
        <w:t>Waivers and Amendments</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waiver of the provisions in this Code for directors, executive officers and other senior financial officers may only be granted by the Board and will be disclosed to the Company’s stockholders within four business days. Any waiver of this Code for other employees may only be granted by the Chief Financial Officer. Amendments to this Code must be approved by the Nominating Committee and amendments of the provisions in this Code applicable to the Chief Executive Officer and the senior financial officers will also be promptly disclosed to the Company’s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XIII. </w:t>
      </w:r>
      <w:r>
        <w:rPr>
          <w:rFonts w:ascii="Arial" w:cs="Arial" w:eastAsia="Arial" w:hAnsi="Arial"/>
          <w:sz w:val="18"/>
          <w:szCs w:val="18"/>
          <w:b w:val="1"/>
          <w:bCs w:val="1"/>
          <w:u w:val="single" w:color="auto"/>
          <w:color w:val="auto"/>
        </w:rPr>
        <w:t>Equal Opportunity, Non-Discrimination and Fair Employment</w:t>
      </w:r>
    </w:p>
    <w:p>
      <w:pPr>
        <w:spacing w:after="0" w:line="12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Company’s policies for recruitment, advancement and retention of employees forbid discrimination on the basis of any criteria prohibited by law, including but not limited to race, sex and age. Our policies are designed to ensure that employees are treated, and treat each other, fairly and with respect and dignity. In keeping with this objective, conduct involving discrimination or harassment of others will not be tolerated. All employees are required to comply with the Company’s policy on equal opportunity, non-discrimination and fair employment, copies of which are available on the Company’s internal website.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XIV. </w:t>
      </w:r>
      <w:r>
        <w:rPr>
          <w:rFonts w:ascii="Arial" w:cs="Arial" w:eastAsia="Arial" w:hAnsi="Arial"/>
          <w:sz w:val="18"/>
          <w:szCs w:val="18"/>
          <w:b w:val="1"/>
          <w:bCs w:val="1"/>
          <w:u w:val="single" w:color="auto"/>
          <w:color w:val="auto"/>
        </w:rPr>
        <w:t>Compliance with Antitrust Laws</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antitrust laws prohibit agreements among competitors on such matters as prices, terms of sale to customers and allocating markets or customers. Antitrust laws can be very complex, and violations may subject the Company and its employees to criminal sanctions, including fines, jail time and civil liability. If you have any questions, consult the Chief Financial 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 </w:t>
      </w:r>
      <w:r>
        <w:rPr>
          <w:rFonts w:ascii="Arial" w:cs="Arial" w:eastAsia="Arial" w:hAnsi="Arial"/>
          <w:sz w:val="18"/>
          <w:szCs w:val="18"/>
          <w:b w:val="1"/>
          <w:bCs w:val="1"/>
          <w:u w:val="single" w:color="auto"/>
          <w:color w:val="auto"/>
        </w:rPr>
        <w:t>Political Contributions and Activities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Any political contributions made by or on behalf of the Company and any solicitations for political contributions of any kind must be lawful and in compliance with Company policies. This Code applies solely to the use of Company assets and is not intended to discourage or prevent individual employees, officers or directors from making political contributions or engaging in political activities on their own behalf. No one may be reimbursed directly or indirectly by the Company for personal political contributions.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 </w:t>
      </w:r>
      <w:r>
        <w:rPr>
          <w:rFonts w:ascii="Arial" w:cs="Arial" w:eastAsia="Arial" w:hAnsi="Arial"/>
          <w:sz w:val="18"/>
          <w:szCs w:val="18"/>
          <w:b w:val="1"/>
          <w:bCs w:val="1"/>
          <w:u w:val="single" w:color="auto"/>
          <w:color w:val="auto"/>
        </w:rPr>
        <w:t>Environment, Health and Safety</w:t>
      </w:r>
    </w:p>
    <w:p>
      <w:pPr>
        <w:spacing w:after="0" w:line="121"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Company is committed to conducting its business in compliance with all applicable environmental and workplace health and safety laws and regulations. The Company strives to provide a safe and healthy work environment for our employees and to avoid adverse impact and injury to the environment and communities in which we conduct our business. Achieving this goal is the responsibility of all officers, directors and employees.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XVII. </w:t>
      </w:r>
      <w:r>
        <w:rPr>
          <w:rFonts w:ascii="Arial" w:cs="Arial" w:eastAsia="Arial" w:hAnsi="Arial"/>
          <w:sz w:val="18"/>
          <w:szCs w:val="18"/>
          <w:b w:val="1"/>
          <w:bCs w:val="1"/>
          <w:u w:val="single" w:color="auto"/>
          <w:color w:val="auto"/>
        </w:rPr>
        <w:t>Alcohol and Drugs</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Company is committed to maintaining a drug-free work place. The Company prohibits the manufacture, distribution, sale, purchase, transfer, possession or use of illegal substances in the workplace, while representing the Company outside the workplace or if such activity affects work performance or the work environment of the Company. The Company further prohibits use of alcohol while on duty, unless at Company-sanctioned events. Employees are prohibited from reporting to work, or driving a Company vehicle or any vehicle on Company business, while under the influence of alcohol, any illegal drug or controlled substance, or any other intoxicant.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XVIII. </w:t>
      </w:r>
      <w:r>
        <w:rPr>
          <w:rFonts w:ascii="Arial" w:cs="Arial" w:eastAsia="Arial" w:hAnsi="Arial"/>
          <w:sz w:val="18"/>
          <w:szCs w:val="18"/>
          <w:b w:val="1"/>
          <w:bCs w:val="1"/>
          <w:u w:val="single" w:color="auto"/>
          <w:color w:val="auto"/>
        </w:rPr>
        <w:t>Social Media</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“Social Media” includes various modes of digitally published information and online content including, but not limited to, websites and applications for social networking (e.g., Facebook, Instagram and LinkedIn), micro-blogging sites (e.g., Twitter), online discussion forums (e.g., Google Groups), user-generated video and audio (e.g., YouTube), wikis, podcasts, RSS feeds, file sharing, virtual worlds, electronic bulletin boards, text messaging, instant messaging and other forms of online communication.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Company employees should adhere to the following general principles when engaging in Social Media:</w:t>
      </w:r>
    </w:p>
    <w:p>
      <w:pPr>
        <w:spacing w:after="0" w:line="131" w:lineRule="exact"/>
        <w:rPr>
          <w:sz w:val="20"/>
          <w:szCs w:val="20"/>
          <w:color w:val="auto"/>
        </w:rPr>
      </w:pPr>
    </w:p>
    <w:p>
      <w:pPr>
        <w:ind w:left="5400" w:right="2140" w:hanging="4311"/>
        <w:spacing w:after="0" w:line="449" w:lineRule="auto"/>
        <w:tabs>
          <w:tab w:leader="none" w:pos="14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Only authorized personnel are permitted to make public statements about the Company or its products. -7-</w:t>
      </w:r>
    </w:p>
    <w:p>
      <w:pPr>
        <w:sectPr>
          <w:pgSz w:w="11900" w:h="16838" w:orient="portrait"/>
          <w:cols w:equalWidth="0" w:num="1">
            <w:col w:w="10960"/>
          </w:cols>
          <w:pgMar w:left="440" w:top="270" w:right="499" w:bottom="1440" w:gutter="0" w:footer="0" w:header="0"/>
        </w:sectPr>
      </w:pPr>
    </w:p>
    <w:bookmarkStart w:id="125" w:name="page126"/>
    <w:bookmarkEnd w:id="125"/>
    <w:p>
      <w:pPr>
        <w:ind w:left="1420" w:hanging="331"/>
        <w:spacing w:after="0"/>
        <w:tabs>
          <w:tab w:leader="none" w:pos="14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 not make unauthorized disclosures of confidential information and generally avoid mixing personal and business-related content.</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Always be truthful and accurate in postings and realize that online comments are never truly anonymous.</w:t>
      </w:r>
    </w:p>
    <w:p>
      <w:pPr>
        <w:spacing w:after="0" w:line="130"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Never post anything that would violate Company policies against unlawful harassment, discrimination and retaliation; or that would otherwise reflect negatively on the Company or disparage other parties.</w:t>
      </w:r>
    </w:p>
    <w:p>
      <w:pPr>
        <w:spacing w:after="0" w:line="75" w:lineRule="exact"/>
        <w:rPr>
          <w:rFonts w:ascii="Arial" w:cs="Arial" w:eastAsia="Arial" w:hAnsi="Arial"/>
          <w:sz w:val="18"/>
          <w:szCs w:val="18"/>
          <w:color w:val="auto"/>
        </w:rPr>
      </w:pPr>
    </w:p>
    <w:p>
      <w:pPr>
        <w:ind w:left="1420" w:right="340" w:hanging="331"/>
        <w:spacing w:after="0" w:line="277"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Use of Social Media must also comply with all applicable Company policies, laws and regulations related to product promotion, privacy, copyright, media interactions and conflicts of interest.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Everyone is personally, legally responsible for the content they publish. Always err on the side of caution and consult with your manager, or the Chief Financial Officer, should you have a question about the appropriateness of a Social Media post.</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Company respects your right to communicate concerning terms and conditions of employment. Nothing in this Code is intended to interfere with your rights under federal and state laws, including the National Labor Relations Act, nor will the Company construe this Code in a way that limits such rights.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XIX. </w:t>
      </w: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You must sign, date and return the Certification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(or such other certification as the Chief Financial Officer may deem appropriate) stating that you have received, read, understand and agree to comply with this Code. The Company may require you to sign such a Certification on an annual basis, which Certification may be in electronic format. Please note that you are bound by the Code whether or not you sign the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w:t>
      </w:r>
    </w:p>
    <w:p>
      <w:pPr>
        <w:spacing w:after="0" w:line="131" w:lineRule="exact"/>
        <w:rPr>
          <w:sz w:val="20"/>
          <w:szCs w:val="20"/>
          <w:color w:val="auto"/>
        </w:rPr>
      </w:pPr>
    </w:p>
    <w:p>
      <w:pPr>
        <w:ind w:left="960" w:right="2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read and understand Larimar Therapeutics, Inc.’s (the “</w:t>
      </w:r>
      <w:r>
        <w:rPr>
          <w:rFonts w:ascii="Arial" w:cs="Arial" w:eastAsia="Arial" w:hAnsi="Arial"/>
          <w:sz w:val="18"/>
          <w:szCs w:val="18"/>
          <w:u w:val="single" w:color="auto"/>
          <w:color w:val="auto"/>
        </w:rPr>
        <w:t>Company</w:t>
      </w:r>
      <w:r>
        <w:rPr>
          <w:rFonts w:ascii="Arial" w:cs="Arial" w:eastAsia="Arial" w:hAnsi="Arial"/>
          <w:sz w:val="18"/>
          <w:szCs w:val="18"/>
          <w:color w:val="auto"/>
        </w:rPr>
        <w:t>”) Code of Business Conduct and Ethics (the “</w:t>
      </w:r>
      <w:r>
        <w:rPr>
          <w:rFonts w:ascii="Arial" w:cs="Arial" w:eastAsia="Arial" w:hAnsi="Arial"/>
          <w:sz w:val="18"/>
          <w:szCs w:val="18"/>
          <w:u w:val="single" w:color="auto"/>
          <w:color w:val="auto"/>
        </w:rPr>
        <w:t>Code</w:t>
      </w:r>
      <w:r>
        <w:rPr>
          <w:rFonts w:ascii="Arial" w:cs="Arial" w:eastAsia="Arial" w:hAnsi="Arial"/>
          <w:sz w:val="18"/>
          <w:szCs w:val="18"/>
          <w:color w:val="auto"/>
        </w:rPr>
        <w:t>”). I understand that the Chief Financial Officer is available to answer any questions I have regarding the Code.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Since I have been affiliated with the Company, I have complied with the Code.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will continue to comply with the Code for as long as I am subject to the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21170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171450</wp:posOffset>
            </wp:positionV>
            <wp:extent cx="1380490" cy="548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3804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Chondrial Therapeutics and Zafgen Complete Merger and Begin Operating as Larimar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29, 2020</w:t>
      </w:r>
    </w:p>
    <w:p>
      <w:pPr>
        <w:spacing w:after="0" w:line="225" w:lineRule="exact"/>
        <w:rPr>
          <w:sz w:val="20"/>
          <w:szCs w:val="20"/>
          <w:color w:val="auto"/>
        </w:rPr>
      </w:pPr>
    </w:p>
    <w:p>
      <w:pPr>
        <w:ind w:left="1120" w:hanging="100"/>
        <w:spacing w:after="0"/>
        <w:tabs>
          <w:tab w:leader="none" w:pos="112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Shares of combined company to commence trading on Nasdaq Global Market under the symbol “LRMR” on May 29, 2020</w:t>
      </w:r>
    </w:p>
    <w:p>
      <w:pPr>
        <w:spacing w:after="0" w:line="225" w:lineRule="exact"/>
        <w:rPr>
          <w:rFonts w:ascii="Arial" w:cs="Arial" w:eastAsia="Arial" w:hAnsi="Arial"/>
          <w:sz w:val="18"/>
          <w:szCs w:val="18"/>
          <w:i w:val="1"/>
          <w:iCs w:val="1"/>
          <w:color w:val="auto"/>
        </w:rPr>
      </w:pPr>
    </w:p>
    <w:p>
      <w:pPr>
        <w:ind w:left="1580" w:hanging="102"/>
        <w:spacing w:after="0"/>
        <w:tabs>
          <w:tab w:leader="none" w:pos="1580" w:val="left"/>
        </w:tabs>
        <w:numPr>
          <w:ilvl w:val="1"/>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Company signed $80 million in private placement financing with biotechnology focused institutional investors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New Board Chair, Chief Medical Officer and Chief Financial Officer appointed</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Bala Cynwyd, PA—May 29, 2020 </w:t>
      </w:r>
      <w:r>
        <w:rPr>
          <w:rFonts w:ascii="Arial" w:cs="Arial" w:eastAsia="Arial" w:hAnsi="Arial"/>
          <w:sz w:val="18"/>
          <w:szCs w:val="18"/>
          <w:color w:val="auto"/>
        </w:rPr>
        <w:t>– Chondrial Therapeutics, Inc., a clinical-stage biotechnology company focused on developing treatments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rare diseases, today announced the completion of its reverse merger with Zafgen, Inc. (Nasdaq:ZFGN). The combined, publicly traded clinical-stage biotechnology company will operate under the name Larimar Therapeutics, Inc. and its shares will commence trading on the Nasdaq Global Market on May 29, 2020, under the ticker symbol “LRMR.”</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combined company also announced it has secured funding commitments in a private placement financing of common stock (or pre-funded warrants to purchase common stock in lieu thereof) for $80 million of gross proceeds before placement agent fees and expenses. The financing is being led by Cowen Healthcare Investments, and includes participation from biotechnology specialist funds Acuta Capital, funds managed by Janus Henderson Investors, Logos Capital, OrbiMed, RA Capital Management, and Vivo Capital, along with other healthcare-focused institutional investors. Along with the company’s largest existing investor, Deerfield Management, the new investors in the financing create a strong institutional shareholder base for the company.</w:t>
      </w:r>
    </w:p>
    <w:p>
      <w:pPr>
        <w:spacing w:after="0" w:line="19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Together with approximately $40 million in cash on Zafgen’s balance sheet at the time of the merger, the combined company has approximately $116 million in cash.</w:t>
      </w:r>
    </w:p>
    <w:p>
      <w:pPr>
        <w:spacing w:after="0" w:line="17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On May 28, 2020, prior to the consummation of the merger, Zafgen effected a one-for-twelve reverse stock split. All issued and outstanding shares of common stock of Zafgen were subject to the reverse stock split. No fractional shares will be issued in connection with the reverse stock split. Instead, cash will be paid in lieu of fractional shares. Upon completion of the merger, taking into consideration the reverse stock split, the holder of shares of Chondrial capital stock outstanding immediately prior to the merger received 6,091,250 shares of Zafgen common stock.</w:t>
      </w:r>
    </w:p>
    <w:p>
      <w:pPr>
        <w:spacing w:after="0" w:line="15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Larimar will issue approximately 6,734,006 shares of common stock (or pre-funded warrants to purchase common stock in lieu thereof) in the private placement. The shares and pre-funded warrants are being sold at a price of $11.88 and $11.87, respectively. Each pre-funded warrant will have an exercise price of $0.01 per share and will be exercisable immediately. The private placement is expected to close on June 1, 2020.</w:t>
      </w:r>
    </w:p>
    <w:p>
      <w:pPr>
        <w:sectPr>
          <w:pgSz w:w="11900" w:h="16838" w:orient="portrait"/>
          <w:cols w:equalWidth="0" w:num="1">
            <w:col w:w="11020"/>
          </w:cols>
          <w:pgMar w:left="440" w:top="121" w:right="439" w:bottom="1440" w:gutter="0" w:footer="0" w:header="0"/>
        </w:sectPr>
      </w:pPr>
    </w:p>
    <w:bookmarkStart w:id="128" w:name="page129"/>
    <w:bookmarkEnd w:id="12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excited to complete this merger and become a publicy traded company as we develop treatments for complex rare diseases using our novel cell penetrating peptide technology platform,” said Carole Ben-Maimon, MD, President and Chief Executive Officer of Larimar Therapeutics. “We believe our lead product candidate, CTI-1601, has the potential to become the first frataxin replacement therapy for patients with Friedreich’s ataxia. We are honored to have the support of both Chondrial’s and Zafgen’s existing shareholders, as well as new support from such a strong and respected syndicate of investors. We are also pleased to welcome our new directors and leadership team members, whose guidance will be instrumental as we transition to a publicly traded company and continue to advance CTI-1601’s clinical development as a potential treatment for patients with Friedreich’s ataxia, a rare disease which currently has no approved medical treatment options.”</w:t>
      </w:r>
    </w:p>
    <w:p>
      <w:pPr>
        <w:spacing w:after="0" w:line="1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MTS Securities, LLC, an affiliate of MTS Health Partners, is acting as exclusive placement agent in the financing. Pepper Hamilton LLP acted as Chondrial’s legal counsel in the merger and private placement.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Current Report on Form 8-K containing more detailed information regarding the merger transaction and the company’s financing will be filed with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Leadership Team Updates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Larimar has announced the appointment of Joseph Truitt as Chair of its Board of Directors. Mr. Truitt currently serves as Chief Executive Officer and a board member of Biospecifics Technologies Corporation. Prior to joining Biospecifics, he was Chief Executive Officer of Achillion Pharmaceuticals, Inc. Larimar’s board of directors also includes Peter Barrett, PhD, Thomas O. Daniel, MD, and Frank E. Thomas, who join from Zafgen’s board of directors, and Carole S. Ben-Maimon, MD, Jonathan Leff, and Tom Hamilton who join from Chondrial’s board of directors.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the company has appointed Nancy Ruiz, MD, FACP, FIDSA, as Chief Medical Officer. Dr. Ruiz brings more than 20 years of global experience in all phases of clinical development and medical affairs. Prior to joining Larimar, she was Vice President of Clinical Development and Head of Drug Safety at Prolong Pharmaceuticals.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Larimar has also appointed Michael Celano as Chief Financial Officer. Mr. Celano is a seasoned life science business leader with a broad skill set including capital raising, creative financing structures, investor relations, business development and SEC compliance. He spent more than 15 years as Chief Operating Officer, Chief Financial Officer and a board member of multiple high-growth life science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CTI-1601</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CTI-1601 is a recombinant fusion protein intended to deliver human frataxin into the mitochondria of patients with Friedreich’s ataxia (FA) who are unable to produce enough of this essential protein. Currently in a Phase 1 clinical trial, CTI-1601 has been granted Rare Pediatric Disease designation, Fast Track designation and Orphan Drug designation by the U.S. Food and Drug Administration (FDA). To date, two cohorts of patients have completed the single ascending dose (SAD) Phase 1 clinical trial. Larimar is working to initiate the third cohort in the SAD clinical trial, which is delayed due to the continued impact of the COVID-19 pandemic. Topline results from the Phase 1 clinical program are planned for the first half of 2021.</w:t>
      </w:r>
    </w:p>
    <w:p>
      <w:pPr>
        <w:sectPr>
          <w:pgSz w:w="11900" w:h="16838" w:orient="portrait"/>
          <w:cols w:equalWidth="0" w:num="1">
            <w:col w:w="11000"/>
          </w:cols>
          <w:pgMar w:left="440" w:top="274"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Friedreich’s ataxia</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Friedreich’s ataxia (FA) is a rare, progressive, multi-symptom genetic disease that typically presents in mid-childhood and affects the functioning of multiple organs and systems. The most common inherited ataxia, FA is a debilitating neurodegenerative disease resulting in multiple symptoms including progressive neurologic and cardiac dysfunction – poor coordination of legs and arms, progressive loss of the ability to walk, generalized weakness, loss of sensation, scoliosis, diabetes and cardiomyopathy as well as impaired vision, hearing and speech. FA affects an estimated 4,000-5,000 individuals living in the United States and between 18,000 and 20,000 patients in the European Union. FA results from a deficiency of the mitochondrial protein, frataxin (FXN), which is found in cells throughout the body. To date, there are no medical treatment options approved for patients with FA.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Larimar Therapeutics, Inc. (Nasdaq:LRMR), is a clinical-stage biotechnology company focused on developing treatments for complex rare diseases. The company’s lead compound, CTI-1601, is currently being evaluated in a Phase 1 clinical program as a potential treatment for Friedreich’s ataxia, a rare and progressive genetic disease.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6"/>
          <w:szCs w:val="16"/>
          <w:u w:val="single" w:color="auto"/>
          <w:color w:val="auto"/>
        </w:rPr>
        <w:t>https://larimartx.com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the potential benefits of the merger, the use of proceeds of the private placement,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achieve the anticipated benefits of the merger; the success, cost and timing of Larimar’s product development activities, studies and clinical trials; the ongoing impact of the COVID-19 pandemic on Larimar’s clinical trial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successfully commercialize any approved product candidates; Larimar’s ability to raise the necessary capital to conduct its product development activities; and other risks described in the filings made by Zafgen with the Securities and Exchange Commission (SEC), including but not limited to the Definitive Proxy Statement relating to the merger filed on April 29, 2020, and Larimar’s subsequent periodic reports, including the annual report on Form</w:t>
      </w:r>
    </w:p>
    <w:p>
      <w:pPr>
        <w:sectPr>
          <w:pgSz w:w="11900" w:h="16838" w:orient="portrait"/>
          <w:cols w:equalWidth="0" w:num="1">
            <w:col w:w="11020"/>
          </w:cols>
          <w:pgMar w:left="440" w:top="270" w:right="439" w:bottom="1440" w:gutter="0" w:footer="0" w:header="0"/>
        </w:sectPr>
      </w:pPr>
    </w:p>
    <w:bookmarkStart w:id="130" w:name="page131"/>
    <w:bookmarkEnd w:id="13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10-K, quarterly reports on Form 10-Q and current reports on Form 8-K, filed with or furnished to the Securities and Exchange Commission and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443-213-0506</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Gina Cestari</w:t>
      </w:r>
    </w:p>
    <w:p>
      <w:pPr>
        <w:spacing w:after="0" w:line="9" w:lineRule="exact"/>
        <w:rPr>
          <w:sz w:val="20"/>
          <w:szCs w:val="20"/>
          <w:color w:val="auto"/>
        </w:rPr>
      </w:pPr>
    </w:p>
    <w:p>
      <w:pPr>
        <w:ind w:left="4" w:right="9140" w:hanging="4"/>
        <w:spacing w:after="0" w:line="361" w:lineRule="auto"/>
        <w:tabs>
          <w:tab w:leader="none" w:pos="13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Degrees (917) 797-7904 </w:t>
      </w:r>
      <w:r>
        <w:rPr>
          <w:rFonts w:ascii="Arial" w:cs="Arial" w:eastAsia="Arial" w:hAnsi="Arial"/>
          <w:sz w:val="15"/>
          <w:szCs w:val="15"/>
          <w:u w:val="single" w:color="auto"/>
          <w:color w:val="auto"/>
        </w:rPr>
        <w:t>gcestari@6degreespr.com</w:t>
      </w: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lowerLetter"/>
      <w:start w:val="1"/>
    </w:lvl>
  </w:abstractNum>
  <w:abstractNum w:abstractNumId="3">
    <w:nsid w:val="4AD084E9"/>
    <w:multiLevelType w:val="hybridMultilevel"/>
    <w:lvl w:ilvl="0">
      <w:lvlJc w:val="left"/>
      <w:lvlText w:val="(%1)"/>
      <w:numFmt w:val="lowerLetter"/>
      <w:start w:val="3"/>
    </w:lvl>
  </w:abstractNum>
  <w:abstractNum w:abstractNumId="4">
    <w:nsid w:val="1F48EAA1"/>
    <w:multiLevelType w:val="hybridMultilevel"/>
    <w:lvl w:ilvl="0">
      <w:lvlJc w:val="left"/>
      <w:lvlText w:val="(%1)"/>
      <w:numFmt w:val="lowerLetter"/>
      <w:start w:val="4"/>
    </w:lvl>
  </w:abstractNum>
  <w:abstractNum w:abstractNumId="5">
    <w:nsid w:val="1381823A"/>
    <w:multiLevelType w:val="hybridMultilevel"/>
    <w:lvl w:ilvl="0">
      <w:lvlJc w:val="left"/>
      <w:lvlText w:val="(%1)"/>
      <w:numFmt w:val="lowerLetter"/>
      <w:start w:val="5"/>
    </w:lvl>
  </w:abstractNum>
  <w:abstractNum w:abstractNumId="6">
    <w:nsid w:val="5DB70AE5"/>
    <w:multiLevelType w:val="hybridMultilevel"/>
    <w:lvl w:ilvl="0">
      <w:lvlJc w:val="left"/>
      <w:lvlText w:val="(%1)"/>
      <w:numFmt w:val="lowerLetter"/>
      <w:start w:val="6"/>
    </w:lvl>
  </w:abstractNum>
  <w:abstractNum w:abstractNumId="7">
    <w:nsid w:val="100F8FCA"/>
    <w:multiLevelType w:val="hybridMultilevel"/>
    <w:lvl w:ilvl="0">
      <w:lvlJc w:val="left"/>
      <w:lvlText w:val="(%1)"/>
      <w:numFmt w:val="lowerLetter"/>
      <w:start w:val="7"/>
    </w:lvl>
  </w:abstractNum>
  <w:abstractNum w:abstractNumId="8">
    <w:nsid w:val="6590700B"/>
    <w:multiLevelType w:val="hybridMultilevel"/>
    <w:lvl w:ilvl="0">
      <w:lvlJc w:val="left"/>
      <w:lvlText w:val="(%1)"/>
      <w:numFmt w:val="lowerLetter"/>
      <w:start w:val="8"/>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1."/>
      <w:numFmt w:val="decimal"/>
      <w:start w:val="1"/>
    </w:lvl>
    <w:lvl w:ilvl="1">
      <w:lvlJc w:val="left"/>
      <w:lvlText w:val="(%2)"/>
      <w:numFmt w:val="lowerLetter"/>
      <w:start w:val="1"/>
    </w:lvl>
  </w:abstractNum>
  <w:abstractNum w:abstractNumId="11">
    <w:nsid w:val="98A3148"/>
    <w:multiLevelType w:val="hybridMultilevel"/>
    <w:lvl w:ilvl="0">
      <w:lvlJc w:val="left"/>
      <w:lvlText w:val="(%1)"/>
      <w:numFmt w:val="lowerLetter"/>
      <w:start w:val="2"/>
    </w:lvl>
  </w:abstractNum>
  <w:abstractNum w:abstractNumId="12">
    <w:nsid w:val="799D0247"/>
    <w:multiLevelType w:val="hybridMultilevel"/>
    <w:lvl w:ilvl="0">
      <w:lvlJc w:val="left"/>
      <w:lvlText w:val="(%1)"/>
      <w:numFmt w:val="lowerLetter"/>
      <w:start w:val="4"/>
    </w:lvl>
  </w:abstractNum>
  <w:abstractNum w:abstractNumId="13">
    <w:nsid w:val="6B94764"/>
    <w:multiLevelType w:val="hybridMultilevel"/>
    <w:lvl w:ilvl="0">
      <w:lvlJc w:val="left"/>
      <w:lvlText w:val="(%1)"/>
      <w:numFmt w:val="lowerLetter"/>
      <w:start w:val="26"/>
    </w:lvl>
  </w:abstractNum>
  <w:abstractNum w:abstractNumId="14">
    <w:nsid w:val="42C296BD"/>
    <w:multiLevelType w:val="hybridMultilevel"/>
    <w:lvl w:ilvl="0">
      <w:lvlJc w:val="left"/>
      <w:lvlText w:val="(%1)"/>
      <w:numFmt w:val="lowerLetter"/>
      <w:start w:val="5"/>
    </w:lvl>
  </w:abstractNum>
  <w:abstractNum w:abstractNumId="15">
    <w:nsid w:val="168E121F"/>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6">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7">
    <w:nsid w:val="661E3F1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8">
    <w:nsid w:val="5DC79EA8"/>
    <w:multiLevelType w:val="hybridMultilevel"/>
    <w:lvl w:ilvl="0">
      <w:lvlJc w:val="left"/>
      <w:lvlText w:val="(%1)"/>
      <w:numFmt w:val="lowerLetter"/>
      <w:start w:val="2"/>
    </w:lvl>
  </w:abstractNum>
  <w:abstractNum w:abstractNumId="19">
    <w:nsid w:val="540A471C"/>
    <w:multiLevelType w:val="hybridMultilevel"/>
    <w:lvl w:ilvl="0">
      <w:lvlJc w:val="left"/>
      <w:lvlText w:val="%1."/>
      <w:numFmt w:val="decimal"/>
      <w:start w:val="5"/>
    </w:lvl>
    <w:lvl w:ilvl="1">
      <w:lvlJc w:val="left"/>
      <w:lvlText w:val="(%2)"/>
      <w:numFmt w:val="lowerLetter"/>
      <w:start w:val="1"/>
    </w:lvl>
  </w:abstractNum>
  <w:abstractNum w:abstractNumId="20">
    <w:nsid w:val="7BD3EE7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1">
    <w:nsid w:val="51D9C564"/>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2">
    <w:nsid w:val="613EFDC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3">
    <w:nsid w:val="BF72B14"/>
    <w:multiLevelType w:val="hybridMultilevel"/>
    <w:lvl w:ilvl="0">
      <w:lvlJc w:val="left"/>
      <w:lvlText w:val="%1."/>
      <w:numFmt w:val="decimal"/>
      <w:start w:val="9"/>
    </w:lvl>
  </w:abstractNum>
  <w:abstractNum w:abstractNumId="24">
    <w:nsid w:val="11447B73"/>
    <w:multiLevelType w:val="hybridMultilevel"/>
    <w:lvl w:ilvl="0">
      <w:lvlJc w:val="left"/>
      <w:lvlText w:val="%1"/>
      <w:numFmt w:val="lowerLetter"/>
      <w:start w:val="1"/>
    </w:lvl>
    <w:lvl w:ilvl="1">
      <w:lvlJc w:val="left"/>
      <w:lvlText w:val="%2."/>
      <w:numFmt w:val="decimal"/>
      <w:start w:val="10"/>
    </w:lvl>
  </w:abstractNum>
  <w:abstractNum w:abstractNumId="25">
    <w:nsid w:val="42963E5A"/>
    <w:multiLevelType w:val="hybridMultilevel"/>
    <w:lvl w:ilvl="0">
      <w:lvlJc w:val="left"/>
      <w:lvlText w:val="(%1)"/>
      <w:numFmt w:val="lowerLetter"/>
      <w:start w:val="1"/>
    </w:lvl>
    <w:lvl w:ilvl="1">
      <w:lvlJc w:val="left"/>
      <w:lvlText w:val="%2."/>
      <w:numFmt w:val="decimal"/>
      <w:start w:val="12"/>
    </w:lvl>
  </w:abstractNum>
  <w:abstractNum w:abstractNumId="26">
    <w:nsid w:val="A0382C5"/>
    <w:multiLevelType w:val="hybridMultilevel"/>
    <w:lvl w:ilvl="0">
      <w:lvlJc w:val="left"/>
      <w:lvlText w:val="%1."/>
      <w:numFmt w:val="decimal"/>
      <w:start w:val="15"/>
    </w:lvl>
    <w:lvl w:ilvl="1">
      <w:lvlJc w:val="left"/>
      <w:lvlText w:val="(%2)"/>
      <w:numFmt w:val="lowerLetter"/>
      <w:start w:val="1"/>
    </w:lvl>
  </w:abstractNum>
  <w:abstractNum w:abstractNumId="27">
    <w:nsid w:val="8F2B15E"/>
    <w:multiLevelType w:val="hybridMultilevel"/>
    <w:lvl w:ilvl="0">
      <w:lvlJc w:val="left"/>
      <w:lvlText w:val="(%1)"/>
      <w:numFmt w:val="lowerLetter"/>
      <w:start w:val="6"/>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1)"/>
      <w:numFmt w:val="lowerLetter"/>
      <w:start w:val="1"/>
    </w:lvl>
    <w:lvl w:ilvl="1">
      <w:lvlJc w:val="left"/>
      <w:lvlText w:val="(%2)"/>
      <w:numFmt w:val="lowerRoman"/>
      <w:start w:val="1"/>
    </w:lvl>
  </w:abstractNum>
  <w:abstractNum w:abstractNumId="30">
    <w:nsid w:val="68EB2F63"/>
    <w:multiLevelType w:val="hybridMultilevel"/>
    <w:lvl w:ilvl="0">
      <w:lvlJc w:val="left"/>
      <w:lvlText w:val="%1"/>
      <w:numFmt w:val="lowerLetter"/>
      <w:start w:val="1"/>
    </w:lvl>
    <w:lvl w:ilvl="1">
      <w:lvlJc w:val="left"/>
      <w:lvlText w:val="(%2)"/>
      <w:numFmt w:val="lowerRoman"/>
      <w:start w:val="5"/>
    </w:lvl>
  </w:abstractNum>
  <w:abstractNum w:abstractNumId="31">
    <w:nsid w:val="4962813B"/>
    <w:multiLevelType w:val="hybridMultilevel"/>
    <w:lvl w:ilvl="0">
      <w:lvlJc w:val="left"/>
      <w:lvlText w:val="(%1)"/>
      <w:numFmt w:val="lowerLetter"/>
      <w:start w:val="2"/>
    </w:lvl>
    <w:lvl w:ilvl="1">
      <w:lvlJc w:val="left"/>
      <w:lvlText w:val="(%2)"/>
      <w:numFmt w:val="lowerRoman"/>
      <w:start w:val="1"/>
    </w:lvl>
  </w:abstractNum>
  <w:abstractNum w:abstractNumId="32">
    <w:nsid w:val="60B6DF70"/>
    <w:multiLevelType w:val="hybridMultilevel"/>
    <w:lvl w:ilvl="0">
      <w:lvlJc w:val="left"/>
      <w:lvlText w:val="(%1)"/>
      <w:numFmt w:val="lowerLetter"/>
      <w:start w:val="1"/>
    </w:lvl>
    <w:lvl w:ilvl="1">
      <w:lvlJc w:val="left"/>
      <w:lvlText w:val="(%2)"/>
      <w:numFmt w:val="lowerRoman"/>
      <w:start w:val="1"/>
    </w:lvl>
  </w:abstractNum>
  <w:abstractNum w:abstractNumId="33">
    <w:nsid w:val="6A5EE64"/>
    <w:multiLevelType w:val="hybridMultilevel"/>
    <w:lvl w:ilvl="0">
      <w:lvlJc w:val="left"/>
      <w:lvlText w:val="(%1)"/>
      <w:numFmt w:val="lowerRoman"/>
      <w:start w:val="2"/>
    </w:lvl>
  </w:abstractNum>
  <w:abstractNum w:abstractNumId="34">
    <w:nsid w:val="14330624"/>
    <w:multiLevelType w:val="hybridMultilevel"/>
    <w:lvl w:ilvl="0">
      <w:lvlJc w:val="left"/>
      <w:lvlText w:val="(%1)"/>
      <w:numFmt w:val="lowerLetter"/>
      <w:start w:val="1"/>
    </w:lvl>
  </w:abstractNum>
  <w:abstractNum w:abstractNumId="35">
    <w:nsid w:val="7FFFCA11"/>
    <w:multiLevelType w:val="hybridMultilevel"/>
    <w:lvl w:ilvl="0">
      <w:lvlJc w:val="left"/>
      <w:lvlText w:val="(%1)"/>
      <w:numFmt w:val="lowerLetter"/>
      <w:start w:val="1"/>
    </w:lvl>
  </w:abstractNum>
  <w:abstractNum w:abstractNumId="36">
    <w:nsid w:val="1A27709E"/>
    <w:multiLevelType w:val="hybridMultilevel"/>
    <w:lvl w:ilvl="0">
      <w:lvlJc w:val="left"/>
      <w:lvlText w:val="(%1)"/>
      <w:numFmt w:val="lowerLetter"/>
      <w:start w:val="2"/>
    </w:lvl>
  </w:abstractNum>
  <w:abstractNum w:abstractNumId="37">
    <w:nsid w:val="71EA1109"/>
    <w:multiLevelType w:val="hybridMultilevel"/>
    <w:lvl w:ilvl="0">
      <w:lvlJc w:val="left"/>
      <w:lvlText w:val="(%1)"/>
      <w:numFmt w:val="lowerLetter"/>
      <w:start w:val="1"/>
    </w:lvl>
  </w:abstractNum>
  <w:abstractNum w:abstractNumId="38">
    <w:nsid w:val="100F59DC"/>
    <w:multiLevelType w:val="hybridMultilevel"/>
    <w:lvl w:ilvl="0">
      <w:lvlJc w:val="left"/>
      <w:lvlText w:val="(%1)"/>
      <w:numFmt w:val="lowerLetter"/>
      <w:start w:val="1"/>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lowerLetter"/>
      <w:start w:val="3"/>
    </w:lvl>
  </w:abstractNum>
  <w:abstractNum w:abstractNumId="41">
    <w:nsid w:val="6F6DD9AC"/>
    <w:multiLevelType w:val="hybridMultilevel"/>
    <w:lvl w:ilvl="0">
      <w:lvlJc w:val="left"/>
      <w:lvlText w:val="%1"/>
      <w:numFmt w:val="lowerLetter"/>
      <w:start w:val="1"/>
    </w:lvl>
    <w:lvl w:ilvl="1">
      <w:lvlJc w:val="left"/>
      <w:lvlText w:val="(%2)"/>
      <w:numFmt w:val="lowerLetter"/>
      <w:start w:val="1"/>
    </w:lvl>
  </w:abstractNum>
  <w:abstractNum w:abstractNumId="42">
    <w:nsid w:val="94211F2"/>
    <w:multiLevelType w:val="hybridMultilevel"/>
    <w:lvl w:ilvl="0">
      <w:lvlJc w:val="left"/>
      <w:lvlText w:val="(%1)"/>
      <w:numFmt w:val="lowerLetter"/>
      <w:start w:val="61"/>
    </w:lvl>
    <w:lvl w:ilvl="1">
      <w:lvlJc w:val="left"/>
      <w:lvlText w:val="(%2)"/>
      <w:numFmt w:val="lowerLetter"/>
      <w:start w:val="3"/>
    </w:lvl>
  </w:abstractNum>
  <w:abstractNum w:abstractNumId="43">
    <w:nsid w:val="885E1B"/>
    <w:multiLevelType w:val="hybridMultilevel"/>
    <w:lvl w:ilvl="0">
      <w:lvlJc w:val="left"/>
      <w:lvlText w:val="%1"/>
      <w:numFmt w:val="lowerRoman"/>
      <w:start w:val="1"/>
    </w:lvl>
    <w:lvl w:ilvl="1">
      <w:lvlJc w:val="left"/>
      <w:lvlText w:val="(%2)"/>
      <w:numFmt w:val="lowerLetter"/>
      <w:start w:val="1"/>
    </w:lvl>
  </w:abstractNum>
  <w:abstractNum w:abstractNumId="44">
    <w:nsid w:val="76272110"/>
    <w:multiLevelType w:val="hybridMultilevel"/>
    <w:lvl w:ilvl="0">
      <w:lvlJc w:val="left"/>
      <w:lvlText w:val="(%1)"/>
      <w:numFmt w:val="lowerRoman"/>
      <w:start w:val="4"/>
    </w:lvl>
    <w:lvl w:ilvl="1">
      <w:lvlJc w:val="left"/>
      <w:lvlText w:val="%2"/>
      <w:numFmt w:val="lowerLetter"/>
      <w:start w:val="1"/>
    </w:lvl>
  </w:abstractNum>
  <w:abstractNum w:abstractNumId="45">
    <w:nsid w:val="4C04A8AF"/>
    <w:multiLevelType w:val="hybridMultilevel"/>
    <w:lvl w:ilvl="0">
      <w:lvlJc w:val="left"/>
      <w:lvlText w:val="(%1)"/>
      <w:numFmt w:val="lowerLetter"/>
      <w:start w:val="2"/>
    </w:lvl>
  </w:abstractNum>
  <w:abstractNum w:abstractNumId="46">
    <w:nsid w:val="1716703B"/>
    <w:multiLevelType w:val="hybridMultilevel"/>
    <w:lvl w:ilvl="0">
      <w:lvlJc w:val="left"/>
      <w:lvlText w:val="(%1)"/>
      <w:numFmt w:val="lowerLetter"/>
      <w:start w:val="3"/>
    </w:lvl>
  </w:abstractNum>
  <w:abstractNum w:abstractNumId="47">
    <w:nsid w:val="14E17E33"/>
    <w:multiLevelType w:val="hybridMultilevel"/>
    <w:lvl w:ilvl="0">
      <w:lvlJc w:val="left"/>
      <w:lvlText w:val="(%1)"/>
      <w:numFmt w:val="lowerRoman"/>
      <w:start w:val="2"/>
    </w:lvl>
  </w:abstractNum>
  <w:abstractNum w:abstractNumId="48">
    <w:nsid w:val="3222E7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9">
    <w:nsid w:val="74DE0EE3"/>
    <w:multiLevelType w:val="hybridMultilevel"/>
    <w:lvl w:ilvl="0">
      <w:lvlJc w:val="left"/>
      <w:lvlText w:val="%1"/>
      <w:numFmt w:val="lowerLetter"/>
      <w:start w:val="1"/>
    </w:lvl>
    <w:lvl w:ilvl="1">
      <w:lvlJc w:val="left"/>
      <w:lvlText w:val="(%2)"/>
      <w:numFmt w:val="lowerLetter"/>
      <w:start w:val="35"/>
    </w:lvl>
  </w:abstractNum>
  <w:abstractNum w:abstractNumId="50">
    <w:nsid w:val="68EBC550"/>
    <w:multiLevelType w:val="hybridMultilevel"/>
    <w:lvl w:ilvl="0">
      <w:lvlJc w:val="left"/>
      <w:lvlText w:val="(%1)"/>
      <w:numFmt w:val="lowerLetter"/>
      <w:start w:val="2"/>
    </w:lvl>
    <w:lvl w:ilvl="1">
      <w:lvlJc w:val="left"/>
      <w:lvlText w:val="(%2)"/>
      <w:numFmt w:val="lowerLetter"/>
      <w:start w:val="9"/>
    </w:lvl>
  </w:abstractNum>
  <w:abstractNum w:abstractNumId="51">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2">
    <w:nsid w:val="46B7D447"/>
    <w:multiLevelType w:val="hybridMultilevel"/>
    <w:lvl w:ilvl="0">
      <w:lvlJc w:val="left"/>
      <w:lvlText w:val="(%1)"/>
      <w:numFmt w:val="decimal"/>
      <w:start w:val="2"/>
    </w:lvl>
    <w:lvl w:ilvl="1">
      <w:lvlJc w:val="left"/>
      <w:lvlText w:val="(%2)"/>
      <w:numFmt w:val="lowerLetter"/>
      <w:start w:val="4"/>
    </w:lvl>
    <w:lvl w:ilvl="2">
      <w:lvlJc w:val="left"/>
      <w:lvlText w:val="%3"/>
      <w:numFmt w:val="lowerLetter"/>
      <w:start w:val="1"/>
    </w:lvl>
  </w:abstractNum>
  <w:abstractNum w:abstractNumId="53">
    <w:nsid w:val="4A2AC31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4">
    <w:nsid w:val="39EE015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5">
    <w:nsid w:val="57FC4FBB"/>
    <w:multiLevelType w:val="hybridMultilevel"/>
    <w:lvl w:ilvl="0">
      <w:lvlJc w:val="left"/>
      <w:lvlText w:val="(%1)"/>
      <w:numFmt w:val="lowerLetter"/>
      <w:start w:val="5"/>
    </w:lvl>
  </w:abstractNum>
  <w:abstractNum w:abstractNumId="56">
    <w:nsid w:val="CC1016F"/>
    <w:multiLevelType w:val="hybridMultilevel"/>
    <w:lvl w:ilvl="0">
      <w:lvlJc w:val="left"/>
      <w:lvlText w:val="%1."/>
      <w:numFmt w:val="decimal"/>
      <w:start w:val="3"/>
    </w:lvl>
    <w:lvl w:ilvl="1">
      <w:lvlJc w:val="left"/>
      <w:lvlText w:val="(%2)"/>
      <w:numFmt w:val="lowerLetter"/>
      <w:start w:val="1"/>
    </w:lvl>
  </w:abstractNum>
  <w:abstractNum w:abstractNumId="57">
    <w:nsid w:val="43F18422"/>
    <w:multiLevelType w:val="hybridMultilevel"/>
    <w:lvl w:ilvl="0">
      <w:lvlJc w:val="left"/>
      <w:lvlText w:val="(%1)"/>
      <w:numFmt w:val="lowerLetter"/>
      <w:start w:val="3"/>
    </w:lvl>
  </w:abstractNum>
  <w:abstractNum w:abstractNumId="58">
    <w:nsid w:val="60EF0119"/>
    <w:multiLevelType w:val="hybridMultilevel"/>
    <w:lvl w:ilvl="0">
      <w:lvlJc w:val="left"/>
      <w:lvlText w:val="%1"/>
      <w:numFmt w:val="decimal"/>
      <w:start w:val="1"/>
    </w:lvl>
    <w:lvl w:ilvl="1">
      <w:lvlJc w:val="left"/>
      <w:lvlText w:val="(%2)"/>
      <w:numFmt w:val="lowerLetter"/>
      <w:start w:val="9"/>
    </w:lvl>
  </w:abstractNum>
  <w:abstractNum w:abstractNumId="59">
    <w:nsid w:val="26F324BA"/>
    <w:multiLevelType w:val="hybridMultilevel"/>
    <w:lvl w:ilvl="0">
      <w:lvlJc w:val="left"/>
      <w:lvlText w:val="%1."/>
      <w:numFmt w:val="decimal"/>
      <w:start w:val="4"/>
    </w:lvl>
    <w:lvl w:ilvl="1">
      <w:lvlJc w:val="left"/>
      <w:lvlText w:val="(%2)"/>
      <w:numFmt w:val="lowerLetter"/>
      <w:start w:val="1"/>
    </w:lvl>
  </w:abstractNum>
  <w:abstractNum w:abstractNumId="60">
    <w:nsid w:val="7F01579B"/>
    <w:multiLevelType w:val="hybridMultilevel"/>
    <w:lvl w:ilvl="0">
      <w:lvlJc w:val="left"/>
      <w:lvlText w:val="(%1)"/>
      <w:numFmt w:val="lowerLetter"/>
      <w:start w:val="2"/>
    </w:lvl>
  </w:abstractNum>
  <w:abstractNum w:abstractNumId="61">
    <w:nsid w:val="49DA307D"/>
    <w:multiLevelType w:val="hybridMultilevel"/>
    <w:lvl w:ilvl="0">
      <w:lvlJc w:val="left"/>
      <w:lvlText w:val="%1."/>
      <w:numFmt w:val="decimal"/>
      <w:start w:val="5"/>
    </w:lvl>
    <w:lvl w:ilvl="1">
      <w:lvlJc w:val="left"/>
      <w:lvlText w:val="(%2)"/>
      <w:numFmt w:val="lowerLetter"/>
      <w:start w:val="1"/>
    </w:lvl>
  </w:abstractNum>
  <w:abstractNum w:abstractNumId="62">
    <w:nsid w:val="7055A5F5"/>
    <w:multiLevelType w:val="hybridMultilevel"/>
    <w:lvl w:ilvl="0">
      <w:lvlJc w:val="left"/>
      <w:lvlText w:val="(%1)"/>
      <w:numFmt w:val="lowerLetter"/>
      <w:start w:val="4"/>
    </w:lvl>
  </w:abstractNum>
  <w:abstractNum w:abstractNumId="63">
    <w:nsid w:val="5FB8370B"/>
    <w:multiLevelType w:val="hybridMultilevel"/>
    <w:lvl w:ilvl="0">
      <w:lvlJc w:val="left"/>
      <w:lvlText w:val="%1."/>
      <w:numFmt w:val="decimal"/>
      <w:start w:val="6"/>
    </w:lvl>
    <w:lvl w:ilvl="1">
      <w:lvlJc w:val="left"/>
      <w:lvlText w:val="(%2)"/>
      <w:numFmt w:val="lowerLetter"/>
      <w:start w:val="1"/>
    </w:lvl>
  </w:abstractNum>
  <w:abstractNum w:abstractNumId="64">
    <w:nsid w:val="50801EE1"/>
    <w:multiLevelType w:val="hybridMultilevel"/>
    <w:lvl w:ilvl="0">
      <w:lvlJc w:val="left"/>
      <w:lvlText w:val="(%1)"/>
      <w:numFmt w:val="lowerLetter"/>
      <w:start w:val="7"/>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1)"/>
      <w:numFmt w:val="decimal"/>
      <w:start w:val="1"/>
    </w:lvl>
  </w:abstractNum>
  <w:abstractNum w:abstractNumId="67">
    <w:nsid w:val="6AA78F7F"/>
    <w:multiLevelType w:val="hybridMultilevel"/>
    <w:lvl w:ilvl="0">
      <w:lvlJc w:val="left"/>
      <w:lvlText w:val="%1."/>
      <w:numFmt w:val="decimal"/>
      <w:start w:val="1"/>
    </w:lvl>
    <w:lvl w:ilvl="1">
      <w:lvlJc w:val="left"/>
      <w:lvlText w:val="(%2)"/>
      <w:numFmt w:val="lowerLetter"/>
      <w:start w:val="1"/>
    </w:lvl>
  </w:abstractNum>
  <w:abstractNum w:abstractNumId="68">
    <w:nsid w:val="7672BD23"/>
    <w:multiLevelType w:val="hybridMultilevel"/>
    <w:lvl w:ilvl="0">
      <w:lvlJc w:val="left"/>
      <w:lvlText w:val="%1"/>
      <w:numFmt w:val="decimal"/>
      <w:start w:val="1"/>
    </w:lvl>
    <w:lvl w:ilvl="1">
      <w:lvlJc w:val="left"/>
      <w:lvlText w:val="(%2)"/>
      <w:numFmt w:val="lowerLetter"/>
      <w:start w:val="2"/>
    </w:lvl>
  </w:abstractNum>
  <w:abstractNum w:abstractNumId="69">
    <w:nsid w:val="6FC75AF8"/>
    <w:multiLevelType w:val="hybridMultilevel"/>
    <w:lvl w:ilvl="0">
      <w:lvlJc w:val="left"/>
      <w:lvlText w:val="%1."/>
      <w:numFmt w:val="decimal"/>
      <w:start w:val="2"/>
    </w:lvl>
    <w:lvl w:ilvl="1">
      <w:lvlJc w:val="left"/>
      <w:lvlText w:val="(%2)"/>
      <w:numFmt w:val="lowerLetter"/>
      <w:start w:val="1"/>
    </w:lvl>
  </w:abstractNum>
  <w:abstractNum w:abstractNumId="70">
    <w:nsid w:val="6A5F7029"/>
    <w:multiLevelType w:val="hybridMultilevel"/>
    <w:lvl w:ilvl="0">
      <w:lvlJc w:val="left"/>
      <w:lvlText w:val="%1"/>
      <w:numFmt w:val="decimal"/>
      <w:start w:val="1"/>
    </w:lvl>
    <w:lvl w:ilvl="1">
      <w:lvlJc w:val="left"/>
      <w:lvlText w:val="(%2)"/>
      <w:numFmt w:val="lowerLetter"/>
      <w:start w:val="2"/>
    </w:lvl>
  </w:abstractNum>
  <w:abstractNum w:abstractNumId="71">
    <w:nsid w:val="7D5E18F8"/>
    <w:multiLevelType w:val="hybridMultilevel"/>
    <w:lvl w:ilvl="0">
      <w:lvlJc w:val="left"/>
      <w:lvlText w:val="%1."/>
      <w:numFmt w:val="decimal"/>
      <w:start w:val="4"/>
    </w:lvl>
    <w:lvl w:ilvl="1">
      <w:lvlJc w:val="left"/>
      <w:lvlText w:val="%2"/>
      <w:numFmt w:val="lowerLetter"/>
      <w:start w:val="1"/>
    </w:lvl>
  </w:abstractNum>
  <w:abstractNum w:abstractNumId="72">
    <w:nsid w:val="5F3534A4"/>
    <w:multiLevelType w:val="hybridMultilevel"/>
    <w:lvl w:ilvl="0">
      <w:lvlJc w:val="left"/>
      <w:lvlText w:val="%1."/>
      <w:numFmt w:val="decimal"/>
      <w:start w:val="5"/>
    </w:lvl>
    <w:lvl w:ilvl="1">
      <w:lvlJc w:val="left"/>
      <w:lvlText w:val="(%2)"/>
      <w:numFmt w:val="lowerLetter"/>
      <w:start w:val="1"/>
    </w:lvl>
  </w:abstractNum>
  <w:abstractNum w:abstractNumId="73">
    <w:nsid w:val="73A1821B"/>
    <w:multiLevelType w:val="hybridMultilevel"/>
    <w:lvl w:ilvl="0">
      <w:lvlJc w:val="left"/>
      <w:lvlText w:val="%1"/>
      <w:numFmt w:val="decimal"/>
      <w:start w:val="1"/>
    </w:lvl>
    <w:lvl w:ilvl="1">
      <w:lvlJc w:val="left"/>
      <w:lvlText w:val="(%2)"/>
      <w:numFmt w:val="lowerLetter"/>
      <w:start w:val="4"/>
    </w:lvl>
  </w:abstractNum>
  <w:abstractNum w:abstractNumId="74">
    <w:nsid w:val="7DE67713"/>
    <w:multiLevelType w:val="hybridMultilevel"/>
    <w:lvl w:ilvl="0">
      <w:lvlJc w:val="left"/>
      <w:lvlText w:val="(%1)"/>
      <w:numFmt w:val="decimal"/>
      <w:start w:val="2"/>
    </w:lvl>
    <w:lvl w:ilvl="1">
      <w:lvlJc w:val="left"/>
      <w:lvlText w:val="%2"/>
      <w:numFmt w:val="lowerLetter"/>
      <w:start w:val="1"/>
    </w:lvl>
  </w:abstractNum>
  <w:abstractNum w:abstractNumId="75">
    <w:nsid w:val="555C55B5"/>
    <w:multiLevelType w:val="hybridMultilevel"/>
    <w:lvl w:ilvl="0">
      <w:lvlJc w:val="left"/>
      <w:lvlText w:val="(%1)"/>
      <w:numFmt w:val="lowerLetter"/>
      <w:start w:val="5"/>
    </w:lvl>
  </w:abstractNum>
  <w:abstractNum w:abstractNumId="76">
    <w:nsid w:val="3FA62ACA"/>
    <w:multiLevelType w:val="hybridMultilevel"/>
    <w:lvl w:ilvl="0">
      <w:lvlJc w:val="left"/>
      <w:lvlText w:val="%1"/>
      <w:numFmt w:val="decimal"/>
      <w:start w:val="1"/>
    </w:lvl>
    <w:lvl w:ilvl="1">
      <w:lvlJc w:val="left"/>
      <w:lvlText w:val="(%2)"/>
      <w:numFmt w:val="lowerLetter"/>
      <w:start w:val="9"/>
    </w:lvl>
  </w:abstractNum>
  <w:abstractNum w:abstractNumId="77">
    <w:nsid w:val="14FCE74E"/>
    <w:multiLevelType w:val="hybridMultilevel"/>
    <w:lvl w:ilvl="0">
      <w:lvlJc w:val="left"/>
      <w:lvlText w:val="%1."/>
      <w:numFmt w:val="decimal"/>
      <w:start w:val="7"/>
    </w:lvl>
    <w:lvl w:ilvl="1">
      <w:lvlJc w:val="left"/>
      <w:lvlText w:val="(%2)"/>
      <w:numFmt w:val="lowerLetter"/>
      <w:start w:val="1"/>
    </w:lvl>
  </w:abstractNum>
  <w:abstractNum w:abstractNumId="78">
    <w:nsid w:val="6A3DD3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9">
    <w:nsid w:val="71C91298"/>
    <w:multiLevelType w:val="hybridMultilevel"/>
    <w:lvl w:ilvl="0">
      <w:lvlJc w:val="left"/>
      <w:lvlText w:val="(%1)"/>
      <w:numFmt w:val="decimal"/>
      <w:start w:val="10"/>
    </w:lvl>
    <w:lvl w:ilvl="1">
      <w:lvlJc w:val="left"/>
      <w:lvlText w:val="%2."/>
      <w:numFmt w:val="decimal"/>
      <w:start w:val="7"/>
    </w:lvl>
    <w:lvl w:ilvl="2">
      <w:lvlJc w:val="left"/>
      <w:lvlText w:val="(%3)"/>
      <w:numFmt w:val="lowerLetter"/>
      <w:start w:val="6"/>
    </w:lvl>
  </w:abstractNum>
  <w:abstractNum w:abstractNumId="80">
    <w:nsid w:val="9DAF6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53299938"/>
    <w:multiLevelType w:val="hybridMultilevel"/>
    <w:lvl w:ilvl="0">
      <w:lvlJc w:val="left"/>
      <w:lvlText w:val="(%1)"/>
      <w:numFmt w:val="lowerLetter"/>
      <w:start w:val="2"/>
    </w:lvl>
  </w:abstractNum>
  <w:abstractNum w:abstractNumId="82">
    <w:nsid w:val="1FBFE8E0"/>
    <w:multiLevelType w:val="hybridMultilevel"/>
    <w:lvl w:ilvl="0">
      <w:lvlJc w:val="left"/>
      <w:lvlText w:val="%1."/>
      <w:numFmt w:val="decimal"/>
      <w:start w:val="9"/>
    </w:lvl>
    <w:lvl w:ilvl="1">
      <w:lvlJc w:val="left"/>
      <w:lvlText w:val="(%2)"/>
      <w:numFmt w:val="lowerLetter"/>
      <w:start w:val="1"/>
    </w:lvl>
  </w:abstractNum>
  <w:abstractNum w:abstractNumId="83">
    <w:nsid w:val="5092CA79"/>
    <w:multiLevelType w:val="hybridMultilevel"/>
    <w:lvl w:ilvl="0">
      <w:lvlJc w:val="left"/>
      <w:lvlText w:val="%1."/>
      <w:numFmt w:val="decimal"/>
      <w:start w:val="12"/>
    </w:lvl>
    <w:lvl w:ilvl="1">
      <w:lvlJc w:val="left"/>
      <w:lvlText w:val="(%2)"/>
      <w:numFmt w:val="lowerLetter"/>
      <w:start w:val="1"/>
    </w:lvl>
  </w:abstractNum>
  <w:abstractNum w:abstractNumId="84">
    <w:nsid w:val="1D545C4D"/>
    <w:multiLevelType w:val="hybridMultilevel"/>
    <w:lvl w:ilvl="0">
      <w:lvlJc w:val="left"/>
      <w:lvlText w:val="%1"/>
      <w:numFmt w:val="decimal"/>
      <w:start w:val="1"/>
    </w:lvl>
    <w:lvl w:ilvl="1">
      <w:lvlJc w:val="left"/>
      <w:lvlText w:val="(%2)"/>
      <w:numFmt w:val="lowerLetter"/>
      <w:start w:val="6"/>
    </w:lvl>
  </w:abstractNum>
  <w:abstractNum w:abstractNumId="85">
    <w:nsid w:val="59ADEA3D"/>
    <w:multiLevelType w:val="hybridMultilevel"/>
    <w:lvl w:ilvl="0">
      <w:lvlJc w:val="left"/>
      <w:lvlText w:val="%1."/>
      <w:numFmt w:val="decimal"/>
      <w:start w:val="14"/>
    </w:lvl>
    <w:lvl w:ilvl="1">
      <w:lvlJc w:val="left"/>
      <w:lvlText w:val="%2"/>
      <w:numFmt w:val="lowerLetter"/>
      <w:start w:val="1"/>
    </w:lvl>
  </w:abstractNum>
  <w:abstractNum w:abstractNumId="86">
    <w:nsid w:val="288F1A34"/>
    <w:multiLevelType w:val="hybridMultilevel"/>
    <w:lvl w:ilvl="0">
      <w:lvlJc w:val="left"/>
      <w:lvlText w:val="%1"/>
      <w:numFmt w:val="decimal"/>
      <w:start w:val="1"/>
    </w:lvl>
    <w:lvl w:ilvl="1">
      <w:lvlJc w:val="left"/>
      <w:lvlText w:val="(%2)"/>
      <w:numFmt w:val="lowerLetter"/>
      <w:start w:val="1"/>
    </w:lvl>
  </w:abstractNum>
  <w:abstractNum w:abstractNumId="87">
    <w:nsid w:val="2A155DBC"/>
    <w:multiLevelType w:val="hybridMultilevel"/>
    <w:lvl w:ilvl="0">
      <w:lvlJc w:val="left"/>
      <w:lvlText w:val="%1."/>
      <w:numFmt w:val="decimal"/>
      <w:start w:val="18"/>
    </w:lvl>
    <w:lvl w:ilvl="1">
      <w:lvlJc w:val="left"/>
      <w:lvlText w:val="%2"/>
      <w:numFmt w:val="lowerLetter"/>
      <w:start w:val="1"/>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3"/>
    </w:lvl>
  </w:abstractNum>
  <w:abstractNum w:abstractNumId="91">
    <w:nsid w:val="1CA0C5FA"/>
    <w:multiLevelType w:val="hybridMultilevel"/>
    <w:lvl w:ilvl="0">
      <w:lvlJc w:val="left"/>
      <w:lvlText w:val="%1"/>
      <w:numFmt w:val="decimal"/>
      <w:start w:val="1"/>
    </w:lvl>
    <w:lvl w:ilvl="1">
      <w:lvlJc w:val="left"/>
      <w:lvlText w:val="(%2)"/>
      <w:numFmt w:val="lowerLetter"/>
      <w:start w:val="6"/>
    </w:lvl>
  </w:abstractNum>
  <w:abstractNum w:abstractNumId="92">
    <w:nsid w:val="53584BCB"/>
    <w:multiLevelType w:val="hybridMultilevel"/>
    <w:lvl w:ilvl="0">
      <w:lvlJc w:val="left"/>
      <w:lvlText w:val="%1."/>
      <w:numFmt w:val="decimal"/>
      <w:start w:val="5"/>
    </w:lvl>
    <w:lvl w:ilvl="1">
      <w:lvlJc w:val="left"/>
      <w:lvlText w:val="(%2)"/>
      <w:numFmt w:val="lowerLetter"/>
      <w:start w:val="1"/>
    </w:lvl>
  </w:abstractNum>
  <w:abstractNum w:abstractNumId="93">
    <w:nsid w:val="415E286C"/>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94">
    <w:nsid w:val="7C58FD05"/>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95">
    <w:nsid w:val="23D86AAC"/>
    <w:multiLevelType w:val="hybridMultilevel"/>
    <w:lvl w:ilvl="0">
      <w:lvlJc w:val="left"/>
      <w:lvlText w:val="(%1)"/>
      <w:numFmt w:val="lowerLetter"/>
      <w:start w:val="3"/>
    </w:lvl>
    <w:lvl w:ilvl="1">
      <w:lvlJc w:val="left"/>
      <w:lvlText w:val="(%2)"/>
      <w:numFmt w:val="lowerLetter"/>
      <w:start w:val="5"/>
    </w:lvl>
    <w:lvl w:ilvl="2">
      <w:lvlJc w:val="left"/>
      <w:lvlText w:val="(%3)"/>
      <w:numFmt w:val="lowerLetter"/>
      <w:start w:val="35"/>
    </w:lvl>
  </w:abstractNum>
  <w:abstractNum w:abstractNumId="96">
    <w:nsid w:val="45E6D486"/>
    <w:multiLevelType w:val="hybridMultilevel"/>
    <w:lvl w:ilvl="0">
      <w:lvlJc w:val="left"/>
      <w:lvlText w:val="%1"/>
      <w:numFmt w:val="decimal"/>
      <w:start w:val="1"/>
    </w:lvl>
    <w:lvl w:ilvl="1">
      <w:lvlJc w:val="left"/>
      <w:lvlText w:val="(%2)"/>
      <w:numFmt w:val="lowerLetter"/>
      <w:start w:val="7"/>
    </w:lvl>
  </w:abstractNum>
  <w:abstractNum w:abstractNumId="97">
    <w:nsid w:val="5C10FE21"/>
    <w:multiLevelType w:val="hybridMultilevel"/>
    <w:lvl w:ilvl="0">
      <w:lvlJc w:val="left"/>
      <w:lvlText w:val="%1."/>
      <w:numFmt w:val="decimal"/>
      <w:start w:val="7"/>
    </w:lvl>
    <w:lvl w:ilvl="1">
      <w:lvlJc w:val="left"/>
      <w:lvlText w:val="%2"/>
      <w:numFmt w:val="lowerLetter"/>
      <w:start w:val="1"/>
    </w:lvl>
  </w:abstractNum>
  <w:abstractNum w:abstractNumId="98">
    <w:nsid w:val="E7FFA2B"/>
    <w:multiLevelType w:val="hybridMultilevel"/>
    <w:lvl w:ilvl="0">
      <w:lvlJc w:val="left"/>
      <w:lvlText w:val="%1."/>
      <w:numFmt w:val="decimal"/>
      <w:start w:val="8"/>
    </w:lvl>
  </w:abstractNum>
  <w:abstractNum w:abstractNumId="99">
    <w:nsid w:val="3C5991AA"/>
    <w:multiLevelType w:val="hybridMultilevel"/>
    <w:lvl w:ilvl="0">
      <w:lvlJc w:val="left"/>
      <w:lvlText w:val="%1."/>
      <w:numFmt w:val="decimal"/>
      <w:start w:val="13"/>
    </w:lvl>
    <w:lvl w:ilvl="1">
      <w:lvlJc w:val="left"/>
      <w:lvlText w:val="(%2)"/>
      <w:numFmt w:val="lowerLetter"/>
      <w:start w:val="1"/>
    </w:lvl>
  </w:abstractNum>
  <w:abstractNum w:abstractNumId="100">
    <w:nsid w:val="4BD859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1">
    <w:nsid w:val="78DF6A55"/>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02">
    <w:nsid w:val="39B7AAA2"/>
    <w:multiLevelType w:val="hybridMultilevel"/>
    <w:lvl w:ilvl="0">
      <w:lvlJc w:val="left"/>
      <w:lvlText w:val="%1."/>
      <w:numFmt w:val="decimal"/>
      <w:start w:val="20"/>
    </w:lvl>
  </w:abstractNum>
  <w:abstractNum w:abstractNumId="103">
    <w:nsid w:val="2B0D8DBE"/>
    <w:multiLevelType w:val="hybridMultilevel"/>
    <w:lvl w:ilvl="0">
      <w:lvlJc w:val="left"/>
      <w:lvlText w:val="%1."/>
      <w:numFmt w:val="decimal"/>
      <w:start w:val="1"/>
    </w:lvl>
  </w:abstractNum>
  <w:abstractNum w:abstractNumId="104">
    <w:nsid w:val="6C80EC70"/>
    <w:multiLevelType w:val="hybridMultilevel"/>
    <w:lvl w:ilvl="0">
      <w:lvlJc w:val="left"/>
      <w:lvlText w:val="(%1)"/>
      <w:numFmt w:val="lowerLetter"/>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decimal"/>
      <w:start w:val="3"/>
    </w:lvl>
  </w:abstractNum>
  <w:abstractNum w:abstractNumId="107">
    <w:nsid w:val="2C27173B"/>
    <w:multiLevelType w:val="hybridMultilevel"/>
    <w:lvl w:ilvl="0">
      <w:lvlJc w:val="left"/>
      <w:lvlText w:val="(%1)"/>
      <w:numFmt w:val="lowerLetter"/>
      <w:start w:val="1"/>
    </w:lvl>
  </w:abstractNum>
  <w:abstractNum w:abstractNumId="108">
    <w:nsid w:val="4C9B0904"/>
    <w:multiLevelType w:val="hybridMultilevel"/>
    <w:lvl w:ilvl="0">
      <w:lvlJc w:val="left"/>
      <w:lvlText w:val="%1."/>
      <w:numFmt w:val="decimal"/>
      <w:start w:val="4"/>
    </w:lvl>
  </w:abstractNum>
  <w:abstractNum w:abstractNumId="109">
    <w:nsid w:val="6AA7B75C"/>
    <w:multiLevelType w:val="hybridMultilevel"/>
    <w:lvl w:ilvl="0">
      <w:lvlJc w:val="left"/>
      <w:lvlText w:val="(%1)"/>
      <w:numFmt w:val="lowerLetter"/>
      <w:start w:val="1"/>
    </w:lvl>
  </w:abstractNum>
  <w:abstractNum w:abstractNumId="110">
    <w:nsid w:val="1DF029D3"/>
    <w:multiLevelType w:val="hybridMultilevel"/>
    <w:lvl w:ilvl="0">
      <w:lvlJc w:val="left"/>
      <w:lvlText w:val="%1."/>
      <w:numFmt w:val="decimal"/>
      <w:start w:val="5"/>
    </w:lvl>
  </w:abstractNum>
  <w:abstractNum w:abstractNumId="111">
    <w:nsid w:val="5675FF36"/>
    <w:multiLevelType w:val="hybridMultilevel"/>
    <w:lvl w:ilvl="0">
      <w:lvlJc w:val="left"/>
      <w:lvlText w:val="%1."/>
      <w:numFmt w:val="decimal"/>
      <w:start w:val="6"/>
    </w:lvl>
  </w:abstractNum>
  <w:abstractNum w:abstractNumId="112">
    <w:nsid w:val="3DD15094"/>
    <w:multiLevelType w:val="hybridMultilevel"/>
    <w:lvl w:ilvl="0">
      <w:lvlJc w:val="left"/>
      <w:lvlText w:val="(%1)"/>
      <w:numFmt w:val="lowerLetter"/>
      <w:start w:val="1"/>
    </w:lvl>
    <w:lvl w:ilvl="1">
      <w:lvlJc w:val="left"/>
      <w:lvlText w:val="(%2)"/>
      <w:numFmt w:val="decimal"/>
      <w:start w:val="1"/>
    </w:lvl>
  </w:abstractNum>
  <w:abstractNum w:abstractNumId="113">
    <w:nsid w:val="3DB012B3"/>
    <w:multiLevelType w:val="hybridMultilevel"/>
    <w:lvl w:ilvl="0">
      <w:lvlJc w:val="left"/>
      <w:lvlText w:val="%1."/>
      <w:numFmt w:val="decimal"/>
      <w:start w:val="8"/>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2"/>
    </w:lvl>
  </w:abstractNum>
  <w:abstractNum w:abstractNumId="116">
    <w:nsid w:val="175DFCF0"/>
    <w:multiLevelType w:val="hybridMultilevel"/>
    <w:lvl w:ilvl="0">
      <w:lvlJc w:val="left"/>
      <w:lvlText w:val="%1."/>
      <w:numFmt w:val="decimal"/>
      <w:start w:val="9"/>
    </w:lvl>
  </w:abstractNum>
  <w:abstractNum w:abstractNumId="117">
    <w:nsid w:val="4F97E3E4"/>
    <w:multiLevelType w:val="hybridMultilevel"/>
    <w:lvl w:ilvl="0">
      <w:lvlJc w:val="left"/>
      <w:lvlText w:val="%1."/>
      <w:numFmt w:val="upperLetter"/>
      <w:start w:val="9"/>
    </w:lvl>
  </w:abstractNum>
  <w:abstractNum w:abstractNumId="118">
    <w:nsid w:val="53B0A9E"/>
    <w:multiLevelType w:val="hybridMultilevel"/>
    <w:lvl w:ilvl="0">
      <w:lvlJc w:val="left"/>
      <w:lvlText w:val="(%1)"/>
      <w:numFmt w:val="lowerRoman"/>
      <w:start w:val="1"/>
    </w:lvl>
  </w:abstractNum>
  <w:abstractNum w:abstractNumId="119">
    <w:nsid w:val="34FD6B4F"/>
    <w:multiLevelType w:val="hybridMultilevel"/>
    <w:lvl w:ilvl="0">
      <w:lvlJc w:val="left"/>
      <w:lvlText w:val="(%1)"/>
      <w:numFmt w:val="lowerRoman"/>
      <w:start w:val="4"/>
    </w:lvl>
  </w:abstractNum>
  <w:abstractNum w:abstractNumId="120">
    <w:nsid w:val="5915FF32"/>
    <w:multiLevelType w:val="hybridMultilevel"/>
    <w:lvl w:ilvl="0">
      <w:lvlJc w:val="left"/>
      <w:lvlText w:val="%1."/>
      <w:numFmt w:val="upperLetter"/>
      <w:start w:val="35"/>
    </w:lvl>
  </w:abstractNum>
  <w:abstractNum w:abstractNumId="121">
    <w:nsid w:val="56438D15"/>
    <w:multiLevelType w:val="hybridMultilevel"/>
    <w:lvl w:ilvl="0">
      <w:lvlJc w:val="left"/>
      <w:lvlText w:val="%1."/>
      <w:numFmt w:val="upperLetter"/>
      <w:start w:val="6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
      <w:numFmt w:val="bullet"/>
      <w:start w:val="1"/>
    </w:lvl>
    <w:lvl w:ilvl="1">
      <w:lvlJc w:val="left"/>
      <w:lvlText w:val="-"/>
      <w:numFmt w:val="bullet"/>
      <w:start w:val="1"/>
    </w:lvl>
  </w:abstractNum>
  <w:abstractNum w:abstractNumId="128">
    <w:nsid w:val="2A082C70"/>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28" Type="http://schemas.openxmlformats.org/officeDocument/2006/relationships/hyperlink" Target="http://www.sec.gov/Archives/edgar/data/1374690/000119312519316828/d84590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2020-06-02T06:50:33Z</dcterms:created>
  <dcterms:modified xsi:type="dcterms:W3CDTF">2020-06-02T06:50:33Z</dcterms:modified>
</cp:coreProperties>
</file>