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09,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195580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Larimar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207"/>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001-36510</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20-3857670</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83"/>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Three Bala Plaza East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7"/>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Bala Cynwyd, Pennsylvania</w:t>
            </w:r>
          </w:p>
        </w:tc>
        <w:tc>
          <w:tcPr>
            <w:tcW w:w="326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19004</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7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511-9056</w:t>
      </w:r>
    </w:p>
    <w:p>
      <w:pPr>
        <w:spacing w:after="0" w:line="200" w:lineRule="exact"/>
        <w:rPr>
          <w:sz w:val="24"/>
          <w:szCs w:val="24"/>
          <w:color w:val="auto"/>
        </w:rPr>
      </w:pPr>
    </w:p>
    <w:p>
      <w:pPr>
        <w:spacing w:after="0" w:line="35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11"/>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6"/>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67"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9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On May 9, 2024, Larimar Therapeutics,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announced its financial results and operational highlights for the first quarter ended March 31, 2024. A copy of the press release is being furnished as Exhibit 99.1 to this Current Report on Form 8-K and is incorporated herein by reference.</w:t>
      </w:r>
    </w:p>
    <w:p>
      <w:pPr>
        <w:spacing w:after="0" w:line="14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The information furnished pursuant to this Item 2.02, including Exhibit 99.1 attached hereto, is intended to be furnished and shall not be deemed “filed” for purposes of Section 18 of the Securities Exchange Act of 1934, as amended (the “</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ind w:right="380"/>
        <w:spacing w:after="0" w:line="310" w:lineRule="auto"/>
        <w:rPr>
          <w:sz w:val="20"/>
          <w:szCs w:val="20"/>
          <w:color w:val="auto"/>
        </w:rPr>
      </w:pPr>
      <w:r>
        <w:rPr>
          <w:rFonts w:ascii="Times New Roman" w:cs="Times New Roman" w:eastAsia="Times New Roman" w:hAnsi="Times New Roman"/>
          <w:sz w:val="15"/>
          <w:szCs w:val="15"/>
          <w:color w:val="auto"/>
        </w:rPr>
        <w:t>On May 9, 2024, the Company posted on its website an updated slide presentation, which is attached as Exhibit 99.2 to this Current Report on Form 8-K and is incorporated herein by reference. Representatives of the Company will use the presentation in various meetings with investors, analysts and other parties from time to time.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list of exhibits included with this Current Report on Form 8-K.</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157"/>
        </w:trPr>
        <w:tc>
          <w:tcPr>
            <w:tcW w:w="112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99.1</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color w:val="0000FF"/>
              </w:rPr>
              <w:t>Press Release issued by Larimar Therapeutics, Inc. on May 9, 2024*</w:t>
            </w: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193"/>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99.2</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Larimar Therapeutics, Inc. Corporate Presentation, dated May 9, 2024</w:t>
            </w: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bl>
    <w:p>
      <w:pPr>
        <w:spacing w:after="0" w:line="31" w:lineRule="exact"/>
        <w:rPr>
          <w:sz w:val="20"/>
          <w:szCs w:val="20"/>
          <w:color w:val="auto"/>
        </w:rPr>
      </w:pPr>
    </w:p>
    <w:p>
      <w:pPr>
        <w:ind w:right="4720" w:firstLine="6"/>
        <w:spacing w:after="0" w:line="538" w:lineRule="auto"/>
        <w:tabs>
          <w:tab w:leader="none" w:pos="1478"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262255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Larimar Therapeutics, Inc.</w:t>
      </w:r>
    </w:p>
    <w:p>
      <w:pPr>
        <w:spacing w:after="0" w:line="348"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May 9,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21590</wp:posOffset>
            </wp:positionV>
            <wp:extent cx="32816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1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i w:val="1"/>
          <w:iCs w:val="1"/>
          <w:color w:val="auto"/>
        </w:rPr>
        <w:t>Name: Carole S. Ben-Maimon, M.D.</w:t>
      </w:r>
    </w:p>
    <w:p>
      <w:pPr>
        <w:spacing w:after="0" w:line="2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120904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90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Larimar Therapeutics Reports First Quarter 2024 Operating and Financial Results</w:t>
      </w:r>
    </w:p>
    <w:p>
      <w:pPr>
        <w:spacing w:after="0" w:line="178" w:lineRule="exact"/>
        <w:rPr>
          <w:sz w:val="20"/>
          <w:szCs w:val="20"/>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First patient dosed in open label extension (OLE) study with 25 mg daily dosing of nomlabofusp; interim data on track for Q4 2024</w:t>
      </w:r>
    </w:p>
    <w:p>
      <w:pPr>
        <w:spacing w:after="0" w:line="18" w:lineRule="exact"/>
        <w:rPr>
          <w:rFonts w:ascii="Times New Roman" w:cs="Times New Roman" w:eastAsia="Times New Roman" w:hAnsi="Times New Roman"/>
          <w:sz w:val="16"/>
          <w:szCs w:val="16"/>
          <w:color w:val="auto"/>
        </w:rPr>
      </w:pPr>
    </w:p>
    <w:p>
      <w:pPr>
        <w:ind w:left="740" w:right="20" w:hanging="370"/>
        <w:spacing w:after="0" w:line="23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Positive top-line Phase 2 dose exploration study data demonstrated nomlabofusp was generally well-tolerated with dose-dependent increases in tissue frataxin levels, reinforcing therapeutic potential</w:t>
      </w:r>
    </w:p>
    <w:p>
      <w:pPr>
        <w:spacing w:after="0" w:line="1" w:lineRule="exact"/>
        <w:rPr>
          <w:rFonts w:ascii="Times New Roman" w:cs="Times New Roman" w:eastAsia="Times New Roman" w:hAnsi="Times New Roman"/>
          <w:sz w:val="16"/>
          <w:szCs w:val="16"/>
          <w:color w:val="auto"/>
        </w:rPr>
      </w:pPr>
    </w:p>
    <w:p>
      <w:pPr>
        <w:ind w:left="740" w:hanging="370"/>
        <w:spacing w:after="0" w:line="23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Biologics License Application (“BLA”) submission targeted for 2H 2025; discussions initiated with Food and Drug Administration (“FDA”) on potential to pursue accelerated approval pathway</w:t>
      </w:r>
    </w:p>
    <w:p>
      <w:pPr>
        <w:spacing w:after="0" w:line="1" w:lineRule="exact"/>
        <w:rPr>
          <w:rFonts w:ascii="Times New Roman" w:cs="Times New Roman" w:eastAsia="Times New Roman" w:hAnsi="Times New Roman"/>
          <w:sz w:val="16"/>
          <w:szCs w:val="16"/>
          <w:color w:val="auto"/>
        </w:rPr>
      </w:pPr>
    </w:p>
    <w:p>
      <w:pPr>
        <w:ind w:left="740" w:right="20" w:hanging="370"/>
        <w:spacing w:after="0" w:line="241"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Successful $161.8 million financing strengthens cash, cash equivalents, and marketable securities to $239 million as of March 31, 2024, extending projected cash runway into 2026</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 xml:space="preserve">Bala Cynwyd, PA, </w:t>
      </w:r>
      <w:r>
        <w:rPr>
          <w:rFonts w:ascii="Arial" w:cs="Arial" w:eastAsia="Arial" w:hAnsi="Arial"/>
          <w:sz w:val="16"/>
          <w:szCs w:val="16"/>
          <w:color w:val="auto"/>
        </w:rPr>
        <w:t>May 9, 2024 – Larimar Therapeutics, Inc. (“Larimar”) (Nasdaq: LRMR), a clinical-stage biotechnology company focused on developing</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treatments for complex rare diseases, today reported its first quarter 2024 operating and financial results.</w:t>
      </w:r>
    </w:p>
    <w:p>
      <w:pPr>
        <w:spacing w:after="0" w:line="131"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“We have started 2024 off strong, achieving critical milestones that support late-stage advancement of our nomlabofusp clinical program. Positive Phase 2 dose exploration study data demonstrated that nomlabofusp appears to be generally well-tolerated, and observed dose dependent increases in tissue frataxin levels that have the potential to address the underlying frataxin deficiency that is the root cause of Friedreich’s ataxia (FA). In March, we dosed the first patient in our OLE study and continue to enroll patients and activate additional sites. We are on track to report interim data in the fourth quarter of the year which will inform on the long-term safety and tissue frataxin levels of nomlabofusp,” said Carole Ben-Maimon, MD, President, and Chief Executive Officer of Larimar. “Together, these datasets will help support our BLA submission which we are targeting for the second half of 2025. We are continuing our regulatory discussions with the FDA on the potential use of frataxin as a novel surrogate endpoint to support accelerated approval and are planning for a global double-blind placebo-controlled confirmatory study which we expect to initiate prior to BLA submission. With our recent capital infusion and runway extended through key registrational catalysts, we are well positioned to further advance the first potential therapy to increase frataxin levels in patients with FA.”</w:t>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Highlights</w:t>
      </w:r>
    </w:p>
    <w:p>
      <w:pPr>
        <w:spacing w:after="0" w:line="185" w:lineRule="exact"/>
        <w:rPr>
          <w:sz w:val="20"/>
          <w:szCs w:val="20"/>
          <w:color w:val="auto"/>
        </w:rPr>
      </w:pPr>
    </w:p>
    <w:p>
      <w:pPr>
        <w:jc w:val="both"/>
        <w:ind w:left="740" w:right="20" w:hanging="370"/>
        <w:spacing w:after="0" w:line="234" w:lineRule="auto"/>
        <w:tabs>
          <w:tab w:leader="none" w:pos="74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6"/>
          <w:szCs w:val="16"/>
          <w:color w:val="auto"/>
        </w:rPr>
        <w:t>In February 2024, Larimar announced positive top-line data and successful completion of its four-week, placebo-controlled Phase 2 dose exploration study of nomlabofusp (CTI-1601) in patients with FA. Nomlabofusp was generally well-tolerated throughout the four-week treatment periods, had a predictable pharmacokinetic profile, and led to dose-dependent increases in frataxin in skin and buccal cells after daily dosing for 14 days followed by every other day dosing until day 28 in the 25 mg and 50 mg cohorts. Increases in frataxin levels in skin cells were seen in all treated patients, and in buccal cells for the majority of patients. At Day 14, all patients (with quantifiable levels at baseline and Day 14) treated with 50 mg of nomlabofusp achieved frataxin levels in skin cells greater than 33% of the average level observed in healthy volunteers, with 3 patients achieving levels greater than 50% of the average healthy volunteer level.</w:t>
      </w:r>
    </w:p>
    <w:p>
      <w:pPr>
        <w:spacing w:after="0" w:line="199" w:lineRule="exact"/>
        <w:rPr>
          <w:rFonts w:ascii="Times New Roman" w:cs="Times New Roman" w:eastAsia="Times New Roman" w:hAnsi="Times New Roman"/>
          <w:sz w:val="17"/>
          <w:szCs w:val="17"/>
          <w:color w:val="auto"/>
        </w:rPr>
      </w:pPr>
    </w:p>
    <w:p>
      <w:pPr>
        <w:jc w:val="both"/>
        <w:ind w:left="740" w:right="20" w:hanging="370"/>
        <w:spacing w:after="0" w:line="237" w:lineRule="auto"/>
        <w:tabs>
          <w:tab w:leader="none" w:pos="74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6"/>
          <w:szCs w:val="16"/>
          <w:color w:val="auto"/>
        </w:rPr>
        <w:t>In February 2024, Larimar announced the Company had initiated discussions with the FDA on use of tissue frataxin levels as a potential novel surrogate endpoint. Larimar received FDA acknowledgement that frataxin deficiency appears to be critical to the pathogenic mechanism of FA, and that there continues to be an unmet need for treatments that address the underlying disease pathophysiology. The Company intends to pursue an accelerated approval using FXN levels, supportive pharmacodynamics and clinical information, and safety data from the OLE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759460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sectPr>
      </w:pPr>
    </w:p>
    <w:bookmarkStart w:id="4" w:name="page5"/>
    <w:bookmarkEnd w:id="4"/>
    <w:p>
      <w:pPr>
        <w:ind w:left="740" w:right="20"/>
        <w:spacing w:after="0" w:line="260" w:lineRule="auto"/>
        <w:rPr>
          <w:sz w:val="20"/>
          <w:szCs w:val="20"/>
          <w:color w:val="auto"/>
        </w:rPr>
      </w:pPr>
      <w:r>
        <w:rPr>
          <w:rFonts w:ascii="Arial" w:cs="Arial" w:eastAsia="Arial" w:hAnsi="Arial"/>
          <w:sz w:val="16"/>
          <w:szCs w:val="16"/>
          <w:color w:val="auto"/>
        </w:rPr>
        <w:t>along with additional nonclinical pharmacology information needed to support the novel surrogate endpoint approach, with a BLA submission targeted for the second half of 2025.</w:t>
      </w:r>
    </w:p>
    <w:p>
      <w:pPr>
        <w:spacing w:after="0" w:line="181" w:lineRule="exact"/>
        <w:rPr>
          <w:sz w:val="20"/>
          <w:szCs w:val="20"/>
          <w:color w:val="auto"/>
        </w:rPr>
      </w:pPr>
    </w:p>
    <w:p>
      <w:pPr>
        <w:ind w:left="740" w:hanging="370"/>
        <w:spacing w:after="0"/>
        <w:tabs>
          <w:tab w:leader="none" w:pos="7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6"/>
          <w:szCs w:val="16"/>
          <w:color w:val="auto"/>
        </w:rPr>
        <w:t>In February 2024, Larimar raised net proceeds of approximately $161.8 million through a public offering of common stock.</w:t>
      </w:r>
    </w:p>
    <w:p>
      <w:pPr>
        <w:spacing w:after="0" w:line="218" w:lineRule="exact"/>
        <w:rPr>
          <w:rFonts w:ascii="Times New Roman" w:cs="Times New Roman" w:eastAsia="Times New Roman" w:hAnsi="Times New Roman"/>
          <w:sz w:val="17"/>
          <w:szCs w:val="17"/>
          <w:color w:val="auto"/>
        </w:rPr>
      </w:pPr>
    </w:p>
    <w:p>
      <w:pPr>
        <w:jc w:val="both"/>
        <w:ind w:left="740" w:hanging="370"/>
        <w:spacing w:after="0" w:line="234" w:lineRule="auto"/>
        <w:tabs>
          <w:tab w:leader="none" w:pos="7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6"/>
          <w:szCs w:val="16"/>
          <w:color w:val="auto"/>
        </w:rPr>
        <w:t>In March 2024, the first patient was dosed in the OLE study evaluating daily subcutaneous injections of 25 mg of nomlabofusp self-administered or administered by a caregiver. Participants who completed treatment in the Phase 2 dose exploration study, or who previously completed a prior clinical trial of nomlabofusp, are potentially eligible to screen for the OLE study. The OLE study will evaluate the safety and tolerability, pharmacokinetics, and frataxin levels in peripheral tissues as well as other exploratory pharmacodynamic markers (lipid profiles and gene expression data) following long-term subcutaneous administration of nomlabofusp. Dose escalation in the OLE study is contingent on the FDA’s review of data from the 50 mg cohort of the Phase 2 study and available data from the OLE study, due to the continued partial clinical hold. Interim data is expected in the fourth quarter of 2024. In addition, clinical assessments collected during the study will be compared to data from a matched control arm derived from participants in the Friedreich’s Ataxia Clinical Outcomes Measures Study (FACOMS) database.</w:t>
      </w:r>
    </w:p>
    <w:p>
      <w:pPr>
        <w:spacing w:after="0" w:line="197" w:lineRule="exact"/>
        <w:rPr>
          <w:rFonts w:ascii="Times New Roman" w:cs="Times New Roman" w:eastAsia="Times New Roman" w:hAnsi="Times New Roman"/>
          <w:sz w:val="17"/>
          <w:szCs w:val="17"/>
          <w:color w:val="auto"/>
        </w:rPr>
      </w:pPr>
    </w:p>
    <w:p>
      <w:pPr>
        <w:jc w:val="both"/>
        <w:ind w:left="740" w:right="20" w:hanging="370"/>
        <w:spacing w:after="0" w:line="236" w:lineRule="auto"/>
        <w:tabs>
          <w:tab w:leader="none" w:pos="7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6"/>
          <w:szCs w:val="16"/>
          <w:color w:val="auto"/>
        </w:rPr>
        <w:t>In March 2024, Larimar began to build its commercial team with the appointment of Frank Nazzario, RPh, as Vice President of Commercial. Mr. Nazzario brings nearly 30 years of leadership experience in drug launches for rare diseases. Most recently, he served as Senior Vice President of Sales at BioCryst Pharmaceuticals. Previously, he held commercial leadership roles at Spark Therapeutics where he led the commercialization of Luxturna®, the first FDA-approved gene therapy for an inherited retinal disorder, and at ViroPharma, Inc., where he led the launch of Cinryze®, the first approved biologic for Hereditary Angioedema.</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First Quarter 2024 Financial Results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March 31, 2024, the Company had cash, cash equivalents and marketable securities totaling $239 million. In February 2024, we raised approximately $161.8 million in net proceeds through a public offering of common stock.</w:t>
      </w:r>
    </w:p>
    <w:p>
      <w:pPr>
        <w:spacing w:after="0" w:line="5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Company reported a net loss for the first quarter of 2024 of $14.7 million, or $0.27 per share, compared to a net loss of $6.5 million, or $0.15 per share, for the first quarter of 2023.</w:t>
      </w:r>
    </w:p>
    <w:p>
      <w:pPr>
        <w:spacing w:after="0" w:line="5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Research and development expenses for the first quarter of 2024 were $12.9 million, compared to $4.6 million for the first quarter of 2023. The increase in research and development expenses was primarily driven by an increase of $5.7 million in nomlabofusp manufacturing costs, an increase of $1.0 million in clinical costs primarily associated with the initiation of the OLE study, an increase of $1.0 million in personnel expense driven by increasing headcount, an increase of $0.3 million in consulting fees and an increase of $0.2 million in stock compensation expense.</w:t>
      </w:r>
    </w:p>
    <w:p>
      <w:pPr>
        <w:spacing w:after="0" w:line="65"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General and administrative expenses were $3.8 million in the first quarter of 2024, compared to $3.1 million in the first quarter of 2023. The increase in general and administrative expenses was primarily driven by an increase of $0.2 million in personnel expense, an increase of $0.2 million in legal fees, and an increase of $0.1 million in stock compensation expense.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Larimar Therapeutics</w:t>
      </w:r>
    </w:p>
    <w:p>
      <w:pPr>
        <w:spacing w:after="0" w:line="9"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auto"/>
        </w:rPr>
        <w:t>Larimar Therapeutics, Inc. (Nasdaq: LRMR), is a clinical-stage biotechnology company focused on developing treatments for complex rare diseases. Larimar’s lead compound, nomlabofusp,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https://larimartx.com.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880110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60" w:right="3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nomlabofusp (also known as CTI-1601) and other planned product candidates, Larimar’s planned research and development efforts, including the timing of its nomlabofusp clinical trials, interactions with the FDA and overall development plan and other matters regarding Larimar’s business strategies, ability to raise capital, use of capital, results of operations and financial position, and plans and objectives for future operations.</w:t>
      </w:r>
    </w:p>
    <w:p>
      <w:pPr>
        <w:spacing w:after="0" w:line="151"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milestones and continued interactions with the FDA; that preliminary clinical trial results may differ from final clinical trial results, that earlier non-clinical and clinical data and testing of nomlabofusp may not be predictive of the results or success of later clinical trials, and assessments; that the FDA may not ultimately agree with Larimar’s nomlabofusp development strategy;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nomlabofusp’s manufacturing process; Larimar’s ability to obtain regulatory approvals for nomlabofusp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Joyce Allaire</w:t>
      </w:r>
    </w:p>
    <w:p>
      <w:pPr>
        <w:spacing w:after="0" w:line="231" w:lineRule="auto"/>
        <w:rPr>
          <w:sz w:val="20"/>
          <w:szCs w:val="20"/>
          <w:color w:val="auto"/>
        </w:rPr>
      </w:pPr>
      <w:r>
        <w:rPr>
          <w:rFonts w:ascii="Arial" w:cs="Arial" w:eastAsia="Arial" w:hAnsi="Arial"/>
          <w:sz w:val="16"/>
          <w:szCs w:val="16"/>
          <w:color w:val="auto"/>
        </w:rPr>
        <w:t>LifeSci Advisors</w:t>
      </w:r>
    </w:p>
    <w:p>
      <w:pPr>
        <w:spacing w:after="0" w:line="231" w:lineRule="auto"/>
        <w:rPr>
          <w:sz w:val="20"/>
          <w:szCs w:val="20"/>
          <w:color w:val="auto"/>
        </w:rPr>
      </w:pPr>
      <w:r>
        <w:rPr>
          <w:rFonts w:ascii="Arial" w:cs="Arial" w:eastAsia="Arial" w:hAnsi="Arial"/>
          <w:sz w:val="16"/>
          <w:szCs w:val="16"/>
          <w:color w:val="auto"/>
        </w:rPr>
        <w:t>jallaire@lifesciadvisors.com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(212) 915-2569</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Contact: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Michael Celano</w:t>
      </w:r>
    </w:p>
    <w:p>
      <w:pPr>
        <w:spacing w:after="0" w:line="231" w:lineRule="auto"/>
        <w:rPr>
          <w:sz w:val="20"/>
          <w:szCs w:val="20"/>
          <w:color w:val="auto"/>
        </w:rPr>
      </w:pPr>
      <w:r>
        <w:rPr>
          <w:rFonts w:ascii="Arial" w:cs="Arial" w:eastAsia="Arial" w:hAnsi="Arial"/>
          <w:sz w:val="16"/>
          <w:szCs w:val="16"/>
          <w:color w:val="auto"/>
        </w:rPr>
        <w:t>Chief Financial Officer</w:t>
      </w:r>
    </w:p>
    <w:p>
      <w:pPr>
        <w:spacing w:after="0" w:line="231" w:lineRule="auto"/>
        <w:rPr>
          <w:sz w:val="20"/>
          <w:szCs w:val="20"/>
          <w:color w:val="auto"/>
        </w:rPr>
      </w:pPr>
      <w:r>
        <w:rPr>
          <w:rFonts w:ascii="Arial" w:cs="Arial" w:eastAsia="Arial" w:hAnsi="Arial"/>
          <w:sz w:val="16"/>
          <w:szCs w:val="16"/>
          <w:color w:val="auto"/>
        </w:rPr>
        <w:t>mcelano@larimartx.com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(484) 414-2715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764540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6" w:name="page7"/>
    <w:bookmarkEnd w:id="6"/>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209040" cy="420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20370"/>
                    </a:xfrm>
                    <a:prstGeom prst="rect">
                      <a:avLst/>
                    </a:prstGeom>
                    <a:noFill/>
                  </pic:spPr>
                </pic:pic>
              </a:graphicData>
            </a:graphic>
          </wp:anchor>
        </w:drawing>
        <w:t>Larimar Therapeutics, Inc.</w:t>
      </w:r>
    </w:p>
    <w:p>
      <w:pPr>
        <w:spacing w:after="0" w:line="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Condensed Consolidated Balance Sheet</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jc w:val="right"/>
              <w:ind w:right="502"/>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213"/>
        </w:trPr>
        <w:tc>
          <w:tcPr>
            <w:tcW w:w="7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ind w:right="64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right"/>
              <w:ind w:right="642"/>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57"/>
        </w:trPr>
        <w:tc>
          <w:tcPr>
            <w:tcW w:w="734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05"/>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73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110,125</w:t>
            </w:r>
          </w:p>
        </w:tc>
        <w:tc>
          <w:tcPr>
            <w:tcW w:w="54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26,749</w:t>
            </w:r>
          </w:p>
        </w:tc>
      </w:tr>
      <w:tr>
        <w:trPr>
          <w:trHeight w:val="210"/>
        </w:trPr>
        <w:tc>
          <w:tcPr>
            <w:tcW w:w="7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Short-term marketable securities</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117,171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60,041</w:t>
            </w:r>
          </w:p>
        </w:tc>
      </w:tr>
      <w:tr>
        <w:trPr>
          <w:trHeight w:val="213"/>
        </w:trPr>
        <w:tc>
          <w:tcPr>
            <w:tcW w:w="73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3,657</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3,385</w:t>
            </w:r>
          </w:p>
        </w:tc>
      </w:tr>
      <w:tr>
        <w:trPr>
          <w:trHeight w:val="205"/>
        </w:trPr>
        <w:tc>
          <w:tcPr>
            <w:tcW w:w="73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 current assets</w:t>
            </w:r>
          </w:p>
        </w:tc>
        <w:tc>
          <w:tcPr>
            <w:tcW w:w="4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230,953</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90,175</w:t>
            </w: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marketable securities</w:t>
            </w: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11,711</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2,920</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3,078</w:t>
            </w: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w:t>
            </w:r>
          </w:p>
        </w:tc>
      </w:tr>
      <w:tr>
        <w:trPr>
          <w:trHeight w:val="213"/>
        </w:trPr>
        <w:tc>
          <w:tcPr>
            <w:tcW w:w="7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4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w:t>
            </w:r>
          </w:p>
        </w:tc>
      </w:tr>
      <w:tr>
        <w:trPr>
          <w:trHeight w:val="205"/>
        </w:trPr>
        <w:tc>
          <w:tcPr>
            <w:tcW w:w="7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4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248,205</w:t>
            </w:r>
          </w:p>
        </w:tc>
        <w:tc>
          <w:tcPr>
            <w:tcW w:w="54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95,935</w:t>
            </w:r>
          </w:p>
        </w:tc>
      </w:tr>
      <w:tr>
        <w:trPr>
          <w:trHeight w:val="20"/>
        </w:trPr>
        <w:tc>
          <w:tcPr>
            <w:tcW w:w="7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4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73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42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54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1,283</w:t>
            </w:r>
          </w:p>
        </w:tc>
      </w:tr>
      <w:tr>
        <w:trPr>
          <w:trHeight w:val="210"/>
        </w:trPr>
        <w:tc>
          <w:tcPr>
            <w:tcW w:w="7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7,386</w:t>
            </w:r>
          </w:p>
        </w:tc>
      </w:tr>
      <w:tr>
        <w:trPr>
          <w:trHeight w:val="213"/>
        </w:trPr>
        <w:tc>
          <w:tcPr>
            <w:tcW w:w="73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4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837</w:t>
            </w:r>
          </w:p>
        </w:tc>
      </w:tr>
      <w:tr>
        <w:trPr>
          <w:trHeight w:val="205"/>
        </w:trPr>
        <w:tc>
          <w:tcPr>
            <w:tcW w:w="73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12,841</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9,506</w:t>
            </w:r>
          </w:p>
        </w:tc>
      </w:tr>
      <w:tr>
        <w:trPr>
          <w:trHeight w:val="213"/>
        </w:trPr>
        <w:tc>
          <w:tcPr>
            <w:tcW w:w="73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4,520</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4,709</w:t>
            </w:r>
          </w:p>
        </w:tc>
      </w:tr>
      <w:tr>
        <w:trPr>
          <w:trHeight w:val="205"/>
        </w:trPr>
        <w:tc>
          <w:tcPr>
            <w:tcW w:w="73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 liabilities</w:t>
            </w:r>
          </w:p>
        </w:tc>
        <w:tc>
          <w:tcPr>
            <w:tcW w:w="4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17,361</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14,215</w:t>
            </w:r>
          </w:p>
        </w:tc>
      </w:tr>
      <w:tr>
        <w:trPr>
          <w:trHeight w:val="208"/>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(See Note 8)</w:t>
            </w: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88"/>
        </w:trPr>
        <w:tc>
          <w:tcPr>
            <w:tcW w:w="73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Preferred stock; $0.001 par value per share; 5,000,000 shares authorized as of March 31, 2024</w:t>
            </w:r>
          </w:p>
        </w:tc>
        <w:tc>
          <w:tcPr>
            <w:tcW w:w="4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and December 31, 2023; no shares issued and outstanding as of March 31, 2024 and</w:t>
            </w:r>
          </w:p>
        </w:tc>
        <w:tc>
          <w:tcPr>
            <w:tcW w:w="4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r>
      <w:tr>
        <w:trPr>
          <w:trHeight w:val="218"/>
        </w:trPr>
        <w:tc>
          <w:tcPr>
            <w:tcW w:w="73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December 31, 2023</w:t>
            </w: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185"/>
        </w:trPr>
        <w:tc>
          <w:tcPr>
            <w:tcW w:w="7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$0.001 par value per share; 115,000,000 shares authorized as of</w:t>
            </w:r>
          </w:p>
        </w:tc>
        <w:tc>
          <w:tcPr>
            <w:tcW w:w="4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189"/>
        </w:trPr>
        <w:tc>
          <w:tcPr>
            <w:tcW w:w="7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March 31, 2024 and December 31, 2023; 63,800,017 and 43,909,069 shares issued</w:t>
            </w: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2"/>
        </w:trPr>
        <w:tc>
          <w:tcPr>
            <w:tcW w:w="7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and outstanding as of March 31, 2024 and December 31, 2023, respectively</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8"/>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434,013</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270,150</w:t>
            </w: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(203,208)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(188,554)</w:t>
            </w:r>
          </w:p>
        </w:tc>
      </w:tr>
      <w:tr>
        <w:trPr>
          <w:trHeight w:val="213"/>
        </w:trPr>
        <w:tc>
          <w:tcPr>
            <w:tcW w:w="7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other comprehensive gain (loss)</w:t>
            </w:r>
          </w:p>
        </w:tc>
        <w:tc>
          <w:tcPr>
            <w:tcW w:w="4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25"/>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230,844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81,720</w:t>
            </w:r>
          </w:p>
        </w:tc>
      </w:tr>
      <w:tr>
        <w:trPr>
          <w:trHeight w:val="237"/>
        </w:trPr>
        <w:tc>
          <w:tcPr>
            <w:tcW w:w="73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20" w:type="dxa"/>
            <w:vAlign w:val="bottom"/>
            <w:tcBorders>
              <w:top w:val="single" w:sz="8" w:color="CFF0FC"/>
              <w:bottom w:val="single" w:sz="8" w:color="auto"/>
            </w:tcBorders>
            <w:shd w:val="clear" w:color="auto" w:fill="CFF0FC"/>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248,205</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95,935</w:t>
            </w:r>
          </w:p>
        </w:tc>
      </w:tr>
      <w:tr>
        <w:trPr>
          <w:trHeight w:val="1402"/>
        </w:trPr>
        <w:tc>
          <w:tcPr>
            <w:tcW w:w="7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5854065</wp:posOffset>
            </wp:positionH>
            <wp:positionV relativeFrom="paragraph">
              <wp:posOffset>-4745355</wp:posOffset>
            </wp:positionV>
            <wp:extent cx="11239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-3926840</wp:posOffset>
            </wp:positionV>
            <wp:extent cx="11239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-3086100</wp:posOffset>
            </wp:positionV>
            <wp:extent cx="11239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-2807970</wp:posOffset>
            </wp:positionV>
            <wp:extent cx="11239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-1231265</wp:posOffset>
            </wp:positionV>
            <wp:extent cx="11239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-937895</wp:posOffset>
            </wp:positionV>
            <wp:extent cx="11239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-923290</wp:posOffset>
            </wp:positionV>
            <wp:extent cx="11239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402" w:right="3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Larimar Therapeutics,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Condensed Consolidated Statements of Operations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 except share and per share data)</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000" w:type="dxa"/>
            <w:vAlign w:val="bottom"/>
          </w:tcPr>
          <w:p>
            <w:pPr>
              <w:spacing w:after="0"/>
              <w:rPr>
                <w:sz w:val="14"/>
                <w:szCs w:val="14"/>
                <w:color w:val="auto"/>
              </w:rPr>
            </w:pPr>
          </w:p>
        </w:tc>
      </w:tr>
      <w:tr>
        <w:trPr>
          <w:trHeight w:val="45"/>
        </w:trPr>
        <w:tc>
          <w:tcPr>
            <w:tcW w:w="732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58"/>
        </w:trPr>
        <w:tc>
          <w:tcPr>
            <w:tcW w:w="7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20" w:type="dxa"/>
            <w:vAlign w:val="bottom"/>
          </w:tcPr>
          <w:p>
            <w:pPr>
              <w:jc w:val="right"/>
              <w:ind w:right="66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jc w:val="right"/>
              <w:ind w:right="662"/>
              <w:spacing w:after="0"/>
              <w:rPr>
                <w:sz w:val="20"/>
                <w:szCs w:val="20"/>
                <w:color w:val="auto"/>
              </w:rPr>
            </w:pPr>
            <w:r>
              <w:rPr>
                <w:rFonts w:ascii="Times New Roman" w:cs="Times New Roman" w:eastAsia="Times New Roman" w:hAnsi="Times New Roman"/>
                <w:sz w:val="13"/>
                <w:szCs w:val="13"/>
                <w:b w:val="1"/>
                <w:bCs w:val="1"/>
                <w:color w:val="auto"/>
                <w:w w:val="92"/>
              </w:rPr>
              <w:t>2023</w:t>
            </w:r>
          </w:p>
        </w:tc>
      </w:tr>
      <w:tr>
        <w:trPr>
          <w:trHeight w:val="47"/>
        </w:trPr>
        <w:tc>
          <w:tcPr>
            <w:tcW w:w="73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05"/>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5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10"/>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12,939</w:t>
            </w:r>
          </w:p>
        </w:tc>
        <w:tc>
          <w:tcPr>
            <w:tcW w:w="102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4,562</w:t>
            </w:r>
          </w:p>
        </w:tc>
      </w:tr>
      <w:tr>
        <w:trPr>
          <w:trHeight w:val="213"/>
        </w:trPr>
        <w:tc>
          <w:tcPr>
            <w:tcW w:w="73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3,795</w:t>
            </w: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3,075</w:t>
            </w:r>
          </w:p>
        </w:tc>
      </w:tr>
      <w:tr>
        <w:trPr>
          <w:trHeight w:val="205"/>
        </w:trPr>
        <w:tc>
          <w:tcPr>
            <w:tcW w:w="73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5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16,734</w:t>
            </w:r>
          </w:p>
        </w:tc>
        <w:tc>
          <w:tcPr>
            <w:tcW w:w="1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7,637</w:t>
            </w:r>
          </w:p>
        </w:tc>
      </w:tr>
      <w:tr>
        <w:trPr>
          <w:trHeight w:val="208"/>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5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(16,734)</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(7,637)</w:t>
            </w:r>
          </w:p>
        </w:tc>
      </w:tr>
      <w:tr>
        <w:trPr>
          <w:trHeight w:val="210"/>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income, net</w:t>
            </w:r>
          </w:p>
        </w:tc>
        <w:tc>
          <w:tcPr>
            <w:tcW w:w="5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w:t>
            </w:r>
          </w:p>
        </w:tc>
      </w:tr>
      <w:tr>
        <w:trPr>
          <w:trHeight w:val="205"/>
        </w:trPr>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5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(14,654)</w:t>
            </w:r>
          </w:p>
        </w:tc>
        <w:tc>
          <w:tcPr>
            <w:tcW w:w="16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(6,526)</w:t>
            </w:r>
          </w:p>
        </w:tc>
      </w:tr>
      <w:tr>
        <w:trPr>
          <w:trHeight w:val="205"/>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5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2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r>
      <w:tr>
        <w:trPr>
          <w:trHeight w:val="20"/>
        </w:trPr>
        <w:tc>
          <w:tcPr>
            <w:tcW w:w="7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basic and diluted</w:t>
            </w:r>
          </w:p>
        </w:tc>
        <w:tc>
          <w:tcPr>
            <w:tcW w:w="5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53,553,707</w:t>
            </w:r>
          </w:p>
        </w:tc>
        <w:tc>
          <w:tcPr>
            <w:tcW w:w="1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43,897,603</w:t>
            </w:r>
          </w:p>
        </w:tc>
      </w:tr>
      <w:tr>
        <w:trPr>
          <w:trHeight w:val="188"/>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(14,654)</w:t>
            </w:r>
          </w:p>
        </w:tc>
        <w:tc>
          <w:tcPr>
            <w:tcW w:w="102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(6,526)</w:t>
            </w: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gain (loss):</w:t>
            </w: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73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Unrealized gain (loss) on marketable securities</w:t>
            </w:r>
          </w:p>
        </w:tc>
        <w:tc>
          <w:tcPr>
            <w:tcW w:w="5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5"/>
        </w:trPr>
        <w:tc>
          <w:tcPr>
            <w:tcW w:w="73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 other comprehensive gain (loss)</w:t>
            </w:r>
          </w:p>
        </w:tc>
        <w:tc>
          <w:tcPr>
            <w:tcW w:w="5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45"/>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comprehensive loss</w:t>
            </w:r>
          </w:p>
        </w:tc>
        <w:tc>
          <w:tcPr>
            <w:tcW w:w="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(14,760)</w:t>
            </w:r>
          </w:p>
        </w:tc>
        <w:tc>
          <w:tcPr>
            <w:tcW w:w="102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(6,495)</w:t>
            </w:r>
          </w:p>
        </w:tc>
      </w:tr>
      <w:tr>
        <w:trPr>
          <w:trHeight w:val="1402"/>
        </w:trPr>
        <w:tc>
          <w:tcPr>
            <w:tcW w:w="7320" w:type="dxa"/>
            <w:vAlign w:val="bottom"/>
            <w:tcBorders>
              <w:top w:val="single" w:sz="8" w:color="CFF0FC"/>
              <w:bottom w:val="single" w:sz="8" w:color="9A9A9A"/>
            </w:tcBorders>
          </w:tcPr>
          <w:p>
            <w:pPr>
              <w:spacing w:after="0"/>
              <w:rPr>
                <w:sz w:val="24"/>
                <w:szCs w:val="24"/>
                <w:color w:val="auto"/>
              </w:rPr>
            </w:pPr>
          </w:p>
        </w:tc>
        <w:tc>
          <w:tcPr>
            <w:tcW w:w="50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860" w:type="dxa"/>
            <w:vAlign w:val="bottom"/>
            <w:tcBorders>
              <w:top w:val="single" w:sz="8" w:color="auto"/>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5869305</wp:posOffset>
            </wp:positionH>
            <wp:positionV relativeFrom="paragraph">
              <wp:posOffset>-2650490</wp:posOffset>
            </wp:positionV>
            <wp:extent cx="1054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-2087245</wp:posOffset>
            </wp:positionV>
            <wp:extent cx="1054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-1786890</wp:posOffset>
            </wp:positionV>
            <wp:extent cx="1054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-1771650</wp:posOffset>
            </wp:positionV>
            <wp:extent cx="1054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-1223645</wp:posOffset>
            </wp:positionV>
            <wp:extent cx="1054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-937895</wp:posOffset>
            </wp:positionV>
            <wp:extent cx="1054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-923290</wp:posOffset>
            </wp:positionV>
            <wp:extent cx="1054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2024-05-09T06:18:53Z</dcterms:created>
  <dcterms:modified xsi:type="dcterms:W3CDTF">2024-05-09T06:18:53Z</dcterms:modified>
</cp:coreProperties>
</file>