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210185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229870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June 13,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217170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Zafgen,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60" w:type="dxa"/>
        <w:tblCellMar>
          <w:top w:w="0" w:type="dxa"/>
          <w:left w:w="0" w:type="dxa"/>
          <w:bottom w:w="0" w:type="dxa"/>
          <w:right w:w="0" w:type="dxa"/>
        </w:tblCellMar>
      </w:tblPr>
      <w:tr>
        <w:trPr>
          <w:trHeight w:val="212"/>
        </w:trPr>
        <w:tc>
          <w:tcPr>
            <w:tcW w:w="3540" w:type="dxa"/>
            <w:vAlign w:val="bottom"/>
          </w:tcPr>
          <w:p>
            <w:pPr>
              <w:jc w:val="center"/>
              <w:ind w:right="1839"/>
              <w:spacing w:after="0"/>
              <w:rPr>
                <w:sz w:val="20"/>
                <w:szCs w:val="20"/>
                <w:color w:val="auto"/>
              </w:rPr>
            </w:pPr>
            <w:r>
              <w:rPr>
                <w:rFonts w:ascii="Arial" w:cs="Arial" w:eastAsia="Arial" w:hAnsi="Arial"/>
                <w:sz w:val="18"/>
                <w:szCs w:val="18"/>
                <w:b w:val="1"/>
                <w:bCs w:val="1"/>
                <w:color w:val="auto"/>
                <w:w w:val="98"/>
              </w:rPr>
              <w:t>DELAWARE</w:t>
            </w:r>
          </w:p>
        </w:tc>
        <w:tc>
          <w:tcPr>
            <w:tcW w:w="2420" w:type="dxa"/>
            <w:vAlign w:val="bottom"/>
          </w:tcPr>
          <w:p>
            <w:pPr>
              <w:ind w:left="640"/>
              <w:spacing w:after="0"/>
              <w:rPr>
                <w:sz w:val="20"/>
                <w:szCs w:val="20"/>
                <w:color w:val="auto"/>
              </w:rPr>
            </w:pPr>
            <w:r>
              <w:rPr>
                <w:rFonts w:ascii="Arial" w:cs="Arial" w:eastAsia="Arial" w:hAnsi="Arial"/>
                <w:sz w:val="18"/>
                <w:szCs w:val="18"/>
                <w:b w:val="1"/>
                <w:bCs w:val="1"/>
                <w:color w:val="auto"/>
              </w:rPr>
              <w:t>001-36510</w:t>
            </w:r>
          </w:p>
        </w:tc>
        <w:tc>
          <w:tcPr>
            <w:tcW w:w="2800" w:type="dxa"/>
            <w:vAlign w:val="bottom"/>
          </w:tcPr>
          <w:p>
            <w:pPr>
              <w:jc w:val="center"/>
              <w:ind w:left="1601"/>
              <w:spacing w:after="0"/>
              <w:rPr>
                <w:sz w:val="20"/>
                <w:szCs w:val="20"/>
                <w:color w:val="auto"/>
              </w:rPr>
            </w:pPr>
            <w:r>
              <w:rPr>
                <w:rFonts w:ascii="Arial" w:cs="Arial" w:eastAsia="Arial" w:hAnsi="Arial"/>
                <w:sz w:val="18"/>
                <w:szCs w:val="18"/>
                <w:b w:val="1"/>
                <w:bCs w:val="1"/>
                <w:color w:val="auto"/>
                <w:w w:val="91"/>
              </w:rPr>
              <w:t>20-3857670</w:t>
            </w:r>
          </w:p>
        </w:tc>
      </w:tr>
      <w:tr>
        <w:trPr>
          <w:trHeight w:val="149"/>
        </w:trPr>
        <w:tc>
          <w:tcPr>
            <w:tcW w:w="354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6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540" w:type="dxa"/>
            <w:vAlign w:val="bottom"/>
          </w:tcPr>
          <w:p>
            <w:pPr>
              <w:jc w:val="center"/>
              <w:ind w:right="183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2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60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1"/>
              </w:rPr>
              <w:t>175 Portland Street, 4th Floor</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6"/>
              </w:rPr>
              <w:t>Boston, Massachusetts</w:t>
            </w:r>
          </w:p>
        </w:tc>
        <w:tc>
          <w:tcPr>
            <w:tcW w:w="2420" w:type="dxa"/>
            <w:vAlign w:val="bottom"/>
          </w:tcPr>
          <w:p>
            <w:pPr>
              <w:spacing w:after="0"/>
              <w:rPr>
                <w:sz w:val="19"/>
                <w:szCs w:val="19"/>
                <w:color w:val="auto"/>
              </w:rPr>
            </w:pPr>
          </w:p>
        </w:tc>
        <w:tc>
          <w:tcPr>
            <w:tcW w:w="2800" w:type="dxa"/>
            <w:vAlign w:val="bottom"/>
          </w:tcPr>
          <w:p>
            <w:pPr>
              <w:jc w:val="right"/>
              <w:ind w:right="1161"/>
              <w:spacing w:after="0"/>
              <w:rPr>
                <w:sz w:val="20"/>
                <w:szCs w:val="20"/>
                <w:color w:val="auto"/>
              </w:rPr>
            </w:pPr>
            <w:r>
              <w:rPr>
                <w:rFonts w:ascii="Arial" w:cs="Arial" w:eastAsia="Arial" w:hAnsi="Arial"/>
                <w:sz w:val="18"/>
                <w:szCs w:val="18"/>
                <w:b w:val="1"/>
                <w:bCs w:val="1"/>
                <w:color w:val="auto"/>
              </w:rPr>
              <w:t>02114</w:t>
            </w:r>
          </w:p>
        </w:tc>
      </w:tr>
      <w:tr>
        <w:trPr>
          <w:trHeight w:val="186"/>
        </w:trPr>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(Zip Code)</w:t>
            </w:r>
          </w:p>
        </w:tc>
      </w:tr>
    </w:tbl>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(617) 622-4003</w:t>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ZFGN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NASDAQ Global Market</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 Submission of Matters to a Vote of Security Holders.</w:t>
      </w:r>
    </w:p>
    <w:p>
      <w:pPr>
        <w:spacing w:after="0" w:line="121" w:lineRule="exact"/>
        <w:rPr>
          <w:sz w:val="20"/>
          <w:szCs w:val="20"/>
          <w:color w:val="auto"/>
        </w:rPr>
      </w:pPr>
    </w:p>
    <w:p>
      <w:pPr>
        <w:ind w:right="160" w:firstLine="441"/>
        <w:spacing w:after="0" w:line="285" w:lineRule="auto"/>
        <w:rPr>
          <w:sz w:val="20"/>
          <w:szCs w:val="20"/>
          <w:color w:val="auto"/>
        </w:rPr>
      </w:pPr>
      <w:r>
        <w:rPr>
          <w:rFonts w:ascii="Arial" w:cs="Arial" w:eastAsia="Arial" w:hAnsi="Arial"/>
          <w:sz w:val="16"/>
          <w:szCs w:val="16"/>
          <w:color w:val="auto"/>
        </w:rPr>
        <w:t>The Company held its Annual Meeting of Stockholders (the “Annual Meeting”) on June 13, 2019. As of April 22, 2019, the record date for the Annual Meeting, there were 37,326,895 outstanding shares of the Company’s common stock. The Company’s stockholders voted on the following matters, which are described in detail in the Company’s Definitive Proxy Statement filed with the U.S. Securities and Exchange Commission (“SEC”) on April 26, 2019: (i) to elect Peter Barrett, Ph.D. and Wendy Everett, Sc.D. as Class II directors of the Company to each serve for a three-year term expiring at the Company’s annual meeting of stockholders in 2022 and until their successors have been duly elected and qualified (“Proposal 1”), and</w:t>
      </w:r>
    </w:p>
    <w:p>
      <w:pPr>
        <w:spacing w:after="0" w:line="2" w:lineRule="exact"/>
        <w:rPr>
          <w:sz w:val="20"/>
          <w:szCs w:val="20"/>
          <w:color w:val="auto"/>
        </w:rPr>
      </w:pPr>
    </w:p>
    <w:p>
      <w:pPr>
        <w:ind w:firstLine="4"/>
        <w:spacing w:after="0" w:line="261" w:lineRule="auto"/>
        <w:tabs>
          <w:tab w:leader="none" w:pos="265"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the Company’s independent registered public accounting firm for the fiscal year ending December 31, 2019 (“Proposal 2”).</w:t>
      </w:r>
    </w:p>
    <w:p>
      <w:pPr>
        <w:spacing w:after="0" w:line="184" w:lineRule="exact"/>
        <w:rPr>
          <w:sz w:val="20"/>
          <w:szCs w:val="20"/>
          <w:color w:val="auto"/>
        </w:rPr>
      </w:pPr>
    </w:p>
    <w:p>
      <w:pPr>
        <w:ind w:right="560" w:firstLine="441"/>
        <w:spacing w:after="0" w:line="277" w:lineRule="auto"/>
        <w:rPr>
          <w:sz w:val="20"/>
          <w:szCs w:val="20"/>
          <w:color w:val="auto"/>
        </w:rPr>
      </w:pPr>
      <w:r>
        <w:rPr>
          <w:rFonts w:ascii="Arial" w:cs="Arial" w:eastAsia="Arial" w:hAnsi="Arial"/>
          <w:sz w:val="18"/>
          <w:szCs w:val="18"/>
          <w:color w:val="auto"/>
        </w:rPr>
        <w:t>The Company’s stockholders approved the Class II director nominees recommended for election in Proposal 1 at the Annual Meeting. The Company’s stockholders voted for Class II directors as follows:</w:t>
      </w:r>
    </w:p>
    <w:p>
      <w:pPr>
        <w:spacing w:after="0" w:line="189" w:lineRule="exact"/>
        <w:rPr>
          <w:sz w:val="20"/>
          <w:szCs w:val="20"/>
          <w:color w:val="auto"/>
        </w:rPr>
      </w:pPr>
    </w:p>
    <w:tbl>
      <w:tblPr>
        <w:tblLayout w:type="fixed"/>
        <w:tblInd w:w="880" w:type="dxa"/>
        <w:tblCellMar>
          <w:top w:w="0" w:type="dxa"/>
          <w:left w:w="0" w:type="dxa"/>
          <w:bottom w:w="0" w:type="dxa"/>
          <w:right w:w="0" w:type="dxa"/>
        </w:tblCellMar>
      </w:tblPr>
      <w:tr>
        <w:trPr>
          <w:trHeight w:val="191"/>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Class II Director Nominee</w:t>
            </w:r>
          </w:p>
        </w:tc>
        <w:tc>
          <w:tcPr>
            <w:tcW w:w="4040" w:type="dxa"/>
            <w:vAlign w:val="bottom"/>
          </w:tcPr>
          <w:p>
            <w:pPr>
              <w:spacing w:after="0"/>
              <w:rPr>
                <w:sz w:val="16"/>
                <w:szCs w:val="16"/>
                <w:color w:val="auto"/>
              </w:rPr>
            </w:pPr>
          </w:p>
        </w:tc>
        <w:tc>
          <w:tcPr>
            <w:tcW w:w="1260" w:type="dxa"/>
            <w:vAlign w:val="bottom"/>
            <w:gridSpan w:val="2"/>
          </w:tcPr>
          <w:p>
            <w:pPr>
              <w:ind w:left="320"/>
              <w:spacing w:after="0"/>
              <w:rPr>
                <w:sz w:val="20"/>
                <w:szCs w:val="20"/>
                <w:color w:val="auto"/>
              </w:rPr>
            </w:pPr>
            <w:r>
              <w:rPr>
                <w:rFonts w:ascii="Arial" w:cs="Arial" w:eastAsia="Arial" w:hAnsi="Arial"/>
                <w:sz w:val="14"/>
                <w:szCs w:val="14"/>
                <w:b w:val="1"/>
                <w:bCs w:val="1"/>
                <w:color w:val="auto"/>
              </w:rPr>
              <w:t>For</w:t>
            </w: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Withhold</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Broker Non-Votes</w:t>
            </w:r>
          </w:p>
        </w:tc>
      </w:tr>
      <w:tr>
        <w:trPr>
          <w:trHeight w:val="203"/>
        </w:trPr>
        <w:tc>
          <w:tcPr>
            <w:tcW w:w="16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Peter Barrett, Ph.D.</w:t>
            </w:r>
          </w:p>
        </w:tc>
        <w:tc>
          <w:tcPr>
            <w:tcW w:w="40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20,445,938</w:t>
            </w:r>
          </w:p>
        </w:tc>
        <w:tc>
          <w:tcPr>
            <w:tcW w:w="3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5,015,834</w:t>
            </w:r>
          </w:p>
        </w:tc>
        <w:tc>
          <w:tcPr>
            <w:tcW w:w="4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6,746,897</w:t>
            </w:r>
          </w:p>
        </w:tc>
        <w:tc>
          <w:tcPr>
            <w:tcW w:w="60" w:type="dxa"/>
            <w:vAlign w:val="bottom"/>
            <w:tcBorders>
              <w:top w:val="single" w:sz="8" w:color="CCEEFF"/>
            </w:tcBorders>
            <w:shd w:val="clear" w:color="auto" w:fill="CCEEFF"/>
          </w:tcPr>
          <w:p>
            <w:pPr>
              <w:spacing w:after="0"/>
              <w:rPr>
                <w:sz w:val="17"/>
                <w:szCs w:val="17"/>
                <w:color w:val="auto"/>
              </w:rPr>
            </w:pP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w w:val="92"/>
              </w:rPr>
              <w:t>Wendy Everett, Sc.D.</w:t>
            </w:r>
          </w:p>
        </w:tc>
        <w:tc>
          <w:tcPr>
            <w:tcW w:w="5300" w:type="dxa"/>
            <w:vAlign w:val="bottom"/>
            <w:gridSpan w:val="3"/>
          </w:tcPr>
          <w:p>
            <w:pPr>
              <w:jc w:val="right"/>
              <w:ind w:right="380"/>
              <w:spacing w:after="0"/>
              <w:rPr>
                <w:sz w:val="20"/>
                <w:szCs w:val="20"/>
                <w:color w:val="auto"/>
              </w:rPr>
            </w:pPr>
            <w:r>
              <w:rPr>
                <w:rFonts w:ascii="Arial" w:cs="Arial" w:eastAsia="Arial" w:hAnsi="Arial"/>
                <w:sz w:val="18"/>
                <w:szCs w:val="18"/>
                <w:color w:val="auto"/>
              </w:rPr>
              <w:t>20,850,967</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4,610,805</w:t>
            </w:r>
          </w:p>
        </w:tc>
        <w:tc>
          <w:tcPr>
            <w:tcW w:w="40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6,746,897</w:t>
            </w:r>
          </w:p>
        </w:tc>
      </w:tr>
    </w:tbl>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stockholders approved Proposal 2. The votes cast for Proposal 2 at the Annual Meeting were as follows:</w:t>
      </w:r>
    </w:p>
    <w:p>
      <w:pPr>
        <w:spacing w:after="0" w:line="244"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4180" w:type="dxa"/>
            <w:vAlign w:val="bottom"/>
            <w:gridSpan w:val="2"/>
          </w:tcPr>
          <w:p>
            <w:pPr>
              <w:jc w:val="center"/>
              <w:ind w:right="3960"/>
              <w:spacing w:after="0"/>
              <w:rPr>
                <w:sz w:val="20"/>
                <w:szCs w:val="20"/>
                <w:color w:val="auto"/>
              </w:rPr>
            </w:pPr>
            <w:r>
              <w:rPr>
                <w:rFonts w:ascii="Arial" w:cs="Arial" w:eastAsia="Arial" w:hAnsi="Arial"/>
                <w:sz w:val="14"/>
                <w:szCs w:val="14"/>
                <w:b w:val="1"/>
                <w:bCs w:val="1"/>
                <w:color w:val="auto"/>
                <w:w w:val="97"/>
              </w:rPr>
              <w:t>For</w:t>
            </w:r>
          </w:p>
        </w:tc>
        <w:tc>
          <w:tcPr>
            <w:tcW w:w="3080" w:type="dxa"/>
            <w:vAlign w:val="bottom"/>
            <w:gridSpan w:val="2"/>
          </w:tcPr>
          <w:p>
            <w:pPr>
              <w:jc w:val="center"/>
              <w:ind w:right="2480"/>
              <w:spacing w:after="0"/>
              <w:rPr>
                <w:sz w:val="20"/>
                <w:szCs w:val="20"/>
                <w:color w:val="auto"/>
              </w:rPr>
            </w:pPr>
            <w:r>
              <w:rPr>
                <w:rFonts w:ascii="Arial" w:cs="Arial" w:eastAsia="Arial" w:hAnsi="Arial"/>
                <w:sz w:val="14"/>
                <w:szCs w:val="14"/>
                <w:b w:val="1"/>
                <w:bCs w:val="1"/>
                <w:color w:val="auto"/>
                <w:w w:val="93"/>
              </w:rPr>
              <w:t>Against</w:t>
            </w:r>
          </w:p>
        </w:tc>
        <w:tc>
          <w:tcPr>
            <w:tcW w:w="500" w:type="dxa"/>
            <w:vAlign w:val="bottom"/>
          </w:tcPr>
          <w:p>
            <w:pPr>
              <w:spacing w:after="0"/>
              <w:rPr>
                <w:sz w:val="20"/>
                <w:szCs w:val="20"/>
                <w:color w:val="auto"/>
              </w:rPr>
            </w:pPr>
            <w:r>
              <w:rPr>
                <w:rFonts w:ascii="Arial" w:cs="Arial" w:eastAsia="Arial" w:hAnsi="Arial"/>
                <w:sz w:val="14"/>
                <w:szCs w:val="14"/>
                <w:b w:val="1"/>
                <w:bCs w:val="1"/>
                <w:color w:val="auto"/>
                <w:w w:val="93"/>
              </w:rPr>
              <w:t>Abstain</w:t>
            </w:r>
          </w:p>
        </w:tc>
      </w:tr>
      <w:tr>
        <w:trPr>
          <w:trHeight w:val="20"/>
        </w:trPr>
        <w:tc>
          <w:tcPr>
            <w:tcW w:w="1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shd w:val="clear" w:color="auto" w:fill="000000"/>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03"/>
        </w:trPr>
        <w:tc>
          <w:tcPr>
            <w:tcW w:w="5680" w:type="dxa"/>
            <w:vAlign w:val="bottom"/>
            <w:gridSpan w:val="3"/>
            <w:shd w:val="clear" w:color="auto" w:fill="CCEEFF"/>
          </w:tcPr>
          <w:p>
            <w:pPr>
              <w:jc w:val="right"/>
              <w:ind w:right="3660"/>
              <w:spacing w:after="0" w:line="203" w:lineRule="exact"/>
              <w:rPr>
                <w:sz w:val="20"/>
                <w:szCs w:val="20"/>
                <w:color w:val="auto"/>
              </w:rPr>
            </w:pPr>
            <w:r>
              <w:rPr>
                <w:rFonts w:ascii="Arial" w:cs="Arial" w:eastAsia="Arial" w:hAnsi="Arial"/>
                <w:sz w:val="18"/>
                <w:szCs w:val="18"/>
                <w:color w:val="auto"/>
              </w:rPr>
              <w:t>31,893,884</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295,150</w:t>
            </w:r>
          </w:p>
        </w:tc>
        <w:tc>
          <w:tcPr>
            <w:tcW w:w="2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87"/>
              </w:rPr>
              <w:t>19,635</w:t>
            </w: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other matters were submitted to or voted on by the Company’s stockholders at the Annual Meeting.</w:t>
      </w:r>
    </w:p>
    <w:p>
      <w:pPr>
        <w:spacing w:after="0" w:line="225" w:lineRule="exact"/>
        <w:rPr>
          <w:sz w:val="20"/>
          <w:szCs w:val="20"/>
          <w:color w:val="auto"/>
        </w:rPr>
      </w:pPr>
    </w:p>
    <w:p>
      <w:pPr>
        <w:jc w:val="center"/>
        <w:ind w:right="-59"/>
        <w:spacing w:after="0"/>
        <w:tabs>
          <w:tab w:leader="none" w:pos="200" w:val="left"/>
          <w:tab w:leader="none" w:pos="240" w:val="left"/>
        </w:tabs>
        <w:rPr>
          <w:sz w:val="20"/>
          <w:szCs w:val="20"/>
          <w:color w:val="auto"/>
        </w:rPr>
      </w:pPr>
      <w:r>
        <w:rPr>
          <w:rFonts w:ascii="Arial" w:cs="Arial" w:eastAsia="Arial" w:hAnsi="Arial"/>
          <w:sz w:val="18"/>
          <w:szCs w:val="18"/>
          <w:color w:val="auto"/>
        </w:rPr>
        <w:t>*</w:t>
        <w:tab/>
        <w:t>*</w:t>
        <w:tab/>
        <w:t>*</w:t>
      </w:r>
    </w:p>
    <w:p>
      <w:pPr>
        <w:sectPr>
          <w:pgSz w:w="11900" w:h="16838" w:orient="portrait"/>
          <w:cols w:equalWidth="0" w:num="1">
            <w:col w:w="10980"/>
          </w:cols>
          <w:pgMar w:left="440" w:top="270" w:right="47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June 13, 2019</w:t>
      </w:r>
      <w:r>
        <w:rPr>
          <w:sz w:val="20"/>
          <w:szCs w:val="20"/>
          <w:color w:val="auto"/>
        </w:rPr>
        <w:tab/>
      </w:r>
      <w:r>
        <w:rPr>
          <w:rFonts w:ascii="Arial" w:cs="Arial" w:eastAsia="Arial" w:hAnsi="Arial"/>
          <w:sz w:val="18"/>
          <w:szCs w:val="18"/>
          <w:b w:val="1"/>
          <w:bCs w:val="1"/>
          <w:color w:val="auto"/>
        </w:rPr>
        <w:t>ZAFGEN, INC.</w:t>
      </w:r>
    </w:p>
    <w:p>
      <w:pPr>
        <w:spacing w:after="0" w:line="229"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S. Hatfield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Jeffrey S.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-130810</wp:posOffset>
            </wp:positionV>
            <wp:extent cx="3215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sectPr>
      <w:pgSz w:w="11900" w:h="16838" w:orient="portrait"/>
      <w:cols w:equalWidth="0" w:num="1">
        <w:col w:w="10720"/>
      </w:cols>
      <w:pgMar w:left="440" w:top="270"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2019-12-01T17:58:45Z</dcterms:created>
  <dcterms:modified xsi:type="dcterms:W3CDTF">2019-12-01T17:58:45Z</dcterms:modified>
</cp:coreProperties>
</file>