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333-219834</w:t>
      </w:r>
    </w:p>
    <w:p>
      <w:pPr>
        <w:spacing w:after="0" w:line="144"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FF4338"/>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do not constitute an offer to sell these securities and we are not soliciting an offer to buy these securities in any jurisdiction where the offer or sale is not permitted.</w:t>
      </w:r>
    </w:p>
    <w:p>
      <w:pPr>
        <w:spacing w:after="0" w:line="111" w:lineRule="exact"/>
        <w:rPr>
          <w:sz w:val="24"/>
          <w:szCs w:val="24"/>
          <w:color w:val="auto"/>
        </w:rPr>
      </w:pPr>
    </w:p>
    <w:p>
      <w:pPr>
        <w:spacing w:after="0"/>
        <w:tabs>
          <w:tab w:leader="none" w:pos="9860" w:val="left"/>
        </w:tabs>
        <w:rPr>
          <w:sz w:val="20"/>
          <w:szCs w:val="20"/>
          <w:color w:val="auto"/>
        </w:rPr>
      </w:pPr>
      <w:r>
        <w:rPr>
          <w:rFonts w:ascii="Arial" w:cs="Arial" w:eastAsia="Arial" w:hAnsi="Arial"/>
          <w:sz w:val="18"/>
          <w:szCs w:val="18"/>
          <w:b w:val="1"/>
          <w:bCs w:val="1"/>
          <w:color w:val="FF4338"/>
        </w:rPr>
        <w:t>PROSPECTUS SUPPLEMENT (SUBJECT TO COMPLETION)</w:t>
      </w:r>
      <w:r>
        <w:rPr>
          <w:sz w:val="20"/>
          <w:szCs w:val="20"/>
          <w:color w:val="auto"/>
        </w:rPr>
        <w:tab/>
      </w:r>
      <w:r>
        <w:rPr>
          <w:rFonts w:ascii="Arial" w:cs="Arial" w:eastAsia="Arial" w:hAnsi="Arial"/>
          <w:sz w:val="16"/>
          <w:szCs w:val="16"/>
          <w:b w:val="1"/>
          <w:bCs w:val="1"/>
          <w:color w:val="FF4338"/>
        </w:rPr>
        <w:t>Dated June 27, 2018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314325</wp:posOffset>
            </wp:positionV>
            <wp:extent cx="18180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0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right"/>
        <w:ind w:right="4800"/>
        <w:spacing w:after="0"/>
        <w:rPr>
          <w:sz w:val="20"/>
          <w:szCs w:val="20"/>
          <w:color w:val="auto"/>
        </w:rPr>
      </w:pPr>
      <w:r>
        <w:rPr>
          <w:rFonts w:ascii="Arial" w:cs="Arial" w:eastAsia="Arial" w:hAnsi="Arial"/>
          <w:sz w:val="25"/>
          <w:szCs w:val="25"/>
          <w:b w:val="1"/>
          <w:bCs w:val="1"/>
          <w:color w:val="auto"/>
        </w:rPr>
        <w:t>Shares</w:t>
      </w:r>
    </w:p>
    <w:p>
      <w:pPr>
        <w:spacing w:after="0" w:line="226" w:lineRule="exact"/>
        <w:rPr>
          <w:sz w:val="24"/>
          <w:szCs w:val="24"/>
          <w:color w:val="auto"/>
        </w:rPr>
      </w:pPr>
    </w:p>
    <w:p>
      <w:pPr>
        <w:jc w:val="right"/>
        <w:ind w:right="4880"/>
        <w:spacing w:after="0"/>
        <w:rPr>
          <w:sz w:val="20"/>
          <w:szCs w:val="20"/>
          <w:color w:val="auto"/>
        </w:rPr>
      </w:pPr>
      <w:r>
        <w:rPr>
          <w:rFonts w:ascii="Arial" w:cs="Arial" w:eastAsia="Arial" w:hAnsi="Arial"/>
          <w:sz w:val="25"/>
          <w:szCs w:val="25"/>
          <w:b w:val="1"/>
          <w:bCs w:val="1"/>
          <w:color w:val="auto"/>
        </w:rPr>
        <w:t>Common Stock</w:t>
      </w:r>
    </w:p>
    <w:p>
      <w:pPr>
        <w:spacing w:after="0" w:line="226" w:lineRule="exact"/>
        <w:rPr>
          <w:sz w:val="24"/>
          <w:szCs w:val="24"/>
          <w:color w:val="auto"/>
        </w:rPr>
      </w:pPr>
    </w:p>
    <w:p>
      <w:pPr>
        <w:ind w:left="5560" w:hanging="697"/>
        <w:spacing w:after="0"/>
        <w:tabs>
          <w:tab w:leader="none" w:pos="556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We are selling</w:t>
      </w:r>
      <w:r>
        <w:rPr>
          <w:sz w:val="20"/>
          <w:szCs w:val="20"/>
          <w:color w:val="auto"/>
        </w:rPr>
        <w:tab/>
      </w:r>
      <w:r>
        <w:rPr>
          <w:rFonts w:ascii="Arial" w:cs="Arial" w:eastAsia="Arial" w:hAnsi="Arial"/>
          <w:sz w:val="16"/>
          <w:szCs w:val="16"/>
          <w:color w:val="auto"/>
        </w:rPr>
        <w:t>shares of our common stock in this offering.</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“ZFGN”. On June 26, 2018, the last reported sale price of our common stock on The Nasdaq Global Select Market was $8.71 per share.</w:t>
      </w:r>
    </w:p>
    <w:p>
      <w:pPr>
        <w:spacing w:after="0" w:line="170"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We are an “emerging growth company” under applicable Securities and Exchange Commission rules and will be subject to reduced public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30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Please read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S-10 of this prospectus supplement and page 4 of the accompanying prospectus,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tbl>
      <w:tblPr>
        <w:tblLayout w:type="fixed"/>
        <w:tblInd w:w="92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Per Share</w:t>
            </w:r>
          </w:p>
        </w:tc>
        <w:tc>
          <w:tcPr>
            <w:tcW w:w="1140" w:type="dxa"/>
            <w:vAlign w:val="bottom"/>
            <w:gridSpan w:val="2"/>
          </w:tcPr>
          <w:p>
            <w:pPr>
              <w:ind w:left="400"/>
              <w:spacing w:after="0"/>
              <w:rPr>
                <w:sz w:val="20"/>
                <w:szCs w:val="20"/>
                <w:color w:val="auto"/>
              </w:rPr>
            </w:pPr>
            <w:r>
              <w:rPr>
                <w:rFonts w:ascii="Arial" w:cs="Arial" w:eastAsia="Arial" w:hAnsi="Arial"/>
                <w:sz w:val="14"/>
                <w:szCs w:val="14"/>
                <w:b w:val="1"/>
                <w:bCs w:val="1"/>
                <w:i w:val="1"/>
                <w:iCs w:val="1"/>
                <w:color w:val="auto"/>
              </w:rPr>
              <w:t>Total</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 Offering Price</w:t>
            </w:r>
          </w:p>
        </w:tc>
        <w:tc>
          <w:tcPr>
            <w:tcW w:w="1100" w:type="dxa"/>
            <w:vAlign w:val="bottom"/>
            <w:tcBorders>
              <w:top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1100" w:type="dxa"/>
            <w:vAlign w:val="bottom"/>
          </w:tcPr>
          <w:p>
            <w:pPr>
              <w:jc w:val="right"/>
              <w:ind w:right="834"/>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080" w:type="dxa"/>
            <w:vAlign w:val="bottom"/>
          </w:tcPr>
          <w:p>
            <w:pPr>
              <w:jc w:val="right"/>
              <w:ind w:right="81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to Zafgen, Inc. (before expenses)</w:t>
            </w:r>
          </w:p>
        </w:tc>
        <w:tc>
          <w:tcPr>
            <w:tcW w:w="1100" w:type="dxa"/>
            <w:vAlign w:val="bottom"/>
            <w:shd w:val="clear" w:color="auto" w:fill="CCEEFF"/>
          </w:tcPr>
          <w:p>
            <w:pPr>
              <w:jc w:val="right"/>
              <w:ind w:right="834"/>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r>
    </w:tbl>
    <w:p>
      <w:pPr>
        <w:spacing w:after="0" w:line="22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S-21 for a description of the compensation payable to the underwriters.</w:t>
      </w:r>
    </w:p>
    <w:p>
      <w:pPr>
        <w:spacing w:after="0" w:line="225" w:lineRule="exact"/>
        <w:rPr>
          <w:sz w:val="24"/>
          <w:szCs w:val="24"/>
          <w:color w:val="auto"/>
        </w:rPr>
      </w:pPr>
    </w:p>
    <w:p>
      <w:pPr>
        <w:spacing w:after="0"/>
        <w:tabs>
          <w:tab w:leader="none" w:pos="6200" w:val="left"/>
          <w:tab w:leader="none" w:pos="1068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8"/>
          <w:szCs w:val="18"/>
          <w:color w:val="auto"/>
        </w:rPr>
        <w:t>shares of our common stock from us, at a price of $</w:t>
      </w:r>
      <w:r>
        <w:rPr>
          <w:sz w:val="20"/>
          <w:szCs w:val="20"/>
          <w:color w:val="auto"/>
        </w:rPr>
        <w:tab/>
      </w:r>
      <w:r>
        <w:rPr>
          <w:rFonts w:ascii="Arial" w:cs="Arial" w:eastAsia="Arial" w:hAnsi="Arial"/>
          <w:sz w:val="15"/>
          <w:szCs w:val="15"/>
          <w:color w:val="auto"/>
        </w:rPr>
        <w:t>per share,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 30 days after the date of this prospectus supplement.</w:t>
      </w:r>
    </w:p>
    <w:p>
      <w:pPr>
        <w:spacing w:after="0" w:line="211" w:lineRule="exact"/>
        <w:rPr>
          <w:sz w:val="24"/>
          <w:szCs w:val="24"/>
          <w:color w:val="auto"/>
        </w:rPr>
      </w:pPr>
    </w:p>
    <w:p>
      <w:pPr>
        <w:spacing w:after="0"/>
        <w:tabs>
          <w:tab w:leader="none" w:pos="6180" w:val="left"/>
        </w:tabs>
        <w:rPr>
          <w:sz w:val="20"/>
          <w:szCs w:val="20"/>
          <w:color w:val="auto"/>
        </w:rPr>
      </w:pPr>
      <w:r>
        <w:rPr>
          <w:rFonts w:ascii="Arial" w:cs="Arial" w:eastAsia="Arial" w:hAnsi="Arial"/>
          <w:sz w:val="18"/>
          <w:szCs w:val="18"/>
          <w:color w:val="auto"/>
        </w:rPr>
        <w:t>Delivery of the shares of common stock is expected to be made on or about</w:t>
      </w:r>
      <w:r>
        <w:rPr>
          <w:sz w:val="20"/>
          <w:szCs w:val="20"/>
          <w:color w:val="auto"/>
        </w:rPr>
        <w:tab/>
      </w:r>
      <w:r>
        <w:rPr>
          <w:rFonts w:ascii="Arial" w:cs="Arial" w:eastAsia="Arial" w:hAnsi="Arial"/>
          <w:sz w:val="16"/>
          <w:szCs w:val="16"/>
          <w:color w:val="auto"/>
        </w:rPr>
        <w:t>, 2018.</w:t>
      </w:r>
    </w:p>
    <w:p>
      <w:pPr>
        <w:spacing w:after="0" w:line="221" w:lineRule="exact"/>
        <w:rPr>
          <w:sz w:val="24"/>
          <w:szCs w:val="24"/>
          <w:color w:val="auto"/>
        </w:rPr>
      </w:pPr>
    </w:p>
    <w:p>
      <w:pPr>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900" w:type="dxa"/>
            <w:vAlign w:val="bottom"/>
            <w:gridSpan w:val="2"/>
          </w:tcPr>
          <w:p>
            <w:pPr>
              <w:jc w:val="right"/>
              <w:ind w:right="4805"/>
              <w:spacing w:after="0"/>
              <w:rPr>
                <w:sz w:val="20"/>
                <w:szCs w:val="20"/>
                <w:color w:val="auto"/>
              </w:rPr>
            </w:pPr>
            <w:r>
              <w:rPr>
                <w:rFonts w:ascii="Arial" w:cs="Arial" w:eastAsia="Arial" w:hAnsi="Arial"/>
                <w:sz w:val="18"/>
                <w:szCs w:val="18"/>
                <w:b w:val="1"/>
                <w:bCs w:val="1"/>
                <w:i w:val="1"/>
                <w:iCs w:val="1"/>
                <w:color w:val="auto"/>
              </w:rPr>
              <w:t>Joint Book-Runners</w:t>
            </w:r>
          </w:p>
        </w:tc>
      </w:tr>
      <w:tr>
        <w:trPr>
          <w:trHeight w:val="586"/>
        </w:trPr>
        <w:tc>
          <w:tcPr>
            <w:tcW w:w="452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b w:val="1"/>
                <w:bCs w:val="1"/>
                <w:color w:val="auto"/>
              </w:rPr>
              <w:t>Piper Jaffray</w:t>
            </w:r>
          </w:p>
        </w:tc>
      </w:tr>
      <w:tr>
        <w:trPr>
          <w:trHeight w:val="34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6900" w:type="dxa"/>
            <w:vAlign w:val="bottom"/>
            <w:gridSpan w:val="2"/>
          </w:tcPr>
          <w:p>
            <w:pPr>
              <w:jc w:val="right"/>
              <w:ind w:right="4845"/>
              <w:spacing w:after="0"/>
              <w:rPr>
                <w:sz w:val="20"/>
                <w:szCs w:val="20"/>
                <w:color w:val="auto"/>
              </w:rPr>
            </w:pPr>
            <w:r>
              <w:rPr>
                <w:rFonts w:ascii="Arial" w:cs="Arial" w:eastAsia="Arial" w:hAnsi="Arial"/>
                <w:sz w:val="18"/>
                <w:szCs w:val="18"/>
                <w:b w:val="1"/>
                <w:bCs w:val="1"/>
                <w:i w:val="1"/>
                <w:iCs w:val="1"/>
                <w:color w:val="auto"/>
              </w:rPr>
              <w:t>Co-Lead Managers</w:t>
            </w:r>
          </w:p>
        </w:tc>
      </w:tr>
      <w:tr>
        <w:trPr>
          <w:trHeight w:val="549"/>
        </w:trPr>
        <w:tc>
          <w:tcPr>
            <w:tcW w:w="4520" w:type="dxa"/>
            <w:vAlign w:val="bottom"/>
          </w:tcPr>
          <w:p>
            <w:pPr>
              <w:spacing w:after="0"/>
              <w:rPr>
                <w:sz w:val="20"/>
                <w:szCs w:val="20"/>
                <w:color w:val="auto"/>
              </w:rPr>
            </w:pPr>
            <w:r>
              <w:rPr>
                <w:rFonts w:ascii="Arial" w:cs="Arial" w:eastAsia="Arial" w:hAnsi="Arial"/>
                <w:sz w:val="25"/>
                <w:szCs w:val="25"/>
                <w:b w:val="1"/>
                <w:bCs w:val="1"/>
                <w:color w:val="auto"/>
              </w:rPr>
              <w:t>JMP Securities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b w:val="1"/>
                <w:bCs w:val="1"/>
                <w:color w:val="auto"/>
              </w:rPr>
              <w:t>Wedbush PacGrow</w:t>
            </w:r>
          </w:p>
        </w:tc>
      </w:tr>
    </w:tbl>
    <w:p>
      <w:pPr>
        <w:spacing w:after="0" w:line="189" w:lineRule="exact"/>
        <w:rPr>
          <w:sz w:val="24"/>
          <w:szCs w:val="24"/>
          <w:color w:val="auto"/>
        </w:rPr>
      </w:pPr>
    </w:p>
    <w:p>
      <w:pPr>
        <w:sectPr>
          <w:pgSz w:w="11900" w:h="16838" w:orient="portrait"/>
          <w:cols w:equalWidth="0" w:num="1">
            <w:col w:w="11420"/>
          </w:cols>
          <w:pgMar w:left="240" w:top="230" w:right="239" w:bottom="354" w:gutter="0" w:footer="0" w:header="0"/>
        </w:sectPr>
      </w:pPr>
    </w:p>
    <w:p>
      <w:pPr>
        <w:jc w:val="center"/>
        <w:ind w:left="540"/>
        <w:spacing w:after="0"/>
        <w:rPr>
          <w:sz w:val="20"/>
          <w:szCs w:val="20"/>
          <w:color w:val="auto"/>
        </w:rPr>
      </w:pPr>
      <w:r>
        <w:rPr>
          <w:rFonts w:ascii="Arial" w:cs="Arial" w:eastAsia="Arial" w:hAnsi="Arial"/>
          <w:sz w:val="15"/>
          <w:szCs w:val="15"/>
          <w:b w:val="1"/>
          <w:bCs w:val="1"/>
          <w:color w:val="auto"/>
        </w:rPr>
        <w:t>, 2018</w:t>
      </w:r>
    </w:p>
    <w:p>
      <w:pPr>
        <w:sectPr>
          <w:pgSz w:w="11900" w:h="16838" w:orient="portrait"/>
          <w:cols w:equalWidth="0" w:num="1">
            <w:col w:w="11420"/>
          </w:cols>
          <w:pgMar w:left="240" w:top="230" w:right="239" w:bottom="354"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40" w:type="dxa"/>
            <w:vAlign w:val="bottom"/>
            <w:gridSpan w:val="2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8440" w:type="dxa"/>
            <w:vAlign w:val="bottom"/>
            <w:gridSpan w:val="8"/>
          </w:tcPr>
          <w:p>
            <w:pPr>
              <w:spacing w:after="0"/>
              <w:rPr>
                <w:sz w:val="16"/>
                <w:szCs w:val="16"/>
                <w:color w:val="auto"/>
              </w:rPr>
            </w:pPr>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Disclosure Regarding Forward-Looking Statements</w:t>
              </w:r>
            </w:hyperlink>
          </w:p>
        </w:tc>
        <w:tc>
          <w:tcPr>
            <w:tcW w:w="72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850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1002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976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Dividend Policy</w:t>
              </w:r>
            </w:hyperlink>
          </w:p>
        </w:tc>
        <w:tc>
          <w:tcPr>
            <w:tcW w:w="974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Price Range of Common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Material U.S. Federal Income Tax Considerations for Non-U.S. Holders of Common Stock</w:t>
              </w:r>
            </w:hyperlink>
          </w:p>
        </w:tc>
        <w:tc>
          <w:tcPr>
            <w:tcW w:w="43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Underwriting</w:t>
              </w:r>
            </w:hyperlink>
          </w:p>
        </w:tc>
        <w:tc>
          <w:tcPr>
            <w:tcW w:w="996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Legal Matters</w:t>
              </w:r>
            </w:hyperlink>
          </w:p>
        </w:tc>
        <w:tc>
          <w:tcPr>
            <w:tcW w:w="99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Experts</w:t>
              </w:r>
            </w:hyperlink>
          </w:p>
        </w:tc>
        <w:tc>
          <w:tcPr>
            <w:tcW w:w="1034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Where You Can Find More Information</w:t>
              </w:r>
            </w:hyperlink>
          </w:p>
        </w:tc>
        <w:tc>
          <w:tcPr>
            <w:tcW w:w="804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Information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438"/>
        </w:trPr>
        <w:tc>
          <w:tcPr>
            <w:tcW w:w="36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72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940" w:type="dxa"/>
            <w:vAlign w:val="bottom"/>
            <w:gridSpan w:val="24"/>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660" w:type="dxa"/>
            <w:vAlign w:val="bottom"/>
            <w:tcBorders>
              <w:top w:val="single" w:sz="8" w:color="0000EE"/>
            </w:tcBorders>
            <w:gridSpan w:val="8"/>
          </w:tcPr>
          <w:p>
            <w:pPr>
              <w:spacing w:after="0"/>
              <w:rPr>
                <w:sz w:val="17"/>
                <w:szCs w:val="17"/>
                <w:color w:val="auto"/>
              </w:rPr>
            </w:pPr>
          </w:p>
        </w:tc>
        <w:tc>
          <w:tcPr>
            <w:tcW w:w="93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Cautionary Statement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The Company</w:t>
              </w:r>
            </w:hyperlink>
          </w:p>
        </w:tc>
        <w:tc>
          <w:tcPr>
            <w:tcW w:w="3480" w:type="dxa"/>
            <w:vAlign w:val="bottom"/>
            <w:tcBorders>
              <w:top w:val="single" w:sz="8" w:color="0000EE"/>
            </w:tcBorders>
            <w:gridSpan w:val="17"/>
          </w:tcPr>
          <w:p>
            <w:pPr>
              <w:spacing w:after="0"/>
              <w:rPr>
                <w:sz w:val="17"/>
                <w:szCs w:val="17"/>
                <w:color w:val="auto"/>
              </w:rPr>
            </w:pPr>
          </w:p>
        </w:tc>
        <w:tc>
          <w:tcPr>
            <w:tcW w:w="64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11"/>
          </w:tcPr>
          <w:p>
            <w:pPr>
              <w:spacing w:after="0"/>
              <w:rPr>
                <w:sz w:val="17"/>
                <w:szCs w:val="17"/>
                <w:color w:val="auto"/>
              </w:rPr>
            </w:pPr>
          </w:p>
        </w:tc>
        <w:tc>
          <w:tcPr>
            <w:tcW w:w="840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Securities We May Offer</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Description of Debt Securities</w:t>
              </w:r>
            </w:hyperlink>
          </w:p>
        </w:tc>
        <w:tc>
          <w:tcPr>
            <w:tcW w:w="870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Description of Warrants</w:t>
              </w:r>
            </w:hyperlink>
          </w:p>
        </w:tc>
        <w:tc>
          <w:tcPr>
            <w:tcW w:w="914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Description of Units</w:t>
              </w:r>
            </w:hyperlink>
          </w:p>
        </w:tc>
        <w:tc>
          <w:tcPr>
            <w:tcW w:w="946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Plan of Distribution</w:t>
              </w:r>
            </w:hyperlink>
          </w:p>
        </w:tc>
        <w:tc>
          <w:tcPr>
            <w:tcW w:w="950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Legal Matters</w:t>
              </w:r>
            </w:hyperlink>
          </w:p>
        </w:tc>
        <w:tc>
          <w:tcPr>
            <w:tcW w:w="99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Experts</w:t>
              </w:r>
            </w:hyperlink>
          </w:p>
        </w:tc>
        <w:tc>
          <w:tcPr>
            <w:tcW w:w="1034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Where You Can Find More Information</w:t>
              </w:r>
            </w:hyperlink>
          </w:p>
        </w:tc>
        <w:tc>
          <w:tcPr>
            <w:tcW w:w="80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Incorporation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Neither we nor the underwriters have authorized anyone to provide any information or make any representations other than those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is an offer to sell only the shares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their respective dates.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in the section of this prospectus supplement entitled “Incorporation of Certain Information by Reference.”</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supplement or the accompanying prospectus in any jurisdiction where action for that purpose is required, other than in the United States. Persons outside the United States who come into possession of this prospectus supplement or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Securities and Exchange Commission (“SEC”) using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this prospectus supplement, unless the context otherwise requires, references to “Zafgen,” “the Company,” “we,” “us,” and “our” refer to Zafgen, Inc. and its wholly-owned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references in this prospectus supplement to our consolidated financial statements include, unless the context indicates otherwise, the related notes.</w:t>
      </w:r>
    </w:p>
    <w:p>
      <w:pPr>
        <w:spacing w:after="0" w:line="24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industry and market data and other statistical information contained in the documents we incorporate by reference are based on management’s own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This prospectus supplement and any accompanying prospectus, including the documents that we incorporate by reference, may contain forward-looking statements within the meaning of Section 27A of the Securities Act of 1933, as amended, or the Securities Act, and Section 21E of the Securities Exchange Act of 1934, as amended, or the Exchange Act.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Forward-looking statements in this prospectus supplement and any accompanying prospectus give our current expectations or forecasts of future events. You can identify these statements by the fact that they do not relate strictly to historical or current facts. You can find many (but not all) of these statements by looking for words such as “may,” “will,” “should,” “expects,” “intends,” “plans,” “anticipates,” “believes,” “estimates,” “predicts,” “potential,” “continue” or the negative of these terms or other comparable terminology in this prospectus supplement and any accompanying prospectus. In particular, forward-looking statements include statements relating to future actions, prospective products and applications, customers, technologies, future performance or future financial results. These forward-looking statements are subject to certain risks and uncertainties that could cause actual results to differ materially from our historical experience and our present expectations or projections. Factors that could cause actual results to differ from those discussed in the forward-looking statements include, but are not limited to:</w:t>
      </w:r>
    </w:p>
    <w:p>
      <w:pPr>
        <w:spacing w:after="0" w:line="8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investigational new drug application, or IND, for ZGN-1258 go into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advance ZGN-1258 into and through all clinical trials to enable submission of a new drug application, or NDA;</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ZGN-1258;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IND for ZGN-1061 go into effect;</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select and advance through toxicology trials and the IND process an oral MetAP2 inhibitor for a liver-specific metabolic disease;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an oral methionine aminopeptidase 2, or MetAP2, inhibitor into Phase 1 trials;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or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distinguish ZGN-1061 and other novel MetAP2 inhibitors relative to our first-generation compound;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clinical research organizations and contract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900" w:right="9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this prospectus supplement and the accompanying prospectus or the documents incorporated by reference in this prospectus.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The forward-looking statements are based upon management’s beliefs and assumptions and are made as of the date of this prospectus supplement. We undertake no obligation to publicly update or revise any forward-looking statements included in this prospectus supplement to conform such statements to actual results or changes in our expectations. You should not place undue reliance on these forward-looking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“Incorporation of Certain Information by Reference” in this prospectus supplement. You should also carefully consider the matters discussed in the section in this prospectus supplement entitled “Risk Factors” and in the accompanying prospectus and in other periodic reports incorporated herein by reference.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a biopharmaceutical company dedicated to significantly improving the health and well-being of patients affected by both rare and prevalent metabolic diseases including type 2 diabetes, Prader-Willi syndrome, or PWS, and potentially other metabolically related disorders. We have pioneered the study of methionine aminopeptidase 2, or MetAP2, inhibitors and are focused on developing novel therapeutics that treat biological mechanisms that underlie metabolic disorders through the MetAP2 pathway.</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7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 which is designed to demonstrate proof-of-concept efficacy and safety in patients with type 2 diabetes and establish minimally effective doses. The core part of the Phase 2 clinical trial has met its primary objectives at a 0.9 mg dose as compared to a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expect to report the results of an additional cohort arm dosing up to 1.8 mg early in 2019.</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GLP-1. From nonclinical data in a nonalcoholic steatohepatitis, or NASH, model, we further observed that ZGN-1061 markedly reduced liver weight, NAS score and markers of liver damage (ALT and AST). These NASH-related data, combined with previous gene expression data with ZGN-1061 and clinical liver fat content data from Zafgen’s first 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also initiated development of a second, highly-optimized MetAP2 development candidate, ZGN-1258, which is administered by subcutaneous injection. We expect that our initial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8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initiated IND enabling nonclinical activities in the first quarter of 2018, in preparation for filing an IND with the U.S. Food and Drug Administration, or FDA, and plan to begin Phase 1 clinical development by the end of 2018. We anticipate our Phase 1 clinical program of ZGN-1258 will be focused on evaluation of drug exposure, safety and tolerability following single doses in normal weight and otherwise healthy subjects, and understanding the dose-responsiveness of changes following repeat dosing for circulating biomarkers of drug effect, body weight change, and changes in hunger-related parameters in obese but otherwise healthy subjects. Providing the results of the Phase 1 clinical program are supportive of further development, subsequent clinical trials are anticipated to evaluate the effects of treatment with ZGN-1258 on core therapeutic endpoints in PWS such as improvement of hyperphagia-related behaviors. We expect to conduct a multinational PWS natural history study, which we plan to begin in mid-year 2018. The study will inform our development program and provide important insights into the medical and clinical history of people with PWS.</w:t>
      </w:r>
    </w:p>
    <w:p>
      <w:pPr>
        <w:spacing w:after="0" w:line="166"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93"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844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844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under the laws of the State of Delaware in 2005. Our principal executive offices are located at 175 Portland Street, 4th Floor, Boston, Massachusetts 02114 and our telephone number is (617) 622-4003. Our website address is www.zafgen.com. We do not incorporate the information on or accessible through our website into this prospectus, and you should not consider any information on, or that can be accessed through, our website as part of this prospectus. Our common stock trades on The Nasdaq Global Select Market under the symbol “ZFGN”.</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24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55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Zafgen, Inc.</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240" w:space="720"/>
            <w:col w:w="626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240" w:space="720"/>
            <w:col w:w="626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240" w:space="720"/>
            <w:col w:w="626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use the net proceeds from this offering to advance the clinical development of ZGN-1258 for rare metabolic indications, initially focusing on Prader-Willi syndrome; develop clinical and nonclinical data necessary to potentially optimize the value of ZGN-1061, including unique mechanistic effects in diabetes, potential liver effects in NASH, and other endpoint data based upon proprietary knowledge of the MetAP2 pathway; select and advance into clinical development an orally active MetAP2 inhibitor for the treatment of liver-specific metabolic disease; and fund working capital and other general corporate purposes. See “Use of Proceeds.”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investment involves a high degree of risk. See the information contained in or incorporated by reference under “Risk Factors” beginning on page S-10 of this prospectus supplement and page 4 of the accompanying prospectus, and in the documents incorporated by reference into this prospectus supplement.</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after this offering is based on 27,558,883 shares outstanding, as of March 31, 2018, and excludes as of that date:</w:t>
      </w:r>
    </w:p>
    <w:p>
      <w:pPr>
        <w:spacing w:after="0" w:line="76" w:lineRule="exact"/>
        <w:rPr>
          <w:sz w:val="20"/>
          <w:szCs w:val="20"/>
          <w:color w:val="auto"/>
        </w:rPr>
      </w:pPr>
    </w:p>
    <w:p>
      <w:pPr>
        <w:ind w:left="1060" w:right="4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7,076,761 shares of common stock issuable upon the exercise of stock options outstanding as of March 31, 2018, at a weighted average exercise price of $8.42 per share;</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1,677,858 shares of common stock that are available for future issuance under the Zafgen, Inc. 2014 Stock Option and Incentive Plan as of March 31, 2018; and</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176,016 shares of common stock that are available for future issuance under the Zafgen, Inc. 2014 Employee Stock Purchase Plan as of March 31,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981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98171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If the underwriters’ option to purchase additional shares is exercised in full, we will issue and sell an additional common stock and will have shares outstanding after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shares of our</w:t>
      </w:r>
    </w:p>
    <w:p>
      <w:pPr>
        <w:spacing w:after="0" w:line="463" w:lineRule="exact"/>
        <w:rPr>
          <w:sz w:val="20"/>
          <w:szCs w:val="20"/>
          <w:color w:val="auto"/>
        </w:rPr>
      </w:pPr>
    </w:p>
    <w:p>
      <w:pPr>
        <w:sectPr>
          <w:pgSz w:w="11900" w:h="16838" w:orient="portrait"/>
          <w:cols w:equalWidth="0" w:num="2">
            <w:col w:w="9500" w:space="720"/>
            <w:col w:w="940"/>
          </w:cols>
          <w:pgMar w:left="240" w:top="459" w:right="499" w:bottom="1440" w:gutter="0" w:footer="0" w:header="0"/>
          <w:type w:val="continuous"/>
        </w:sect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all information in this prospectus supplement assumes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60"/>
          </w:cols>
          <w:pgMar w:left="240" w:top="459"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carefully consider the risks discussed under the section captioned “Risk Factors” contained in our Annual Report on Form 10-K for the year ended December 31, 2017, and our Quarterly Report on Form 10-Q for the quarter ended March 31, 2018, which are incorporated by reference in this prospectus supplement and the accompanying prospectus in its entirety,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existing cash and may not use them effectively.</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as well as our existing cash and cash equivalents,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investment-grade, interest-bearing securities. These investments may not yield a favorable return to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offering price per share in this offering may exceed the net tangible book value per share of our common stock outstanding prior to this offering.</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After giving effect to the sale by us of shares of our common stock in this offering, at an offering price of $ per share and after deducting the underwriters’ discounts and commissions and estimated offering expenses payable by us, you will experience immediate dilution of $ per share</w:t>
      </w:r>
    </w:p>
    <w:p>
      <w:pPr>
        <w:ind w:right="140"/>
        <w:spacing w:after="0" w:line="255" w:lineRule="auto"/>
        <w:rPr>
          <w:sz w:val="20"/>
          <w:szCs w:val="20"/>
          <w:color w:val="auto"/>
        </w:rPr>
      </w:pPr>
      <w:r>
        <w:rPr>
          <w:rFonts w:ascii="Arial" w:cs="Arial" w:eastAsia="Arial" w:hAnsi="Arial"/>
          <w:sz w:val="18"/>
          <w:szCs w:val="18"/>
          <w:color w:val="auto"/>
        </w:rPr>
        <w:t>based on the difference between our as adjusted net tangible book value per share as of March 31, 2018 after giving effect to this offering and the offering price. The exercise of outstanding stock options may result in further dilution of your investment. See the section titled “Dilution” below for a more detailed illustration of the dilution you may incur if you participate in this offering.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more or less than the price per share paid by investors in this offering, and investors purchasing shares or other securities in the future could have rights superior to existing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after this offering could cause our stock price to fall.</w:t>
      </w:r>
    </w:p>
    <w:p>
      <w:pPr>
        <w:spacing w:after="0" w:line="1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March 31, 2018, 27,558,883 shares of our common stock and options to purchase 7,076,761 shares of our common stock were outstanding. The sale or the availability for sale of a large number of shares of our common stock in the public market could cause the price of our common stock to decline.</w:t>
      </w:r>
    </w:p>
    <w:p>
      <w:pPr>
        <w:spacing w:after="0" w:line="17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Upon completion of this offering, based on the number of shares of common stock outstanding as of March 31, 2018, there will be shares of our common stock outstanding assuming no exercise of the underwriters’ option to purchase additional shares. Of these, shares are being sold in this offering and will be freely tradable immediately after this offering (except for shares purchased by affiliates) and the remaining</w:t>
      </w:r>
    </w:p>
    <w:p>
      <w:pPr>
        <w:spacing w:after="0" w:line="252" w:lineRule="auto"/>
        <w:rPr>
          <w:sz w:val="20"/>
          <w:szCs w:val="20"/>
          <w:color w:val="auto"/>
        </w:rPr>
      </w:pPr>
      <w:r>
        <w:rPr>
          <w:rFonts w:ascii="Arial" w:cs="Arial" w:eastAsia="Arial" w:hAnsi="Arial"/>
          <w:sz w:val="18"/>
          <w:szCs w:val="18"/>
          <w:color w:val="auto"/>
        </w:rPr>
        <w:t>shares may be sold upon expiration of lock-up agreements 60 days after the date of this offering (subject in some cases to volume limitations). A large portion of these shares are held by a small number of persons and investment funds. Moreover, after this offering, Atlas Venture Fund VII, L.P. and certain of our other stockholders will have rights, subject to some conditions, to require us to file registration statements covering the shares of our common stock they currently hold, or to include these shares in registration statements that we may file for ourselves or other stockholders. For more information regarding these registration rights, see Exhibit 4.2 to our Annual Report on Form 10-K for the fiscal year ended December 31, 2017, which is incorporated herein by reference.</w:t>
      </w:r>
    </w:p>
    <w:p>
      <w:pPr>
        <w:spacing w:after="0" w:line="19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this offering and other transactions that have occurred since our inception, may trigger such an ownership change pursuant to Section 382. Any such limitation, whether as the result of our follow-on public offering, IPO, prior private placements, this offering,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the Tax Cuts and Jobs Act of 2017, or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common stock and we do not anticipate paying any dividends in the foreseeable future.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Our Loan and Security Agreement with Silicon Valley Bank also includes limitations on our ability to pay dividends to our stockholders.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IND applications for ZGN-1061 and ZGN-1258 with the FDA and advance into the clinical trial stage. Depending on the status of regulatory approval or, if approved, commercialization of ZGN-1061, ZGN-1258, or any of our other product candidates, as well as the progress we make in selling ZGN-1061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2018, our cash, cash equivalents and marketable securities were $89.1 million and our outstanding debt totaled $20 million. Based on our current plans and forecasted expenses, and considering our minimum cash and investments balance requirement associated with our Term Loan, we believe that our cash, cash equivalents and marketable securities will enable us to fund our operating expenses, debt service obligations and capital expenditures through the second quarter of 2019.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7920" w:type="dxa"/>
            <w:vAlign w:val="bottom"/>
            <w:gridSpan w:val="2"/>
          </w:tcPr>
          <w:p>
            <w:pPr>
              <w:ind w:left="144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3440" w:type="dxa"/>
            <w:vAlign w:val="bottom"/>
            <w:gridSpan w:val="2"/>
          </w:tcPr>
          <w:p>
            <w:pPr>
              <w:ind w:left="460"/>
              <w:spacing w:after="0"/>
              <w:rPr>
                <w:sz w:val="20"/>
                <w:szCs w:val="20"/>
                <w:color w:val="auto"/>
              </w:rPr>
            </w:pPr>
            <w:r>
              <w:rPr>
                <w:rFonts w:ascii="Arial" w:cs="Arial" w:eastAsia="Arial" w:hAnsi="Arial"/>
                <w:sz w:val="18"/>
                <w:szCs w:val="18"/>
                <w:color w:val="auto"/>
                <w:w w:val="97"/>
              </w:rPr>
              <w:t>Based on the public offering price of $</w:t>
            </w:r>
          </w:p>
        </w:tc>
        <w:tc>
          <w:tcPr>
            <w:tcW w:w="7920" w:type="dxa"/>
            <w:vAlign w:val="bottom"/>
            <w:gridSpan w:val="2"/>
          </w:tcPr>
          <w:p>
            <w:pPr>
              <w:ind w:left="580"/>
              <w:spacing w:after="0"/>
              <w:rPr>
                <w:sz w:val="20"/>
                <w:szCs w:val="20"/>
                <w:color w:val="auto"/>
              </w:rPr>
            </w:pPr>
            <w:r>
              <w:rPr>
                <w:rFonts w:ascii="Arial" w:cs="Arial" w:eastAsia="Arial" w:hAnsi="Arial"/>
                <w:sz w:val="18"/>
                <w:szCs w:val="18"/>
                <w:color w:val="auto"/>
                <w:w w:val="89"/>
              </w:rPr>
              <w:t>per share of common stock, we estimate that the net proceeds to us from the sale of the securities that</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we are offering will be approximately $</w:t>
            </w:r>
          </w:p>
        </w:tc>
        <w:tc>
          <w:tcPr>
            <w:tcW w:w="2560" w:type="dxa"/>
            <w:vAlign w:val="bottom"/>
          </w:tcPr>
          <w:p>
            <w:pPr>
              <w:ind w:left="180"/>
              <w:spacing w:after="0"/>
              <w:rPr>
                <w:sz w:val="20"/>
                <w:szCs w:val="20"/>
                <w:color w:val="auto"/>
              </w:rPr>
            </w:pPr>
            <w:r>
              <w:rPr>
                <w:rFonts w:ascii="Arial" w:cs="Arial" w:eastAsia="Arial" w:hAnsi="Arial"/>
                <w:sz w:val="18"/>
                <w:szCs w:val="18"/>
                <w:color w:val="auto"/>
              </w:rPr>
              <w:t>million, or approximately $</w:t>
            </w:r>
          </w:p>
        </w:tc>
        <w:tc>
          <w:tcPr>
            <w:tcW w:w="5360" w:type="dxa"/>
            <w:vAlign w:val="bottom"/>
          </w:tcPr>
          <w:p>
            <w:pPr>
              <w:ind w:left="380"/>
              <w:spacing w:after="0"/>
              <w:rPr>
                <w:sz w:val="20"/>
                <w:szCs w:val="20"/>
                <w:color w:val="auto"/>
              </w:rPr>
            </w:pPr>
            <w:r>
              <w:rPr>
                <w:rFonts w:ascii="Arial" w:cs="Arial" w:eastAsia="Arial" w:hAnsi="Arial"/>
                <w:sz w:val="18"/>
                <w:szCs w:val="18"/>
                <w:color w:val="auto"/>
                <w:w w:val="91"/>
              </w:rPr>
              <w:t>million if the option to purchase additional shares is exercised in full,</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underwriting discounts and commissions and estimated offering expenses.</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intend to use any proceeds received from this offering to advance the clinical development of ZGN-1258 for rare metabolic indications, initially focusing on Prader-Willi syndrome; develop clinical and nonclinical data necessary to potentially optimize the value of ZGN-1061, including unique mechanistic effects in diabetes, potential liver effects in NASH, and other endpoint data based upon proprietary knowledge of the MetAP2 pathway; select and advance into clinical development an orally active MetAP2 inhibitor for the treatment of liver-specific metabolic disease; and fund working capital and other general corporate purposes.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Even if we sell all of the securities subject to this offering, we will still need to obtain additional financing in the future in order to fully fund our business through the FDA regulatory approval process. We may elect to seek such additional financing through public or private equity or debt offerings or other sources, including collaborative or other arrangements with corporate partners or through refinancing our existing debt. There can be no assurance we will be able to obtain such additional financing or that such additional financing will be on terms that are favorable to us. Although we currently anticipate that we will use the net proceeds of this offering as described above, there may be circumstances where a reallocation of funds may be necessary. The amounts and timing of our actual expenditures will depend upon numerous factors, including the progress of our development and commercialization efforts, the progress of our clinical studies, whether or not we enter into strategic collaborations or partnerships and our operating costs and expenditures. Accordingly, our management will have significant flexibility in applying the net proceeds of this offering.</w:t>
      </w:r>
    </w:p>
    <w:p>
      <w:pPr>
        <w:spacing w:after="0" w:line="17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costs and timing of regulatory approval, particularly conducting clinical studies, are highly uncertain, are subject to substantial risks and can often change. Accordingly, we may change the allocation of use of these proceeds as a result of contingencies such as the progress and results of our clinical studies and other development activities, the establishment of collaborations, our manufacturing requirements and regulatory or competitive developments.</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Pending the application of the net proceeds as described above or otherwise, we may invest the proceeds in short-term, investment-grade, interest-bearing securities or guaranteed obligations of the U.S. government or other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46"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Our net tangible book value as of March 31, 2018 was approximately $65.0 million, or approximately $2.36 per share of common stock, based upon 27,558,883 shares outstanding as of that date. Net tangible book value per share is determined by dividing such number of outstanding shares of common stock into our net tangible book value, which is our total tangible assets, less total liabilities at that date.</w:t>
      </w:r>
    </w:p>
    <w:p>
      <w:pPr>
        <w:spacing w:after="0" w:line="181"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After giving effect to the sale of the securities in this offering at the public offering price of $ per share of common stock, excluding the exercise of the underwriters’ option to purchase additional shares and after deducting underwriting discounts, commissions and other estimated offering</w:t>
      </w:r>
    </w:p>
    <w:tbl>
      <w:tblPr>
        <w:tblLayout w:type="fixed"/>
        <w:tblInd w:w="0" w:type="dxa"/>
        <w:tblCellMar>
          <w:top w:w="0" w:type="dxa"/>
          <w:left w:w="0" w:type="dxa"/>
          <w:bottom w:w="0" w:type="dxa"/>
          <w:right w:w="0" w:type="dxa"/>
        </w:tblCellMar>
      </w:tblPr>
      <w:tr>
        <w:trPr>
          <w:trHeight w:val="202"/>
        </w:trPr>
        <w:tc>
          <w:tcPr>
            <w:tcW w:w="8820" w:type="dxa"/>
            <w:vAlign w:val="bottom"/>
            <w:gridSpan w:val="5"/>
          </w:tcPr>
          <w:p>
            <w:pPr>
              <w:spacing w:after="0" w:line="202" w:lineRule="exact"/>
              <w:rPr>
                <w:sz w:val="20"/>
                <w:szCs w:val="20"/>
                <w:color w:val="auto"/>
              </w:rPr>
            </w:pPr>
            <w:r>
              <w:rPr>
                <w:rFonts w:ascii="Arial" w:cs="Arial" w:eastAsia="Arial" w:hAnsi="Arial"/>
                <w:sz w:val="18"/>
                <w:szCs w:val="18"/>
                <w:color w:val="auto"/>
                <w:w w:val="93"/>
              </w:rPr>
              <w:t>expenses payable by us, our adjusted net tangible book value as of March 31, 2018 would have been approximately $</w:t>
            </w:r>
          </w:p>
        </w:tc>
        <w:tc>
          <w:tcPr>
            <w:tcW w:w="26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million, or approximately</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780" w:type="dxa"/>
            <w:vAlign w:val="bottom"/>
            <w:gridSpan w:val="2"/>
          </w:tcPr>
          <w:p>
            <w:pPr>
              <w:ind w:left="540"/>
              <w:spacing w:after="0"/>
              <w:rPr>
                <w:sz w:val="20"/>
                <w:szCs w:val="20"/>
                <w:color w:val="auto"/>
              </w:rPr>
            </w:pPr>
            <w:r>
              <w:rPr>
                <w:rFonts w:ascii="Arial" w:cs="Arial" w:eastAsia="Arial" w:hAnsi="Arial"/>
                <w:sz w:val="18"/>
                <w:szCs w:val="18"/>
                <w:color w:val="auto"/>
                <w:w w:val="95"/>
              </w:rPr>
              <w:t>per share. This represents an immediate increase in net tangible book value of approximately $</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w w:val="97"/>
              </w:rPr>
              <w:t>per share to our existing stockholders, and</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an immediate dilution of $</w:t>
            </w:r>
          </w:p>
        </w:tc>
        <w:tc>
          <w:tcPr>
            <w:tcW w:w="5640" w:type="dxa"/>
            <w:vAlign w:val="bottom"/>
          </w:tcPr>
          <w:p>
            <w:pPr>
              <w:ind w:left="220"/>
              <w:spacing w:after="0"/>
              <w:rPr>
                <w:sz w:val="20"/>
                <w:szCs w:val="20"/>
                <w:color w:val="auto"/>
              </w:rPr>
            </w:pPr>
            <w:r>
              <w:rPr>
                <w:rFonts w:ascii="Arial" w:cs="Arial" w:eastAsia="Arial" w:hAnsi="Arial"/>
                <w:sz w:val="18"/>
                <w:szCs w:val="18"/>
                <w:color w:val="auto"/>
              </w:rPr>
              <w:t>per share to investors purchasing securities in the offering.</w:t>
            </w:r>
          </w:p>
        </w:tc>
        <w:tc>
          <w:tcPr>
            <w:tcW w:w="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w w:val="95"/>
              </w:rPr>
              <w:t>The following table illustrates the per share dilution to investors purchasing securities in the offering:</w:t>
            </w: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40" w:type="dxa"/>
            <w:vAlign w:val="bottom"/>
            <w:gridSpan w:val="3"/>
          </w:tcPr>
          <w:p>
            <w:pPr>
              <w:spacing w:after="0"/>
              <w:rPr>
                <w:sz w:val="21"/>
                <w:szCs w:val="21"/>
                <w:color w:val="auto"/>
              </w:rPr>
            </w:pPr>
          </w:p>
        </w:tc>
        <w:tc>
          <w:tcPr>
            <w:tcW w:w="7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w:t>
            </w:r>
          </w:p>
        </w:tc>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Net tangible book value per share as of March 31, 2018</w:t>
            </w:r>
          </w:p>
        </w:tc>
        <w:tc>
          <w:tcPr>
            <w:tcW w:w="760" w:type="dxa"/>
            <w:vAlign w:val="bottom"/>
          </w:tcPr>
          <w:p>
            <w:pPr>
              <w:spacing w:after="0"/>
              <w:rPr>
                <w:sz w:val="18"/>
                <w:szCs w:val="18"/>
                <w:color w:val="auto"/>
              </w:rPr>
            </w:pPr>
          </w:p>
        </w:tc>
        <w:tc>
          <w:tcPr>
            <w:tcW w:w="2600" w:type="dxa"/>
            <w:vAlign w:val="bottom"/>
          </w:tcPr>
          <w:p>
            <w:pPr>
              <w:jc w:val="right"/>
              <w:ind w:right="99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per share attributable to sale of common stock to investors</w:t>
            </w:r>
          </w:p>
        </w:tc>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Adjusted net tangible book value per share after the offering</w:t>
            </w:r>
          </w:p>
        </w:tc>
        <w:tc>
          <w:tcPr>
            <w:tcW w:w="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Dilution per share to investors</w:t>
            </w:r>
          </w:p>
        </w:tc>
        <w:tc>
          <w:tcPr>
            <w:tcW w:w="5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calculation is based on 27,558,883 shares of common stock outstanding as of March 31, 2018 and excludes as of that date:</w:t>
      </w:r>
    </w:p>
    <w:p>
      <w:pPr>
        <w:spacing w:after="0" w:line="131" w:lineRule="exact"/>
        <w:rPr>
          <w:sz w:val="20"/>
          <w:szCs w:val="20"/>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7,076,761 shares of common stock issuable upon the exercise of stock options outstanding as of March 31, 2018, at a weighted average exercise price of $8.42 per share;</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1,677,858 shares of common stock that are available for future issuance under the Zafgen, Inc. 2014 Stock Option and Incentive Plan as of March 31, 2018; and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176,016 shares of common stock that are available for future issuance under the Zafgen, Inc. 2014 Employee Stock Purchase Plan as of March 31,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paid dividends on our common stock, and we do not currently anticipate paying any dividends on our common stock in the foreseeable future. Any future determinations as to our dividend policy will be made at the discretion of our Board of Directors and will depend upon many factors, including our financial condition, earnings, legal requirements, covenants in future debt agreements and other factors our Board of Directors deems relevant. The terms of our existing Loan and Security Agreement with Silicon Valley Bank also restrict us from paying cash dividends to our stockholders under some circumstances. See “Risk Factors—We have never paid dividends on our common stock and we do not anticipate paying any dividends in the foreseeable future.”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of our common stock as reported by The Nasdaq Global Select Market:</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High</w:t>
            </w:r>
          </w:p>
        </w:tc>
        <w:tc>
          <w:tcPr>
            <w:tcW w:w="56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12.18</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$5.34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$5.54</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Third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7.10</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$2.90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$2.89</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$3.18</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Second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$3.35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$3.21</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Fourth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$3.34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$4.60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June 26)</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$6.01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June 26, 2018, the closing price as reported on The Nasdaq Global Select Market of our common stock was $8.71 per share. As of June 26, 2018, we had approximately 27 holders of record of our common stock. However, because many of our outstanding shares are held in accounts with brokers and other institutions, we believe we have more beneficial owners.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 FOR NON-U.S. 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following is a summary of the material U.S. federal income tax considerations of the ownership and disposition of our common stock to non-U.S. holders (defined below),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6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5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U.S. federal income tax purposes (i) a foreign corporation or any other foreign organization taxable as a corporation for U.S. federal income tax purposes, (ii) a nonresident alien individual, or (iii) a foreign estate or trust that in either case is not subject to U.S. federal income tax on a net-income basis on income or gain from a note or share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(generally including a U.S. taxpayer identification number), IRS Form W-8-BEN-E or another appropriate version of IRS Form W-8 (or a successor form), in each case, certifying qualification for the reduced rate.</w:t>
      </w:r>
    </w:p>
    <w:p>
      <w:pPr>
        <w:spacing w:after="0" w:line="18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an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 federal income tax on any gain realized upon the sale or other taxable disposition of our common stock unless:</w:t>
      </w:r>
    </w:p>
    <w:p>
      <w:pPr>
        <w:spacing w:after="0" w:line="76" w:lineRule="exact"/>
        <w:rPr>
          <w:sz w:val="20"/>
          <w:szCs w:val="20"/>
          <w:color w:val="auto"/>
        </w:rPr>
      </w:pPr>
    </w:p>
    <w:p>
      <w:pPr>
        <w:ind w:left="900" w:right="8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tax may be offset by U.S. source capital losses in the taxable year of disposition (even though you are not considered a resident of the United States) (subject to applicable income tax or other treaties); or</w:t>
      </w:r>
    </w:p>
    <w:p>
      <w:pPr>
        <w:spacing w:after="0" w:line="92" w:lineRule="exact"/>
        <w:rPr>
          <w:rFonts w:ascii="Arial" w:cs="Arial" w:eastAsia="Arial" w:hAnsi="Arial"/>
          <w:sz w:val="18"/>
          <w:szCs w:val="18"/>
          <w:color w:val="auto"/>
        </w:rPr>
      </w:pPr>
    </w:p>
    <w:p>
      <w:pPr>
        <w:ind w:left="900" w:hanging="325"/>
        <w:spacing w:after="0" w:line="271"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17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167" w:lineRule="exact"/>
        <w:rPr>
          <w:sz w:val="20"/>
          <w:szCs w:val="20"/>
          <w:color w:val="auto"/>
        </w:rPr>
      </w:pPr>
    </w:p>
    <w:p>
      <w:pPr>
        <w:jc w:val="both"/>
        <w:ind w:right="300" w:firstLine="456"/>
        <w:spacing w:after="0" w:line="314"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and Piper Jaffray &amp; Co. are the representatives of the underwriters.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3720" w:type="dxa"/>
            <w:vAlign w:val="bottom"/>
          </w:tcPr>
          <w:p>
            <w:pPr>
              <w:jc w:val="center"/>
              <w:ind w:left="29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3720" w:type="dxa"/>
            <w:vAlign w:val="bottom"/>
          </w:tcPr>
          <w:p>
            <w:pPr>
              <w:jc w:val="center"/>
              <w:ind w:left="29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Cowen and Company, LLC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5715</wp:posOffset>
            </wp:positionV>
            <wp:extent cx="6089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25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Option to Purchase Additional Shares. </w:t>
      </w:r>
      <w:r>
        <w:rPr>
          <w:rFonts w:ascii="Arial" w:cs="Arial" w:eastAsia="Arial" w:hAnsi="Arial"/>
          <w:sz w:val="17"/>
          <w:szCs w:val="17"/>
          <w:color w:val="auto"/>
        </w:rPr>
        <w:t>We have granted to the underwriters an option to purchase up to additional shares of common stock at the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66"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 discount and proceeds, before expenses to us. These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shown assuming both no exercise and full exercise of the underwriters’ option to purchase additional shares.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420" w:type="dxa"/>
            <w:vAlign w:val="bottom"/>
            <w:gridSpan w:val="3"/>
          </w:tcPr>
          <w:p>
            <w:pPr>
              <w:spacing w:after="0"/>
              <w:rPr>
                <w:sz w:val="20"/>
                <w:szCs w:val="20"/>
                <w:color w:val="auto"/>
              </w:rPr>
            </w:pPr>
            <w:r>
              <w:rPr>
                <w:rFonts w:ascii="Arial" w:cs="Arial" w:eastAsia="Arial" w:hAnsi="Arial"/>
                <w:sz w:val="18"/>
                <w:szCs w:val="18"/>
                <w:color w:val="auto"/>
                <w:w w:val="98"/>
              </w:rPr>
              <w:t>We estimate that the total expenses of the offering, excluding underwriting discount, will be approximately $</w:t>
            </w: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86"/>
              </w:rPr>
              <w:t>and are payable by us.</w:t>
            </w:r>
          </w:p>
        </w:tc>
        <w:tc>
          <w:tcPr>
            <w:tcW w:w="0" w:type="dxa"/>
            <w:vAlign w:val="bottom"/>
          </w:tcPr>
          <w:p>
            <w:pPr>
              <w:spacing w:after="0"/>
              <w:rPr>
                <w:sz w:val="1"/>
                <w:szCs w:val="1"/>
                <w:color w:val="auto"/>
              </w:rPr>
            </w:pPr>
          </w:p>
        </w:tc>
      </w:tr>
      <w:tr>
        <w:trPr>
          <w:trHeight w:val="392"/>
        </w:trPr>
        <w:tc>
          <w:tcPr>
            <w:tcW w:w="57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Total</w:t>
            </w:r>
          </w:p>
        </w:tc>
        <w:tc>
          <w:tcPr>
            <w:tcW w:w="1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Per Share</w:t>
            </w:r>
          </w:p>
        </w:tc>
        <w:tc>
          <w:tcPr>
            <w:tcW w:w="1540" w:type="dxa"/>
            <w:vAlign w:val="bottom"/>
          </w:tcPr>
          <w:p>
            <w:pPr>
              <w:jc w:val="center"/>
              <w:ind w:left="330"/>
              <w:spacing w:after="0" w:line="119" w:lineRule="exact"/>
              <w:rPr>
                <w:sz w:val="20"/>
                <w:szCs w:val="20"/>
                <w:color w:val="auto"/>
              </w:rPr>
            </w:pPr>
            <w:r>
              <w:rPr>
                <w:rFonts w:ascii="Arial" w:cs="Arial" w:eastAsia="Arial" w:hAnsi="Arial"/>
                <w:sz w:val="13"/>
                <w:szCs w:val="13"/>
                <w:b w:val="1"/>
                <w:bCs w:val="1"/>
                <w:color w:val="auto"/>
              </w:rPr>
              <w:t>Without Over-</w:t>
            </w:r>
          </w:p>
        </w:tc>
        <w:tc>
          <w:tcPr>
            <w:tcW w:w="1580" w:type="dxa"/>
            <w:vAlign w:val="bottom"/>
          </w:tcPr>
          <w:p>
            <w:pPr>
              <w:jc w:val="center"/>
              <w:ind w:left="844"/>
              <w:spacing w:after="0" w:line="119" w:lineRule="exact"/>
              <w:rPr>
                <w:sz w:val="20"/>
                <w:szCs w:val="20"/>
                <w:color w:val="auto"/>
              </w:rPr>
            </w:pPr>
            <w:r>
              <w:rPr>
                <w:rFonts w:ascii="Arial" w:cs="Arial" w:eastAsia="Arial" w:hAnsi="Arial"/>
                <w:sz w:val="13"/>
                <w:szCs w:val="13"/>
                <w:b w:val="1"/>
                <w:bCs w:val="1"/>
                <w:color w:val="auto"/>
              </w:rPr>
              <w:t>With Over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540" w:type="dxa"/>
            <w:vAlign w:val="bottom"/>
          </w:tcPr>
          <w:p>
            <w:pPr>
              <w:jc w:val="center"/>
              <w:ind w:left="330"/>
              <w:spacing w:after="0"/>
              <w:rPr>
                <w:sz w:val="20"/>
                <w:szCs w:val="20"/>
                <w:color w:val="auto"/>
              </w:rPr>
            </w:pPr>
            <w:r>
              <w:rPr>
                <w:rFonts w:ascii="Arial" w:cs="Arial" w:eastAsia="Arial" w:hAnsi="Arial"/>
                <w:sz w:val="14"/>
                <w:szCs w:val="14"/>
                <w:b w:val="1"/>
                <w:bCs w:val="1"/>
                <w:color w:val="auto"/>
                <w:w w:val="95"/>
              </w:rPr>
              <w:t>Allotment</w:t>
            </w:r>
          </w:p>
        </w:tc>
        <w:tc>
          <w:tcPr>
            <w:tcW w:w="1740" w:type="dxa"/>
            <w:vAlign w:val="bottom"/>
            <w:gridSpan w:val="2"/>
          </w:tcPr>
          <w:p>
            <w:pPr>
              <w:jc w:val="center"/>
              <w:ind w:left="684"/>
              <w:spacing w:after="0"/>
              <w:rPr>
                <w:sz w:val="20"/>
                <w:szCs w:val="20"/>
                <w:color w:val="auto"/>
              </w:rPr>
            </w:pPr>
            <w:r>
              <w:rPr>
                <w:rFonts w:ascii="Arial" w:cs="Arial" w:eastAsia="Arial" w:hAnsi="Arial"/>
                <w:sz w:val="14"/>
                <w:szCs w:val="14"/>
                <w:b w:val="1"/>
                <w:bCs w:val="1"/>
                <w:u w:val="single" w:color="auto"/>
                <w:color w:val="auto"/>
                <w:w w:val="95"/>
              </w:rPr>
              <w:t>Allotment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0801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Public offering price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Underwriting discount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Proceeds, before expenses, 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underwriters propose to offer the shares of common stock to the public at the public offering price set forth on the cover of this prospectus. The underwriters may offer the shares of common stock to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06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519"/>
        </w:trPr>
        <w:tc>
          <w:tcPr>
            <w:tcW w:w="5420" w:type="dxa"/>
            <w:vAlign w:val="bottom"/>
            <w:gridSpan w:val="2"/>
          </w:tcPr>
          <w:p>
            <w:pPr>
              <w:spacing w:after="0"/>
              <w:rPr>
                <w:sz w:val="20"/>
                <w:szCs w:val="20"/>
                <w:color w:val="auto"/>
              </w:rPr>
            </w:pPr>
            <w:r>
              <w:rPr>
                <w:rFonts w:ascii="Arial" w:cs="Arial" w:eastAsia="Arial" w:hAnsi="Arial"/>
                <w:sz w:val="18"/>
                <w:szCs w:val="18"/>
                <w:color w:val="auto"/>
                <w:w w:val="96"/>
              </w:rPr>
              <w:t>dealers at the public offering price less a concession not in excess of $</w:t>
            </w:r>
          </w:p>
        </w:tc>
        <w:tc>
          <w:tcPr>
            <w:tcW w:w="5560" w:type="dxa"/>
            <w:vAlign w:val="bottom"/>
          </w:tcPr>
          <w:p>
            <w:pPr>
              <w:ind w:left="360"/>
              <w:spacing w:after="0"/>
              <w:rPr>
                <w:sz w:val="20"/>
                <w:szCs w:val="20"/>
                <w:color w:val="auto"/>
              </w:rPr>
            </w:pPr>
            <w:r>
              <w:rPr>
                <w:rFonts w:ascii="Arial" w:cs="Arial" w:eastAsia="Arial" w:hAnsi="Arial"/>
                <w:sz w:val="18"/>
                <w:szCs w:val="18"/>
                <w:color w:val="auto"/>
                <w:w w:val="90"/>
              </w:rPr>
              <w:t>per share. If all of the shares are not sold at the public offering price, the</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underwriters may change the offering price and other selling terms.</w:t>
            </w:r>
          </w:p>
        </w:tc>
        <w:tc>
          <w:tcPr>
            <w:tcW w:w="55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i w:val="1"/>
          <w:iCs w:val="1"/>
          <w:color w:val="auto"/>
        </w:rPr>
        <w:t xml:space="preserve">Discretionary Accounts. </w:t>
      </w:r>
      <w:r>
        <w:rPr>
          <w:rFonts w:ascii="Arial" w:cs="Arial" w:eastAsia="Arial" w:hAnsi="Arial"/>
          <w:sz w:val="16"/>
          <w:szCs w:val="16"/>
          <w:color w:val="auto"/>
        </w:rPr>
        <w:t>The underwriters do not intend to confirm sales of the shares to any accounts over which they have discretionary authority.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trades on The Nasdaq Global Select Market under the symbol “ZFGN”.</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76" w:lineRule="exact"/>
        <w:rPr>
          <w:sz w:val="20"/>
          <w:szCs w:val="20"/>
          <w:color w:val="auto"/>
        </w:rPr>
      </w:pPr>
    </w:p>
    <w:p>
      <w:pPr>
        <w:ind w:left="900" w:right="12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9" w:lineRule="exact"/>
        <w:rPr>
          <w:rFonts w:ascii="Arial" w:cs="Arial" w:eastAsia="Arial" w:hAnsi="Arial"/>
          <w:sz w:val="16"/>
          <w:szCs w:val="16"/>
          <w:color w:val="auto"/>
        </w:rPr>
      </w:pPr>
    </w:p>
    <w:p>
      <w:pPr>
        <w:ind w:left="900" w:right="20" w:hanging="325"/>
        <w:spacing w:after="0" w:line="297"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63" w:lineRule="exact"/>
        <w:rPr>
          <w:rFonts w:ascii="Arial" w:cs="Arial" w:eastAsia="Arial" w:hAnsi="Arial"/>
          <w:sz w:val="16"/>
          <w:szCs w:val="16"/>
          <w:color w:val="auto"/>
        </w:rPr>
      </w:pPr>
    </w:p>
    <w:p>
      <w:pPr>
        <w:ind w:left="900" w:right="220" w:hanging="325"/>
        <w:spacing w:after="0" w:line="272"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83" w:lineRule="exact"/>
        <w:rPr>
          <w:rFonts w:ascii="Arial" w:cs="Arial" w:eastAsia="Arial" w:hAnsi="Arial"/>
          <w:sz w:val="17"/>
          <w:szCs w:val="17"/>
          <w:color w:val="auto"/>
        </w:rPr>
      </w:pPr>
    </w:p>
    <w:p>
      <w:pPr>
        <w:ind w:left="900" w:right="120" w:hanging="325"/>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w:t>
      </w:r>
    </w:p>
    <w:p>
      <w:pPr>
        <w:spacing w:after="0" w:line="1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i w:val="1"/>
          <w:iCs w:val="1"/>
          <w:color w:val="auto"/>
        </w:rPr>
        <w:t xml:space="preserve">Passive Market Making. </w:t>
      </w:r>
      <w:r>
        <w:rPr>
          <w:rFonts w:ascii="Arial" w:cs="Arial" w:eastAsia="Arial" w:hAnsi="Arial"/>
          <w:sz w:val="17"/>
          <w:szCs w:val="17"/>
          <w:color w:val="auto"/>
        </w:rPr>
        <w:t>In connection with this offering, underwriters and selling group members may engage in passive market making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common stock on the Nasdaq Stock Market in accordance with Rule 103 of Regulation M under the Securities Exchange Act of 1934, as amended,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46"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Lock-Up Agreements. </w:t>
      </w:r>
      <w:r>
        <w:rPr>
          <w:rFonts w:ascii="Arial" w:cs="Arial" w:eastAsia="Arial" w:hAnsi="Arial"/>
          <w:sz w:val="17"/>
          <w:szCs w:val="17"/>
          <w:color w:val="auto"/>
        </w:rPr>
        <w:t>We have agreed that we will not (i) offer, pledge, sell, contract to sell, sell any option or contract to purchase, purchase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Cowen and Company, LLC and Piper Jaffray &amp; Co. for a period of 60 days after the date of this prospectus, other than the shares of our common stock to be sold hereunder and any shares of our common stock issued upon the exercise of options granted under our existing stock-based compensation plans.</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directors and executive officers, and certain of our significant shareholders have entered into lock-up agreements with the underwriters prior to the commencement of this offering pursuant to which each of these persons or entities, with limited exceptions, for a period of 60 days after the date of this prospectus, may not, without the prior written consent of Cowen and Company, LLC and Piper Jaffray &amp; Co.,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subject to limited exceptions which include:</w:t>
      </w:r>
    </w:p>
    <w:p>
      <w:pPr>
        <w:spacing w:after="0" w:line="8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securities acquired in open market transactions after the completion of this offering;</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transfers of securities (i) as a bona fide gift or gifts or (ii) by will or intestacy to the legal representative, heir, beneficiary or a member of the immediate family of the undersigned in a transaction not involving a disposition for value;</w:t>
      </w:r>
    </w:p>
    <w:p>
      <w:pPr>
        <w:spacing w:after="0" w:line="75"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holder is an individual, transfers of shares of our common stock or any security convertible into our common stock to any trust for the benefit of the holder or the immediate family of the undersigned, or limited partnerships the partners of which are the holder and/or the immediate family members of the holder, in each case for estate planning purposes;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holder is a trust, distributions of shares of our common stock or any security convertible into our common stock to its beneficiaries in a transaction not involving a disposition for value;</w:t>
      </w:r>
    </w:p>
    <w:p>
      <w:pPr>
        <w:spacing w:after="0" w:line="75"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holder is a corporation, limited liability company, partnership or other entity, distribution of shares of our common stock or any security convertible into our common stock to members, stockholders, limited partners, subsidiaries or affiliates (as defined in Rule 405 promulgated under the Securities Act of 1933, as amended) of the holder or to any investment fund or other entity that controls or manages the holder in a transaction not involving a disposition for value;</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securities upon termination of service of the holder;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by the holder from us of shares of our common stock upon the exercise of options;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establishment of a trading plan that satisfies the requirements of Rule 10b5-1 under the Exchange Act, or a 10b-5 Plan, for the transfer of shares of our common stock transfers under a currently existing 10b5-1 Plan, in each case subject to certain conditions.</w:t>
      </w:r>
    </w:p>
    <w:p>
      <w:pPr>
        <w:spacing w:after="0" w:line="14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Canada</w:t>
      </w:r>
      <w:r>
        <w:rPr>
          <w:rFonts w:ascii="Arial" w:cs="Arial" w:eastAsia="Arial" w:hAnsi="Arial"/>
          <w:sz w:val="16"/>
          <w:szCs w:val="16"/>
          <w:color w:val="auto"/>
        </w:rPr>
        <w:t>. The common stock may be sold only to purchasers purchasing, or deemed to be purchasing, as principal that are accredited investors,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Each of the underwriters has represented and agreed that:</w:t>
      </w:r>
    </w:p>
    <w:p>
      <w:pPr>
        <w:spacing w:after="0" w:line="131" w:lineRule="exact"/>
        <w:rPr>
          <w:sz w:val="20"/>
          <w:szCs w:val="20"/>
          <w:color w:val="auto"/>
        </w:rPr>
      </w:pPr>
    </w:p>
    <w:p>
      <w:pPr>
        <w:ind w:left="900" w:right="360" w:hanging="325"/>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has not made or will not make an offer of the securities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 (FSA);</w:t>
      </w:r>
    </w:p>
    <w:p>
      <w:pPr>
        <w:spacing w:after="0" w:line="5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92"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i w:val="1"/>
          <w:iCs w:val="1"/>
          <w:color w:val="auto"/>
        </w:rPr>
        <w:t xml:space="preserve">Switzerland. </w:t>
      </w:r>
      <w:r>
        <w:rPr>
          <w:rFonts w:ascii="Arial" w:cs="Arial" w:eastAsia="Arial" w:hAnsi="Arial"/>
          <w:sz w:val="17"/>
          <w:szCs w:val="17"/>
          <w:color w:val="auto"/>
        </w:rPr>
        <w:t>The securities will not be offered, directly or indirectly, to the public in Switzerland and this prospectus does not constitute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prospectus as that term is understood pursuant to article 652a or 1156 of the Swiss Federal Code of Obligations.</w:t>
      </w:r>
    </w:p>
    <w:p>
      <w:pPr>
        <w:spacing w:after="0" w:line="147"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(the “EEA”) which has implemented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Directive (each, a “Relevant Member State”), an offer of our shares may not be made to the public in a Relevant Member State other than:</w:t>
      </w:r>
    </w:p>
    <w:p>
      <w:pPr>
        <w:spacing w:after="0" w:line="2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European Prospectus Directive;</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150 natural or legal persons (other than qualified investors as defined in the European Prospectus Directive), subject to obtaining the prior consent of the relevant dealer or dealers nominated by us for any such offer;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European Prospectus Directive;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provided that no such offer of our shares shall require us or any underwriter to publish a prospectus pursuant to Article 3 of the European Prospectus Directive or supplement prospectus pursuant to Article 16 of the European Prospectus Directive and each person who initially acquires any shares or to whom any offer is made will be deemed to have represented, acknowledged and agreed to and with each of the underwriters and with us that it is a “qualified investor” within the meaning of the law in that Relevant Member State implementing Article 2(1)(e) of the European Prospectus Directive.</w:t>
      </w:r>
    </w:p>
    <w:p>
      <w:pPr>
        <w:spacing w:after="0" w:line="171"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European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or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the purposes of this description, the expression an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Relevant Member State by any measure implementing the European Prospectus Directive in that member state, and the expression “European Prospectus Directive’’ means Directive 2003/71/EC (and amendments 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Israel. </w:t>
      </w:r>
      <w:r>
        <w:rPr>
          <w:rFonts w:ascii="Arial" w:cs="Arial" w:eastAsia="Arial" w:hAnsi="Arial"/>
          <w:sz w:val="17"/>
          <w:szCs w:val="17"/>
          <w:color w:val="auto"/>
        </w:rPr>
        <w:t>In the State of Israel this prospectus shall not be regarded as an offer to the public to purchase shares of common stock under the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Electronic Offer, Sale and Distribution of Shares. </w:t>
      </w:r>
      <w:r>
        <w:rPr>
          <w:rFonts w:ascii="Arial" w:cs="Arial" w:eastAsia="Arial" w:hAnsi="Arial"/>
          <w:sz w:val="17"/>
          <w:szCs w:val="17"/>
          <w:color w:val="auto"/>
        </w:rPr>
        <w:t>A prospectus in electronic format may be made available on the websites maintained by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78" w:lineRule="exact"/>
        <w:rPr>
          <w:sz w:val="20"/>
          <w:szCs w:val="20"/>
          <w:color w:val="auto"/>
        </w:rPr>
      </w:pPr>
    </w:p>
    <w:p>
      <w:pPr>
        <w:jc w:val="both"/>
        <w:ind w:right="620" w:firstLine="456"/>
        <w:spacing w:after="0" w:line="342"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have provided, and may in the future provide, various investment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banking and other financial services for us and our affiliates for which they have received, and may in the future receive, customary fees.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Certain legal matters relating to this offering will be passed upon for the underwriters by Ropes &amp; Gray LLC, Boston, Massachusetts.</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2017 have been so incorporated in reliance on the report (which contains an explanatory paragraph relating to the Company’s liquidity position as described in Note 1 to the financial statements),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and telephone requests should be made to (617) 622-4003. Our website is located at </w:t>
      </w:r>
      <w:r>
        <w:rPr>
          <w:rFonts w:ascii="Arial" w:cs="Arial" w:eastAsia="Arial" w:hAnsi="Arial"/>
          <w:sz w:val="17"/>
          <w:szCs w:val="17"/>
          <w:i w:val="1"/>
          <w:iCs w:val="1"/>
          <w:color w:val="auto"/>
        </w:rPr>
        <w:t>www.zafgen.com</w:t>
      </w:r>
      <w:r>
        <w:rPr>
          <w:rFonts w:ascii="Arial" w:cs="Arial" w:eastAsia="Arial" w:hAnsi="Arial"/>
          <w:sz w:val="17"/>
          <w:szCs w:val="17"/>
          <w:color w:val="auto"/>
        </w:rPr>
        <w:t>. Information contained on our website is not incorporated by reference into this prospectus and, therefore, is not part of this prospectus or any accompanying prospectus supplement.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SEC allows us to incorporate by reference into this prospectus supplement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supplement. We incorporate by reference the documents listed below which have been filed by us:</w:t>
      </w:r>
    </w:p>
    <w:p>
      <w:pPr>
        <w:spacing w:after="0" w:line="7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2017, filed with the SEC on March 9,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Definitive proxy statement on Schedule 14A, filed with the SEC on April 28,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2018, filed with the SEC on May 10, 2018;</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with the SEC on January 5, 2018, May 30, 2018, and June 7, 2018 (other than any reports or portions thereof that are furnished under Item 2.02 or Item 7.01 and any exhibits included with such Items);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the common stock contained in our Registration Statement on Form 8-A filed with the SEC on June 18, 2014, including any amendment or report filed for the purpose of updating such description.</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Additionally, all documents filed by us with the SEC under Sections 13(a), 13(c), 14 or 15(d) of the Exchange Act (other than any portions of filings that are furnished rather than filed pursuant to Items 2.02 and 7.01 of a Current Report on Form 8-K), after the date of this prospectus and before the termination or completion of this offering (including all such documents filed with the SEC after the date of the initial registration statement and prior to the effectiveness of the registration statement) shall be deemed to be incorporated by reference into this prospectus from the respective dates of filing of such documents. Any information that we subsequently file with the SEC that is incorporated by reference as described above will automatically update and supersede any previous information that is part of this prospectus.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to us at Zafgen, Inc., 175 Portland Street, 4th Floor, Boston, MA 02114, Attention: Secretary, or by telephoning us at (617) 622-4003.</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179705</wp:posOffset>
            </wp:positionV>
            <wp:extent cx="1792605"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26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may from time to time issue, in one or more series or classes, up to $150,000,000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 Our principal executive offices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hyperlink w:anchor="page3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contained in this prospectus beginning on page 4 and any applicable prospectus supplement, and under similar headings in the other documents that are incorporated by reference into this prospectus.</w:t>
      </w:r>
    </w:p>
    <w:p>
      <w:pPr>
        <w:spacing w:after="0" w:line="169"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80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34"/>
        </w:trPr>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446"/>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17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About this Prospectus</w:t>
              </w:r>
            </w:hyperlink>
          </w:p>
        </w:tc>
        <w:tc>
          <w:tcPr>
            <w:tcW w:w="7040" w:type="dxa"/>
            <w:vAlign w:val="bottom"/>
            <w:gridSpan w:val="9"/>
          </w:tcPr>
          <w:p>
            <w:pPr>
              <w:spacing w:after="0"/>
              <w:rPr>
                <w:sz w:val="23"/>
                <w:szCs w:val="23"/>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91"/>
        </w:trPr>
        <w:tc>
          <w:tcPr>
            <w:tcW w:w="50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Cautionary Statement Regarding Forward-Looking Statements</w:t>
              </w:r>
            </w:hyperlink>
          </w:p>
        </w:tc>
        <w:tc>
          <w:tcPr>
            <w:tcW w:w="3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11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The Company</w:t>
              </w:r>
            </w:hyperlink>
          </w:p>
        </w:tc>
        <w:tc>
          <w:tcPr>
            <w:tcW w:w="7660" w:type="dxa"/>
            <w:vAlign w:val="bottom"/>
            <w:gridSpan w:val="1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Use of Proceeds</w:t>
              </w:r>
            </w:hyperlink>
          </w:p>
        </w:tc>
        <w:tc>
          <w:tcPr>
            <w:tcW w:w="1460" w:type="dxa"/>
            <w:vAlign w:val="bottom"/>
            <w:tcBorders>
              <w:top w:val="single" w:sz="8" w:color="0000EE"/>
            </w:tcBorders>
            <w:gridSpan w:val="10"/>
          </w:tcPr>
          <w:p>
            <w:pPr>
              <w:spacing w:after="0"/>
              <w:rPr>
                <w:sz w:val="24"/>
                <w:szCs w:val="24"/>
                <w:color w:val="auto"/>
              </w:rPr>
            </w:pPr>
          </w:p>
        </w:tc>
        <w:tc>
          <w:tcPr>
            <w:tcW w:w="6000" w:type="dxa"/>
            <w:vAlign w:val="bottom"/>
            <w:gridSpan w:val="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19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Securities We May Offer</w:t>
              </w:r>
            </w:hyperlink>
          </w:p>
        </w:tc>
        <w:tc>
          <w:tcPr>
            <w:tcW w:w="6840" w:type="dxa"/>
            <w:vAlign w:val="bottom"/>
            <w:gridSpan w:val="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2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Description of Capital Stock</w:t>
              </w:r>
            </w:hyperlink>
          </w:p>
        </w:tc>
        <w:tc>
          <w:tcPr>
            <w:tcW w:w="658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3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Description of Debt Securities</w:t>
              </w:r>
            </w:hyperlink>
          </w:p>
        </w:tc>
        <w:tc>
          <w:tcPr>
            <w:tcW w:w="642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Description of Warrants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1"/>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Description of Units</w:t>
              </w:r>
            </w:hyperlink>
          </w:p>
        </w:tc>
        <w:tc>
          <w:tcPr>
            <w:tcW w:w="692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Plan of Distribution</w:t>
              </w:r>
            </w:hyperlink>
          </w:p>
        </w:tc>
        <w:tc>
          <w:tcPr>
            <w:tcW w:w="40" w:type="dxa"/>
            <w:vAlign w:val="bottom"/>
            <w:tcBorders>
              <w:top w:val="single" w:sz="8" w:color="0000EE"/>
            </w:tcBorders>
          </w:tcPr>
          <w:p>
            <w:pPr>
              <w:spacing w:after="0"/>
              <w:rPr>
                <w:sz w:val="24"/>
                <w:szCs w:val="24"/>
                <w:color w:val="auto"/>
              </w:rPr>
            </w:pPr>
          </w:p>
        </w:tc>
        <w:tc>
          <w:tcPr>
            <w:tcW w:w="7240" w:type="dxa"/>
            <w:vAlign w:val="bottom"/>
            <w:gridSpan w:val="10"/>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1"/>
        </w:trPr>
        <w:tc>
          <w:tcPr>
            <w:tcW w:w="11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Legal Matters</w:t>
              </w:r>
            </w:hyperlink>
          </w:p>
        </w:tc>
        <w:tc>
          <w:tcPr>
            <w:tcW w:w="7700" w:type="dxa"/>
            <w:vAlign w:val="bottom"/>
            <w:gridSpan w:val="1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1"/>
        </w:trPr>
        <w:tc>
          <w:tcPr>
            <w:tcW w:w="620" w:type="dxa"/>
            <w:vAlign w:val="bottom"/>
            <w:tcBorders>
              <w:bottom w:val="single" w:sz="8" w:color="0000EE"/>
            </w:tcBorders>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Experts</w:t>
              </w:r>
            </w:hyperlink>
          </w:p>
        </w:tc>
        <w:tc>
          <w:tcPr>
            <w:tcW w:w="8180" w:type="dxa"/>
            <w:vAlign w:val="bottom"/>
            <w:gridSpan w:val="1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21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Incorporation by Reference</w:t>
              </w:r>
            </w:hyperlink>
          </w:p>
        </w:tc>
        <w:tc>
          <w:tcPr>
            <w:tcW w:w="900" w:type="dxa"/>
            <w:vAlign w:val="bottom"/>
            <w:tcBorders>
              <w:top w:val="single" w:sz="8" w:color="0000EE"/>
            </w:tcBorders>
            <w:gridSpan w:val="4"/>
          </w:tcPr>
          <w:p>
            <w:pPr>
              <w:spacing w:after="0"/>
              <w:rPr>
                <w:sz w:val="24"/>
                <w:szCs w:val="24"/>
                <w:color w:val="auto"/>
              </w:rPr>
            </w:pPr>
          </w:p>
        </w:tc>
        <w:tc>
          <w:tcPr>
            <w:tcW w:w="572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2"/>
        </w:trPr>
        <w:tc>
          <w:tcPr>
            <w:tcW w:w="8800" w:type="dxa"/>
            <w:vAlign w:val="bottom"/>
            <w:gridSpan w:val="18"/>
          </w:tcPr>
          <w:p>
            <w:pPr>
              <w:ind w:left="5660"/>
              <w:spacing w:after="0"/>
              <w:rPr>
                <w:sz w:val="20"/>
                <w:szCs w:val="20"/>
                <w:color w:val="auto"/>
              </w:rPr>
            </w:pPr>
            <w:r>
              <w:rPr>
                <w:rFonts w:ascii="Arial" w:cs="Arial" w:eastAsia="Arial" w:hAnsi="Arial"/>
                <w:sz w:val="18"/>
                <w:szCs w:val="18"/>
                <w:color w:val="auto"/>
              </w:rPr>
              <w:t>2</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$150,000,000.</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38 of this prospectus.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Unless the context otherwise indicates, references in this prospectus to “Zafgen”, “we”, “our”, “us” and “the Company” refer, collectively, to Zafgen, Inc., a Delaware 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2016, which is on file with the SEC and is incorporated herein by reference, (ii) our quarterly reports on Form 10-Q for the quarters ended March 31, 2017 and June 30, 2017, which are on file with the SEC and are incorporated herein by reference, and (iii) other documents we file with the SEC that are deemed incorporated by reference into this prospectus.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207"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metabolic diseases including type 2 diabetes and obesity;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advance ZGN-1061 into later-stage clinical trials;</w:t>
      </w:r>
    </w:p>
    <w:p>
      <w:pPr>
        <w:spacing w:after="0" w:line="36" w:lineRule="exact"/>
        <w:rPr>
          <w:rFonts w:ascii="Arial" w:cs="Arial" w:eastAsia="Arial" w:hAnsi="Arial"/>
          <w:sz w:val="18"/>
          <w:szCs w:val="18"/>
          <w:color w:val="auto"/>
        </w:rPr>
      </w:pPr>
    </w:p>
    <w:p>
      <w:pPr>
        <w:ind w:left="900" w:right="140" w:hanging="325"/>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beloranib;</w:t>
      </w:r>
    </w:p>
    <w:p>
      <w:pPr>
        <w:spacing w:after="0" w:line="21"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 compelling argument for improved safety of ZGN-1061 and other novel MetAP2 inhibitors relative to first generation compounds, including beloranib;</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“Risk Factors.”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biopharmaceutical company dedicated to significantly improving the health and well-being of patients affected by metabolic diseases including type 2 diabetes and obesity.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metabolic diseases including type 2 diabetes and obesity.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ZGN-1061 demonstrated rapid drug absorption and clearance in line with criteria established in advance for the molecule, and has a favorable safety profile, with no evidence of prothrombotic effects. The data show that ZGN-1061 treatment causes improvements across multiple metabolic measures consistent with MetAP2 inhibition, and patients in the clinical trial experienced mean weight loss of up to approximately one pound per week. We plan to advance ZGN-1061 into a Phase 2 clinical trial in patients with type 2 diabetes who are overweight or obese, in Australia and New Zealand in the third quarter of 2017.</w:t>
      </w:r>
    </w:p>
    <w:p>
      <w:pPr>
        <w:spacing w:after="0" w:line="20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20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5"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197"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Our principal executive offices are located at 175 Portland Street, 4th Floor, Boston, Massachusetts 02114 and our telephone number is (617) 622-4003.</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34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following table sets forth our ratio of earnings to fixed charges for the periods shown. You should read this table in conjunction with the consolidated financial statements and notes incorporated by reference in this prospectus. We have no shares of preferred stock outstanding and paid no dividends on shares of preferred stock during the periods indicated. Therefore, the ratios of earnings to combined fixed charges and preferred dividends are the same as the ratios of earnings to fixed charges presented below.</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Six</w:t>
            </w:r>
          </w:p>
        </w:tc>
      </w:t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Months</w:t>
            </w:r>
          </w:p>
        </w:tc>
      </w:t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Ended</w:t>
            </w:r>
          </w:p>
        </w:tc>
      </w:tr>
      <w:tr>
        <w:trPr>
          <w:trHeight w:val="175"/>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670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center"/>
              <w:ind w:left="608"/>
              <w:spacing w:after="0" w:line="155"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3"/>
                <w:szCs w:val="13"/>
                <w:color w:val="auto"/>
              </w:rPr>
            </w:pPr>
          </w:p>
        </w:tc>
        <w:tc>
          <w:tcPr>
            <w:tcW w:w="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3"/>
              </w:rPr>
              <w:t>N/A</w:t>
            </w:r>
          </w:p>
        </w:tc>
        <w:tc>
          <w:tcPr>
            <w:tcW w:w="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93"/>
              </w:rPr>
              <w:t>N/A</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97" w:lineRule="exact"/>
        <w:rPr>
          <w:sz w:val="20"/>
          <w:szCs w:val="20"/>
          <w:color w:val="auto"/>
        </w:rPr>
      </w:pPr>
    </w:p>
    <w:p>
      <w:pPr>
        <w:jc w:val="both"/>
        <w:ind w:right="360" w:firstLine="456"/>
        <w:spacing w:after="0" w:line="239" w:lineRule="auto"/>
        <w:rPr>
          <w:sz w:val="20"/>
          <w:szCs w:val="20"/>
          <w:color w:val="auto"/>
        </w:rPr>
      </w:pPr>
      <w:r>
        <w:rPr>
          <w:rFonts w:ascii="Arial" w:cs="Arial" w:eastAsia="Arial" w:hAnsi="Arial"/>
          <w:sz w:val="18"/>
          <w:szCs w:val="18"/>
          <w:color w:val="auto"/>
        </w:rPr>
        <w:t>Due to our net losses for the years ended December 31, 2016, 2015 and 2014 and for the six months ended June 30, 2017, earnings were insufficient to cover fixed charges for such periods and we are unable to disclose a ratio of earnings to fixed charges for such periods. The dollar amount of the deficiency in earnings available for fixed charges for the years December 31, 2016, 2015 and 2014 and for the six months ended June 30, 2017 was approximately $58.2 million, $73.8 million, $35.5 million and $26.8 million,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potential strategic acquisitions of complementary businesses, services or technologies, repayment and refinancing of debt, general and administrative costs,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WE MAY OFFER</w:t>
      </w:r>
    </w:p>
    <w:p>
      <w:pPr>
        <w:spacing w:after="0" w:line="342" w:lineRule="exact"/>
        <w:rPr>
          <w:sz w:val="20"/>
          <w:szCs w:val="20"/>
          <w:color w:val="auto"/>
        </w:rPr>
      </w:pPr>
    </w:p>
    <w:p>
      <w:pPr>
        <w:ind w:right="380" w:firstLine="456"/>
        <w:spacing w:after="0"/>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42"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or Charter, and our amended and restated bylaws, or Bylaws, which are exhibits to the registration statement of which this prospectus forms a part, and by applicable law. The terms of our common stock and preferred stock may also be affected by Delaware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9" w:lineRule="exact"/>
        <w:rPr>
          <w:sz w:val="20"/>
          <w:szCs w:val="20"/>
          <w:color w:val="auto"/>
        </w:rPr>
      </w:pPr>
    </w:p>
    <w:p>
      <w:pPr>
        <w:ind w:right="200" w:firstLine="456"/>
        <w:spacing w:after="0"/>
        <w:rPr>
          <w:sz w:val="20"/>
          <w:szCs w:val="20"/>
          <w:color w:val="auto"/>
        </w:rPr>
      </w:pPr>
      <w:r>
        <w:rPr>
          <w:rFonts w:ascii="Arial" w:cs="Arial" w:eastAsia="Arial" w:hAnsi="Arial"/>
          <w:sz w:val="18"/>
          <w:szCs w:val="18"/>
          <w:color w:val="auto"/>
        </w:rPr>
        <w:t>Our authorized capital stock consists of 115,000,000 shares of common stock, par value $0.001 per share, and 5,000,000 shares of preferred stock, par value $0.001 per share. As of August 7, 2017, we had 27,483,925 shares of common stock outstanding and no shares of preferred stock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85"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203"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a stockholder vote on specific issuances. Examples of rights and preferences that the board of directors may fix are:</w:t>
      </w:r>
    </w:p>
    <w:p>
      <w:pPr>
        <w:spacing w:after="0" w:line="23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1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7"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23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36" w:lineRule="exact"/>
        <w:rPr>
          <w:rFonts w:ascii="Arial" w:cs="Arial" w:eastAsia="Arial" w:hAnsi="Arial"/>
          <w:sz w:val="18"/>
          <w:szCs w:val="18"/>
          <w:color w:val="auto"/>
        </w:rPr>
      </w:pPr>
    </w:p>
    <w:p>
      <w:pPr>
        <w:ind w:left="900" w:right="540" w:hanging="325"/>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36" w:lineRule="exact"/>
        <w:rPr>
          <w:rFonts w:ascii="Arial" w:cs="Arial" w:eastAsia="Arial" w:hAnsi="Arial"/>
          <w:sz w:val="18"/>
          <w:szCs w:val="18"/>
          <w:color w:val="auto"/>
        </w:rPr>
      </w:pPr>
    </w:p>
    <w:p>
      <w:pPr>
        <w:ind w:left="900" w:right="500" w:hanging="325"/>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21" w:lineRule="exact"/>
        <w:rPr>
          <w:rFonts w:ascii="Arial" w:cs="Arial" w:eastAsia="Arial" w:hAnsi="Arial"/>
          <w:sz w:val="18"/>
          <w:szCs w:val="18"/>
          <w:color w:val="auto"/>
        </w:rPr>
      </w:pPr>
    </w:p>
    <w:p>
      <w:pPr>
        <w:ind w:left="900" w:right="660" w:hanging="325"/>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36"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21" w:lineRule="exact"/>
        <w:rPr>
          <w:rFonts w:ascii="Arial" w:cs="Arial" w:eastAsia="Arial" w:hAnsi="Arial"/>
          <w:sz w:val="18"/>
          <w:szCs w:val="18"/>
          <w:color w:val="auto"/>
        </w:rPr>
      </w:pPr>
    </w:p>
    <w:p>
      <w:pPr>
        <w:ind w:left="900" w:right="40" w:hanging="325"/>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1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4" w:lineRule="exact"/>
        <w:rPr>
          <w:sz w:val="20"/>
          <w:szCs w:val="20"/>
          <w:color w:val="auto"/>
        </w:rPr>
      </w:pPr>
    </w:p>
    <w:p>
      <w:pPr>
        <w:ind w:right="80" w:firstLine="456"/>
        <w:spacing w:after="0" w:line="244"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of directors into three classes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7" w:lineRule="exact"/>
        <w:rPr>
          <w:sz w:val="20"/>
          <w:szCs w:val="20"/>
          <w:color w:val="auto"/>
        </w:rPr>
      </w:pPr>
    </w:p>
    <w:p>
      <w:pPr>
        <w:ind w:right="680" w:firstLine="456"/>
        <w:spacing w:after="0" w:line="271"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at an annual or special meeting, and that stockholders may not take any action by written consent in lieu of a meeting.</w:t>
      </w:r>
    </w:p>
    <w:p>
      <w:pPr>
        <w:spacing w:after="0" w:line="154"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Charter and Bylaws provide that only a majority of the members of our board of directors then in 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4"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Advance Notice Requirements. </w:t>
      </w:r>
      <w:r>
        <w:rPr>
          <w:rFonts w:ascii="Arial" w:cs="Arial" w:eastAsia="Arial" w:hAnsi="Arial"/>
          <w:sz w:val="18"/>
          <w:szCs w:val="18"/>
          <w:color w:val="auto"/>
        </w:rPr>
        <w:t>Our Bylaws establish advance notice procedures with regard to stockholder proposals relating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of candidates for election as directors or new business to be brought before meetings of our stockholders. These procedures provide that notice of stockholder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8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b w:val="1"/>
          <w:bCs w:val="1"/>
          <w:i w:val="1"/>
          <w:iCs w:val="1"/>
          <w:color w:val="auto"/>
        </w:rPr>
        <w:t>Amendment to Charter and Bylaws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required by the Delaware General Corporation Law, any amendment of our Charter must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230" w:lineRule="exact"/>
        <w:rPr>
          <w:sz w:val="20"/>
          <w:szCs w:val="20"/>
          <w:color w:val="auto"/>
        </w:rPr>
      </w:pPr>
    </w:p>
    <w:p>
      <w:pPr>
        <w:ind w:left="900" w:right="60" w:hanging="325"/>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6" w:lineRule="exact"/>
        <w:rPr>
          <w:rFonts w:ascii="Arial" w:cs="Arial" w:eastAsia="Arial" w:hAnsi="Arial"/>
          <w:sz w:val="18"/>
          <w:szCs w:val="18"/>
          <w:color w:val="auto"/>
        </w:rPr>
      </w:pPr>
    </w:p>
    <w:p>
      <w:pPr>
        <w:ind w:left="900" w:right="28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right="120" w:firstLine="456"/>
        <w:spacing w:after="0" w:line="244" w:lineRule="auto"/>
        <w:rPr>
          <w:sz w:val="20"/>
          <w:szCs w:val="20"/>
          <w:color w:val="auto"/>
        </w:rPr>
      </w:pPr>
      <w:r>
        <w:rPr>
          <w:rFonts w:ascii="Arial" w:cs="Arial" w:eastAsia="Arial" w:hAnsi="Arial"/>
          <w:sz w:val="18"/>
          <w:szCs w:val="18"/>
          <w:b w:val="1"/>
          <w:bCs w:val="1"/>
          <w:i w:val="1"/>
          <w:iCs w:val="1"/>
          <w:color w:val="auto"/>
        </w:rPr>
        <w:t>Exclusive Jurisdiction of Certain Actions</w:t>
      </w:r>
      <w:r>
        <w:rPr>
          <w:rFonts w:ascii="Arial" w:cs="Arial" w:eastAsia="Arial" w:hAnsi="Arial"/>
          <w:sz w:val="18"/>
          <w:szCs w:val="18"/>
          <w:color w:val="auto"/>
        </w:rPr>
        <w:t>. Our Charter provides that, unless we consent in writing to the selection of an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34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of which this prospectus forms a part.</w:t>
      </w:r>
    </w:p>
    <w:p>
      <w:pPr>
        <w:spacing w:after="0" w:line="207" w:lineRule="exact"/>
        <w:rPr>
          <w:sz w:val="20"/>
          <w:szCs w:val="20"/>
          <w:color w:val="auto"/>
        </w:rPr>
      </w:pPr>
    </w:p>
    <w:p>
      <w:pPr>
        <w:jc w:val="both"/>
        <w:ind w:right="140" w:firstLine="456"/>
        <w:spacing w:after="0"/>
        <w:rPr>
          <w:sz w:val="20"/>
          <w:szCs w:val="20"/>
          <w:color w:val="auto"/>
        </w:rPr>
      </w:pPr>
      <w:r>
        <w:rPr>
          <w:rFonts w:ascii="Arial" w:cs="Arial" w:eastAsia="Arial" w:hAnsi="Arial"/>
          <w:sz w:val="18"/>
          <w:szCs w:val="18"/>
          <w:color w:val="auto"/>
        </w:rPr>
        <w:t>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36"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us to reopen a series to issue additional debt securities without the consent of the holders of the debt securities of such series;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 —Subordination” and in the applicable prospectus supplement.</w:t>
      </w:r>
    </w:p>
    <w:p>
      <w:pPr>
        <w:spacing w:after="0" w:line="202"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36" w:lineRule="exact"/>
        <w:rPr>
          <w:rFonts w:ascii="Arial" w:cs="Arial" w:eastAsia="Arial" w:hAnsi="Arial"/>
          <w:sz w:val="18"/>
          <w:szCs w:val="18"/>
          <w:color w:val="auto"/>
        </w:rPr>
      </w:pPr>
    </w:p>
    <w:p>
      <w:pPr>
        <w:ind w:left="900" w:right="54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27" w:lineRule="exact"/>
        <w:rPr>
          <w:rFonts w:ascii="Arial" w:cs="Arial" w:eastAsia="Arial" w:hAnsi="Arial"/>
          <w:sz w:val="18"/>
          <w:szCs w:val="18"/>
          <w:color w:val="auto"/>
        </w:rPr>
      </w:pPr>
    </w:p>
    <w:p>
      <w:pPr>
        <w:ind w:left="900" w:right="280" w:hanging="446"/>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6" w:lineRule="exact"/>
        <w:rPr>
          <w:rFonts w:ascii="Arial" w:cs="Arial" w:eastAsia="Arial" w:hAnsi="Arial"/>
          <w:sz w:val="18"/>
          <w:szCs w:val="18"/>
          <w:color w:val="auto"/>
        </w:rPr>
      </w:pPr>
    </w:p>
    <w:p>
      <w:pPr>
        <w:ind w:left="900" w:right="38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36" w:lineRule="exact"/>
        <w:rPr>
          <w:rFonts w:ascii="Arial" w:cs="Arial" w:eastAsia="Arial" w:hAnsi="Arial"/>
          <w:sz w:val="18"/>
          <w:szCs w:val="18"/>
          <w:color w:val="auto"/>
        </w:rPr>
      </w:pPr>
    </w:p>
    <w:p>
      <w:pPr>
        <w:ind w:left="900" w:right="12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7" w:lineRule="exact"/>
        <w:rPr>
          <w:rFonts w:ascii="Arial" w:cs="Arial" w:eastAsia="Arial" w:hAnsi="Arial"/>
          <w:sz w:val="18"/>
          <w:szCs w:val="18"/>
          <w:color w:val="auto"/>
        </w:rPr>
      </w:pPr>
    </w:p>
    <w:p>
      <w:pPr>
        <w:ind w:left="900" w:right="40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36" w:lineRule="exact"/>
        <w:rPr>
          <w:rFonts w:ascii="Arial" w:cs="Arial" w:eastAsia="Arial" w:hAnsi="Arial"/>
          <w:sz w:val="18"/>
          <w:szCs w:val="18"/>
          <w:color w:val="auto"/>
        </w:rPr>
      </w:pPr>
    </w:p>
    <w:p>
      <w:pPr>
        <w:ind w:left="900" w:right="14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7" w:lineRule="exact"/>
        <w:rPr>
          <w:rFonts w:ascii="Arial" w:cs="Arial" w:eastAsia="Arial" w:hAnsi="Arial"/>
          <w:sz w:val="18"/>
          <w:szCs w:val="18"/>
          <w:color w:val="auto"/>
        </w:rPr>
      </w:pPr>
    </w:p>
    <w:p>
      <w:pPr>
        <w:jc w:val="both"/>
        <w:ind w:left="900" w:right="2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7" w:lineRule="exact"/>
        <w:rPr>
          <w:rFonts w:ascii="Arial" w:cs="Arial" w:eastAsia="Arial" w:hAnsi="Arial"/>
          <w:sz w:val="18"/>
          <w:szCs w:val="18"/>
          <w:color w:val="auto"/>
        </w:rPr>
      </w:pPr>
    </w:p>
    <w:p>
      <w:pPr>
        <w:jc w:val="both"/>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7"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26" w:lineRule="exact"/>
        <w:rPr>
          <w:rFonts w:ascii="Arial" w:cs="Arial" w:eastAsia="Arial" w:hAnsi="Arial"/>
          <w:sz w:val="18"/>
          <w:szCs w:val="18"/>
          <w:color w:val="auto"/>
        </w:rPr>
      </w:pPr>
    </w:p>
    <w:p>
      <w:pPr>
        <w:ind w:left="900" w:right="24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7" w:lineRule="exact"/>
        <w:rPr>
          <w:rFonts w:ascii="Arial" w:cs="Arial" w:eastAsia="Arial" w:hAnsi="Arial"/>
          <w:sz w:val="18"/>
          <w:szCs w:val="18"/>
          <w:color w:val="auto"/>
        </w:rPr>
      </w:pPr>
    </w:p>
    <w:p>
      <w:pPr>
        <w:jc w:val="both"/>
        <w:ind w:left="900" w:right="80" w:hanging="446"/>
        <w:spacing w:after="0" w:line="23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2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21" w:lineRule="exact"/>
        <w:rPr>
          <w:rFonts w:ascii="Arial" w:cs="Arial" w:eastAsia="Arial" w:hAnsi="Arial"/>
          <w:sz w:val="18"/>
          <w:szCs w:val="18"/>
          <w:color w:val="auto"/>
        </w:rPr>
      </w:pPr>
    </w:p>
    <w:p>
      <w:pPr>
        <w:ind w:left="900" w:right="38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21" w:lineRule="exact"/>
        <w:rPr>
          <w:rFonts w:ascii="Arial" w:cs="Arial" w:eastAsia="Arial" w:hAnsi="Arial"/>
          <w:sz w:val="18"/>
          <w:szCs w:val="18"/>
          <w:color w:val="auto"/>
        </w:rPr>
      </w:pPr>
    </w:p>
    <w:p>
      <w:pPr>
        <w:jc w:val="both"/>
        <w:ind w:left="900" w:right="2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1" w:lineRule="exact"/>
        <w:rPr>
          <w:rFonts w:ascii="Arial" w:cs="Arial" w:eastAsia="Arial" w:hAnsi="Arial"/>
          <w:sz w:val="18"/>
          <w:szCs w:val="18"/>
          <w:color w:val="auto"/>
        </w:rPr>
      </w:pPr>
    </w:p>
    <w:p>
      <w:pPr>
        <w:ind w:left="900" w:right="26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27" w:lineRule="exact"/>
        <w:rPr>
          <w:rFonts w:ascii="Arial" w:cs="Arial" w:eastAsia="Arial" w:hAnsi="Arial"/>
          <w:sz w:val="18"/>
          <w:szCs w:val="18"/>
          <w:color w:val="auto"/>
        </w:rPr>
      </w:pPr>
    </w:p>
    <w:p>
      <w:pPr>
        <w:ind w:left="900" w:right="440" w:hanging="446"/>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 w:lineRule="exact"/>
        <w:rPr>
          <w:rFonts w:ascii="Arial" w:cs="Arial" w:eastAsia="Arial" w:hAnsi="Arial"/>
          <w:sz w:val="18"/>
          <w:szCs w:val="18"/>
          <w:color w:val="auto"/>
        </w:rPr>
      </w:pPr>
    </w:p>
    <w:p>
      <w:pPr>
        <w:ind w:left="900" w:right="180" w:hanging="446"/>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21"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21" w:lineRule="exact"/>
        <w:rPr>
          <w:rFonts w:ascii="Arial" w:cs="Arial" w:eastAsia="Arial" w:hAnsi="Arial"/>
          <w:sz w:val="18"/>
          <w:szCs w:val="18"/>
          <w:color w:val="auto"/>
        </w:rPr>
      </w:pPr>
    </w:p>
    <w:p>
      <w:pPr>
        <w:ind w:left="900" w:right="26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20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20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202"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9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203"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85"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97" w:lineRule="exact"/>
        <w:rPr>
          <w:sz w:val="20"/>
          <w:szCs w:val="20"/>
          <w:color w:val="auto"/>
        </w:rPr>
      </w:pPr>
    </w:p>
    <w:p>
      <w:pPr>
        <w:ind w:right="740" w:firstLine="456"/>
        <w:spacing w:after="0" w:line="246"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224" w:lineRule="exact"/>
        <w:rPr>
          <w:sz w:val="20"/>
          <w:szCs w:val="20"/>
          <w:color w:val="auto"/>
        </w:rPr>
      </w:pPr>
    </w:p>
    <w:p>
      <w:pPr>
        <w:ind w:left="900" w:right="2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7" w:lineRule="exact"/>
        <w:rPr>
          <w:rFonts w:ascii="Arial" w:cs="Arial" w:eastAsia="Arial" w:hAnsi="Arial"/>
          <w:sz w:val="18"/>
          <w:szCs w:val="18"/>
          <w:color w:val="auto"/>
        </w:rPr>
      </w:pPr>
    </w:p>
    <w:p>
      <w:pPr>
        <w:ind w:left="900" w:right="320" w:hanging="446"/>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7" w:lineRule="exact"/>
        <w:rPr>
          <w:rFonts w:ascii="Arial" w:cs="Arial" w:eastAsia="Arial" w:hAnsi="Arial"/>
          <w:sz w:val="18"/>
          <w:szCs w:val="18"/>
          <w:color w:val="auto"/>
        </w:rPr>
      </w:pPr>
    </w:p>
    <w:p>
      <w:pPr>
        <w:ind w:left="900" w:right="180" w:hanging="446"/>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320" w:hanging="446"/>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9"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224" w:lineRule="exact"/>
        <w:rPr>
          <w:sz w:val="20"/>
          <w:szCs w:val="20"/>
          <w:color w:val="auto"/>
        </w:rPr>
      </w:pPr>
    </w:p>
    <w:p>
      <w:pPr>
        <w:ind w:left="900" w:right="18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27"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67" w:lineRule="exact"/>
        <w:rPr>
          <w:sz w:val="20"/>
          <w:szCs w:val="20"/>
          <w:color w:val="auto"/>
        </w:rPr>
      </w:pPr>
    </w:p>
    <w:p>
      <w:pPr>
        <w:jc w:val="both"/>
        <w:ind w:firstLine="456"/>
        <w:spacing w:after="0" w:line="251"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 cause to be done all</w:t>
      </w:r>
      <w:r>
        <w:rPr>
          <w:rFonts w:ascii="Arial" w:cs="Arial" w:eastAsia="Arial" w:hAnsi="Arial"/>
          <w:sz w:val="18"/>
          <w:szCs w:val="18"/>
          <w:i w:val="1"/>
          <w:iCs w:val="1"/>
          <w:color w:val="auto"/>
        </w:rPr>
        <w:t xml:space="preserve"> </w:t>
      </w:r>
      <w:r>
        <w:rPr>
          <w:rFonts w:ascii="Arial" w:cs="Arial" w:eastAsia="Arial" w:hAnsi="Arial"/>
          <w:sz w:val="18"/>
          <w:szCs w:val="18"/>
          <w:color w:val="auto"/>
        </w:rPr>
        <w:t>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4"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(i) all 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85" w:lineRule="exact"/>
        <w:rPr>
          <w:sz w:val="20"/>
          <w:szCs w:val="20"/>
          <w:color w:val="auto"/>
        </w:rPr>
      </w:pPr>
    </w:p>
    <w:p>
      <w:pPr>
        <w:ind w:right="40" w:firstLine="456"/>
        <w:spacing w:after="0"/>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(i) within 15 days of each of the respective dates by which we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w:t>
      </w:r>
    </w:p>
    <w:p>
      <w:pPr>
        <w:jc w:val="both"/>
        <w:ind w:right="180" w:firstLine="8"/>
        <w:spacing w:after="0" w:line="234" w:lineRule="auto"/>
        <w:tabs>
          <w:tab w:leader="none" w:pos="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w:t>
      </w:r>
    </w:p>
    <w:p>
      <w:pPr>
        <w:spacing w:after="0" w:line="1" w:lineRule="exact"/>
        <w:rPr>
          <w:rFonts w:ascii="Arial" w:cs="Arial" w:eastAsia="Arial" w:hAnsi="Arial"/>
          <w:sz w:val="18"/>
          <w:szCs w:val="18"/>
          <w:color w:val="auto"/>
        </w:rPr>
      </w:pPr>
    </w:p>
    <w:p>
      <w:pPr>
        <w:ind w:right="80" w:firstLine="8"/>
        <w:spacing w:after="0" w:line="246"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(ii) above, and (iv) supply, promptly upon written request and payment of the reasonable cost of duplication and delivery, copies of such documents to any prospective holder.</w:t>
      </w:r>
    </w:p>
    <w:p>
      <w:pPr>
        <w:spacing w:after="0" w:line="179" w:lineRule="exact"/>
        <w:rPr>
          <w:sz w:val="20"/>
          <w:szCs w:val="20"/>
          <w:color w:val="auto"/>
        </w:rPr>
      </w:pPr>
    </w:p>
    <w:p>
      <w:pPr>
        <w:ind w:right="440" w:firstLine="456"/>
        <w:spacing w:after="0" w:line="267" w:lineRule="auto"/>
        <w:rPr>
          <w:sz w:val="20"/>
          <w:szCs w:val="20"/>
          <w:color w:val="auto"/>
        </w:rPr>
      </w:pPr>
      <w:r>
        <w:rPr>
          <w:rFonts w:ascii="Arial" w:cs="Arial" w:eastAsia="Arial" w:hAnsi="Arial"/>
          <w:sz w:val="18"/>
          <w:szCs w:val="18"/>
          <w:i w:val="1"/>
          <w:iCs w:val="1"/>
          <w:color w:val="auto"/>
        </w:rPr>
        <w:t>Additional covenants</w:t>
      </w:r>
      <w:r>
        <w:rPr>
          <w:rFonts w:ascii="Arial" w:cs="Arial" w:eastAsia="Arial" w:hAnsi="Arial"/>
          <w:sz w:val="18"/>
          <w:szCs w:val="18"/>
          <w:color w:val="auto"/>
        </w:rPr>
        <w:t>. The applicable prospectus supplement will set forth any our additional covenants relating to any series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99"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22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3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w:t>
      </w:r>
    </w:p>
    <w:p>
      <w:pPr>
        <w:ind w:left="900" w:right="440"/>
        <w:spacing w:after="0" w:line="246" w:lineRule="auto"/>
        <w:rPr>
          <w:rFonts w:ascii="Arial" w:cs="Arial" w:eastAsia="Arial" w:hAnsi="Arial"/>
          <w:sz w:val="18"/>
          <w:szCs w:val="18"/>
          <w:color w:val="auto"/>
        </w:rPr>
      </w:pPr>
      <w:r>
        <w:rPr>
          <w:rFonts w:ascii="Arial" w:cs="Arial" w:eastAsia="Arial" w:hAnsi="Arial"/>
          <w:sz w:val="18"/>
          <w:szCs w:val="18"/>
          <w:color w:val="auto"/>
        </w:rPr>
        <w:t>60 days after written notice as provided in the applicable indenture, but not of a covenant added to the indenture solely for the benefit of a series of debt securities issued thereunder other than such series;</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1480" w:right="100" w:hanging="567"/>
        <w:spacing w:after="0" w:line="246"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under which there may be issued, secured or evidenced any existing or later created indebtedness for money borrowed by us, if we are directly responsible or liable as obligor or guarantor,</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23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1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235" w:lineRule="exact"/>
        <w:rPr>
          <w:sz w:val="20"/>
          <w:szCs w:val="20"/>
          <w:color w:val="auto"/>
        </w:rPr>
      </w:pPr>
    </w:p>
    <w:p>
      <w:pPr>
        <w:jc w:val="both"/>
        <w:ind w:left="900" w:right="8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100" w:hanging="44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97"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3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36" w:lineRule="exact"/>
        <w:rPr>
          <w:rFonts w:ascii="Arial" w:cs="Arial" w:eastAsia="Arial" w:hAnsi="Arial"/>
          <w:sz w:val="18"/>
          <w:szCs w:val="18"/>
          <w:color w:val="auto"/>
        </w:rPr>
      </w:pPr>
    </w:p>
    <w:p>
      <w:pPr>
        <w:ind w:left="900" w:right="100" w:hanging="446"/>
        <w:spacing w:after="0" w:line="24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12"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20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20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23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12"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99" w:lineRule="exact"/>
        <w:rPr>
          <w:sz w:val="20"/>
          <w:szCs w:val="20"/>
          <w:color w:val="auto"/>
        </w:rPr>
      </w:pPr>
    </w:p>
    <w:p>
      <w:pPr>
        <w:ind w:right="140" w:firstLine="456"/>
        <w:spacing w:after="0"/>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30" w:lineRule="exact"/>
        <w:rPr>
          <w:sz w:val="20"/>
          <w:szCs w:val="20"/>
          <w:color w:val="auto"/>
        </w:rPr>
      </w:pPr>
    </w:p>
    <w:p>
      <w:pPr>
        <w:ind w:left="900" w:right="2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21" w:lineRule="exact"/>
        <w:rPr>
          <w:rFonts w:ascii="Arial" w:cs="Arial" w:eastAsia="Arial" w:hAnsi="Arial"/>
          <w:sz w:val="18"/>
          <w:szCs w:val="18"/>
          <w:color w:val="auto"/>
        </w:rPr>
      </w:pPr>
    </w:p>
    <w:p>
      <w:pPr>
        <w:jc w:val="both"/>
        <w:ind w:left="900" w:right="6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7"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7" w:lineRule="exact"/>
        <w:rPr>
          <w:rFonts w:ascii="Arial" w:cs="Arial" w:eastAsia="Arial" w:hAnsi="Arial"/>
          <w:sz w:val="18"/>
          <w:szCs w:val="18"/>
          <w:color w:val="auto"/>
        </w:rPr>
      </w:pPr>
    </w:p>
    <w:p>
      <w:pPr>
        <w:ind w:left="900" w:right="1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203" w:lineRule="exact"/>
        <w:rPr>
          <w:sz w:val="20"/>
          <w:szCs w:val="20"/>
          <w:color w:val="auto"/>
        </w:rPr>
      </w:pPr>
    </w:p>
    <w:p>
      <w:pPr>
        <w:ind w:right="200" w:firstLine="456"/>
        <w:spacing w:after="0"/>
        <w:rPr>
          <w:sz w:val="20"/>
          <w:szCs w:val="20"/>
          <w:color w:val="auto"/>
        </w:rPr>
      </w:pPr>
      <w:r>
        <w:rPr>
          <w:rFonts w:ascii="Arial" w:cs="Arial" w:eastAsia="Arial" w:hAnsi="Arial"/>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203" w:lineRule="exact"/>
        <w:rPr>
          <w:sz w:val="20"/>
          <w:szCs w:val="20"/>
          <w:color w:val="auto"/>
        </w:rPr>
      </w:pPr>
    </w:p>
    <w:p>
      <w:pPr>
        <w:ind w:right="600" w:firstLine="456"/>
        <w:spacing w:after="0" w:line="246"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24"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36" w:lineRule="exact"/>
        <w:rPr>
          <w:rFonts w:ascii="Arial" w:cs="Arial" w:eastAsia="Arial" w:hAnsi="Arial"/>
          <w:sz w:val="18"/>
          <w:szCs w:val="18"/>
          <w:color w:val="auto"/>
        </w:rPr>
      </w:pPr>
    </w:p>
    <w:p>
      <w:pPr>
        <w:ind w:left="900" w:right="700" w:hanging="44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36" w:lineRule="exact"/>
        <w:rPr>
          <w:rFonts w:ascii="Arial" w:cs="Arial" w:eastAsia="Arial" w:hAnsi="Arial"/>
          <w:sz w:val="18"/>
          <w:szCs w:val="18"/>
          <w:color w:val="auto"/>
        </w:rPr>
      </w:pPr>
    </w:p>
    <w:p>
      <w:pPr>
        <w:ind w:left="900" w:right="140" w:hanging="446"/>
        <w:spacing w:after="0" w:line="23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26"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36" w:lineRule="exact"/>
        <w:rPr>
          <w:rFonts w:ascii="Arial" w:cs="Arial" w:eastAsia="Arial" w:hAnsi="Arial"/>
          <w:sz w:val="18"/>
          <w:szCs w:val="18"/>
          <w:color w:val="auto"/>
        </w:rPr>
      </w:pPr>
    </w:p>
    <w:p>
      <w:pPr>
        <w:ind w:left="900" w:right="160" w:hanging="44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280" w:hanging="44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9"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230" w:lineRule="exact"/>
        <w:rPr>
          <w:sz w:val="20"/>
          <w:szCs w:val="20"/>
          <w:color w:val="auto"/>
        </w:rPr>
      </w:pPr>
    </w:p>
    <w:p>
      <w:pPr>
        <w:ind w:left="900" w:right="2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7" w:lineRule="exact"/>
        <w:rPr>
          <w:rFonts w:ascii="Arial" w:cs="Arial" w:eastAsia="Arial" w:hAnsi="Arial"/>
          <w:sz w:val="18"/>
          <w:szCs w:val="18"/>
          <w:color w:val="auto"/>
        </w:rPr>
      </w:pPr>
    </w:p>
    <w:p>
      <w:pPr>
        <w:ind w:left="900" w:right="260" w:hanging="446"/>
        <w:spacing w:after="0" w:line="23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26" w:lineRule="exact"/>
        <w:rPr>
          <w:rFonts w:ascii="Arial" w:cs="Arial" w:eastAsia="Arial" w:hAnsi="Arial"/>
          <w:sz w:val="18"/>
          <w:szCs w:val="18"/>
          <w:color w:val="auto"/>
        </w:rPr>
      </w:pPr>
    </w:p>
    <w:p>
      <w:pPr>
        <w:ind w:left="900" w:right="340" w:hanging="446"/>
        <w:spacing w:after="0" w:line="24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9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20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202" w:lineRule="exact"/>
        <w:rPr>
          <w:sz w:val="20"/>
          <w:szCs w:val="20"/>
          <w:color w:val="auto"/>
        </w:rPr>
      </w:pPr>
    </w:p>
    <w:p>
      <w:pPr>
        <w:jc w:val="both"/>
        <w:ind w:right="380" w:firstLine="456"/>
        <w:spacing w:after="0" w:line="239"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outstanding debt securities of a series, the persons holding such percentage will constitute a quorum.</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22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36" w:lineRule="exact"/>
        <w:rPr>
          <w:rFonts w:ascii="Arial" w:cs="Arial" w:eastAsia="Arial" w:hAnsi="Arial"/>
          <w:sz w:val="18"/>
          <w:szCs w:val="18"/>
          <w:color w:val="auto"/>
        </w:rPr>
      </w:pPr>
    </w:p>
    <w:p>
      <w:pPr>
        <w:ind w:left="900" w:right="4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99" w:lineRule="exact"/>
        <w:rPr>
          <w:sz w:val="20"/>
          <w:szCs w:val="20"/>
          <w:color w:val="auto"/>
        </w:rPr>
      </w:pPr>
    </w:p>
    <w:p>
      <w:pPr>
        <w:ind w:right="740" w:firstLine="456"/>
        <w:spacing w:after="0" w:line="246"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9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207"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12"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99" w:lineRule="exact"/>
        <w:rPr>
          <w:sz w:val="20"/>
          <w:szCs w:val="20"/>
          <w:color w:val="auto"/>
        </w:rPr>
      </w:pPr>
    </w:p>
    <w:p>
      <w:pPr>
        <w:ind w:right="40" w:firstLine="913"/>
        <w:spacing w:after="0" w:line="246"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224" w:lineRule="exact"/>
        <w:rPr>
          <w:sz w:val="20"/>
          <w:szCs w:val="20"/>
          <w:color w:val="auto"/>
        </w:rPr>
      </w:pPr>
    </w:p>
    <w:p>
      <w:pPr>
        <w:ind w:left="900" w:right="60" w:hanging="446"/>
        <w:spacing w:after="0" w:line="23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36" w:lineRule="exact"/>
        <w:rPr>
          <w:rFonts w:ascii="Arial" w:cs="Arial" w:eastAsia="Arial" w:hAnsi="Arial"/>
          <w:sz w:val="18"/>
          <w:szCs w:val="18"/>
          <w:color w:val="auto"/>
        </w:rPr>
      </w:pPr>
    </w:p>
    <w:p>
      <w:pPr>
        <w:ind w:left="900" w:right="340" w:hanging="446"/>
        <w:spacing w:after="0" w:line="24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97"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23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20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202"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of such debt securities would be able to look only to such trust fund for payment of principal, any premium or make-whole amount, and interest.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900" w:right="100" w:hanging="446"/>
        <w:spacing w:after="0" w:line="24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 w:lineRule="exact"/>
        <w:rPr>
          <w:rFonts w:ascii="Arial" w:cs="Arial" w:eastAsia="Arial" w:hAnsi="Arial"/>
          <w:sz w:val="18"/>
          <w:szCs w:val="18"/>
          <w:color w:val="auto"/>
        </w:rPr>
      </w:pPr>
    </w:p>
    <w:p>
      <w:pPr>
        <w:ind w:left="900" w:right="20" w:hanging="446"/>
        <w:spacing w:after="0" w:line="23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20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900" w:right="640" w:hanging="325"/>
        <w:spacing w:after="0" w:line="24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21" w:lineRule="exact"/>
        <w:rPr>
          <w:rFonts w:ascii="Arial" w:cs="Arial" w:eastAsia="Arial" w:hAnsi="Arial"/>
          <w:sz w:val="18"/>
          <w:szCs w:val="18"/>
          <w:color w:val="auto"/>
        </w:rPr>
      </w:pPr>
    </w:p>
    <w:p>
      <w:pPr>
        <w:ind w:left="900" w:right="100" w:hanging="325"/>
        <w:spacing w:after="0" w:line="24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12"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203"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the event that (i) we effect covenant defeasance with respect to any debt securities and (ii) those debt securities are declared due and payable because of the occurrence of any event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202" w:lineRule="exact"/>
        <w:rPr>
          <w:sz w:val="20"/>
          <w:szCs w:val="20"/>
          <w:color w:val="auto"/>
        </w:rPr>
      </w:pPr>
    </w:p>
    <w:p>
      <w:pPr>
        <w:jc w:val="both"/>
        <w:ind w:right="180" w:firstLine="456"/>
        <w:spacing w:after="0" w:line="246"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8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20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203"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20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15" w:lineRule="exact"/>
        <w:rPr>
          <w:sz w:val="20"/>
          <w:szCs w:val="20"/>
          <w:color w:val="auto"/>
        </w:rPr>
      </w:pPr>
    </w:p>
    <w:p>
      <w:pPr>
        <w:ind w:right="80" w:firstLine="456"/>
        <w:spacing w:after="0"/>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203" w:lineRule="exact"/>
        <w:rPr>
          <w:sz w:val="20"/>
          <w:szCs w:val="20"/>
          <w:color w:val="auto"/>
        </w:rPr>
      </w:pPr>
    </w:p>
    <w:p>
      <w:pPr>
        <w:ind w:right="520" w:firstLine="456"/>
        <w:spacing w:after="0" w:line="246"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203"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99"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34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260" w:firstLine="456"/>
        <w:spacing w:after="0"/>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203"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39"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36" w:lineRule="exact"/>
        <w:rPr>
          <w:rFonts w:ascii="Arial" w:cs="Arial" w:eastAsia="Arial" w:hAnsi="Arial"/>
          <w:sz w:val="18"/>
          <w:szCs w:val="18"/>
          <w:color w:val="auto"/>
        </w:rPr>
      </w:pPr>
    </w:p>
    <w:p>
      <w:pPr>
        <w:ind w:left="900" w:right="420" w:hanging="44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1" w:lineRule="exact"/>
        <w:rPr>
          <w:rFonts w:ascii="Arial" w:cs="Arial" w:eastAsia="Arial" w:hAnsi="Arial"/>
          <w:sz w:val="18"/>
          <w:szCs w:val="18"/>
          <w:color w:val="auto"/>
        </w:rPr>
      </w:pPr>
    </w:p>
    <w:p>
      <w:pPr>
        <w:ind w:left="900" w:right="6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3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20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229" w:lineRule="exact"/>
        <w:rPr>
          <w:sz w:val="20"/>
          <w:szCs w:val="20"/>
          <w:color w:val="auto"/>
        </w:rPr>
      </w:pPr>
    </w:p>
    <w:p>
      <w:pPr>
        <w:ind w:left="900" w:right="200" w:hanging="446"/>
        <w:spacing w:after="0" w:line="24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12" w:lineRule="exact"/>
        <w:rPr>
          <w:sz w:val="20"/>
          <w:szCs w:val="20"/>
          <w:color w:val="auto"/>
        </w:rPr>
      </w:pPr>
    </w:p>
    <w:p>
      <w:pPr>
        <w:jc w:val="both"/>
        <w:ind w:right="100" w:firstLine="456"/>
        <w:spacing w:after="0"/>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99"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85"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3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36" w:lineRule="exact"/>
        <w:rPr>
          <w:rFonts w:ascii="Arial" w:cs="Arial" w:eastAsia="Arial" w:hAnsi="Arial"/>
          <w:sz w:val="18"/>
          <w:szCs w:val="18"/>
          <w:color w:val="auto"/>
        </w:rPr>
      </w:pPr>
    </w:p>
    <w:p>
      <w:pPr>
        <w:ind w:left="900" w:right="20" w:hanging="446"/>
        <w:spacing w:after="0" w:line="24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9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8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224" w:lineRule="exact"/>
        <w:rPr>
          <w:sz w:val="20"/>
          <w:szCs w:val="20"/>
          <w:color w:val="auto"/>
        </w:rPr>
      </w:pPr>
    </w:p>
    <w:p>
      <w:pPr>
        <w:ind w:left="900" w:right="40" w:hanging="44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1" w:lineRule="exact"/>
        <w:rPr>
          <w:rFonts w:ascii="Arial" w:cs="Arial" w:eastAsia="Arial" w:hAnsi="Arial"/>
          <w:sz w:val="18"/>
          <w:szCs w:val="18"/>
          <w:color w:val="auto"/>
        </w:rPr>
      </w:pPr>
    </w:p>
    <w:p>
      <w:pPr>
        <w:ind w:left="900" w:right="160" w:hanging="44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900" w:right="100" w:hanging="44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21" w:lineRule="exact"/>
        <w:rPr>
          <w:rFonts w:ascii="Arial" w:cs="Arial" w:eastAsia="Arial" w:hAnsi="Arial"/>
          <w:sz w:val="18"/>
          <w:szCs w:val="18"/>
          <w:color w:val="auto"/>
        </w:rPr>
      </w:pPr>
    </w:p>
    <w:p>
      <w:pPr>
        <w:ind w:left="900" w:right="28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203"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85" w:lineRule="exact"/>
        <w:rPr>
          <w:sz w:val="20"/>
          <w:szCs w:val="20"/>
          <w:color w:val="auto"/>
        </w:rPr>
      </w:pPr>
    </w:p>
    <w:p>
      <w:pPr>
        <w:ind w:right="80" w:firstLine="456"/>
        <w:spacing w:after="0" w:line="275"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99"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97" w:lineRule="exact"/>
        <w:rPr>
          <w:sz w:val="20"/>
          <w:szCs w:val="20"/>
          <w:color w:val="auto"/>
        </w:rPr>
      </w:pPr>
    </w:p>
    <w:p>
      <w:pPr>
        <w:ind w:right="200" w:firstLine="913"/>
        <w:spacing w:after="0" w:line="246"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Governing Law</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8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Unless the accompanying prospectus supplement states otherwise, each unit and all securities comprising the unit will be issued in the same form.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12"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24" w:lineRule="exact"/>
        <w:rPr>
          <w:sz w:val="20"/>
          <w:szCs w:val="20"/>
          <w:color w:val="auto"/>
        </w:rPr>
      </w:pPr>
    </w:p>
    <w:p>
      <w:pPr>
        <w:ind w:left="900" w:right="460" w:hanging="44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21"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6" w:lineRule="exact"/>
        <w:rPr>
          <w:rFonts w:ascii="Arial" w:cs="Arial" w:eastAsia="Arial" w:hAnsi="Arial"/>
          <w:sz w:val="18"/>
          <w:szCs w:val="18"/>
          <w:color w:val="auto"/>
        </w:rPr>
      </w:pPr>
    </w:p>
    <w:p>
      <w:pPr>
        <w:ind w:left="900" w:hanging="446"/>
        <w:spacing w:after="0" w:line="23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85"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w:t>
      </w:r>
    </w:p>
    <w:p>
      <w:pPr>
        <w:spacing w:after="0" w:line="212"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24"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12" w:lineRule="exact"/>
        <w:rPr>
          <w:sz w:val="20"/>
          <w:szCs w:val="20"/>
          <w:color w:val="auto"/>
        </w:rPr>
      </w:pPr>
    </w:p>
    <w:p>
      <w:pPr>
        <w:ind w:right="300" w:firstLine="456"/>
        <w:spacing w:after="0"/>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203"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203"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2"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30" w:lineRule="exact"/>
        <w:rPr>
          <w:sz w:val="20"/>
          <w:szCs w:val="20"/>
          <w:color w:val="auto"/>
        </w:rPr>
      </w:pPr>
    </w:p>
    <w:p>
      <w:pPr>
        <w:ind w:left="900" w:right="220" w:hanging="325"/>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 w:lineRule="exact"/>
        <w:rPr>
          <w:rFonts w:ascii="Arial" w:cs="Arial" w:eastAsia="Arial" w:hAnsi="Arial"/>
          <w:sz w:val="18"/>
          <w:szCs w:val="18"/>
          <w:color w:val="auto"/>
        </w:rPr>
      </w:pPr>
    </w:p>
    <w:p>
      <w:pPr>
        <w:ind w:left="900" w:right="6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3"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203"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203"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7"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20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97"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1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right="120"/>
        <w:spacing w:after="0" w:line="418" w:lineRule="auto"/>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 36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or by telephone request to (617) 622-4003. Our website is located at </w:t>
      </w:r>
      <w:r>
        <w:rPr>
          <w:rFonts w:ascii="Arial" w:cs="Arial" w:eastAsia="Arial" w:hAnsi="Arial"/>
          <w:sz w:val="18"/>
          <w:szCs w:val="18"/>
          <w:i w:val="1"/>
          <w:iCs w:val="1"/>
          <w:color w:val="auto"/>
        </w:rPr>
        <w:t>www.zafgen.com</w:t>
      </w:r>
      <w:r>
        <w:rPr>
          <w:rFonts w:ascii="Arial" w:cs="Arial" w:eastAsia="Arial" w:hAnsi="Arial"/>
          <w:sz w:val="18"/>
          <w:szCs w:val="18"/>
          <w:color w:val="auto"/>
        </w:rPr>
        <w:t>. Information contained on our website is not incorporated by reference into this prospectus and, therefore, is not part of this prospectus or any accompanying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230"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w:t>
      </w:r>
    </w:p>
    <w:p>
      <w:pPr>
        <w:spacing w:after="0" w:line="36" w:lineRule="exact"/>
        <w:rPr>
          <w:rFonts w:ascii="Arial" w:cs="Arial" w:eastAsia="Arial" w:hAnsi="Arial"/>
          <w:sz w:val="18"/>
          <w:szCs w:val="18"/>
          <w:color w:val="auto"/>
        </w:rPr>
      </w:pPr>
    </w:p>
    <w:p>
      <w:pPr>
        <w:ind w:left="900" w:right="8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28, 2017;</w:t>
      </w:r>
    </w:p>
    <w:p>
      <w:pPr>
        <w:spacing w:after="0" w:line="27"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Quarterly Reports on Form 10-Q filed with the SEC for the quarters ended March 31, 2017 and June 30, 2017;</w:t>
      </w:r>
    </w:p>
    <w:p>
      <w:pPr>
        <w:spacing w:after="0" w:line="36" w:lineRule="exact"/>
        <w:rPr>
          <w:rFonts w:ascii="Arial" w:cs="Arial" w:eastAsia="Arial" w:hAnsi="Arial"/>
          <w:sz w:val="18"/>
          <w:szCs w:val="18"/>
          <w:color w:val="auto"/>
        </w:rPr>
      </w:pPr>
    </w:p>
    <w:p>
      <w:pPr>
        <w:ind w:left="900" w:right="160" w:hanging="325"/>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Current Reports on Form 8-K filed with the SEC on March 9, 2017, May 4, 2017, May 9, 2017, June 23, 2017 and August 8, 2017; and</w:t>
      </w:r>
    </w:p>
    <w:p>
      <w:pPr>
        <w:spacing w:after="0" w:line="21"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which was filed with the SEC on June 18, 2014, including any amendment or report filed for the purpose of updating such description.</w:t>
      </w:r>
    </w:p>
    <w:p>
      <w:pPr>
        <w:spacing w:after="0" w:line="197" w:lineRule="exact"/>
        <w:rPr>
          <w:sz w:val="20"/>
          <w:szCs w:val="20"/>
          <w:color w:val="auto"/>
        </w:rPr>
      </w:pPr>
    </w:p>
    <w:p>
      <w:pPr>
        <w:ind w:right="320" w:firstLine="456"/>
        <w:spacing w:after="0"/>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exhibits we have specifically incorporated by reference as an exhibit in this prospectus, at no cost by writing or telephoning us at the following address: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Zafgen, Inc., 175 Portland Street, 4th Floor, Boston, MA 02114, Attention: Secretary, or by telephone request to (617) 622-4003.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w:t>
      </w:r>
    </w:p>
    <w:p>
      <w:pPr>
        <w:spacing w:after="0"/>
        <w:rPr>
          <w:sz w:val="20"/>
          <w:szCs w:val="20"/>
          <w:color w:val="auto"/>
        </w:rPr>
      </w:pPr>
      <w:r>
        <w:rPr>
          <w:rFonts w:ascii="Arial" w:cs="Arial" w:eastAsia="Arial" w:hAnsi="Arial"/>
          <w:sz w:val="18"/>
          <w:szCs w:val="18"/>
          <w:color w:val="auto"/>
        </w:rPr>
        <w:t>You should read the exhibits carefully for provisions that may be important to you.</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494665</wp:posOffset>
            </wp:positionV>
            <wp:extent cx="1818005" cy="643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180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1538605</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20" w:type="dxa"/>
            <w:vAlign w:val="bottom"/>
          </w:tcPr>
          <w:p>
            <w:pPr>
              <w:spacing w:after="0"/>
              <w:rPr>
                <w:sz w:val="23"/>
                <w:szCs w:val="23"/>
                <w:color w:val="auto"/>
              </w:rPr>
            </w:pPr>
          </w:p>
        </w:tc>
        <w:tc>
          <w:tcPr>
            <w:tcW w:w="6900" w:type="dxa"/>
            <w:vAlign w:val="bottom"/>
            <w:gridSpan w:val="2"/>
          </w:tcPr>
          <w:p>
            <w:pPr>
              <w:jc w:val="right"/>
              <w:ind w:right="4665"/>
              <w:spacing w:after="0"/>
              <w:rPr>
                <w:sz w:val="20"/>
                <w:szCs w:val="20"/>
                <w:color w:val="auto"/>
              </w:rPr>
            </w:pPr>
            <w:r>
              <w:rPr>
                <w:rFonts w:ascii="Arial" w:cs="Arial" w:eastAsia="Arial" w:hAnsi="Arial"/>
                <w:sz w:val="22"/>
                <w:szCs w:val="22"/>
                <w:b w:val="1"/>
                <w:bCs w:val="1"/>
                <w:i w:val="1"/>
                <w:iCs w:val="1"/>
                <w:color w:val="auto"/>
                <w:w w:val="98"/>
              </w:rPr>
              <w:t>Joint Book-Runners</w:t>
            </w:r>
          </w:p>
        </w:tc>
      </w:tr>
      <w:tr>
        <w:trPr>
          <w:trHeight w:val="454"/>
        </w:trPr>
        <w:tc>
          <w:tcPr>
            <w:tcW w:w="452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b w:val="1"/>
                <w:bCs w:val="1"/>
                <w:color w:val="auto"/>
              </w:rPr>
              <w:t>Piper Jaffray</w:t>
            </w:r>
          </w:p>
        </w:tc>
      </w:tr>
      <w:tr>
        <w:trPr>
          <w:trHeight w:val="36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63"/>
        </w:trPr>
        <w:tc>
          <w:tcPr>
            <w:tcW w:w="4520" w:type="dxa"/>
            <w:vAlign w:val="bottom"/>
          </w:tcPr>
          <w:p>
            <w:pPr>
              <w:spacing w:after="0"/>
              <w:rPr>
                <w:sz w:val="24"/>
                <w:szCs w:val="24"/>
                <w:color w:val="auto"/>
              </w:rPr>
            </w:pPr>
          </w:p>
        </w:tc>
        <w:tc>
          <w:tcPr>
            <w:tcW w:w="6900" w:type="dxa"/>
            <w:vAlign w:val="bottom"/>
            <w:gridSpan w:val="2"/>
          </w:tcPr>
          <w:p>
            <w:pPr>
              <w:jc w:val="right"/>
              <w:ind w:right="4705"/>
              <w:spacing w:after="0"/>
              <w:rPr>
                <w:sz w:val="20"/>
                <w:szCs w:val="20"/>
                <w:color w:val="auto"/>
              </w:rPr>
            </w:pPr>
            <w:r>
              <w:rPr>
                <w:rFonts w:ascii="Arial" w:cs="Arial" w:eastAsia="Arial" w:hAnsi="Arial"/>
                <w:sz w:val="22"/>
                <w:szCs w:val="22"/>
                <w:b w:val="1"/>
                <w:bCs w:val="1"/>
                <w:i w:val="1"/>
                <w:iCs w:val="1"/>
                <w:color w:val="auto"/>
              </w:rPr>
              <w:t>Co-Lead Managers</w:t>
            </w:r>
          </w:p>
        </w:tc>
      </w:tr>
      <w:tr>
        <w:trPr>
          <w:trHeight w:val="417"/>
        </w:trPr>
        <w:tc>
          <w:tcPr>
            <w:tcW w:w="4520" w:type="dxa"/>
            <w:vAlign w:val="bottom"/>
          </w:tcPr>
          <w:p>
            <w:pPr>
              <w:spacing w:after="0"/>
              <w:rPr>
                <w:sz w:val="20"/>
                <w:szCs w:val="20"/>
                <w:color w:val="auto"/>
              </w:rPr>
            </w:pPr>
            <w:r>
              <w:rPr>
                <w:rFonts w:ascii="Arial" w:cs="Arial" w:eastAsia="Arial" w:hAnsi="Arial"/>
                <w:sz w:val="25"/>
                <w:szCs w:val="25"/>
                <w:b w:val="1"/>
                <w:bCs w:val="1"/>
                <w:color w:val="auto"/>
              </w:rPr>
              <w:t>JMP Securities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b w:val="1"/>
                <w:bCs w:val="1"/>
                <w:color w:val="auto"/>
              </w:rPr>
              <w:t>Wedbush PacGrow</w:t>
            </w:r>
          </w:p>
        </w:tc>
      </w:tr>
      <w:tr>
        <w:trPr>
          <w:trHeight w:val="2287"/>
        </w:trPr>
        <w:tc>
          <w:tcPr>
            <w:tcW w:w="4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82"/>
        </w:trPr>
        <w:tc>
          <w:tcPr>
            <w:tcW w:w="45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Roman"/>
      <w:start w:val="3"/>
    </w:lvl>
  </w:abstractNum>
  <w:abstractNum w:abstractNumId="29">
    <w:nsid w:val="2A487CB0"/>
    <w:multiLevelType w:val="hybridMultilevel"/>
    <w:lvl w:ilvl="0">
      <w:lvlJc w:val="left"/>
      <w:lvlText w:val="(%1)"/>
      <w:numFmt w:val="lowerRoman"/>
      <w:start w:val="1"/>
    </w:lvl>
  </w:abstractNum>
  <w:abstractNum w:abstractNumId="30">
    <w:nsid w:val="1D4ED43B"/>
    <w:multiLevelType w:val="hybridMultilevel"/>
    <w:lvl w:ilvl="0">
      <w:lvlJc w:val="left"/>
      <w:lvlText w:val="•"/>
      <w:numFmt w:val="bullet"/>
      <w:start w:val="1"/>
    </w:lvl>
    <w:lvl w:ilvl="1">
      <w:lvlJc w:val="left"/>
      <w:lvlText w:val="(%2)"/>
      <w:numFmt w:val="lowerRoman"/>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2019-12-07T06:01:53Z</dcterms:created>
  <dcterms:modified xsi:type="dcterms:W3CDTF">2019-12-07T06:01:53Z</dcterms:modified>
</cp:coreProperties>
</file>