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lrmr-20230630.htm"/>
      <w:bookmarkStart w:id="1" w:name="kslrmr20230630"/>
      <w:bookmarkEnd w:id="0"/>
      <w:bookmarkEnd w:id="1"/>
      <w:r>
        <w:rPr/>
        <w:t> </w:t>
      </w:r>
    </w:p>
    <w:p>
      <w:pPr>
        <w:pStyle w:val="TextBody"/>
        <w:bidi w:val="0"/>
        <w:spacing w:before="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sz w:val="18"/>
        </w:rPr>
        <w:t>(Mark One)</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QUARTERLY REPORT PURSUANT TO SECTION 13 OR 15(d) OF THE SECURITIES EXCHANGE ACT OF 1934</w:t>
            </w:r>
            <w:r>
              <w:rPr>
                <w:rFonts w:ascii="Times New Roman" w:hAnsi="Times New Roman"/>
                <w:sz w:val="20"/>
              </w:rPr>
              <w:t xml:space="preserve"> </w:t>
            </w:r>
          </w:p>
        </w:tc>
      </w:tr>
    </w:tbl>
    <w:p>
      <w:pPr>
        <w:pStyle w:val="TextBody"/>
        <w:bidi w:val="0"/>
        <w:spacing w:before="6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6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60" w:after="0"/>
              <w:ind w:left="0" w:right="0" w:hanging="0"/>
              <w:jc w:val="left"/>
              <w:rPr>
                <w:rFonts w:ascii="Times New Roman" w:hAnsi="Times New Roman"/>
                <w:sz w:val="20"/>
              </w:rPr>
            </w:pPr>
            <w:r>
              <w:rPr>
                <w:rFonts w:ascii="Times New Roman;serif" w:hAnsi="Times New Roman;serif"/>
                <w:b/>
                <w:sz w:val="20"/>
              </w:rPr>
              <w:t>TRANSITION REPORT PURSUANT TO SECTION 13 OR 15(d) OF THE SECURITIES EXCHANGE ACT OF 1934</w:t>
            </w:r>
            <w:r>
              <w:rPr>
                <w:rFonts w:ascii="Times New Roman" w:hAnsi="Times New Roman"/>
                <w:sz w:val="20"/>
              </w:rPr>
              <w:t xml:space="preserve"> </w:t>
            </w:r>
          </w:p>
        </w:tc>
      </w:tr>
    </w:tbl>
    <w:p>
      <w:pPr>
        <w:pStyle w:val="TextBody"/>
        <w:bidi w:val="0"/>
        <w:spacing w:before="60" w:after="0"/>
        <w:jc w:val="center"/>
        <w:rPr>
          <w:rFonts w:ascii="Times New Roman;serif" w:hAnsi="Times New Roman;serif"/>
          <w:b/>
          <w:sz w:val="20"/>
        </w:rPr>
      </w:pPr>
      <w:r>
        <w:rPr>
          <w:rFonts w:ascii="Times New Roman;serif" w:hAnsi="Times New Roman;serif"/>
          <w:b/>
          <w:sz w:val="20"/>
        </w:rPr>
        <w:t>For the transition period from ___ to ____</w:t>
      </w:r>
    </w:p>
    <w:p>
      <w:pPr>
        <w:pStyle w:val="TextBody"/>
        <w:bidi w:val="0"/>
        <w:spacing w:before="120" w:after="0"/>
        <w:jc w:val="center"/>
        <w:rPr>
          <w:rFonts w:ascii="Times New Roman" w:hAnsi="Times New Roman"/>
          <w:sz w:val="20"/>
        </w:rPr>
      </w:pPr>
      <w:r>
        <w:rPr>
          <w:rFonts w:ascii="Times New Roman;serif" w:hAnsi="Times New Roman;serif"/>
          <w:b/>
          <w:sz w:val="20"/>
        </w:rPr>
        <w:t>Commission File Number: 001-36510</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36"/>
        </w:rPr>
        <w:t>LARIMAR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bidi w:val="0"/>
        <w:spacing w:before="0" w:after="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20-3857670</w:t>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Bala Plaza East, Suite 506</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19004</w:t>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Bala Cynwyd, PA</w:t>
            </w:r>
            <w:r>
              <w:rPr>
                <w:rFonts w:ascii="Times New Roman" w:hAnsi="Times New Roman"/>
                <w:sz w:val="20"/>
              </w:rPr>
              <w:t xml:space="preserve">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(844) 511-9056</w:t>
      </w:r>
      <w:r>
        <w:rPr>
          <w:rFonts w:ascii="Times New Roman" w:hAnsi="Times New Roman"/>
          <w:sz w:val="20"/>
        </w:rPr>
        <w:t xml:space="preserve"> </w:t>
      </w:r>
    </w:p>
    <w:p>
      <w:pPr>
        <w:pStyle w:val="TextBody"/>
        <w:bidi w:val="0"/>
        <w:spacing w:before="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14"/>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803" w:type="dxa"/>
        <w:jc w:val="left"/>
        <w:tblInd w:w="0" w:type="dxa"/>
        <w:tblLayout w:type="fixed"/>
        <w:tblCellMar>
          <w:top w:w="28" w:type="dxa"/>
          <w:left w:w="28" w:type="dxa"/>
          <w:bottom w:w="28" w:type="dxa"/>
          <w:right w:w="28" w:type="dxa"/>
        </w:tblCellMar>
      </w:tblPr>
      <w:tblGrid>
        <w:gridCol w:w="3151"/>
        <w:gridCol w:w="1426"/>
        <w:gridCol w:w="3226"/>
      </w:tblGrid>
      <w:tr>
        <w:trPr/>
        <w:tc>
          <w:tcPr>
            <w:tcW w:w="31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Title of each class</w:t>
            </w:r>
          </w:p>
        </w:tc>
        <w:tc>
          <w:tcPr>
            <w:tcW w:w="14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Trading Symbol(s)</w:t>
            </w:r>
          </w:p>
        </w:tc>
        <w:tc>
          <w:tcPr>
            <w:tcW w:w="32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Name of each exchange on which registered</w:t>
            </w:r>
          </w:p>
        </w:tc>
      </w:tr>
      <w:tr>
        <w:trPr/>
        <w:tc>
          <w:tcPr>
            <w:tcW w:w="315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Common Stock, par value $0.001 per share</w:t>
            </w:r>
          </w:p>
        </w:tc>
        <w:tc>
          <w:tcPr>
            <w:tcW w:w="1426" w:type="dxa"/>
            <w:tcBorders>
              <w:bottom w:val="single" w:sz="6" w:space="0" w:color="000000"/>
              <w:right w:val="single" w:sz="6"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LRMR</w:t>
            </w:r>
          </w:p>
        </w:tc>
        <w:tc>
          <w:tcPr>
            <w:tcW w:w="3226" w:type="dxa"/>
            <w:tcBorders>
              <w:bottom w:val="single" w:sz="6" w:space="0" w:color="000000"/>
              <w:right w:val="single" w:sz="6"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The Nasdaq Global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As of August 7, 2023, there were 43,277,500</w:t>
      </w:r>
      <w:r>
        <w:rPr>
          <w:rFonts w:ascii="Times New Roman" w:hAnsi="Times New Roman"/>
          <w:sz w:val="20"/>
        </w:rPr>
        <w:t xml:space="preserve"> </w:t>
      </w:r>
      <w:r>
        <w:rPr>
          <w:rFonts w:ascii="Times New Roman;serif" w:hAnsi="Times New Roman;serif"/>
          <w:b w:val="false"/>
          <w:sz w:val="18"/>
        </w:rPr>
        <w:t>shares of the registrant’s Common Stock, $0.001 par value per share, outstanding.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CAUTIONARY NOTE REGARDING FORWARD-LOOKING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Statements made in this Quarterly Report on Form 10-Q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You should understand that the following important factors could affect our future results and could cause those results or other outcomes to differ materially from those expressed or implied in our forward-looking statements: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uncertainties in obtaining successful non-clinical or clinical results that reliably and meaningfully demonstrate safety, tolerability and efficacy profiles that are satisfactory to the U.S. Food and Drug Administration (“FDA”), European Medicines Agency and other comparable regulatory authorities for marketing approval for CTI-1601 or any other product candidate that we may develop in the future and unexpected costs that may result therefrom;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patient recruitment for our clinical trials (including as a result of the impact of FDA approval of competitive products for the treatment of Friedreich's ataxia ("FA"), and/or the impact of other clinical trials of competitive products), delays as a result of clinical and non-clinical results and/or FDA's request for additional information or studies, changes in clinical protocols, regulatory restrictions, including additional clinical holds, and milestones for CTI-1601;</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successfully initiate and complete the 50 mg cohort of our four-week, placebo-controlled, Phase 2 dose exploration trial of CTI-1601 and our ability to initiate the open label extension trial and engage with and satisfactorily respond to questions from the FDA regarding future submissions of data from each such trial, and the FDA’s agreement to allow us to perform additional cohorts and/or initiate other clinical trials for CTI-1601 and the timing and outcomes of such interactions;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uncertainties associated with the clinical development and regulatory approval for CTI-1601 or any other product candidate that we may develop in the future, including potential delays in the commencement, enrollment and completion of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difficulties and expenses associated with obtaining and maintaining regulatory approval for CTI-1601 or any other product candidate we may develop in the future, and the indication and labeling under any such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estimates regarding future results of operations, financial position, research and development costs, capital requirements and our access and needs for additional financing;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how long we can continue to fund our operations with our existing cash, cash equivalents and marketable securities;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and the ability of third-party manufacturers we engage, to optimize and scale CTI-1601 or any other product candidate’s manufacturing process and to manufacture sufficient quantities of clinical supplies, and, if approved, commercial supplies of CTI-1601 or any other product candidate that we may develop in the future;</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realize any value from CTI-1601 and/or any other product candidate we may develop in the future in light of inherent risks and difficulties involved in successfully bringing product candidates to market and the risk that the product candidates, if approved, will not achieve broad market acceptance;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comply with regulatory requirements applicable to our business and other regulatory developments in the United States and other countries;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size and growth of the potential markets for CTI-1601, if approved, or any other product candidate that we may develop in the future, the rate and degree of market acceptance of CTI-1601 or any other product candidate, if approved, that we may develop in the future and our ability to serve those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given competing therapies and products for the treatment of FA, our ability to obtain and maintain designations or eligibility for expedited regulatory programs, and to commercialize current and future candidates, if approved, (including the impact of potential barriers to entry if a competitor is able to establish a strong market position before we are able to commercialize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obtain and maintain patent protection and defend our intellectual property rights against third-parties;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our relationships, and contracts with our key vendors and to identify and contract with alternate or secondary key vendors;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recruit and retain key scientific, technical, commercial, and management personnel and to retain our executive officers;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proper functionality and security of our internal computer and information systems and prevent or avoid cyber-attacks, malicious intrusion, breakdown, destruction, loss of data privacy or other significant disruption;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extent to which geopolitical tensions, adverse macroeconomic events, including those due to inflationary pressures, rising interest rates, banking instability and the ability of the U.S. government to manage federal debt limits, health epidemics, unforeseen emergencies and other outbreaks of communicable diseases could disrupt our operations, the operations of third parties on which we rely or the operations of regulatory agencies we interact with in the development of CTI-1601;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potential impact of healthcare reform in the United States, including the Inflation Reduction Act of</w:t>
        <w:br/>
        <w:t>2022, and measures being taken worldwide designed to reduce healthcare costs and limit the overall level of government expenditures.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forward-looking statements are based on management’s current expectations, estimates, forecasts and projections about our business and the industry in which we operate.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14, 2023 and our Quarterly Report on Form 10-Q filed on May 15, 2023.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INDEX</w:t>
      </w:r>
      <w:r>
        <w:rPr>
          <w:rFonts w:ascii="Times New Roman" w:hAnsi="Times New Roman"/>
          <w:sz w:val="20"/>
        </w:rPr>
        <w:t xml:space="preserve"> </w:t>
      </w:r>
    </w:p>
    <w:p>
      <w:pPr>
        <w:pStyle w:val="TextBody"/>
        <w:bidi w:val="0"/>
        <w:spacing w:before="40" w:after="0"/>
        <w:jc w:val="left"/>
        <w:rPr/>
      </w:pPr>
      <w:r>
        <w:rPr/>
        <w:t> </w:t>
      </w:r>
    </w:p>
    <w:tbl>
      <w:tblPr>
        <w:tblW w:w="10205" w:type="dxa"/>
        <w:jc w:val="left"/>
        <w:tblInd w:w="0" w:type="dxa"/>
        <w:tblLayout w:type="fixed"/>
        <w:tblCellMar>
          <w:top w:w="28" w:type="dxa"/>
          <w:left w:w="28" w:type="dxa"/>
          <w:bottom w:w="28" w:type="dxa"/>
          <w:right w:w="28" w:type="dxa"/>
        </w:tblCellMar>
      </w:tblPr>
      <w:tblGrid>
        <w:gridCol w:w="727"/>
        <w:gridCol w:w="146"/>
        <w:gridCol w:w="8674"/>
        <w:gridCol w:w="146"/>
        <w:gridCol w:w="512"/>
      </w:tblGrid>
      <w:tr>
        <w:trPr/>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547" w:type="dxa"/>
            <w:gridSpan w:val="3"/>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financial_information">
              <w:r>
                <w:rPr>
                  <w:rStyle w:val="InternetLink"/>
                  <w:rFonts w:ascii="Times New Roman;serif" w:hAnsi="Times New Roman;serif"/>
                  <w:b/>
                  <w:sz w:val="20"/>
                  <w:u w:val="single"/>
                </w:rPr>
                <w:t>PART I - FINANCIAL INFORMATION</w:t>
              </w:r>
            </w:hyperlink>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as of June 30, 2023 and December 31,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and Comprehensive Loss for the three and six months ended June 30, 2023 and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hange">
              <w:r>
                <w:rPr>
                  <w:rStyle w:val="InternetLink"/>
                  <w:rFonts w:ascii="Times New Roman;serif" w:hAnsi="Times New Roman;serif"/>
                  <w:b w:val="false"/>
                  <w:sz w:val="20"/>
                  <w:u w:val="single"/>
                </w:rPr>
                <w:t>Condensed Consolidated Statements of Changes in Stockholders' Equity for the three and six months ended June 30, 2023 and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for the six months ended June 30, 2023 and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and_procedures">
              <w:r>
                <w:rPr>
                  <w:rStyle w:val="InternetLink"/>
                  <w:rFonts w:ascii="Times New Roman;serif" w:hAnsi="Times New Roman;serif"/>
                  <w:b w:val="false"/>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i_or_information">
              <w:r>
                <w:rPr>
                  <w:rStyle w:val="InternetLink"/>
                  <w:rFonts w:ascii="Times New Roman;serif" w:hAnsi="Times New Roman;serif"/>
                  <w:b/>
                  <w:sz w:val="20"/>
                  <w:u w:val="single"/>
                </w:rPr>
                <w:t>PART II - OTHER INFORMATION</w:t>
              </w:r>
            </w:hyperlink>
            <w:hyperlink w:anchor="part_ii_or_information">
              <w:r>
                <w:rPr>
                  <w:rStyle w:val="InternetLink"/>
                  <w:rFonts w:ascii="Times New Roman" w:hAnsi="Times New Roman"/>
                  <w:sz w:val="20"/>
                </w:rPr>
                <w:t xml:space="preserve"> </w:t>
              </w:r>
            </w:hyperlink>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72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7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sz w:val="20"/>
                  <w:u w:val="single"/>
                </w:rPr>
                <w:t>Signatures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 w:name="part_ifinancial_information"/>
      <w:bookmarkEnd w:id="2"/>
      <w:r>
        <w:rPr>
          <w:rFonts w:ascii="Times New Roman;serif" w:hAnsi="Times New Roman;serif"/>
          <w:b/>
          <w:sz w:val="20"/>
        </w:rPr>
        <w:t>PART I-FINANCIAL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bookmarkStart w:id="3" w:name="item_1_financial_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bidi w:val="0"/>
        <w:spacing w:before="36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4" w:name="condensed_consolidated_balance_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9137" w:type="dxa"/>
        <w:jc w:val="left"/>
        <w:tblInd w:w="0" w:type="dxa"/>
        <w:tblLayout w:type="fixed"/>
        <w:tblCellMar>
          <w:top w:w="28" w:type="dxa"/>
          <w:left w:w="28" w:type="dxa"/>
          <w:bottom w:w="28" w:type="dxa"/>
          <w:right w:w="28" w:type="dxa"/>
        </w:tblCellMar>
      </w:tblPr>
      <w:tblGrid>
        <w:gridCol w:w="5941"/>
        <w:gridCol w:w="146"/>
        <w:gridCol w:w="211"/>
        <w:gridCol w:w="841"/>
        <w:gridCol w:w="166"/>
        <w:gridCol w:w="146"/>
        <w:gridCol w:w="219"/>
        <w:gridCol w:w="876"/>
        <w:gridCol w:w="59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1" w:type="dxa"/>
            <w:tcBorders/>
            <w:vAlign w:val="center"/>
          </w:tcPr>
          <w:p>
            <w:pPr>
              <w:pStyle w:val="TableContents"/>
              <w:bidi w:val="0"/>
              <w:spacing w:before="0" w:after="0"/>
              <w:ind w:left="0" w:right="0" w:hanging="0"/>
              <w:jc w:val="center"/>
              <w:rPr/>
            </w:pPr>
            <w:r>
              <w:rPr/>
              <w:t> </w:t>
            </w:r>
          </w:p>
        </w:tc>
      </w:tr>
      <w:tr>
        <w:trPr/>
        <w:tc>
          <w:tcPr>
            <w:tcW w:w="5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94,321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26,825</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106,478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120,739</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2,858</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1,339</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111,716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126,405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1,686</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8,408</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10,705</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(See Note 8)</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per share; 5,000,000</w:t>
            </w:r>
            <w:r>
              <w:rPr>
                <w:rFonts w:ascii="Times New Roman" w:hAnsi="Times New Roman"/>
                <w:sz w:val="20"/>
              </w:rPr>
              <w:t> </w:t>
            </w:r>
            <w:r>
              <w:rPr>
                <w:rFonts w:ascii="Times New Roman;serif" w:hAnsi="Times New Roman;serif"/>
                <w:b w:val="false"/>
                <w:sz w:val="20"/>
              </w:rPr>
              <w:t>shares authorized</w:t>
              <w:br/>
              <w:t>   as of June 30, 2023 and December 31, 2022; no</w:t>
            </w:r>
            <w:r>
              <w:rPr>
                <w:rFonts w:ascii="Times New Roman" w:hAnsi="Times New Roman"/>
                <w:sz w:val="20"/>
              </w:rPr>
              <w:t> </w:t>
            </w:r>
            <w:r>
              <w:rPr>
                <w:rFonts w:ascii="Times New Roman;serif" w:hAnsi="Times New Roman;serif"/>
                <w:b w:val="false"/>
                <w:sz w:val="20"/>
              </w:rPr>
              <w:t>shares issued and</w:t>
              <w:br/>
              <w:t>   outstanding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per share; 115,000,000</w:t>
            </w:r>
            <w:r>
              <w:rPr>
                <w:rFonts w:ascii="Times New Roman" w:hAnsi="Times New Roman"/>
                <w:sz w:val="20"/>
              </w:rPr>
              <w:t> </w:t>
            </w:r>
            <w:r>
              <w:rPr>
                <w:rFonts w:ascii="Times New Roman;serif" w:hAnsi="Times New Roman;serif"/>
                <w:b w:val="false"/>
                <w:sz w:val="20"/>
              </w:rPr>
              <w:t>shares</w:t>
              <w:br/>
              <w:t xml:space="preserve">   authorized as of June 30, 2023 and December 31, 2022; </w:t>
              <w:br/>
              <w:t>   43,269,200</w:t>
            </w:r>
            <w:r>
              <w:rPr>
                <w:rFonts w:ascii="Times New Roman" w:hAnsi="Times New Roman"/>
                <w:sz w:val="20"/>
              </w:rPr>
              <w:t> </w:t>
            </w:r>
            <w:r>
              <w:rPr>
                <w:rFonts w:ascii="Times New Roman;serif" w:hAnsi="Times New Roman;serif"/>
                <w:b w:val="false"/>
                <w:sz w:val="20"/>
              </w:rPr>
              <w:t xml:space="preserve">shares issued and outstanding as of </w:t>
              <w:br/>
              <w:t>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262,496</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(166,497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(151,605</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gain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9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110,903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59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111,716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126,405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5" w:name="condensed_consolidated_statements_operat"/>
      <w:bookmarkEnd w:id="5"/>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 AND COMPREHENSIVE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11,450</w:t>
            </w:r>
          </w:p>
        </w:tc>
        <w:tc>
          <w:tcPr>
            <w:tcW w:w="611" w:type="dxa"/>
            <w:tcBorders/>
            <w:vAlign w:val="center"/>
          </w:tcPr>
          <w:p>
            <w:pPr>
              <w:pStyle w:val="TableContents"/>
              <w:bidi w:val="0"/>
              <w:spacing w:before="0" w:after="0"/>
              <w:ind w:left="0" w:right="0" w:firstLine="200"/>
              <w:jc w:val="lef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52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17,574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(17,574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(17,610</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43,897,603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18,338,853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43,897,603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18,338,853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gain (loss):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comprehensive gain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(17,667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6" w:name="condensed_consolidated_statements_change"/>
      <w:bookmarkEnd w:id="6"/>
      <w:r>
        <w:rPr>
          <w:rFonts w:ascii="Times New Roman;serif" w:hAnsi="Times New Roman;serif"/>
          <w:b/>
          <w:sz w:val="20"/>
        </w:rPr>
        <w:t>CONDENSED CONSOLIDATED STATEMENTS OF CHANGES IN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STOCKHOLDERS’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69"/>
        <w:gridCol w:w="146"/>
        <w:gridCol w:w="146"/>
        <w:gridCol w:w="1036"/>
        <w:gridCol w:w="146"/>
        <w:gridCol w:w="146"/>
        <w:gridCol w:w="255"/>
        <w:gridCol w:w="420"/>
        <w:gridCol w:w="146"/>
        <w:gridCol w:w="146"/>
        <w:gridCol w:w="211"/>
        <w:gridCol w:w="781"/>
        <w:gridCol w:w="146"/>
        <w:gridCol w:w="146"/>
        <w:gridCol w:w="211"/>
        <w:gridCol w:w="841"/>
        <w:gridCol w:w="166"/>
        <w:gridCol w:w="146"/>
        <w:gridCol w:w="436"/>
        <w:gridCol w:w="780"/>
        <w:gridCol w:w="166"/>
        <w:gridCol w:w="146"/>
        <w:gridCol w:w="225"/>
        <w:gridCol w:w="835"/>
        <w:gridCol w:w="213"/>
      </w:tblGrid>
      <w:tr>
        <w:trPr/>
        <w:tc>
          <w:tcPr>
            <w:tcW w:w="2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r>
      <w:tr>
        <w:trPr/>
        <w:tc>
          <w:tcPr>
            <w:tcW w:w="21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3" w:type="dxa"/>
            <w:tcBorders/>
            <w:vAlign w:val="center"/>
          </w:tcPr>
          <w:p>
            <w:pPr>
              <w:pStyle w:val="TableContents"/>
              <w:bidi w:val="0"/>
              <w:spacing w:before="0" w:after="0"/>
              <w:ind w:left="0" w:right="0" w:hanging="0"/>
              <w:jc w:val="center"/>
              <w:rPr/>
            </w:pPr>
            <w:r>
              <w:rPr/>
              <w:t> </w:t>
            </w:r>
          </w:p>
        </w:tc>
      </w:tr>
      <w:tr>
        <w:trPr/>
        <w:tc>
          <w:tcPr>
            <w:tcW w:w="21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4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3" w:type="dxa"/>
            <w:tcBorders/>
            <w:vAlign w:val="center"/>
          </w:tcPr>
          <w:p>
            <w:pPr>
              <w:pStyle w:val="TableContents"/>
              <w:bidi w:val="0"/>
              <w:spacing w:before="0" w:after="0"/>
              <w:ind w:left="0" w:right="0" w:hanging="0"/>
              <w:jc w:val="center"/>
              <w:rPr/>
            </w:pPr>
            <w:r>
              <w:rPr/>
              <w:t> </w:t>
            </w:r>
          </w:p>
        </w:tc>
      </w:tr>
      <w:tr>
        <w:trPr/>
        <w:tc>
          <w:tcPr>
            <w:tcW w:w="21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Gain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43,269,200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110,903</w:t>
            </w:r>
          </w:p>
        </w:tc>
        <w:tc>
          <w:tcPr>
            <w:tcW w:w="213" w:type="dxa"/>
            <w:tcBorders/>
            <w:vAlign w:val="center"/>
          </w:tcPr>
          <w:p>
            <w:pPr>
              <w:pStyle w:val="TableContents"/>
              <w:bidi w:val="0"/>
              <w:spacing w:before="0" w:after="0"/>
              <w:ind w:left="0" w:right="0" w:hanging="0"/>
              <w:jc w:val="left"/>
              <w:rPr/>
            </w:pPr>
            <w:r>
              <w:rPr/>
              <w:t> </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w:t>
            </w:r>
          </w:p>
        </w:tc>
        <w:tc>
          <w:tcPr>
            <w:tcW w:w="213" w:type="dxa"/>
            <w:tcBorders/>
            <w:vAlign w:val="center"/>
          </w:tcPr>
          <w:p>
            <w:pPr>
              <w:pStyle w:val="TableContents"/>
              <w:bidi w:val="0"/>
              <w:spacing w:before="0" w:after="0"/>
              <w:ind w:left="0" w:right="0" w:hanging="0"/>
              <w:jc w:val="left"/>
              <w:rPr/>
            </w:pPr>
            <w:r>
              <w:rPr/>
              <w:t> </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 on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13" w:type="dxa"/>
            <w:tcBorders/>
            <w:vAlign w:val="center"/>
          </w:tcPr>
          <w:p>
            <w:pPr>
              <w:pStyle w:val="TableContents"/>
              <w:bidi w:val="0"/>
              <w:spacing w:before="0" w:after="0"/>
              <w:ind w:left="0" w:right="0" w:hanging="0"/>
              <w:jc w:val="left"/>
              <w:rPr/>
            </w:pPr>
            <w:r>
              <w:rPr/>
              <w:t> </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43,269,200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264,329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(158,131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106,241</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2,043</w:t>
            </w:r>
          </w:p>
        </w:tc>
        <w:tc>
          <w:tcPr>
            <w:tcW w:w="213" w:type="dxa"/>
            <w:tcBorders/>
            <w:vAlign w:val="center"/>
          </w:tcPr>
          <w:p>
            <w:pPr>
              <w:pStyle w:val="TableContents"/>
              <w:bidi w:val="0"/>
              <w:spacing w:before="0" w:after="0"/>
              <w:ind w:left="0" w:right="0" w:hanging="0"/>
              <w:jc w:val="left"/>
              <w:rPr/>
            </w:pPr>
            <w:r>
              <w:rPr/>
              <w:t> </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 on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13" w:type="dxa"/>
            <w:tcBorders/>
            <w:vAlign w:val="center"/>
          </w:tcPr>
          <w:p>
            <w:pPr>
              <w:pStyle w:val="TableContents"/>
              <w:bidi w:val="0"/>
              <w:spacing w:before="0" w:after="0"/>
              <w:ind w:left="0" w:right="0" w:hanging="0"/>
              <w:jc w:val="left"/>
              <w:rPr/>
            </w:pPr>
            <w:r>
              <w:rPr/>
              <w:t> </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43,269,200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(166,497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99,930</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166"/>
        <w:gridCol w:w="146"/>
        <w:gridCol w:w="146"/>
        <w:gridCol w:w="1036"/>
        <w:gridCol w:w="146"/>
        <w:gridCol w:w="146"/>
        <w:gridCol w:w="256"/>
        <w:gridCol w:w="421"/>
        <w:gridCol w:w="146"/>
        <w:gridCol w:w="146"/>
        <w:gridCol w:w="211"/>
        <w:gridCol w:w="781"/>
        <w:gridCol w:w="146"/>
        <w:gridCol w:w="146"/>
        <w:gridCol w:w="211"/>
        <w:gridCol w:w="841"/>
        <w:gridCol w:w="166"/>
        <w:gridCol w:w="146"/>
        <w:gridCol w:w="436"/>
        <w:gridCol w:w="780"/>
        <w:gridCol w:w="166"/>
        <w:gridCol w:w="146"/>
        <w:gridCol w:w="251"/>
        <w:gridCol w:w="809"/>
        <w:gridCol w:w="214"/>
      </w:tblGrid>
      <w:tr>
        <w:trPr/>
        <w:tc>
          <w:tcPr>
            <w:tcW w:w="2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center"/>
              <w:rPr/>
            </w:pPr>
            <w:r>
              <w:rPr/>
              <w:t> </w:t>
            </w:r>
          </w:p>
        </w:tc>
      </w:tr>
      <w:tr>
        <w:trPr/>
        <w:tc>
          <w:tcPr>
            <w:tcW w:w="2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4" w:type="dxa"/>
            <w:tcBorders/>
            <w:vAlign w:val="center"/>
          </w:tcPr>
          <w:p>
            <w:pPr>
              <w:pStyle w:val="TableContents"/>
              <w:bidi w:val="0"/>
              <w:spacing w:before="0" w:after="0"/>
              <w:ind w:left="0" w:right="0" w:hanging="0"/>
              <w:jc w:val="center"/>
              <w:rPr/>
            </w:pPr>
            <w:r>
              <w:rPr/>
              <w:t> </w:t>
            </w:r>
          </w:p>
        </w:tc>
      </w:tr>
      <w:tr>
        <w:trPr/>
        <w:tc>
          <w:tcPr>
            <w:tcW w:w="2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4" w:type="dxa"/>
            <w:tcBorders/>
            <w:vAlign w:val="center"/>
          </w:tcPr>
          <w:p>
            <w:pPr>
              <w:pStyle w:val="TableContents"/>
              <w:bidi w:val="0"/>
              <w:spacing w:before="0" w:after="0"/>
              <w:ind w:left="0" w:right="0" w:hanging="0"/>
              <w:jc w:val="center"/>
              <w:rPr/>
            </w:pPr>
            <w:r>
              <w:rPr/>
              <w:t> </w:t>
            </w:r>
          </w:p>
        </w:tc>
      </w:tr>
      <w:tr>
        <w:trPr/>
        <w:tc>
          <w:tcPr>
            <w:tcW w:w="2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17,710,450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64,413</w:t>
            </w:r>
          </w:p>
        </w:tc>
        <w:tc>
          <w:tcPr>
            <w:tcW w:w="214" w:type="dxa"/>
            <w:tcBorders/>
            <w:vAlign w:val="center"/>
          </w:tcPr>
          <w:p>
            <w:pPr>
              <w:pStyle w:val="TableContents"/>
              <w:bidi w:val="0"/>
              <w:spacing w:before="0" w:after="0"/>
              <w:ind w:left="0" w:right="0" w:hanging="0"/>
              <w:jc w:val="left"/>
              <w:rPr/>
            </w:pPr>
            <w:r>
              <w:rPr/>
              <w:t> </w:t>
            </w:r>
          </w:p>
        </w:tc>
      </w:tr>
      <w:tr>
        <w:trPr/>
        <w:tc>
          <w:tcPr>
            <w:tcW w:w="2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w:t>
            </w:r>
          </w:p>
        </w:tc>
        <w:tc>
          <w:tcPr>
            <w:tcW w:w="214" w:type="dxa"/>
            <w:tcBorders/>
            <w:vAlign w:val="center"/>
          </w:tcPr>
          <w:p>
            <w:pPr>
              <w:pStyle w:val="TableContents"/>
              <w:bidi w:val="0"/>
              <w:spacing w:before="0" w:after="0"/>
              <w:ind w:left="0" w:right="0" w:hanging="0"/>
              <w:jc w:val="left"/>
              <w:rPr/>
            </w:pPr>
            <w:r>
              <w:rPr/>
              <w:t> </w:t>
            </w:r>
          </w:p>
        </w:tc>
      </w:tr>
      <w:tr>
        <w:trPr/>
        <w:tc>
          <w:tcPr>
            <w:tcW w:w="2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(8,943</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17,710,450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182,280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57,105</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w:t>
            </w:r>
          </w:p>
        </w:tc>
        <w:tc>
          <w:tcPr>
            <w:tcW w:w="214" w:type="dxa"/>
            <w:tcBorders/>
            <w:vAlign w:val="center"/>
          </w:tcPr>
          <w:p>
            <w:pPr>
              <w:pStyle w:val="TableContents"/>
              <w:bidi w:val="0"/>
              <w:spacing w:before="0" w:after="0"/>
              <w:ind w:left="0" w:right="0" w:hanging="0"/>
              <w:jc w:val="left"/>
              <w:rPr/>
            </w:pPr>
            <w:r>
              <w:rPr/>
              <w:t> </w:t>
            </w:r>
          </w:p>
        </w:tc>
      </w:tr>
      <w:tr>
        <w:trPr/>
        <w:tc>
          <w:tcPr>
            <w:tcW w:w="2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loss on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(8,667</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17,710,450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183,955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(133,860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50,056</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7" w:name="condensed_consolidated_statements_cash_f"/>
      <w:bookmarkEnd w:id="7"/>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9794" w:type="dxa"/>
        <w:jc w:val="left"/>
        <w:tblInd w:w="0" w:type="dxa"/>
        <w:tblLayout w:type="fixed"/>
        <w:tblCellMar>
          <w:top w:w="28" w:type="dxa"/>
          <w:left w:w="28" w:type="dxa"/>
          <w:bottom w:w="28" w:type="dxa"/>
          <w:right w:w="28" w:type="dxa"/>
        </w:tblCellMar>
      </w:tblPr>
      <w:tblGrid>
        <w:gridCol w:w="6031"/>
        <w:gridCol w:w="346"/>
        <w:gridCol w:w="211"/>
        <w:gridCol w:w="736"/>
        <w:gridCol w:w="566"/>
        <w:gridCol w:w="346"/>
        <w:gridCol w:w="211"/>
        <w:gridCol w:w="736"/>
        <w:gridCol w:w="611"/>
      </w:tblGrid>
      <w:tr>
        <w:trPr/>
        <w:tc>
          <w:tcPr>
            <w:tcW w:w="6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283"/>
              <w:ind w:left="0" w:right="0" w:hanging="0"/>
              <w:jc w:val="left"/>
              <w:rPr>
                <w:sz w:val="4"/>
                <w:szCs w:val="4"/>
              </w:rPr>
            </w:pPr>
            <w:r>
              <w:rPr>
                <w:sz w:val="4"/>
                <w:szCs w:val="4"/>
              </w:rPr>
            </w:r>
          </w:p>
        </w:tc>
        <w:tc>
          <w:tcPr>
            <w:tcW w:w="5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(14,892</w:t>
            </w:r>
          </w:p>
        </w:tc>
        <w:tc>
          <w:tcPr>
            <w:tcW w:w="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3,876</w:t>
            </w:r>
          </w:p>
        </w:tc>
        <w:tc>
          <w:tcPr>
            <w:tcW w:w="56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3,310</w:t>
            </w:r>
          </w:p>
        </w:tc>
        <w:tc>
          <w:tcPr>
            <w:tcW w:w="6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56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56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6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premium on marketable securities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56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Changes in operating assets and liabilities:</w:t>
            </w:r>
          </w:p>
        </w:tc>
        <w:tc>
          <w:tcPr>
            <w:tcW w:w="346" w:type="dxa"/>
            <w:tcBorders/>
            <w:vAlign w:val="center"/>
          </w:tcPr>
          <w:p>
            <w:pPr>
              <w:pStyle w:val="TableContents"/>
              <w:bidi w:val="0"/>
              <w:spacing w:before="0" w:after="0"/>
              <w:ind w:left="0" w:right="0" w:firstLine="200"/>
              <w:jc w:val="left"/>
              <w:rPr/>
            </w:pPr>
            <w:r>
              <w:rPr/>
              <w:t> </w:t>
            </w:r>
          </w:p>
        </w:tc>
        <w:tc>
          <w:tcPr>
            <w:tcW w:w="947" w:type="dxa"/>
            <w:gridSpan w:val="2"/>
            <w:tcBorders/>
            <w:vAlign w:val="center"/>
          </w:tcPr>
          <w:p>
            <w:pPr>
              <w:pStyle w:val="TableContents"/>
              <w:bidi w:val="0"/>
              <w:spacing w:before="0" w:after="0"/>
              <w:ind w:left="200" w:right="0" w:hanging="0"/>
              <w:jc w:val="left"/>
              <w:rPr/>
            </w:pPr>
            <w:r>
              <w:rPr/>
              <w:t> </w:t>
            </w:r>
          </w:p>
        </w:tc>
        <w:tc>
          <w:tcPr>
            <w:tcW w:w="56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947" w:type="dxa"/>
            <w:gridSpan w:val="2"/>
            <w:tcBorders/>
            <w:vAlign w:val="center"/>
          </w:tcPr>
          <w:p>
            <w:pPr>
              <w:pStyle w:val="TableContents"/>
              <w:bidi w:val="0"/>
              <w:spacing w:before="0" w:after="0"/>
              <w:ind w:left="200" w:right="0" w:hanging="0"/>
              <w:jc w:val="left"/>
              <w:rPr/>
            </w:pPr>
            <w:r>
              <w:rPr/>
              <w:t> </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566" w:type="dxa"/>
            <w:tcBorders/>
            <w:vAlign w:val="center"/>
          </w:tcPr>
          <w:p>
            <w:pPr>
              <w:pStyle w:val="TableContents"/>
              <w:bidi w:val="0"/>
              <w:spacing w:before="0" w:after="0"/>
              <w:ind w:left="0" w:right="0" w:firstLine="400"/>
              <w:jc w:val="left"/>
              <w:rPr/>
            </w:pPr>
            <w:r>
              <w:rPr/>
              <w:t> </w:t>
            </w:r>
          </w:p>
        </w:tc>
        <w:tc>
          <w:tcPr>
            <w:tcW w:w="3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658</w:t>
            </w:r>
          </w:p>
        </w:tc>
        <w:tc>
          <w:tcPr>
            <w:tcW w:w="566" w:type="dxa"/>
            <w:tcBorders/>
            <w:vAlign w:val="center"/>
          </w:tcPr>
          <w:p>
            <w:pPr>
              <w:pStyle w:val="TableContents"/>
              <w:bidi w:val="0"/>
              <w:spacing w:before="0" w:after="0"/>
              <w:ind w:left="0" w:right="0" w:firstLine="400"/>
              <w:jc w:val="left"/>
              <w:rPr/>
            </w:pPr>
            <w:r>
              <w:rPr/>
              <w:t> </w:t>
            </w:r>
          </w:p>
        </w:tc>
        <w:tc>
          <w:tcPr>
            <w:tcW w:w="3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(4,043</w:t>
            </w:r>
          </w:p>
        </w:tc>
        <w:tc>
          <w:tcPr>
            <w:tcW w:w="56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assets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0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(14,916</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(15,019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283"/>
              <w:ind w:left="0" w:right="0" w:hanging="0"/>
              <w:jc w:val="left"/>
              <w:rPr>
                <w:sz w:val="4"/>
                <w:szCs w:val="4"/>
              </w:rPr>
            </w:pPr>
            <w:r>
              <w:rPr>
                <w:sz w:val="4"/>
                <w:szCs w:val="4"/>
              </w:rPr>
            </w:r>
          </w:p>
        </w:tc>
        <w:tc>
          <w:tcPr>
            <w:tcW w:w="5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marketable securities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(9,847</w:t>
            </w:r>
          </w:p>
        </w:tc>
        <w:tc>
          <w:tcPr>
            <w:tcW w:w="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(35,242</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Maturities and sales of marketable securities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92,259</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0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82,412</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3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(35,342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100"/>
              <w:jc w:val="left"/>
              <w:rPr/>
            </w:pPr>
            <w:r>
              <w:rPr/>
              <w:t> </w:t>
            </w:r>
          </w:p>
        </w:tc>
      </w:tr>
      <w:tr>
        <w:trPr/>
        <w:tc>
          <w:tcPr>
            <w:tcW w:w="603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5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3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increase (decrease) in cash,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67,496</w:t>
            </w:r>
          </w:p>
        </w:tc>
        <w:tc>
          <w:tcPr>
            <w:tcW w:w="5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(50,361</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28,164</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71,436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95,660</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8" w:name="notes_to_condensed_consolidated_financia"/>
      <w:bookmarkEnd w:id="8"/>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240" w:after="0"/>
        <w:jc w:val="left"/>
        <w:rPr>
          <w:rFonts w:ascii="Times New Roman" w:hAnsi="Times New Roman"/>
          <w:b/>
          <w:sz w:val="20"/>
        </w:rPr>
      </w:pPr>
      <w:r>
        <w:rPr>
          <w:rFonts w:ascii="Times New Roman" w:hAnsi="Times New Roman"/>
          <w:b/>
          <w:sz w:val="20"/>
        </w:rPr>
        <w:t>1.</w:t>
      </w:r>
    </w:p>
    <w:p>
      <w:pPr>
        <w:pStyle w:val="TextBody"/>
        <w:bidi w:val="0"/>
        <w:spacing w:before="240" w:after="283"/>
        <w:jc w:val="left"/>
        <w:rPr>
          <w:rFonts w:ascii="Times New Roman;serif" w:hAnsi="Times New Roman;serif"/>
          <w:b/>
          <w:sz w:val="20"/>
        </w:rPr>
      </w:pPr>
      <w:r>
        <w:rPr>
          <w:rFonts w:ascii="Times New Roman;serif" w:hAnsi="Times New Roman;serif"/>
          <w:b/>
          <w:sz w:val="20"/>
        </w:rPr>
        <w:t xml:space="preserve">Description of Business and Basis of Presentation </w:t>
      </w:r>
    </w:p>
    <w:p>
      <w:pPr>
        <w:pStyle w:val="TextBody"/>
        <w:bidi w:val="0"/>
        <w:spacing w:before="120" w:after="0"/>
        <w:jc w:val="left"/>
        <w:rPr>
          <w:rFonts w:ascii="Times New Roman" w:hAnsi="Times New Roman"/>
          <w:sz w:val="20"/>
        </w:rPr>
      </w:pPr>
      <w:r>
        <w:rPr>
          <w:rFonts w:ascii="Times New Roman;serif" w:hAnsi="Times New Roman;serif"/>
          <w:b w:val="false"/>
          <w:sz w:val="20"/>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completed two phase 1 studies of CTI-1601 and the first cohort of a Phase 2 in patients with FA. In May 2021, after reporting positive top-line data from the Company’s Phase 1 FA program, the U.S. Food and Drug Administration (“FDA”) placed a clinical hold on the Company’s CTI-1601 clinical program after the Company notified the Agency of mortalities at the highest dose levels of a 26-week non-human primate toxicology study that was designed to support extended dosing of patients with CTI-1601. In August 2022, the Company submitted a complete response to the clinical hold, following a Type C Meeting with the FDA, and proposed as CTI-1601’s next clinical trial a Phase 2, four-week, dose exploration study in FA patients starting at the lower dose levels tested in the Company’s Phase 1 multiple-ascending dose clinical trial. In September 2022, the FDA lifted its full clinical hold on the CTI-1601 program and imposed a partial clinical hold.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2023, the Company announced top-line data from its completed a 25 mg cohort of a Phase 2, four-week, dose exploration trial of CTI-1601 in patients with FA and provided a complete response to the FDA in June 2023, which included unblinded safety, pharmacokinetic ("PK"), and pharmacodynamic data from the Phase 2 trial’s completed 25 mg cohort. Data from the completed 25 mg cohort (n = 13) indicated that CTI-1601 was generally well tolerated and showed increases in FXN levels from baseline compared to placebo in all evaluated tissues (skin and buccal cells) at day 14 (the final day of daily dosing in the trial). In June 2023, the Company met with the FDA. Following that meeting, the Company submitted a complete response to the FDA’s partial clinical hold that included unblinded safety, pharmacokinetic (“PK”) and frataxin data from the Phase 2 trial’s completed 25 mg cohort.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July 2023, the FDA cleared the Company’s four-week, placebo-controlled, Phase 2 dose exploration trial of CTI-1601 in patients with FA to proceed to a 50 mg cohort in which participants will be dosed daily for the first 14 days, and then every other day until day 28. Additionally, the FDA cleared for initiation the Company’s open label extension (“OLE”) trial in which participants will receive 25 mg of CTI-1601 daily. Further dose escalation in the Phase 2 and OLE trials and the initiation of additional U.S. clinical trials evaluating CTI-1601 are contingent on FDA review of results from the Phase 2 trial’s 50 mg cohort in accordance with a partial clinical hold.</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Product candidates currently under development will require extensive non-clinical and clinical testing and regulatory approval prior to commercialization. These efforts require significant amounts of additional capital, adequate personnel, infrastructure and extensive compliance-reporting capabilities. Even if the Company's drug development efforts are successful, it is uncertain when, if ever, it will realize significant revenue from product sales.</w:t>
        <w:br/>
      </w:r>
      <w:r>
        <w:rPr>
          <w:rFonts w:ascii="Times New Roman" w:hAnsi="Times New Roman"/>
          <w:sz w:val="20"/>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Generally Accepted Accounting Principles ("GAAP").</w:t>
      </w:r>
    </w:p>
    <w:p>
      <w:pPr>
        <w:pStyle w:val="TextBody"/>
        <w:bidi w:val="0"/>
        <w:spacing w:before="120" w:after="0"/>
        <w:jc w:val="left"/>
        <w:rPr>
          <w:rFonts w:ascii="Times New Roman" w:hAnsi="Times New Roman"/>
          <w:sz w:val="20"/>
        </w:rPr>
      </w:pPr>
      <w:r>
        <w:rPr>
          <w:rFonts w:ascii="Times New Roman;serif" w:hAnsi="Times New Roman;serif"/>
          <w:b w:val="false"/>
          <w:sz w:val="20"/>
        </w:rPr>
        <w:t>The condensed consolidated balance sheet as of December 31, 2022 was derived from the Company’s audited financial statements but does not include all disclosures required by GAAP. The accompanying unaudited condensed consolidated financial statements as of June 30, 2023 and for the three and six months ended June 30, 2023 and 2022,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information presented not misleading. These condensed consolidated financial statements should be read in conjunction with the Company’s audited consolidated financial statements and the notes thereto for the year ended December 31, 2022 included in the Company’s Annual Report on Form 10-K filed with the SEC on March 14, 2023 and the Company’s Quarterly Report on Form 10-Q filed with the SEC on May 15,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opinion of management, all adjustments, consisting only of normal recurring adjustments necessary for a fair statement of the Company’s condensed consolidated financial position as of June 30, 2023, condensed consolidated results of operations for the three and six months ended June 30, 2023 and 2022 and condensed consolidated statement of cash flows for the six months ended June 30, 2023 and 2022 have been made. The results of operations for the three and six months ended June 30, 2023 are not necessarily indicative of the results of operations that may be expected for the year ending December 31, 2023.</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Liquidity and Capital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condensed consolidated financial statements have been presented on the basis that it will continue as a going concern, which contemplates the realization of assets and satisfaction of liabilities in the normal course of business.</w:t>
      </w:r>
    </w:p>
    <w:p>
      <w:pPr>
        <w:pStyle w:val="TextBody"/>
        <w:bidi w:val="0"/>
        <w:spacing w:before="120" w:after="0"/>
        <w:jc w:val="left"/>
        <w:rPr>
          <w:rFonts w:ascii="Times New Roman" w:hAnsi="Times New Roman"/>
          <w:sz w:val="20"/>
        </w:rPr>
      </w:pPr>
      <w:r>
        <w:rPr>
          <w:rFonts w:ascii="Times New Roman;serif" w:hAnsi="Times New Roman;serif"/>
          <w:b w:val="false"/>
          <w:sz w:val="20"/>
        </w:rPr>
        <w:t>Since its inception, the Company has incurred significant recurring operating losses and negative cash flows from operations. The Company has incurred net losses of $14.9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$17.6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six months ended June 30, 2023 and 2022, respectively. In addition, as of June 30, 2023, the Company had an accumulated deficit of $166.5</w:t>
      </w:r>
      <w:r>
        <w:rPr>
          <w:rFonts w:ascii="Times New Roman" w:hAnsi="Times New Roman"/>
          <w:sz w:val="20"/>
        </w:rPr>
        <w:t xml:space="preserve"> </w:t>
      </w:r>
      <w:r>
        <w:rPr>
          <w:rFonts w:ascii="Times New Roman;serif" w:hAnsi="Times New Roman;serif"/>
          <w:b w:val="false"/>
          <w:sz w:val="20"/>
        </w:rPr>
        <w:t>million. The Company expects to continue to generate operating losses for the foreseeable future. As of June 30, 2023, the Company had approximately $104.2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cash, cash equivalents and marketable securities available for use to fund its operations and capital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funded its operations to date primarily with proceeds from sales of common stock and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pStyle w:val="TextBody"/>
        <w:bidi w:val="0"/>
        <w:spacing w:before="120" w:after="0"/>
        <w:jc w:val="left"/>
        <w:rPr>
          <w:rFonts w:ascii="Times New Roman" w:hAnsi="Times New Roman"/>
          <w:sz w:val="20"/>
        </w:rPr>
      </w:pPr>
      <w:r>
        <w:rPr>
          <w:rFonts w:ascii="Times New Roman;serif" w:hAnsi="Times New Roman;serif"/>
          <w:b w:val="false"/>
          <w:sz w:val="20"/>
        </w:rPr>
        <w:t>In accordance with Accounting Standards Update (“ASU”) No. 2014-15, "</w:t>
      </w:r>
      <w:r>
        <w:rPr>
          <w:rFonts w:ascii="Times New Roman;serif" w:hAnsi="Times New Roman;serif"/>
          <w:b w:val="false"/>
          <w:i/>
          <w:sz w:val="20"/>
        </w:rPr>
        <w:t>Disclosure of Uncertainties about an Entity’s Ability to Continue as a Going Concern</w:t>
      </w:r>
      <w:r>
        <w:rPr>
          <w:rFonts w:ascii="Times New Roman;serif" w:hAnsi="Times New Roman;serif"/>
          <w:b w:val="false"/>
          <w:sz w:val="20"/>
        </w:rPr>
        <w:t>", the Company has evaluated whether there are certain conditions and events, considered in the aggregate, that raise substantial doubt about the Company’s ability to continue as a going concern within one year after the date that these condensed consolidated financial statements are issued. As of the issuance date of these condensed consolidated financial statements, the Company expects its cash, cash equivalents and marketable securities will be sufficient to fund its forecasted operating expenses and capital expenditure requirements, for at least twelve months from the issuance of these condensed consolidated financial statements. If the timing of the Company's clinical assumptions are delayed or if there are other forecasted assumption changes that negatively impact its operating plan, the Company could reduce expenditures in order to further extend cash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financings, collaborations and licensing arrangements, strategic partnerships with pharmaceutical and/or larger biotechnology companies,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or pre commercialization efforts, which could adversely affect its business prospects, or the Company may be unable to continue operations.</w:t>
      </w:r>
    </w:p>
    <w:p>
      <w:pPr>
        <w:pStyle w:val="TextBody"/>
        <w:bidi w:val="0"/>
        <w:spacing w:before="240" w:after="0"/>
        <w:jc w:val="left"/>
        <w:rPr>
          <w:rFonts w:ascii="Times New Roman" w:hAnsi="Times New Roman"/>
          <w:b/>
          <w:sz w:val="20"/>
        </w:rPr>
      </w:pPr>
      <w:r>
        <w:rPr>
          <w:rFonts w:ascii="Times New Roman" w:hAnsi="Times New Roman"/>
          <w:b/>
          <w:sz w:val="20"/>
        </w:rPr>
        <w:t>2.</w:t>
      </w:r>
    </w:p>
    <w:p>
      <w:pPr>
        <w:pStyle w:val="TextBody"/>
        <w:bidi w:val="0"/>
        <w:spacing w:before="240" w:after="283"/>
        <w:jc w:val="left"/>
        <w:rPr>
          <w:rFonts w:ascii="Times New Roman;serif" w:hAnsi="Times New Roman;serif"/>
          <w:b/>
          <w:sz w:val="20"/>
        </w:rPr>
      </w:pPr>
      <w:r>
        <w:rPr>
          <w:rFonts w:ascii="Times New Roman;serif" w:hAnsi="Times New Roman;serif"/>
          <w:b/>
          <w:sz w:val="20"/>
        </w:rPr>
        <w:t>Summary of Significant Accounting Policies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Research and Development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stock-based compensation, facility-related expenses, third-party license fees, laboratory supplies, and external costs of outside vendors engaged to conduct discovery, non-clinical and clinical development activities, and clinical trials as well as to manufacture clinical trial materials, depreciation and other costs. The Company recognizes external research and development costs based on an evaluation of the progress to completion of specific tasks using information provided to the Company by its service providers.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Upfront payments, milestone payments and annual maintenance fees under license agreements are currently expensed in the period in which they are incurred.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Patent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patent-related costs incurred in connection with filing and prosecuting patent applications are expensed as incurred due to the uncertainty about the recovery of the expenditure. Amounts incurred are classified as general and administrative expenses.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Stock-Based Compensation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three and six months ended June 30, 2023 and 2022</w:t>
      </w:r>
      <w:r>
        <w:rPr>
          <w:rFonts w:ascii="Times New Roman" w:hAnsi="Times New Roman"/>
          <w:sz w:val="20"/>
        </w:rPr>
        <w:t xml:space="preserve"> </w:t>
      </w:r>
      <w:r>
        <w:rPr>
          <w:rFonts w:ascii="Times New Roman;serif" w:hAnsi="Times New Roman;serif"/>
          <w:b w:val="false"/>
          <w:sz w:val="20"/>
        </w:rPr>
        <w:t>includes the weighted average effect of 628,403</w:t>
      </w:r>
      <w:r>
        <w:rPr>
          <w:rFonts w:ascii="Times New Roman" w:hAnsi="Times New Roman"/>
          <w:sz w:val="20"/>
        </w:rPr>
        <w:t xml:space="preserve"> </w:t>
      </w:r>
      <w:r>
        <w:rPr>
          <w:rFonts w:ascii="Times New Roman;serif" w:hAnsi="Times New Roman;serif"/>
          <w:b w:val="false"/>
          <w:sz w:val="20"/>
        </w:rPr>
        <w:t>prefunded warrants for the purchase of shares of common stock, for which the remaining unfunded exercise price is $0.01</w:t>
      </w:r>
      <w:r>
        <w:rPr>
          <w:rFonts w:ascii="Times New Roman" w:hAnsi="Times New Roman"/>
          <w:sz w:val="20"/>
        </w:rPr>
        <w:t xml:space="preserve"> </w:t>
      </w:r>
      <w:r>
        <w:rPr>
          <w:rFonts w:ascii="Times New Roman;serif" w:hAnsi="Times New Roman;serif"/>
          <w:b w:val="false"/>
          <w:sz w:val="20"/>
        </w:rPr>
        <w:t>per share.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Diluted net loss per share attributable to common stockholders is computed by dividing the diluted net loss attributable to common stockholders by the weighted average number of common shares, including potentially dilutive common stock equivalents assuming the dilutive effect of outstanding stock options, outstanding restricted stock units, and unvested restricted common shares, as determined using the treasury stock method. For periods in which the Company has reported net losses (all periods since inception), diluted net loss per common share attributable to common stockholders is the same as basic net loss per common share attributable to common stockholders, since dilutive common stock equivalents are not assumed to have been issued if their effect is antidilutive.</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excluded 5,129,327</w:t>
      </w:r>
      <w:r>
        <w:rPr>
          <w:rFonts w:ascii="Times New Roman" w:hAnsi="Times New Roman"/>
          <w:sz w:val="20"/>
        </w:rPr>
        <w:t xml:space="preserve"> </w:t>
      </w:r>
      <w:r>
        <w:rPr>
          <w:rFonts w:ascii="Times New Roman;serif" w:hAnsi="Times New Roman;serif"/>
          <w:b w:val="false"/>
          <w:sz w:val="20"/>
        </w:rPr>
        <w:t>and 3,130,370</w:t>
      </w:r>
      <w:r>
        <w:rPr>
          <w:rFonts w:ascii="Times New Roman" w:hAnsi="Times New Roman"/>
          <w:sz w:val="20"/>
        </w:rPr>
        <w:t xml:space="preserve"> </w:t>
      </w:r>
      <w:r>
        <w:rPr>
          <w:rFonts w:ascii="Times New Roman;serif" w:hAnsi="Times New Roman;serif"/>
          <w:b w:val="false"/>
          <w:sz w:val="20"/>
        </w:rPr>
        <w:t>common stock equivalents outstanding as of June 30, 2023 and 2022, respectively, from the computation of diluted net loss per share for the three and six months ended June 30, 2023 and 2022</w:t>
      </w:r>
      <w:r>
        <w:rPr>
          <w:rFonts w:ascii="Times New Roman" w:hAnsi="Times New Roman"/>
          <w:sz w:val="20"/>
        </w:rPr>
        <w:t xml:space="preserve"> </w:t>
      </w:r>
      <w:r>
        <w:rPr>
          <w:rFonts w:ascii="Times New Roman;serif" w:hAnsi="Times New Roman;serif"/>
          <w:b w:val="false"/>
          <w:sz w:val="20"/>
        </w:rPr>
        <w:t>because they had an anti-dilutive impact due to the net loss incurred for the periods presented.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Recently Issued and Adopted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condensed consolidated results of operations, cash flows or financial position.</w:t>
      </w:r>
    </w:p>
    <w:p>
      <w:pPr>
        <w:pStyle w:val="TextBody"/>
        <w:bidi w:val="0"/>
        <w:spacing w:before="120" w:after="0"/>
        <w:jc w:val="left"/>
        <w:rPr>
          <w:rFonts w:ascii="Times New Roman" w:hAnsi="Times New Roman"/>
          <w:b/>
          <w:sz w:val="20"/>
        </w:rPr>
      </w:pPr>
      <w:r>
        <w:rPr>
          <w:rFonts w:ascii="Times New Roman" w:hAnsi="Times New Roman"/>
          <w:b/>
          <w:sz w:val="20"/>
        </w:rPr>
        <w:t>3.</w:t>
      </w:r>
    </w:p>
    <w:p>
      <w:pPr>
        <w:pStyle w:val="TextBody"/>
        <w:bidi w:val="0"/>
        <w:spacing w:before="120" w:after="283"/>
        <w:jc w:val="left"/>
        <w:rPr>
          <w:rFonts w:ascii="Times New Roman;serif" w:hAnsi="Times New Roman;serif"/>
          <w:b/>
          <w:sz w:val="20"/>
        </w:rPr>
      </w:pPr>
      <w:r>
        <w:rPr>
          <w:rFonts w:ascii="Times New Roman;serif" w:hAnsi="Times New Roman;serif"/>
          <w:b/>
          <w:sz w:val="20"/>
        </w:rPr>
        <w:t>Fair Value Measurements and Marketable Securities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Fair Value Measurements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assets and liabilities that are measured at fair value on a recurring basis as of June 30, 2023 and December 31, 2022 are measured in accordance with the standards of ASC 820, "</w:t>
      </w:r>
      <w:r>
        <w:rPr>
          <w:rFonts w:ascii="Times New Roman;serif" w:hAnsi="Times New Roman;serif"/>
          <w:b w:val="false"/>
          <w:i/>
          <w:sz w:val="20"/>
        </w:rPr>
        <w:t>Fair Value Measurements and Disclosures"</w:t>
      </w:r>
      <w:r>
        <w:rPr>
          <w:rFonts w:ascii="Times New Roman;serif" w:hAnsi="Times New Roman;serif"/>
          <w:b w:val="false"/>
          <w:sz w:val="20"/>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15"/>
        <w:gridCol w:w="9490"/>
      </w:tblGrid>
      <w:tr>
        <w:trPr/>
        <w:tc>
          <w:tcPr>
            <w:tcW w:w="715" w:type="dxa"/>
            <w:tcBorders/>
            <w:vAlign w:val="center"/>
          </w:tcPr>
          <w:p>
            <w:pPr>
              <w:pStyle w:val="TableContents"/>
              <w:bidi w:val="0"/>
              <w:spacing w:before="0" w:after="283"/>
              <w:jc w:val="left"/>
              <w:rPr>
                <w:sz w:val="4"/>
                <w:szCs w:val="4"/>
              </w:rPr>
            </w:pPr>
            <w:r>
              <w:rPr>
                <w:sz w:val="4"/>
                <w:szCs w:val="4"/>
              </w:rPr>
            </w:r>
          </w:p>
        </w:tc>
        <w:tc>
          <w:tcPr>
            <w:tcW w:w="9490"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 1</w:t>
            </w:r>
          </w:p>
        </w:tc>
        <w:tc>
          <w:tcPr>
            <w:tcW w:w="94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Inputs to the valuation methodology are quoted prices (unadjusted) for identical assets or liabilities in active markets.</w:t>
            </w:r>
          </w:p>
        </w:tc>
      </w:tr>
      <w:tr>
        <w:trPr/>
        <w:tc>
          <w:tcPr>
            <w:tcW w:w="715" w:type="dxa"/>
            <w:tcBorders/>
            <w:vAlign w:val="center"/>
          </w:tcPr>
          <w:p>
            <w:pPr>
              <w:pStyle w:val="TableContents"/>
              <w:bidi w:val="0"/>
              <w:spacing w:before="0" w:after="0"/>
              <w:ind w:left="0" w:right="0" w:hanging="0"/>
              <w:jc w:val="left"/>
              <w:rPr/>
            </w:pPr>
            <w:r>
              <w:rPr/>
              <w:t> </w:t>
            </w:r>
          </w:p>
        </w:tc>
        <w:tc>
          <w:tcPr>
            <w:tcW w:w="9490" w:type="dxa"/>
            <w:tcBorders/>
            <w:vAlign w:val="center"/>
          </w:tcPr>
          <w:p>
            <w:pPr>
              <w:pStyle w:val="TableContents"/>
              <w:bidi w:val="0"/>
              <w:spacing w:before="0" w:after="0"/>
              <w:ind w:left="0" w:right="0" w:hanging="0"/>
              <w:jc w:val="left"/>
              <w:rPr/>
            </w:pPr>
            <w:r>
              <w:rPr/>
              <w:t> </w:t>
            </w:r>
          </w:p>
        </w:tc>
      </w:tr>
      <w:tr>
        <w:trPr/>
        <w:tc>
          <w:tcPr>
            <w:tcW w:w="7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 2</w:t>
            </w:r>
          </w:p>
        </w:tc>
        <w:tc>
          <w:tcPr>
            <w:tcW w:w="94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Inputs to the valuation methodology include quoted prices for similar assets and liabilities in active markets, and inputs that are observable for the asset or liability, either directly or indirectly, for substantially the full term of the financial instrument.</w:t>
            </w:r>
          </w:p>
        </w:tc>
      </w:tr>
      <w:tr>
        <w:trPr/>
        <w:tc>
          <w:tcPr>
            <w:tcW w:w="715" w:type="dxa"/>
            <w:tcBorders/>
            <w:vAlign w:val="center"/>
          </w:tcPr>
          <w:p>
            <w:pPr>
              <w:pStyle w:val="TableContents"/>
              <w:bidi w:val="0"/>
              <w:spacing w:before="0" w:after="0"/>
              <w:ind w:left="0" w:right="0" w:hanging="0"/>
              <w:jc w:val="left"/>
              <w:rPr/>
            </w:pPr>
            <w:r>
              <w:rPr/>
              <w:t> </w:t>
            </w:r>
          </w:p>
        </w:tc>
        <w:tc>
          <w:tcPr>
            <w:tcW w:w="9490" w:type="dxa"/>
            <w:tcBorders/>
            <w:vAlign w:val="center"/>
          </w:tcPr>
          <w:p>
            <w:pPr>
              <w:pStyle w:val="TableContents"/>
              <w:bidi w:val="0"/>
              <w:spacing w:before="0" w:after="0"/>
              <w:ind w:left="0" w:right="0" w:hanging="0"/>
              <w:jc w:val="left"/>
              <w:rPr/>
            </w:pPr>
            <w:r>
              <w:rPr/>
              <w:t> </w:t>
            </w:r>
          </w:p>
        </w:tc>
      </w:tr>
      <w:tr>
        <w:trPr/>
        <w:tc>
          <w:tcPr>
            <w:tcW w:w="7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 3</w:t>
            </w:r>
          </w:p>
        </w:tc>
        <w:tc>
          <w:tcPr>
            <w:tcW w:w="94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Inputs to the valuation methodology are unobservable and significant to the fair value measurement.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financial instruments consist primarily of cash, cash equivalents, marketable securities, accounts payable and accrued liabilities. For accounts payable and accrued liabilities, the carrying amounts of these financial instruments as of June 30, 2023 and December 31, 2022 were considered representative of their fair values due to their short term to maturity.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tables summarize the Company’s cash equivalents and marketable securities as of June 30, 2023 and December 31, 2022.</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886"/>
        <w:gridCol w:w="146"/>
        <w:gridCol w:w="211"/>
        <w:gridCol w:w="781"/>
        <w:gridCol w:w="146"/>
        <w:gridCol w:w="146"/>
        <w:gridCol w:w="211"/>
        <w:gridCol w:w="676"/>
        <w:gridCol w:w="146"/>
        <w:gridCol w:w="146"/>
        <w:gridCol w:w="221"/>
        <w:gridCol w:w="710"/>
        <w:gridCol w:w="146"/>
        <w:gridCol w:w="146"/>
        <w:gridCol w:w="415"/>
        <w:gridCol w:w="681"/>
        <w:gridCol w:w="391"/>
      </w:tblGrid>
      <w:tr>
        <w:trPr/>
        <w:tc>
          <w:tcPr>
            <w:tcW w:w="4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8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Quoted</w:t>
              <w:br/>
              <w:t>Prices in</w:t>
              <w:br/>
              <w:t>Active</w:t>
              <w:br/>
              <w:t xml:space="preserve">Markets </w:t>
              <w:br/>
              <w:t>(Level 1)</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31"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Significant</w:t>
              <w:br/>
              <w:t>Other</w:t>
              <w:br/>
              <w:t>Observable</w:t>
              <w:br/>
              <w:t xml:space="preserve">Inputs </w:t>
              <w:br/>
              <w:t>(Level 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96"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Significant</w:t>
              <w:br/>
              <w:t>Unobservable</w:t>
              <w:br/>
              <w:t xml:space="preserve">Inputs </w:t>
              <w:br/>
              <w:t>(Level 3)</w:t>
            </w:r>
          </w:p>
        </w:tc>
        <w:tc>
          <w:tcPr>
            <w:tcW w:w="3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4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82"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4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8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 invested in government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8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1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8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8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102,255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94,366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Money market funds invested in government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1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3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U.S Government and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1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3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accrued interest receivable related to the Company’s investments was $0.3</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as of June 30, 2023 and December 31, 2022, respectively, and is included in prepaid expenses and other current assets on the condensed consolidated balance sheet.</w:t>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classifies its money market funds and U.S. treasury bills, which are valued based on quoted market prices in active markets with no valuation adjustment, as Level 1 assets within the fair value hierarchy.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2022,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June 30, 2023 and December 31, 2022, no</w:t>
      </w:r>
      <w:r>
        <w:rPr>
          <w:rFonts w:ascii="Times New Roman" w:hAnsi="Times New Roman"/>
          <w:sz w:val="20"/>
        </w:rPr>
        <w:t xml:space="preserve"> </w:t>
      </w:r>
      <w:r>
        <w:rPr>
          <w:rFonts w:ascii="Times New Roman;serif" w:hAnsi="Times New Roman;serif"/>
          <w:b w:val="false"/>
          <w:sz w:val="20"/>
        </w:rPr>
        <w:t>allowances for credit losses for the Company’s investments were recorded. During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three and six months ended June 30, 2023 and 2022, the Company did not recognize any impairment losses related to investments.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Marketable securities</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the Company's marketable securities as of June 30, 2023 and December 31, 2022.</w:t>
      </w:r>
      <w:r>
        <w:rPr>
          <w:rFonts w:ascii="Times New Roman" w:hAnsi="Times New Roman"/>
          <w:sz w:val="20"/>
        </w:rPr>
        <w:t xml:space="preserve"> </w:t>
      </w:r>
    </w:p>
    <w:p>
      <w:pPr>
        <w:pStyle w:val="TextBody"/>
        <w:bidi w:val="0"/>
        <w:spacing w:before="0" w:after="0"/>
        <w:jc w:val="left"/>
        <w:rPr/>
      </w:pPr>
      <w:r>
        <w:rPr/>
        <w:t> </w:t>
      </w:r>
    </w:p>
    <w:tbl>
      <w:tblPr>
        <w:tblW w:w="8744" w:type="dxa"/>
        <w:jc w:val="left"/>
        <w:tblInd w:w="0" w:type="dxa"/>
        <w:tblLayout w:type="fixed"/>
        <w:tblCellMar>
          <w:top w:w="28" w:type="dxa"/>
          <w:left w:w="28" w:type="dxa"/>
          <w:bottom w:w="28" w:type="dxa"/>
          <w:right w:w="28" w:type="dxa"/>
        </w:tblCellMar>
      </w:tblPr>
      <w:tblGrid>
        <w:gridCol w:w="3721"/>
        <w:gridCol w:w="146"/>
        <w:gridCol w:w="211"/>
        <w:gridCol w:w="676"/>
        <w:gridCol w:w="146"/>
        <w:gridCol w:w="146"/>
        <w:gridCol w:w="354"/>
        <w:gridCol w:w="532"/>
        <w:gridCol w:w="146"/>
        <w:gridCol w:w="146"/>
        <w:gridCol w:w="334"/>
        <w:gridCol w:w="596"/>
        <w:gridCol w:w="166"/>
        <w:gridCol w:w="146"/>
        <w:gridCol w:w="211"/>
        <w:gridCol w:w="676"/>
        <w:gridCol w:w="3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86"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30"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 xml:space="preserve">Unrealized </w:t>
              <w:br/>
              <w:t>Losses</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8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86"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9,879</w:t>
            </w:r>
          </w:p>
        </w:tc>
        <w:tc>
          <w:tcPr>
            <w:tcW w:w="391" w:type="dxa"/>
            <w:tcBorders/>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9,876</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9,879</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U.S Government and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391" w:type="dxa"/>
            <w:tcBorders/>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91,634</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4.</w:t>
      </w:r>
    </w:p>
    <w:p>
      <w:pPr>
        <w:pStyle w:val="TextBody"/>
        <w:bidi w:val="0"/>
        <w:jc w:val="left"/>
        <w:rPr>
          <w:rFonts w:ascii="Times New Roman;serif" w:hAnsi="Times New Roman;serif"/>
          <w:b/>
          <w:sz w:val="20"/>
        </w:rPr>
      </w:pPr>
      <w:r>
        <w:rPr>
          <w:rFonts w:ascii="Times New Roman;serif" w:hAnsi="Times New Roman;serif"/>
          <w:b/>
          <w:sz w:val="20"/>
        </w:rPr>
        <w:t>Prepaid Expenses and Other Current Assets</w:t>
      </w:r>
    </w:p>
    <w:p>
      <w:pPr>
        <w:pStyle w:val="TextBody"/>
        <w:bidi w:val="0"/>
        <w:spacing w:before="120" w:after="0"/>
        <w:jc w:val="left"/>
        <w:rPr>
          <w:rFonts w:ascii="Times New Roman" w:hAnsi="Times New Roman"/>
          <w:sz w:val="20"/>
        </w:rPr>
      </w:pPr>
      <w:r>
        <w:rPr>
          <w:rFonts w:ascii="Times New Roman;serif" w:hAnsi="Times New Roman;serif"/>
          <w:b w:val="false"/>
          <w:sz w:val="20"/>
        </w:rPr>
        <w:t>Prepaid expenses and other current assets consisted of the following:</w:t>
      </w:r>
      <w:r>
        <w:rPr>
          <w:rFonts w:ascii="Times New Roman" w:hAnsi="Times New Roman"/>
          <w:sz w:val="20"/>
        </w:rPr>
        <w:t xml:space="preserve"> </w:t>
      </w:r>
    </w:p>
    <w:p>
      <w:pPr>
        <w:pStyle w:val="TextBody"/>
        <w:bidi w:val="0"/>
        <w:spacing w:before="0" w:after="0"/>
        <w:jc w:val="left"/>
        <w:rPr/>
      </w:pPr>
      <w:r>
        <w:rPr/>
        <w:t> </w:t>
      </w:r>
    </w:p>
    <w:tbl>
      <w:tblPr>
        <w:tblW w:w="6182" w:type="dxa"/>
        <w:jc w:val="left"/>
        <w:tblInd w:w="0" w:type="dxa"/>
        <w:tblLayout w:type="fixed"/>
        <w:tblCellMar>
          <w:top w:w="28" w:type="dxa"/>
          <w:left w:w="28" w:type="dxa"/>
          <w:bottom w:w="28" w:type="dxa"/>
          <w:right w:w="28" w:type="dxa"/>
        </w:tblCellMar>
      </w:tblPr>
      <w:tblGrid>
        <w:gridCol w:w="3676"/>
        <w:gridCol w:w="146"/>
        <w:gridCol w:w="211"/>
        <w:gridCol w:w="571"/>
        <w:gridCol w:w="146"/>
        <w:gridCol w:w="146"/>
        <w:gridCol w:w="294"/>
        <w:gridCol w:w="80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1,394</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5.</w:t>
      </w:r>
    </w:p>
    <w:p>
      <w:pPr>
        <w:pStyle w:val="TextBody"/>
        <w:bidi w:val="0"/>
        <w:spacing w:before="120" w:after="283"/>
        <w:jc w:val="left"/>
        <w:rPr>
          <w:rFonts w:ascii="Times New Roman;serif" w:hAnsi="Times New Roman;serif"/>
          <w:b/>
          <w:sz w:val="20"/>
        </w:rPr>
      </w:pPr>
      <w:r>
        <w:rPr>
          <w:rFonts w:ascii="Times New Roman;serif" w:hAnsi="Times New Roman;serif"/>
          <w:b/>
          <w:sz w:val="20"/>
        </w:rPr>
        <w:t>Fixed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Fixed assets, net consisted of the following:</w:t>
      </w:r>
    </w:p>
    <w:p>
      <w:pPr>
        <w:pStyle w:val="TextBody"/>
        <w:bidi w:val="0"/>
        <w:spacing w:before="0" w:after="0"/>
        <w:jc w:val="left"/>
        <w:rPr/>
      </w:pPr>
      <w:r>
        <w:rPr/>
        <w:t> </w:t>
      </w:r>
    </w:p>
    <w:tbl>
      <w:tblPr>
        <w:tblW w:w="6399" w:type="dxa"/>
        <w:jc w:val="left"/>
        <w:tblInd w:w="0" w:type="dxa"/>
        <w:tblLayout w:type="fixed"/>
        <w:tblCellMar>
          <w:top w:w="28" w:type="dxa"/>
          <w:left w:w="28" w:type="dxa"/>
          <w:bottom w:w="28" w:type="dxa"/>
          <w:right w:w="28" w:type="dxa"/>
        </w:tblCellMar>
      </w:tblPr>
      <w:tblGrid>
        <w:gridCol w:w="2731"/>
        <w:gridCol w:w="146"/>
        <w:gridCol w:w="916"/>
        <w:gridCol w:w="146"/>
        <w:gridCol w:w="211"/>
        <w:gridCol w:w="631"/>
        <w:gridCol w:w="166"/>
        <w:gridCol w:w="146"/>
        <w:gridCol w:w="294"/>
        <w:gridCol w:w="801"/>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vAlign w:val="center"/>
          </w:tcPr>
          <w:p>
            <w:pPr>
              <w:pStyle w:val="TableContents"/>
              <w:bidi w:val="0"/>
              <w:spacing w:before="0" w:after="0"/>
              <w:ind w:left="0" w:right="0" w:hanging="0"/>
              <w:jc w:val="center"/>
              <w:rPr/>
            </w:pPr>
            <w:r>
              <w:rPr/>
              <w:t> </w:t>
            </w:r>
          </w:p>
        </w:tc>
      </w:tr>
      <w:tr>
        <w:trPr/>
        <w:tc>
          <w:tcPr>
            <w:tcW w:w="27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Useful Life</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2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 equipment</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2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2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lease term</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w:t>
            </w:r>
          </w:p>
        </w:tc>
        <w:tc>
          <w:tcPr>
            <w:tcW w:w="2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Depreciation expense was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for the three and six months ended June 30, 2023, respectively. Depreciation expense was $0.1</w:t>
      </w:r>
      <w:r>
        <w:rPr>
          <w:rFonts w:ascii="Times New Roman" w:hAnsi="Times New Roman"/>
          <w:sz w:val="20"/>
        </w:rPr>
        <w:t xml:space="preserve"> </w:t>
      </w:r>
      <w:r>
        <w:rPr>
          <w:rFonts w:ascii="Times New Roman;serif" w:hAnsi="Times New Roman;serif"/>
          <w:b w:val="false"/>
          <w:sz w:val="20"/>
        </w:rPr>
        <w:t>million for the three and six months ended June 30, 2022, respectively. In addition, for the three and six months ended June 30, 2023, there was less than $0.1</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 of depreciation related to sublet assets recorded as other expense. For the three and six months ended June 30, 2022, there was less than $0.1</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 of depreciation related to sublet assets recorded as other expense.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6.</w:t>
      </w:r>
    </w:p>
    <w:p>
      <w:pPr>
        <w:pStyle w:val="TextBody"/>
        <w:bidi w:val="0"/>
        <w:jc w:val="left"/>
        <w:rPr>
          <w:rFonts w:ascii="Times New Roman;serif" w:hAnsi="Times New Roman;serif"/>
          <w:b/>
          <w:sz w:val="20"/>
        </w:rPr>
      </w:pPr>
      <w:r>
        <w:rPr>
          <w:rFonts w:ascii="Times New Roman;serif" w:hAnsi="Times New Roman;serif"/>
          <w:b/>
          <w:sz w:val="20"/>
        </w:rPr>
        <w:t>Accrued Expenses</w:t>
      </w:r>
    </w:p>
    <w:p>
      <w:pPr>
        <w:pStyle w:val="TextBody"/>
        <w:bidi w:val="0"/>
        <w:spacing w:before="0" w:after="0"/>
        <w:jc w:val="left"/>
        <w:rPr/>
      </w:pPr>
      <w:r>
        <w:rPr/>
        <w:t> </w:t>
      </w:r>
    </w:p>
    <w:tbl>
      <w:tblPr>
        <w:tblW w:w="6242" w:type="dxa"/>
        <w:jc w:val="left"/>
        <w:tblInd w:w="0" w:type="dxa"/>
        <w:tblLayout w:type="fixed"/>
        <w:tblCellMar>
          <w:top w:w="28" w:type="dxa"/>
          <w:left w:w="28" w:type="dxa"/>
          <w:bottom w:w="28" w:type="dxa"/>
          <w:right w:w="28" w:type="dxa"/>
        </w:tblCellMar>
      </w:tblPr>
      <w:tblGrid>
        <w:gridCol w:w="3736"/>
        <w:gridCol w:w="146"/>
        <w:gridCol w:w="211"/>
        <w:gridCol w:w="571"/>
        <w:gridCol w:w="146"/>
        <w:gridCol w:w="146"/>
        <w:gridCol w:w="294"/>
        <w:gridCol w:w="80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5,921</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payroll and related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2,046</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7.</w:t>
      </w:r>
    </w:p>
    <w:p>
      <w:pPr>
        <w:pStyle w:val="TextBody"/>
        <w:bidi w:val="0"/>
        <w:spacing w:before="120" w:after="283"/>
        <w:jc w:val="left"/>
        <w:rPr>
          <w:rFonts w:ascii="Times New Roman;serif" w:hAnsi="Times New Roman;serif"/>
          <w:b/>
          <w:sz w:val="20"/>
        </w:rPr>
      </w:pPr>
      <w:r>
        <w:rPr>
          <w:rFonts w:ascii="Times New Roman;serif" w:hAnsi="Times New Roman;serif"/>
          <w:b/>
          <w:sz w:val="20"/>
        </w:rPr>
        <w:t>Stockholders’ Equity and Stock Options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Common Stock and Prefunded Warrants</w:t>
      </w:r>
    </w:p>
    <w:p>
      <w:pPr>
        <w:pStyle w:val="TextBody"/>
        <w:bidi w:val="0"/>
        <w:spacing w:before="120" w:after="0"/>
        <w:jc w:val="left"/>
        <w:rPr>
          <w:rFonts w:ascii="Times New Roman" w:hAnsi="Times New Roman"/>
          <w:sz w:val="20"/>
        </w:rPr>
      </w:pPr>
      <w:r>
        <w:rPr>
          <w:rFonts w:ascii="Times New Roman;serif" w:hAnsi="Times New Roman;serif"/>
          <w:b w:val="false"/>
          <w:sz w:val="20"/>
        </w:rPr>
        <w:t>On May 28, 2020, the Company entered into a securities purchase agreement with certain accredited investors (the “Purchasers”) for the sale by the Company in a private placement of 6,105,359</w:t>
      </w:r>
      <w:r>
        <w:rPr>
          <w:rFonts w:ascii="Times New Roman" w:hAnsi="Times New Roman"/>
          <w:sz w:val="20"/>
        </w:rPr>
        <w:t xml:space="preserve"> </w:t>
      </w:r>
      <w:r>
        <w:rPr>
          <w:rFonts w:ascii="Times New Roman;serif" w:hAnsi="Times New Roman;serif"/>
          <w:b w:val="false"/>
          <w:sz w:val="20"/>
        </w:rPr>
        <w:t>shares of the Company’s common stock and prefunded warrants to purchase an aggregate of 628,403</w:t>
      </w:r>
      <w:r>
        <w:rPr>
          <w:rFonts w:ascii="Times New Roman" w:hAnsi="Times New Roman"/>
          <w:sz w:val="20"/>
        </w:rPr>
        <w:t xml:space="preserve"> </w:t>
      </w:r>
      <w:r>
        <w:rPr>
          <w:rFonts w:ascii="Times New Roman;serif" w:hAnsi="Times New Roman;serif"/>
          <w:b w:val="false"/>
          <w:sz w:val="20"/>
        </w:rPr>
        <w:t>shares of the Company’s common stock, for a price of $11.88</w:t>
      </w:r>
      <w:r>
        <w:rPr>
          <w:rFonts w:ascii="Times New Roman" w:hAnsi="Times New Roman"/>
          <w:sz w:val="20"/>
        </w:rPr>
        <w:t xml:space="preserve"> </w:t>
      </w:r>
      <w:r>
        <w:rPr>
          <w:rFonts w:ascii="Times New Roman;serif" w:hAnsi="Times New Roman;serif"/>
          <w:b w:val="false"/>
          <w:sz w:val="20"/>
        </w:rPr>
        <w:t>per share of the common stock and $11.87</w:t>
      </w:r>
      <w:r>
        <w:rPr>
          <w:rFonts w:ascii="Times New Roman" w:hAnsi="Times New Roman"/>
          <w:sz w:val="20"/>
        </w:rPr>
        <w:t xml:space="preserve"> </w:t>
      </w:r>
      <w:r>
        <w:rPr>
          <w:rFonts w:ascii="Times New Roman;serif" w:hAnsi="Times New Roman;serif"/>
          <w:b w:val="false"/>
          <w:sz w:val="20"/>
        </w:rPr>
        <w:t>per prefunded warrant. The prefunded warrants are exercisable at an exercise price of $0.01</w:t>
      </w:r>
      <w:r>
        <w:rPr>
          <w:rFonts w:ascii="Times New Roman" w:hAnsi="Times New Roman"/>
          <w:sz w:val="20"/>
        </w:rPr>
        <w:t xml:space="preserve"> </w:t>
      </w:r>
      <w:r>
        <w:rPr>
          <w:rFonts w:ascii="Times New Roman;serif" w:hAnsi="Times New Roman;serif"/>
          <w:b w:val="false"/>
          <w:sz w:val="20"/>
        </w:rPr>
        <w:t>and are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w:t>
      </w:r>
      <w:r>
        <w:rPr>
          <w:rFonts w:ascii="Times New Roman" w:hAnsi="Times New Roman"/>
          <w:sz w:val="20"/>
        </w:rPr>
        <w:t xml:space="preserve"> </w:t>
      </w:r>
      <w:r>
        <w:rPr>
          <w:rFonts w:ascii="Times New Roman;serif" w:hAnsi="Times New Roman;serif"/>
          <w:b w:val="false"/>
          <w:sz w:val="20"/>
        </w:rPr>
        <w:t>million; transaction costs totaled $4.6</w:t>
      </w:r>
      <w:r>
        <w:rPr>
          <w:rFonts w:ascii="Times New Roman" w:hAnsi="Times New Roman"/>
          <w:sz w:val="20"/>
        </w:rPr>
        <w:t xml:space="preserve"> </w:t>
      </w:r>
      <w:r>
        <w:rPr>
          <w:rFonts w:ascii="Times New Roman;serif" w:hAnsi="Times New Roman;serif"/>
          <w:b w:val="false"/>
          <w:sz w:val="20"/>
        </w:rPr>
        <w:t>million and resulted in net proceeds of $75.4</w:t>
      </w:r>
      <w:r>
        <w:rPr>
          <w:rFonts w:ascii="Times New Roman" w:hAnsi="Times New Roman"/>
          <w:sz w:val="20"/>
        </w:rPr>
        <w:t xml:space="preserve"> </w:t>
      </w:r>
      <w:r>
        <w:rPr>
          <w:rFonts w:ascii="Times New Roman;serif" w:hAnsi="Times New Roman;serif"/>
          <w:b w:val="false"/>
          <w:sz w:val="20"/>
        </w:rPr>
        <w:t>million. The Company’s Registration Statement on Form S-3, filed with the SEC on June 26, 2020, registered the resale of 6,105,359</w:t>
      </w:r>
      <w:r>
        <w:rPr>
          <w:rFonts w:ascii="Times New Roman" w:hAnsi="Times New Roman"/>
          <w:sz w:val="20"/>
        </w:rPr>
        <w:t xml:space="preserve"> </w:t>
      </w:r>
      <w:r>
        <w:rPr>
          <w:rFonts w:ascii="Times New Roman;serif" w:hAnsi="Times New Roman;serif"/>
          <w:b w:val="false"/>
          <w:sz w:val="20"/>
        </w:rPr>
        <w:t>shares of common stock sold and the 628,403</w:t>
      </w:r>
      <w:r>
        <w:rPr>
          <w:rFonts w:ascii="Times New Roman" w:hAnsi="Times New Roman"/>
          <w:sz w:val="20"/>
        </w:rPr>
        <w:t xml:space="preserve"> </w:t>
      </w:r>
      <w:r>
        <w:rPr>
          <w:rFonts w:ascii="Times New Roman;serif" w:hAnsi="Times New Roman;serif"/>
          <w:b w:val="false"/>
          <w:sz w:val="20"/>
        </w:rPr>
        <w:t>shares of common stock underlying the prefunded warrants. MTS Health Partners served as placement agent to the Company in connection with the private placement. As partial compensation for these services, the Company issued MTS Health Partners 35,260</w:t>
      </w:r>
      <w:r>
        <w:rPr>
          <w:rFonts w:ascii="Times New Roman" w:hAnsi="Times New Roman"/>
          <w:sz w:val="20"/>
        </w:rPr>
        <w:t xml:space="preserve"> </w:t>
      </w:r>
      <w:r>
        <w:rPr>
          <w:rFonts w:ascii="Times New Roman;serif" w:hAnsi="Times New Roman;serif"/>
          <w:b w:val="false"/>
          <w:sz w:val="20"/>
        </w:rPr>
        <w:t>shares of common stock.</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Company’s Certificate of Incorporation, as amended and restated, authorized the Company to issue up to 115,000,000</w:t>
      </w:r>
      <w:r>
        <w:rPr>
          <w:rFonts w:ascii="Times New Roman" w:hAnsi="Times New Roman"/>
          <w:sz w:val="20"/>
        </w:rPr>
        <w:t xml:space="preserve"> </w:t>
      </w:r>
      <w:r>
        <w:rPr>
          <w:rFonts w:ascii="Times New Roman;serif" w:hAnsi="Times New Roman;serif"/>
          <w:b w:val="false"/>
          <w:sz w:val="20"/>
        </w:rPr>
        <w:t>shares of $0.001</w:t>
      </w:r>
      <w:r>
        <w:rPr>
          <w:rFonts w:ascii="Times New Roman" w:hAnsi="Times New Roman"/>
          <w:sz w:val="20"/>
        </w:rPr>
        <w:t xml:space="preserve"> </w:t>
      </w:r>
      <w:r>
        <w:rPr>
          <w:rFonts w:ascii="Times New Roman;serif" w:hAnsi="Times New Roman;serif"/>
          <w:b w:val="false"/>
          <w:sz w:val="20"/>
        </w:rPr>
        <w:t>par value common stock, of which 43,269,200</w:t>
      </w:r>
      <w:r>
        <w:rPr>
          <w:rFonts w:ascii="Times New Roman" w:hAnsi="Times New Roman"/>
          <w:sz w:val="20"/>
        </w:rPr>
        <w:t xml:space="preserve"> </w:t>
      </w:r>
      <w:r>
        <w:rPr>
          <w:rFonts w:ascii="Times New Roman;serif" w:hAnsi="Times New Roman;serif"/>
          <w:b w:val="false"/>
          <w:sz w:val="20"/>
        </w:rPr>
        <w:t>shares were issued and outstanding, and up to 5,000,000</w:t>
      </w:r>
      <w:r>
        <w:rPr>
          <w:rFonts w:ascii="Times New Roman" w:hAnsi="Times New Roman"/>
          <w:sz w:val="20"/>
        </w:rPr>
        <w:t xml:space="preserve"> </w:t>
      </w:r>
      <w:r>
        <w:rPr>
          <w:rFonts w:ascii="Times New Roman;serif" w:hAnsi="Times New Roman;serif"/>
          <w:b w:val="false"/>
          <w:sz w:val="20"/>
        </w:rPr>
        <w:t>shares of $0.001</w:t>
      </w:r>
      <w:r>
        <w:rPr>
          <w:rFonts w:ascii="Times New Roman" w:hAnsi="Times New Roman"/>
          <w:sz w:val="20"/>
        </w:rPr>
        <w:t xml:space="preserve"> </w:t>
      </w:r>
      <w:r>
        <w:rPr>
          <w:rFonts w:ascii="Times New Roman;serif" w:hAnsi="Times New Roman;serif"/>
          <w:b w:val="false"/>
          <w:sz w:val="20"/>
        </w:rPr>
        <w:t>par value undesignated preferred stock, of which no</w:t>
      </w:r>
      <w:r>
        <w:rPr>
          <w:rFonts w:ascii="Times New Roman" w:hAnsi="Times New Roman"/>
          <w:sz w:val="20"/>
        </w:rPr>
        <w:t xml:space="preserve"> </w:t>
      </w:r>
      <w:r>
        <w:rPr>
          <w:rFonts w:ascii="Times New Roman;serif" w:hAnsi="Times New Roman;serif"/>
          <w:b w:val="false"/>
          <w:sz w:val="20"/>
        </w:rPr>
        <w:t>shares were issued or outstanding. The voting, dividend, and liquidation rights of the holders of the Company’s common stock are subject to and qualified by the rights, powers, and preferences of the holders of the preferred stock, if any. Each share of common stock entitles the holder to one vote on all matters submitted to a vote of the Company’s stockholders. Common stockholders are entitled to receive dividends, as may be declared by the board of directors of the Company (the “Board”), if any. No</w:t>
      </w:r>
      <w:r>
        <w:rPr>
          <w:rFonts w:ascii="Times New Roman" w:hAnsi="Times New Roman"/>
          <w:sz w:val="20"/>
        </w:rPr>
        <w:t xml:space="preserve"> </w:t>
      </w:r>
      <w:r>
        <w:rPr>
          <w:rFonts w:ascii="Times New Roman;serif" w:hAnsi="Times New Roman;serif"/>
          <w:b w:val="false"/>
          <w:sz w:val="20"/>
        </w:rPr>
        <w:t>cash dividends have been declared or paid to date.</w:t>
      </w:r>
    </w:p>
    <w:p>
      <w:pPr>
        <w:pStyle w:val="TextBody"/>
        <w:bidi w:val="0"/>
        <w:spacing w:before="120" w:after="0"/>
        <w:jc w:val="left"/>
        <w:rPr>
          <w:rFonts w:ascii="Times New Roman" w:hAnsi="Times New Roman"/>
          <w:sz w:val="20"/>
        </w:rPr>
      </w:pPr>
      <w:r>
        <w:rPr>
          <w:rFonts w:ascii="Times New Roman;serif" w:hAnsi="Times New Roman;serif"/>
          <w:b w:val="false"/>
          <w:sz w:val="20"/>
        </w:rPr>
        <w:t>In September 2022, the Company sold 25,558,750</w:t>
      </w:r>
      <w:r>
        <w:rPr>
          <w:rFonts w:ascii="Times New Roman" w:hAnsi="Times New Roman"/>
          <w:sz w:val="20"/>
        </w:rPr>
        <w:t xml:space="preserve"> </w:t>
      </w:r>
      <w:r>
        <w:rPr>
          <w:rFonts w:ascii="Times New Roman;serif" w:hAnsi="Times New Roman;serif"/>
          <w:b w:val="false"/>
          <w:sz w:val="20"/>
        </w:rPr>
        <w:t>shares of common stock at a public offering price of $3.15</w:t>
      </w:r>
      <w:r>
        <w:rPr>
          <w:rFonts w:ascii="Times New Roman" w:hAnsi="Times New Roman"/>
          <w:sz w:val="20"/>
        </w:rPr>
        <w:t xml:space="preserve"> </w:t>
      </w:r>
      <w:r>
        <w:rPr>
          <w:rFonts w:ascii="Times New Roman;serif" w:hAnsi="Times New Roman;serif"/>
          <w:b w:val="false"/>
          <w:sz w:val="20"/>
        </w:rPr>
        <w:t>per share and received net proceeds, net of underwriting discounts and commissions and offering costs of $75.2</w:t>
      </w:r>
      <w:r>
        <w:rPr>
          <w:rFonts w:ascii="Times New Roman" w:hAnsi="Times New Roman"/>
          <w:sz w:val="20"/>
        </w:rPr>
        <w:t xml:space="preserve"> </w:t>
      </w:r>
      <w:r>
        <w:rPr>
          <w:rFonts w:ascii="Times New Roman;serif" w:hAnsi="Times New Roman;serif"/>
          <w:b w:val="false"/>
          <w:sz w:val="20"/>
        </w:rPr>
        <w:t>million.</w:t>
        <w:br/>
      </w:r>
      <w:r>
        <w:rPr>
          <w:rFonts w:ascii="Times New Roman" w:hAnsi="Times New Roman"/>
          <w:sz w:val="20"/>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2022 ATM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November 10, 2022, the Company entered into a sales agreement (the "ATM Agreement") with Guggenheim Securities, LLC in connection with the establishment of an “at-the-market” offering program under which the Company may sell up to an aggregate of $50.0</w:t>
      </w:r>
      <w:r>
        <w:rPr>
          <w:rFonts w:ascii="Times New Roman" w:hAnsi="Times New Roman"/>
          <w:sz w:val="20"/>
        </w:rPr>
        <w:t xml:space="preserve"> </w:t>
      </w:r>
      <w:r>
        <w:rPr>
          <w:rFonts w:ascii="Times New Roman;serif" w:hAnsi="Times New Roman;serif"/>
          <w:b w:val="false"/>
          <w:sz w:val="20"/>
        </w:rPr>
        <w:t>million of shares of common stock (the “ATM Shares”) from time to time.</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ATM Agreement, the Company sets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ATM Agreement may be made in transactions that are deemed to be “at-the-market offerings” as defined in Rule 415 under the Securities Act. The Company pays its investment bank a commission equal to 3.0% of the gross proceeds of any ATM Shares sold through its investment bank under the ATM Agreement and reimburses the investment bank for certain specified expenses. The ATM Agreement contains customary representations, warranties and agreements by the Company, indemnification obligations of the Company and its investment bank, other customary obligations of the parties and termination provisions. The Company has no obligation to sell any of the ATM Shares and may at any time suspend offers under the ATM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ATM Shares will be offered and sold pursuant to the Company’s Registration Statement on Form S-3, filed by the Company on November 10, 2022 and effective as of November 21, 2022 (the “Registration Statement”), and the sales agreement prospectus that forms a part of such Registration Statement. As of the date of this Quarterly Report on Form 10-Q, no</w:t>
      </w:r>
      <w:r>
        <w:rPr>
          <w:rFonts w:ascii="Times New Roman" w:hAnsi="Times New Roman"/>
          <w:sz w:val="20"/>
        </w:rPr>
        <w:t xml:space="preserve"> </w:t>
      </w:r>
      <w:r>
        <w:rPr>
          <w:rFonts w:ascii="Times New Roman;serif" w:hAnsi="Times New Roman;serif"/>
          <w:b w:val="false"/>
          <w:sz w:val="20"/>
        </w:rPr>
        <w:t>ATM Shares have been sold pursuant to the ATM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2020 Equity Incentive Plan</w:t>
      </w:r>
    </w:p>
    <w:p>
      <w:pPr>
        <w:pStyle w:val="TextBody"/>
        <w:bidi w:val="0"/>
        <w:spacing w:before="120" w:after="0"/>
        <w:jc w:val="left"/>
        <w:rPr>
          <w:rFonts w:ascii="Times New Roman" w:hAnsi="Times New Roman"/>
          <w:sz w:val="20"/>
        </w:rPr>
      </w:pPr>
      <w:r>
        <w:rPr>
          <w:rFonts w:ascii="Times New Roman;serif" w:hAnsi="Times New Roman;serif"/>
          <w:b w:val="false"/>
          <w:sz w:val="20"/>
        </w:rPr>
        <w:t>The Board adopted the 2020 Equity Incentive Plan (the "2020 Plan") on July 16, 2020 and the stockholders of the Company approved the 2020 Plan on September 29, 2020. The 2020 Plan replaces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2020 Plan provides for the grant of incentive stock options (“ISOs”), nonstatutory stock options, stock appreciation rights, restricted stock awards, restricted stock unit ("RSU") awards, and cash or other stock-based awards. ISOs may be granted only to the Company’s employees, including the Company’s officers, and the Company's employees, as well as officers and employees of its affiliates. All other awards may be granted to the Company’s employees, including the Company’s officers, the Company’s non-employee directors and consultants, and the employees and consultants of the Company’s affiliates.</w:t>
      </w:r>
    </w:p>
    <w:p>
      <w:pPr>
        <w:pStyle w:val="TextBody"/>
        <w:bidi w:val="0"/>
        <w:spacing w:before="120" w:after="0"/>
        <w:jc w:val="left"/>
        <w:rPr>
          <w:rFonts w:ascii="Times New Roman" w:hAnsi="Times New Roman"/>
          <w:sz w:val="20"/>
        </w:rPr>
      </w:pPr>
      <w:r>
        <w:rPr>
          <w:rFonts w:ascii="Times New Roman;serif" w:hAnsi="Times New Roman;serif"/>
          <w:b w:val="false"/>
          <w:sz w:val="20"/>
        </w:rPr>
        <w:t>The maximum number of shares that may be issued in respect of any awards under the 2020 Plan is the sum of: (i) 1,700,000</w:t>
      </w:r>
      <w:r>
        <w:rPr>
          <w:rFonts w:ascii="Times New Roman;serif" w:hAnsi="Times New Roman;serif"/>
          <w:sz w:val="20"/>
        </w:rPr>
        <w:t xml:space="preserve"> </w:t>
      </w:r>
      <w:r>
        <w:rPr>
          <w:rFonts w:ascii="Times New Roman;serif" w:hAnsi="Times New Roman;serif"/>
          <w:b w:val="false"/>
          <w:sz w:val="20"/>
        </w:rPr>
        <w:t>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w:t>
      </w:r>
      <w:r>
        <w:rPr>
          <w:rFonts w:ascii="Times New Roman" w:hAnsi="Times New Roman"/>
          <w:sz w:val="20"/>
        </w:rPr>
        <w:t xml:space="preserve"> </w:t>
      </w:r>
      <w:r>
        <w:rPr>
          <w:rFonts w:ascii="Times New Roman;serif" w:hAnsi="Times New Roman;serif"/>
          <w:b w:val="false"/>
          <w:sz w:val="20"/>
        </w:rPr>
        <w:t>The maximum aggregate number of shares that may be issued under the 2020 Plan is 8,000,000</w:t>
      </w:r>
      <w:r>
        <w:rPr>
          <w:rFonts w:ascii="Times New Roman" w:hAnsi="Times New Roman"/>
          <w:sz w:val="20"/>
        </w:rPr>
        <w:t xml:space="preserve"> </w:t>
      </w:r>
      <w:r>
        <w:rPr>
          <w:rFonts w:ascii="Times New Roman;serif" w:hAnsi="Times New Roman;serif"/>
          <w:b w:val="false"/>
          <w:sz w:val="20"/>
        </w:rPr>
        <w:t>over the ten-year</w:t>
      </w:r>
      <w:r>
        <w:rPr>
          <w:rFonts w:ascii="Times New Roman" w:hAnsi="Times New Roman"/>
          <w:sz w:val="20"/>
        </w:rPr>
        <w:t xml:space="preserve"> </w:t>
      </w:r>
      <w:r>
        <w:rPr>
          <w:rFonts w:ascii="Times New Roman;serif" w:hAnsi="Times New Roman;serif"/>
          <w:b w:val="false"/>
          <w:sz w:val="20"/>
        </w:rPr>
        <w:t>term of the 2020 Plan.</w:t>
      </w:r>
    </w:p>
    <w:p>
      <w:pPr>
        <w:pStyle w:val="TextBody"/>
        <w:bidi w:val="0"/>
        <w:spacing w:before="120" w:after="0"/>
        <w:jc w:val="left"/>
        <w:rPr>
          <w:rFonts w:ascii="Times New Roman" w:hAnsi="Times New Roman"/>
          <w:sz w:val="20"/>
        </w:rPr>
      </w:pPr>
      <w:r>
        <w:rPr>
          <w:rFonts w:ascii="Times New Roman;serif" w:hAnsi="Times New Roman;serif"/>
          <w:b w:val="false"/>
          <w:sz w:val="20"/>
        </w:rPr>
        <w:t>As permitted by the 2020 Plan, the Company added 1,730,768</w:t>
      </w:r>
      <w:r>
        <w:rPr>
          <w:rFonts w:ascii="Times New Roman" w:hAnsi="Times New Roman"/>
          <w:sz w:val="20"/>
        </w:rPr>
        <w:t xml:space="preserve"> </w:t>
      </w:r>
      <w:r>
        <w:rPr>
          <w:rFonts w:ascii="Times New Roman;serif" w:hAnsi="Times New Roman;serif"/>
          <w:b w:val="false"/>
          <w:sz w:val="20"/>
        </w:rPr>
        <w:t>and 708,418</w:t>
      </w:r>
      <w:r>
        <w:rPr>
          <w:rFonts w:ascii="Times New Roman" w:hAnsi="Times New Roman"/>
          <w:sz w:val="20"/>
        </w:rPr>
        <w:t xml:space="preserve"> </w:t>
      </w:r>
      <w:r>
        <w:rPr>
          <w:rFonts w:ascii="Times New Roman;serif" w:hAnsi="Times New Roman;serif"/>
          <w:b w:val="false"/>
          <w:sz w:val="20"/>
        </w:rPr>
        <w:t>shares available for grant to the 2020 Plan on January 1, 2023 and January 1, 2022, respectively. As of June 30, 2023, 906,429</w:t>
      </w:r>
      <w:r>
        <w:rPr>
          <w:rFonts w:ascii="Times New Roman" w:hAnsi="Times New Roman"/>
          <w:sz w:val="20"/>
        </w:rPr>
        <w:t xml:space="preserve"> </w:t>
      </w:r>
      <w:r>
        <w:rPr>
          <w:rFonts w:ascii="Times New Roman;serif" w:hAnsi="Times New Roman;serif"/>
          <w:b w:val="false"/>
          <w:sz w:val="20"/>
        </w:rPr>
        <w:t>shares of common stock were available for grant under the 2020 Plan.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 Option Valuation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presents, on a weighted average basis, the assumptions used in the Black-Scholes option-pricing model to determine the grant-date fair value of stock options granted to employees:</w:t>
      </w:r>
    </w:p>
    <w:p>
      <w:pPr>
        <w:pStyle w:val="TextBody"/>
        <w:bidi w:val="0"/>
        <w:spacing w:before="0" w:after="0"/>
        <w:jc w:val="left"/>
        <w:rPr/>
      </w:pPr>
      <w:r>
        <w:rPr/>
        <w:t> </w:t>
      </w:r>
    </w:p>
    <w:tbl>
      <w:tblPr>
        <w:tblW w:w="3144" w:type="dxa"/>
        <w:jc w:val="left"/>
        <w:tblInd w:w="0" w:type="dxa"/>
        <w:tblLayout w:type="fixed"/>
        <w:tblCellMar>
          <w:top w:w="28" w:type="dxa"/>
          <w:left w:w="28" w:type="dxa"/>
          <w:bottom w:w="28" w:type="dxa"/>
          <w:right w:w="28" w:type="dxa"/>
        </w:tblCellMar>
      </w:tblPr>
      <w:tblGrid>
        <w:gridCol w:w="2086"/>
        <w:gridCol w:w="146"/>
        <w:gridCol w:w="72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3.64%</w:t>
            </w:r>
          </w:p>
        </w:tc>
        <w:tc>
          <w:tcPr>
            <w:tcW w:w="1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6.23</w:t>
            </w:r>
          </w:p>
        </w:tc>
        <w:tc>
          <w:tcPr>
            <w:tcW w:w="1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94%</w:t>
            </w:r>
          </w:p>
        </w:tc>
        <w:tc>
          <w:tcPr>
            <w:tcW w:w="1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0.00%</w:t>
            </w:r>
          </w:p>
        </w:tc>
        <w:tc>
          <w:tcPr>
            <w:tcW w:w="191" w:type="dxa"/>
            <w:tcBorders/>
            <w:vAlign w:val="center"/>
          </w:tcPr>
          <w:p>
            <w:pPr>
              <w:pStyle w:val="TableContents"/>
              <w:bidi w:val="0"/>
              <w:spacing w:before="0" w:after="0"/>
              <w:ind w:left="0" w:right="0" w:hanging="0"/>
              <w:jc w:val="center"/>
              <w:rPr/>
            </w:pPr>
            <w:r>
              <w:rPr/>
              <w:t> </w:t>
            </w:r>
          </w:p>
        </w:tc>
      </w:tr>
    </w:tbl>
    <w:p>
      <w:pPr>
        <w:pStyle w:val="TextBody"/>
        <w:bidi w:val="0"/>
        <w:spacing w:before="120" w:after="0"/>
        <w:jc w:val="left"/>
        <w:rPr>
          <w:rFonts w:ascii="Times New Roman;serif" w:hAnsi="Times New Roman;serif"/>
          <w:b/>
          <w:i/>
          <w:sz w:val="20"/>
        </w:rPr>
      </w:pPr>
      <w:r>
        <w:rPr>
          <w:rFonts w:ascii="Times New Roman;serif" w:hAnsi="Times New Roman;serif"/>
          <w:b/>
          <w:i/>
          <w:sz w:val="20"/>
        </w:rPr>
        <w:t>Stock Options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Company’s stock option activity for the six months ended June 30, 2023 (amounts in millions, except for share, contractual term, and per share data):</w:t>
      </w:r>
    </w:p>
    <w:p>
      <w:pPr>
        <w:pStyle w:val="TextBody"/>
        <w:bidi w:val="0"/>
        <w:spacing w:before="0" w:after="0"/>
        <w:jc w:val="center"/>
        <w:rPr/>
      </w:pPr>
      <w:r>
        <w:rPr/>
        <w:t> </w:t>
      </w:r>
    </w:p>
    <w:tbl>
      <w:tblPr>
        <w:tblW w:w="9972" w:type="dxa"/>
        <w:jc w:val="left"/>
        <w:tblInd w:w="0" w:type="dxa"/>
        <w:tblLayout w:type="fixed"/>
        <w:tblCellMar>
          <w:top w:w="28" w:type="dxa"/>
          <w:left w:w="28" w:type="dxa"/>
          <w:bottom w:w="28" w:type="dxa"/>
          <w:right w:w="28" w:type="dxa"/>
        </w:tblCellMar>
      </w:tblPr>
      <w:tblGrid>
        <w:gridCol w:w="4051"/>
        <w:gridCol w:w="146"/>
        <w:gridCol w:w="146"/>
        <w:gridCol w:w="931"/>
        <w:gridCol w:w="166"/>
        <w:gridCol w:w="146"/>
        <w:gridCol w:w="214"/>
        <w:gridCol w:w="582"/>
        <w:gridCol w:w="146"/>
        <w:gridCol w:w="146"/>
        <w:gridCol w:w="418"/>
        <w:gridCol w:w="1037"/>
        <w:gridCol w:w="146"/>
        <w:gridCol w:w="146"/>
        <w:gridCol w:w="354"/>
        <w:gridCol w:w="606"/>
        <w:gridCol w:w="5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591" w:type="dxa"/>
            <w:tcBorders/>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Remaining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591" w:type="dxa"/>
            <w:tcBorders/>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Exercise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Contractual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 (a)</w:t>
            </w:r>
          </w:p>
        </w:tc>
        <w:tc>
          <w:tcPr>
            <w:tcW w:w="591" w:type="dxa"/>
            <w:tcBorders/>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3,071,528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0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Options forfeited/expired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Outstanding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4,483,327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5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Exercisable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1,965,860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Vested and expected to vest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4,483,327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aggregate intrinsic value is calculated as the difference between the exercise price of the underlying options and the fair value of the common stock for the options that were "in the money" at June 30, 2023.</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Option Grants</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the Company granted options to purchase 1,293,200</w:t>
      </w:r>
      <w:r>
        <w:rPr>
          <w:rFonts w:ascii="Times New Roman" w:hAnsi="Times New Roman"/>
          <w:sz w:val="20"/>
        </w:rPr>
        <w:t xml:space="preserve"> </w:t>
      </w:r>
      <w:r>
        <w:rPr>
          <w:rFonts w:ascii="Times New Roman;serif" w:hAnsi="Times New Roman;serif"/>
          <w:b w:val="false"/>
          <w:sz w:val="20"/>
        </w:rPr>
        <w:t>shares of common stock to employees under the 2020 Plan. The options have an exercise price equal to the closing stock price as of the grant date, and vest over four years, with 25% vesting on the first anniversary of the grant and the remainder vesting in equal monthly installments thereafter. The weighted-average grant date fair value of options granted under the 2020 Plan during the six months ended June 30, 2023</w:t>
      </w:r>
      <w:r>
        <w:rPr>
          <w:rFonts w:ascii="Times New Roman" w:hAnsi="Times New Roman"/>
          <w:sz w:val="20"/>
        </w:rPr>
        <w:t xml:space="preserve"> </w:t>
      </w:r>
      <w:r>
        <w:rPr>
          <w:rFonts w:ascii="Times New Roman;serif" w:hAnsi="Times New Roman;serif"/>
          <w:b w:val="false"/>
          <w:sz w:val="20"/>
        </w:rPr>
        <w:t>was $3.77.</w:t>
      </w:r>
    </w:p>
    <w:p>
      <w:pPr>
        <w:pStyle w:val="TextBody"/>
        <w:bidi w:val="0"/>
        <w:spacing w:before="120" w:after="0"/>
        <w:jc w:val="left"/>
        <w:rPr>
          <w:rFonts w:ascii="Times New Roman" w:hAnsi="Times New Roman"/>
          <w:sz w:val="20"/>
        </w:rPr>
      </w:pPr>
      <w:r>
        <w:rPr>
          <w:rFonts w:ascii="Times New Roman;serif" w:hAnsi="Times New Roman;serif"/>
          <w:b w:val="false"/>
          <w:sz w:val="20"/>
        </w:rPr>
        <w:t>At December 31, 2022, the aggregate intrinsic value of outstanding options granted under the 2020 Plan was $0.3</w:t>
      </w:r>
      <w:r>
        <w:rPr>
          <w:rFonts w:ascii="Times New Roman" w:hAnsi="Times New Roman"/>
          <w:sz w:val="20"/>
        </w:rPr>
        <w:t xml:space="preserve"> </w:t>
      </w:r>
      <w:r>
        <w:rPr>
          <w:rFonts w:ascii="Times New Roman;serif" w:hAnsi="Times New Roman;serif"/>
          <w:b w:val="false"/>
          <w:sz w:val="20"/>
        </w:rPr>
        <w:t>million. As noted in the table above, the aggregate intrinsic value of outstanding options at June 30, 2023</w:t>
      </w:r>
      <w:r>
        <w:rPr>
          <w:rFonts w:ascii="Times New Roman" w:hAnsi="Times New Roman"/>
          <w:sz w:val="20"/>
        </w:rPr>
        <w:t xml:space="preserve"> </w:t>
      </w:r>
      <w:r>
        <w:rPr>
          <w:rFonts w:ascii="Times New Roman;serif" w:hAnsi="Times New Roman;serif"/>
          <w:b w:val="false"/>
          <w:sz w:val="20"/>
        </w:rPr>
        <w:t>was $0.1</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total unrecognized compensation expense related to unvested stock options granted under the 2020 Plan was $12.8</w:t>
      </w:r>
      <w:r>
        <w:rPr>
          <w:rFonts w:ascii="Times New Roman" w:hAnsi="Times New Roman"/>
          <w:sz w:val="20"/>
        </w:rPr>
        <w:t xml:space="preserve"> </w:t>
      </w:r>
      <w:r>
        <w:rPr>
          <w:rFonts w:ascii="Times New Roman;serif" w:hAnsi="Times New Roman;serif"/>
          <w:b w:val="false"/>
          <w:sz w:val="20"/>
        </w:rPr>
        <w:t>million, which is expected to be recognized over a weighted average period of 2.38</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Inducement Stock Option Grant</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the Company granted options to purchase 180,000</w:t>
      </w:r>
      <w:r>
        <w:rPr>
          <w:rFonts w:ascii="Times New Roman" w:hAnsi="Times New Roman"/>
          <w:sz w:val="20"/>
        </w:rPr>
        <w:t xml:space="preserve"> </w:t>
      </w:r>
      <w:r>
        <w:rPr>
          <w:rFonts w:ascii="Times New Roman;serif" w:hAnsi="Times New Roman;serif"/>
          <w:b w:val="false"/>
          <w:sz w:val="20"/>
        </w:rPr>
        <w:t>shares of common stock granted outside of the 2020 Plan. This grant was made pursuant to the Nasdaq inducement grant exception in accordance with Nasdaq listing rule 5635(c)(4). The options issued under this inducement grant have an exercise price equal to the closing stock price as of the grant date, and vest over four years, with 25% vesting on the first anniversary of the grant and the remainder vesting in equal monthly installments thereafter. The weighted-average grant date fair value of options granted under this inducement grant during the six months ended June 30, 2023</w:t>
      </w:r>
      <w:r>
        <w:rPr>
          <w:rFonts w:ascii="Times New Roman" w:hAnsi="Times New Roman"/>
          <w:sz w:val="20"/>
        </w:rPr>
        <w:t xml:space="preserve"> </w:t>
      </w:r>
      <w:r>
        <w:rPr>
          <w:rFonts w:ascii="Times New Roman;serif" w:hAnsi="Times New Roman;serif"/>
          <w:b w:val="false"/>
          <w:sz w:val="20"/>
        </w:rPr>
        <w:t>was $4.62.</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total unrecognized compensation expense related to unvested inducement options granted was $0.8</w:t>
      </w:r>
      <w:r>
        <w:rPr>
          <w:rFonts w:ascii="Times New Roman" w:hAnsi="Times New Roman"/>
          <w:sz w:val="20"/>
        </w:rPr>
        <w:t xml:space="preserve"> </w:t>
      </w:r>
      <w:r>
        <w:rPr>
          <w:rFonts w:ascii="Times New Roman;serif" w:hAnsi="Times New Roman;serif"/>
          <w:b w:val="false"/>
          <w:sz w:val="20"/>
        </w:rPr>
        <w:t>million, which is expected to be recognized over a weighted average period of 3.61</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Restricted Stock Units</w:t>
      </w:r>
    </w:p>
    <w:p>
      <w:pPr>
        <w:pStyle w:val="TextBody"/>
        <w:bidi w:val="0"/>
        <w:spacing w:before="120" w:after="0"/>
        <w:jc w:val="left"/>
        <w:rPr>
          <w:rFonts w:ascii="Times New Roman" w:hAnsi="Times New Roman"/>
          <w:sz w:val="20"/>
        </w:rPr>
      </w:pPr>
      <w:r>
        <w:rPr>
          <w:rFonts w:ascii="Times New Roman;serif" w:hAnsi="Times New Roman;serif"/>
          <w:b w:val="false"/>
          <w:sz w:val="20"/>
        </w:rPr>
        <w:t>In January 2023, RSUs were granted under the 2020 Plan to the Company's employees in order to maintain retention of key employees. The value of an RSU award is based on the Company's stock price on the date of the grant. The shares underlying the RSUs are not issued until the RSUs vest.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Activity with respect to the Company's RSUs during the six months ended June 30, 2023 was as follows (in millions, except share, contractual term, and per share data):</w:t>
      </w:r>
    </w:p>
    <w:p>
      <w:pPr>
        <w:pStyle w:val="TextBody"/>
        <w:bidi w:val="0"/>
        <w:spacing w:before="120" w:after="0"/>
        <w:jc w:val="left"/>
        <w:rPr/>
      </w:pPr>
      <w:r>
        <w:rPr/>
        <w:t> </w:t>
      </w:r>
    </w:p>
    <w:tbl>
      <w:tblPr>
        <w:tblW w:w="10181" w:type="dxa"/>
        <w:jc w:val="left"/>
        <w:tblInd w:w="0" w:type="dxa"/>
        <w:tblLayout w:type="fixed"/>
        <w:tblCellMar>
          <w:top w:w="28" w:type="dxa"/>
          <w:left w:w="28" w:type="dxa"/>
          <w:bottom w:w="28" w:type="dxa"/>
          <w:right w:w="28" w:type="dxa"/>
        </w:tblCellMar>
      </w:tblPr>
      <w:tblGrid>
        <w:gridCol w:w="4261"/>
        <w:gridCol w:w="146"/>
        <w:gridCol w:w="146"/>
        <w:gridCol w:w="781"/>
        <w:gridCol w:w="166"/>
        <w:gridCol w:w="146"/>
        <w:gridCol w:w="294"/>
        <w:gridCol w:w="651"/>
        <w:gridCol w:w="146"/>
        <w:gridCol w:w="146"/>
        <w:gridCol w:w="418"/>
        <w:gridCol w:w="1037"/>
        <w:gridCol w:w="146"/>
        <w:gridCol w:w="146"/>
        <w:gridCol w:w="354"/>
        <w:gridCol w:w="606"/>
        <w:gridCol w:w="5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591" w:type="dxa"/>
            <w:tcBorders/>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Remaining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591" w:type="dxa"/>
            <w:tcBorders/>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Contractual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 (a)</w:t>
            </w:r>
          </w:p>
        </w:tc>
        <w:tc>
          <w:tcPr>
            <w:tcW w:w="591" w:type="dxa"/>
            <w:tcBorders/>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2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Restricted stock units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2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Restricted stock units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Outstanding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Unvested and expected to vest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i/>
          <w:sz w:val="20"/>
        </w:rPr>
      </w:pPr>
      <w:r>
        <w:rPr>
          <w:rFonts w:ascii="Times New Roman;serif" w:hAnsi="Times New Roman;serif"/>
          <w:b/>
          <w:i/>
          <w:sz w:val="20"/>
        </w:rPr>
        <w:t>Restricted Stock Unit Grants</w:t>
      </w:r>
    </w:p>
    <w:p>
      <w:pPr>
        <w:pStyle w:val="TextBody"/>
        <w:bidi w:val="0"/>
        <w:spacing w:before="120" w:after="0"/>
        <w:jc w:val="left"/>
        <w:rPr>
          <w:rFonts w:ascii="Times New Roman" w:hAnsi="Times New Roman"/>
          <w:sz w:val="20"/>
        </w:rPr>
      </w:pPr>
      <w:r>
        <w:rPr>
          <w:rFonts w:ascii="Times New Roman;serif" w:hAnsi="Times New Roman;serif"/>
          <w:b w:val="false"/>
          <w:sz w:val="20"/>
        </w:rPr>
        <w:t>The RSUs vest annually over four years</w:t>
      </w:r>
      <w:r>
        <w:rPr>
          <w:rFonts w:ascii="Times New Roman" w:hAnsi="Times New Roman"/>
          <w:sz w:val="20"/>
        </w:rPr>
        <w:t xml:space="preserve"> </w:t>
      </w:r>
      <w:r>
        <w:rPr>
          <w:rFonts w:ascii="Times New Roman;serif" w:hAnsi="Times New Roman;serif"/>
          <w:b w:val="false"/>
          <w:sz w:val="20"/>
        </w:rPr>
        <w:t>and have a weighted-average grant date fair value of $4.94</w:t>
      </w:r>
      <w:r>
        <w:rPr>
          <w:rFonts w:ascii="Times New Roman" w:hAnsi="Times New Roman"/>
          <w:sz w:val="20"/>
        </w:rPr>
        <w:t xml:space="preserve"> </w:t>
      </w:r>
      <w:r>
        <w:rPr>
          <w:rFonts w:ascii="Times New Roman;serif" w:hAnsi="Times New Roman;serif"/>
          <w:b w:val="false"/>
          <w:sz w:val="20"/>
        </w:rPr>
        <w:t>per unit.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total unrecognized compensation expense for RSUs was $2.9</w:t>
      </w:r>
      <w:r>
        <w:rPr>
          <w:rFonts w:ascii="Times New Roman" w:hAnsi="Times New Roman"/>
          <w:sz w:val="20"/>
        </w:rPr>
        <w:t xml:space="preserve"> </w:t>
      </w:r>
      <w:r>
        <w:rPr>
          <w:rFonts w:ascii="Times New Roman;serif" w:hAnsi="Times New Roman;serif"/>
          <w:b w:val="false"/>
          <w:sz w:val="20"/>
        </w:rPr>
        <w:t>million, which is expected to be recognized over a weighted-average period of 3.59</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Stock-Based Compensation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Stock-based compensation expense was classified in the condensed consolidated statements of operations as follows:</w:t>
      </w:r>
    </w:p>
    <w:p>
      <w:pPr>
        <w:pStyle w:val="TextBody"/>
        <w:bidi w:val="0"/>
        <w:spacing w:before="0" w:after="0"/>
        <w:jc w:val="left"/>
        <w:rPr/>
      </w:pPr>
      <w:r>
        <w:rPr/>
        <w:t> </w:t>
      </w:r>
    </w:p>
    <w:tbl>
      <w:tblPr>
        <w:tblW w:w="7272" w:type="dxa"/>
        <w:jc w:val="left"/>
        <w:tblInd w:w="0" w:type="dxa"/>
        <w:tblLayout w:type="fixed"/>
        <w:tblCellMar>
          <w:top w:w="28" w:type="dxa"/>
          <w:left w:w="28" w:type="dxa"/>
          <w:bottom w:w="28" w:type="dxa"/>
          <w:right w:w="28" w:type="dxa"/>
        </w:tblCellMar>
      </w:tblPr>
      <w:tblGrid>
        <w:gridCol w:w="2311"/>
        <w:gridCol w:w="146"/>
        <w:gridCol w:w="257"/>
        <w:gridCol w:w="697"/>
        <w:gridCol w:w="178"/>
        <w:gridCol w:w="178"/>
        <w:gridCol w:w="257"/>
        <w:gridCol w:w="697"/>
        <w:gridCol w:w="146"/>
        <w:gridCol w:w="146"/>
        <w:gridCol w:w="235"/>
        <w:gridCol w:w="637"/>
        <w:gridCol w:w="162"/>
        <w:gridCol w:w="162"/>
        <w:gridCol w:w="235"/>
        <w:gridCol w:w="63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1,608</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1,349</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righ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2,268</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2,042</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3,876</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8.</w:t>
      </w:r>
    </w:p>
    <w:p>
      <w:pPr>
        <w:pStyle w:val="TextBody"/>
        <w:bidi w:val="0"/>
        <w:jc w:val="left"/>
        <w:rPr>
          <w:rFonts w:ascii="Times New Roman;serif" w:hAnsi="Times New Roman;serif"/>
          <w:b/>
          <w:sz w:val="20"/>
        </w:rPr>
      </w:pPr>
      <w:r>
        <w:rPr>
          <w:rFonts w:ascii="Times New Roman;serif" w:hAnsi="Times New Roman;serif"/>
          <w:b/>
          <w:sz w:val="20"/>
        </w:rPr>
        <w:t>Commitments and Contingencies</w:t>
      </w:r>
    </w:p>
    <w:p>
      <w:pPr>
        <w:pStyle w:val="TextBody"/>
        <w:bidi w:val="0"/>
        <w:spacing w:before="120" w:after="0"/>
        <w:jc w:val="left"/>
        <w:rPr>
          <w:rFonts w:ascii="Times New Roman" w:hAnsi="Times New Roman"/>
          <w:sz w:val="20"/>
        </w:rPr>
      </w:pPr>
      <w:r>
        <w:rPr>
          <w:rFonts w:ascii="Times New Roman;serif" w:hAnsi="Times New Roman;serif"/>
          <w:b/>
          <w:i/>
          <w:sz w:val="20"/>
        </w:rPr>
        <w:t>Intellectual Property Licenses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CTI-1601. Both agreements continue from their effectve date through the last to expire of the applicable agreement's licensed patents unless earlier terminated by either party in accordance with their terms.</w:t>
      </w:r>
    </w:p>
    <w:p>
      <w:pPr>
        <w:pStyle w:val="TextBody"/>
        <w:bidi w:val="0"/>
        <w:spacing w:before="120" w:after="0"/>
        <w:jc w:val="left"/>
        <w:rPr>
          <w:rFonts w:ascii="Times New Roman" w:hAnsi="Times New Roman"/>
          <w:sz w:val="20"/>
        </w:rPr>
      </w:pPr>
      <w:r>
        <w:rPr>
          <w:rFonts w:ascii="Times New Roman;serif" w:hAnsi="Times New Roman;serif"/>
          <w:b w:val="false"/>
          <w:sz w:val="20"/>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w:t>
      </w:r>
      <w:r>
        <w:rPr>
          <w:rFonts w:ascii="Times New Roman" w:hAnsi="Times New Roman"/>
          <w:sz w:val="20"/>
        </w:rPr>
        <w:t xml:space="preserve"> </w:t>
      </w:r>
      <w:r>
        <w:rPr>
          <w:rFonts w:ascii="Times New Roman;serif" w:hAnsi="Times New Roman;serif"/>
          <w:b w:val="false"/>
          <w:sz w:val="20"/>
        </w:rPr>
        <w:t>million in the aggregate upon the achievement of certain developmental milestones, which commenced with the enrollment of the first patient in a Phase 1 clinical trial. The Company enrolled the first patient in its SAD trial on December 11, 2019 and paid WFUHS and IU less than $0.1</w:t>
      </w:r>
      <w:r>
        <w:rPr>
          <w:rFonts w:ascii="Times New Roman" w:hAnsi="Times New Roman"/>
          <w:sz w:val="20"/>
        </w:rPr>
        <w:t xml:space="preserve"> </w:t>
      </w:r>
      <w:r>
        <w:rPr>
          <w:rFonts w:ascii="Times New Roman;serif" w:hAnsi="Times New Roman;serif"/>
          <w:b w:val="false"/>
          <w:sz w:val="20"/>
        </w:rPr>
        <w:t>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w:t>
      </w:r>
      <w:r>
        <w:rPr>
          <w:rFonts w:ascii="Times New Roman" w:hAnsi="Times New Roman"/>
          <w:sz w:val="20"/>
        </w:rPr>
        <w:t xml:space="preserve"> </w:t>
      </w:r>
      <w:r>
        <w:rPr>
          <w:rFonts w:ascii="Times New Roman;serif" w:hAnsi="Times New Roman;serif"/>
          <w:b w:val="false"/>
          <w:sz w:val="20"/>
        </w:rPr>
        <w:t>million per annum.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2022, the Company initiated dosing of a phase 2 study. Pursuant to the terms of both the WFUHS License and the IU License, the company recognized milestone expense of $0.3</w:t>
      </w:r>
      <w:r>
        <w:rPr>
          <w:rFonts w:ascii="Times New Roman" w:hAnsi="Times New Roman"/>
          <w:sz w:val="20"/>
        </w:rPr>
        <w:t xml:space="preserve"> </w:t>
      </w:r>
      <w:r>
        <w:rPr>
          <w:rFonts w:ascii="Times New Roman;serif" w:hAnsi="Times New Roman;serif"/>
          <w:b w:val="false"/>
          <w:sz w:val="20"/>
        </w:rPr>
        <w:t>million within research and development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Both agreements continue from their effective date through the last to expire of the licensed patents unless earlier terminated by either party in accordance with their terms.</w:t>
      </w:r>
    </w:p>
    <w:p>
      <w:pPr>
        <w:pStyle w:val="TextBody"/>
        <w:bidi w:val="0"/>
        <w:spacing w:before="120" w:after="0"/>
        <w:jc w:val="left"/>
        <w:rPr>
          <w:rFonts w:ascii="Times New Roman" w:hAnsi="Times New Roman"/>
          <w:sz w:val="20"/>
        </w:rPr>
      </w:pPr>
      <w:r>
        <w:rPr>
          <w:rFonts w:ascii="Times New Roman;serif" w:hAnsi="Times New Roman;serif"/>
          <w:b/>
          <w:i/>
          <w:sz w:val="20"/>
        </w:rPr>
        <w:t>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November 5, 2018, the Company entered into an operating lease for office and lab space in Philadelphia, Pennsylvania, effective as of January 1, 2019, and expiring on December 31, 2020</w:t>
      </w:r>
      <w:r>
        <w:rPr>
          <w:rFonts w:ascii="Times New Roman" w:hAnsi="Times New Roman"/>
          <w:sz w:val="20"/>
        </w:rPr>
        <w:t xml:space="preserve"> </w:t>
      </w:r>
      <w:r>
        <w:rPr>
          <w:rFonts w:ascii="Times New Roman;serif" w:hAnsi="Times New Roman;serif"/>
          <w:b w:val="false"/>
          <w:sz w:val="20"/>
        </w:rPr>
        <w:t>with an option to extend the lease for two</w:t>
      </w:r>
      <w:r>
        <w:rPr>
          <w:rFonts w:ascii="Times New Roman" w:hAnsi="Times New Roman"/>
          <w:sz w:val="20"/>
        </w:rPr>
        <w:t xml:space="preserve"> </w:t>
      </w:r>
      <w:r>
        <w:rPr>
          <w:rFonts w:ascii="Times New Roman;serif" w:hAnsi="Times New Roman;serif"/>
          <w:b w:val="false"/>
          <w:sz w:val="20"/>
        </w:rPr>
        <w:t>additional years. On August 4, 2020, the Company executed the first option to extend the lease for an additional year, expiring on December 31, 2021. On August 9, 2021, the Company executed the remaining option to extend the lease for an additional year, expiring on December 31, 2022. In January 2023, the Company executed an extension of this lease for an additional year, expiring on December 31, 2023. The Company has determined this lease extension qualifies as a short-term lease and have applied the accounting policy election to not record the related right-of-use asset and lease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8, 2019, the Company entered into an operating lease for office space in Bala Cynwyd, Pennsylvania, effective as of December 15, 2019, for a period of three years and six months</w:t>
      </w:r>
      <w:r>
        <w:rPr>
          <w:rFonts w:ascii="Times New Roman" w:hAnsi="Times New Roman"/>
          <w:sz w:val="20"/>
        </w:rPr>
        <w:t xml:space="preserve"> </w:t>
      </w:r>
      <w:r>
        <w:rPr>
          <w:rFonts w:ascii="Times New Roman;serif" w:hAnsi="Times New Roman;serif"/>
          <w:b w:val="false"/>
          <w:sz w:val="20"/>
        </w:rPr>
        <w:t>with an option to extend the lease for three</w:t>
      </w:r>
      <w:r>
        <w:rPr>
          <w:rFonts w:ascii="Times New Roman" w:hAnsi="Times New Roman"/>
          <w:sz w:val="20"/>
        </w:rPr>
        <w:t xml:space="preserve"> </w:t>
      </w:r>
      <w:r>
        <w:rPr>
          <w:rFonts w:ascii="Times New Roman;serif" w:hAnsi="Times New Roman;serif"/>
          <w:b w:val="false"/>
          <w:sz w:val="20"/>
        </w:rPr>
        <w:t>additional years. Due to required tenant improvements to be completed by the landlord, the Company did not take immediate possession of the leased property and the lease term commenced on February 15, 2020. On March 9, 2023, the Company executed the option to extend the lease for an additional three year</w:t>
      </w:r>
      <w:r>
        <w:rPr>
          <w:rFonts w:ascii="Times New Roman" w:hAnsi="Times New Roman"/>
          <w:sz w:val="20"/>
        </w:rPr>
        <w:t xml:space="preserve"> </w:t>
      </w:r>
      <w:r>
        <w:rPr>
          <w:rFonts w:ascii="Times New Roman;serif" w:hAnsi="Times New Roman;serif"/>
          <w:b w:val="false"/>
          <w:sz w:val="20"/>
        </w:rPr>
        <w:t>term and to lease additional space. The lease term will commence on September 1, 2023</w:t>
      </w:r>
      <w:r>
        <w:rPr>
          <w:rFonts w:ascii="Times New Roman" w:hAnsi="Times New Roman"/>
          <w:sz w:val="20"/>
        </w:rPr>
        <w:t xml:space="preserve"> </w:t>
      </w:r>
      <w:r>
        <w:rPr>
          <w:rFonts w:ascii="Times New Roman;serif" w:hAnsi="Times New Roman;serif"/>
          <w:b w:val="false"/>
          <w:sz w:val="20"/>
        </w:rPr>
        <w:t>for both the extension of the current lease and the lease of additional operating space, no right of use asset or lease liability will be recorded until the lease commencement date.</w:t>
      </w:r>
    </w:p>
    <w:p>
      <w:pPr>
        <w:pStyle w:val="TextBody"/>
        <w:bidi w:val="0"/>
        <w:spacing w:before="120" w:after="0"/>
        <w:jc w:val="left"/>
        <w:rPr>
          <w:rFonts w:ascii="Times New Roman" w:hAnsi="Times New Roman"/>
          <w:sz w:val="20"/>
        </w:rPr>
      </w:pPr>
      <w:r>
        <w:rPr>
          <w:rFonts w:ascii="Times New Roman;serif" w:hAnsi="Times New Roman;serif"/>
          <w:b w:val="false"/>
          <w:sz w:val="20"/>
        </w:rPr>
        <w:t>On May 28, 2020, the Company acquired a non-cancellable operating lease for approximately 17,705</w:t>
      </w:r>
      <w:r>
        <w:rPr>
          <w:rFonts w:ascii="Times New Roman" w:hAnsi="Times New Roman"/>
          <w:sz w:val="20"/>
        </w:rPr>
        <w:t xml:space="preserve"> </w:t>
      </w:r>
      <w:r>
        <w:rPr>
          <w:rFonts w:ascii="Times New Roman;serif" w:hAnsi="Times New Roman;serif"/>
          <w:b w:val="false"/>
          <w:sz w:val="20"/>
        </w:rPr>
        <w:t>square feet of office space (the “Premises”). The lease expires on October 30, 2029.</w:t>
      </w:r>
      <w:r>
        <w:rPr>
          <w:rFonts w:ascii="Times New Roman" w:hAnsi="Times New Roman"/>
          <w:sz w:val="20"/>
        </w:rPr>
        <w:t xml:space="preserve"> </w:t>
      </w:r>
      <w:r>
        <w:rPr>
          <w:rFonts w:ascii="Times New Roman;serif" w:hAnsi="Times New Roman;serif"/>
          <w:b w:val="false"/>
          <w:sz w:val="20"/>
        </w:rPr>
        <w:t>As part of the agreement, the Company is required to maintain a letter of credit, which upon signing was $1.3</w:t>
      </w:r>
      <w:r>
        <w:rPr>
          <w:rFonts w:ascii="Times New Roman" w:hAnsi="Times New Roman"/>
          <w:sz w:val="20"/>
        </w:rPr>
        <w:t xml:space="preserve"> </w:t>
      </w:r>
      <w:r>
        <w:rPr>
          <w:rFonts w:ascii="Times New Roman;serif" w:hAnsi="Times New Roman;serif"/>
          <w:b w:val="false"/>
          <w:sz w:val="20"/>
        </w:rPr>
        <w:t>million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27, 2020, the Company entered into a sublease agreement (the “Sublease”) with Massachusetts Municipal Association, Inc. (the “Subtenant”), whereby the Company sublet the entire Premises to the Subtenant. The initial term of the Sublease commenced on December 4, 2020</w:t>
      </w:r>
      <w:r>
        <w:rPr>
          <w:rFonts w:ascii="Times New Roman" w:hAnsi="Times New Roman"/>
          <w:sz w:val="20"/>
        </w:rPr>
        <w:t xml:space="preserve"> </w:t>
      </w:r>
      <w:r>
        <w:rPr>
          <w:rFonts w:ascii="Times New Roman;serif" w:hAnsi="Times New Roman;serif"/>
          <w:b w:val="false"/>
          <w:sz w:val="20"/>
        </w:rPr>
        <w:t>and continues until October 30, 2029. In connection with the Sublease, the Company evaluated the need for impairment under ASC 360 "</w:t>
      </w:r>
      <w:r>
        <w:rPr>
          <w:rFonts w:ascii="Times New Roman;serif" w:hAnsi="Times New Roman;serif"/>
          <w:b w:val="false"/>
          <w:i/>
          <w:sz w:val="20"/>
        </w:rPr>
        <w:t>Impairment Testing: Long-Lived Assets Classified as Held and Used,"</w:t>
      </w:r>
      <w:r>
        <w:rPr>
          <w:rFonts w:ascii="Times New Roman" w:hAnsi="Times New Roman"/>
          <w:sz w:val="20"/>
        </w:rPr>
        <w:t xml:space="preserve"> </w:t>
      </w:r>
      <w:r>
        <w:rPr>
          <w:rFonts w:ascii="Times New Roman;serif" w:hAnsi="Times New Roman;serif"/>
          <w:b w:val="false"/>
          <w:sz w:val="20"/>
        </w:rPr>
        <w:t>and determined there was no impairment.</w:t>
      </w:r>
    </w:p>
    <w:p>
      <w:pPr>
        <w:pStyle w:val="TextBody"/>
        <w:bidi w:val="0"/>
        <w:spacing w:before="120" w:after="0"/>
        <w:jc w:val="left"/>
        <w:rPr>
          <w:rFonts w:ascii="Times New Roman" w:hAnsi="Times New Roman"/>
          <w:sz w:val="20"/>
        </w:rPr>
      </w:pPr>
      <w:r>
        <w:rPr>
          <w:rFonts w:ascii="Times New Roman;serif" w:hAnsi="Times New Roman;serif"/>
          <w:b w:val="false"/>
          <w:sz w:val="20"/>
        </w:rPr>
        <w:t>The Sublease provided for an initial annual base rent of $0.8</w:t>
      </w:r>
      <w:r>
        <w:rPr>
          <w:rFonts w:ascii="Times New Roman" w:hAnsi="Times New Roman"/>
          <w:sz w:val="20"/>
        </w:rPr>
        <w:t xml:space="preserve"> </w:t>
      </w:r>
      <w:r>
        <w:rPr>
          <w:rFonts w:ascii="Times New Roman;serif" w:hAnsi="Times New Roman;serif"/>
          <w:b w:val="false"/>
          <w:sz w:val="20"/>
        </w:rPr>
        <w:t>million, which increases annually up to a maximum annual base rent of $1.0</w:t>
      </w:r>
      <w:r>
        <w:rPr>
          <w:rFonts w:ascii="Times New Roman" w:hAnsi="Times New Roman"/>
          <w:sz w:val="20"/>
        </w:rPr>
        <w:t xml:space="preserve"> </w:t>
      </w:r>
      <w:r>
        <w:rPr>
          <w:rFonts w:ascii="Times New Roman;serif" w:hAnsi="Times New Roman;serif"/>
          <w:b w:val="false"/>
          <w:sz w:val="20"/>
        </w:rPr>
        <w:t>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w:t>
      </w:r>
      <w:r>
        <w:rPr>
          <w:rFonts w:ascii="Times New Roman" w:hAnsi="Times New Roman"/>
          <w:sz w:val="20"/>
        </w:rPr>
        <w:t xml:space="preserve"> </w:t>
      </w:r>
      <w:r>
        <w:rPr>
          <w:rFonts w:ascii="Times New Roman;serif" w:hAnsi="Times New Roman;serif"/>
          <w:b w:val="false"/>
          <w:sz w:val="20"/>
        </w:rPr>
        <w:t>million to assure their performance under the sublease. If there are no uncured events of default under the sublease, the amount of this security deposit decreases over time to $0.4</w:t>
      </w:r>
      <w:r>
        <w:rPr>
          <w:rFonts w:ascii="Times New Roman" w:hAnsi="Times New Roman"/>
          <w:sz w:val="20"/>
        </w:rPr>
        <w:t xml:space="preserve"> </w:t>
      </w:r>
      <w:r>
        <w:rPr>
          <w:rFonts w:ascii="Times New Roman;serif" w:hAnsi="Times New Roman;serif"/>
          <w:b w:val="false"/>
          <w:sz w:val="20"/>
        </w:rPr>
        <w:t>million on the sixth anniversary of the Sublease. The Company records sublease income on this sublease on a straight-line basis as a component of other income/(expense).</w:t>
      </w:r>
    </w:p>
    <w:p>
      <w:pPr>
        <w:pStyle w:val="TextBody"/>
        <w:bidi w:val="0"/>
        <w:spacing w:before="120" w:after="0"/>
        <w:jc w:val="left"/>
        <w:rPr>
          <w:rFonts w:ascii="Times New Roman" w:hAnsi="Times New Roman"/>
          <w:sz w:val="20"/>
        </w:rPr>
      </w:pPr>
      <w:r>
        <w:rPr>
          <w:rFonts w:ascii="Times New Roman;serif" w:hAnsi="Times New Roman;serif"/>
          <w:b w:val="false"/>
          <w:sz w:val="20"/>
        </w:rPr>
        <w:t>Expense arising from operating leases was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during the three and six months ended June 30, 2023, respectively. Expense arising from operating leases was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during the three and six months ended June 30, 2022, respectively. For operating leases, the weighted-average remaining lease term for leases at June 30, 2023 and December 31, 2022</w:t>
      </w:r>
      <w:r>
        <w:rPr>
          <w:rFonts w:ascii="Times New Roman" w:hAnsi="Times New Roman"/>
          <w:sz w:val="20"/>
        </w:rPr>
        <w:t xml:space="preserve"> </w:t>
      </w:r>
      <w:r>
        <w:rPr>
          <w:rFonts w:ascii="Times New Roman;serif" w:hAnsi="Times New Roman;serif"/>
          <w:b w:val="false"/>
          <w:sz w:val="20"/>
        </w:rPr>
        <w:t>was 6.3</w:t>
      </w:r>
      <w:r>
        <w:rPr>
          <w:rFonts w:ascii="Times New Roman" w:hAnsi="Times New Roman"/>
          <w:sz w:val="20"/>
        </w:rPr>
        <w:t xml:space="preserve"> </w:t>
      </w:r>
      <w:r>
        <w:rPr>
          <w:rFonts w:ascii="Times New Roman;serif" w:hAnsi="Times New Roman;serif"/>
          <w:b w:val="false"/>
          <w:sz w:val="20"/>
        </w:rPr>
        <w:t>and 6.8</w:t>
      </w:r>
      <w:r>
        <w:rPr>
          <w:rFonts w:ascii="Times New Roman" w:hAnsi="Times New Roman"/>
          <w:sz w:val="20"/>
        </w:rPr>
        <w:t xml:space="preserve"> </w:t>
      </w:r>
      <w:r>
        <w:rPr>
          <w:rFonts w:ascii="Times New Roman;serif" w:hAnsi="Times New Roman;serif"/>
          <w:b w:val="false"/>
          <w:sz w:val="20"/>
        </w:rPr>
        <w:t>years, respectively. For operating leases, the weighted average discount rate for leases at June 30, 2023 and December 31, 2022</w:t>
      </w:r>
      <w:r>
        <w:rPr>
          <w:rFonts w:ascii="Times New Roman" w:hAnsi="Times New Roman"/>
          <w:sz w:val="20"/>
        </w:rPr>
        <w:t xml:space="preserve"> </w:t>
      </w:r>
      <w:r>
        <w:rPr>
          <w:rFonts w:ascii="Times New Roman;serif" w:hAnsi="Times New Roman;serif"/>
          <w:b w:val="false"/>
          <w:sz w:val="20"/>
        </w:rPr>
        <w:t>was 11.0%. The Company has not entered into any financing leases.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Maturities of lease liabilities due under these lease agreements as of June 30, 2023 are as follows:</w:t>
      </w:r>
      <w:r>
        <w:rPr>
          <w:rFonts w:ascii="Times New Roman" w:hAnsi="Times New Roman"/>
          <w:sz w:val="20"/>
        </w:rPr>
        <w:t xml:space="preserve"> </w:t>
      </w:r>
    </w:p>
    <w:p>
      <w:pPr>
        <w:pStyle w:val="TextBody"/>
        <w:bidi w:val="0"/>
        <w:spacing w:before="0" w:after="0"/>
        <w:jc w:val="left"/>
        <w:rPr/>
      </w:pPr>
      <w:r>
        <w:rPr/>
        <w:t> </w:t>
      </w:r>
    </w:p>
    <w:tbl>
      <w:tblPr>
        <w:tblW w:w="4684" w:type="dxa"/>
        <w:jc w:val="left"/>
        <w:tblInd w:w="0" w:type="dxa"/>
        <w:tblLayout w:type="fixed"/>
        <w:tblCellMar>
          <w:top w:w="28" w:type="dxa"/>
          <w:left w:w="28" w:type="dxa"/>
          <w:bottom w:w="28" w:type="dxa"/>
          <w:right w:w="28" w:type="dxa"/>
        </w:tblCellMar>
      </w:tblPr>
      <w:tblGrid>
        <w:gridCol w:w="3271"/>
        <w:gridCol w:w="146"/>
        <w:gridCol w:w="214"/>
        <w:gridCol w:w="642"/>
        <w:gridCol w:w="4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w:t>
            </w:r>
          </w:p>
        </w:tc>
        <w:tc>
          <w:tcPr>
            <w:tcW w:w="411" w:type="dxa"/>
            <w:tcBorders/>
            <w:vAlign w:val="center"/>
          </w:tcPr>
          <w:p>
            <w:pPr>
              <w:pStyle w:val="TableContents"/>
              <w:bidi w:val="0"/>
              <w:spacing w:before="0" w:after="0"/>
              <w:ind w:left="0" w:right="0" w:hanging="0"/>
              <w:jc w:val="center"/>
              <w:rPr/>
            </w:pPr>
            <w:r>
              <w:rPr/>
              <w:t> </w:t>
            </w:r>
          </w:p>
        </w:tc>
      </w:tr>
      <w:tr>
        <w:trPr/>
        <w:tc>
          <w:tcPr>
            <w:tcW w:w="3417" w:type="dxa"/>
            <w:gridSpan w:val="2"/>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85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Leases</w:t>
            </w:r>
          </w:p>
        </w:tc>
        <w:tc>
          <w:tcPr>
            <w:tcW w:w="411" w:type="dxa"/>
            <w:tcBorders/>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Six months ending December 31, 2023</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w:t>
            </w:r>
          </w:p>
        </w:tc>
        <w:tc>
          <w:tcPr>
            <w:tcW w:w="411"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December 31, 2024</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w:t>
            </w:r>
          </w:p>
        </w:tc>
        <w:tc>
          <w:tcPr>
            <w:tcW w:w="411"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December 31, 2025</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1,083</w:t>
            </w:r>
          </w:p>
        </w:tc>
        <w:tc>
          <w:tcPr>
            <w:tcW w:w="411"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December 31, 2026</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1,101</w:t>
            </w:r>
          </w:p>
        </w:tc>
        <w:tc>
          <w:tcPr>
            <w:tcW w:w="411"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December 31, 2027</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1,118</w:t>
            </w:r>
          </w:p>
        </w:tc>
        <w:tc>
          <w:tcPr>
            <w:tcW w:w="411"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center"/>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7,002</w:t>
            </w:r>
          </w:p>
        </w:tc>
        <w:tc>
          <w:tcPr>
            <w:tcW w:w="411" w:type="dxa"/>
            <w:tcBorders/>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center"/>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vAlign w:val="center"/>
          </w:tcPr>
          <w:p>
            <w:pPr>
              <w:pStyle w:val="TableContents"/>
              <w:bidi w:val="0"/>
              <w:spacing w:before="0" w:after="0"/>
              <w:ind w:left="0" w:right="0" w:hanging="0"/>
              <w:jc w:val="center"/>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not currently a party to any litigation, nor is management aware of any pending or threatened litigation against the Company, that it believes would materially affect the Company's business, operating results, financial condition or cash flows.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condensed consolidated financial statements and related notes appearing elsewhere in this Quarterly Report on Form 10-Q (the “Quarterly Report”), and the audited consolidated financial statements and notes thereto and management’s discussion and analysis of financial condition and results of operations for the year ended December 31, 2022 included in our Annual Report on Form 10-K filed with the Securities and Exchange Commission (“SEC”) on March 14, 2023 (the "2022 Annual Report") and our Quarterly Report on Form 10-Q filed with the SEC on May 15, 2023.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2022 Annual Report, in addition to the "Risk Factors" and “Cautionary Note Regarding Forward-Looking Statements” sections of this Quarterly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12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clinical-stage biotechnology company focused on developing treatments for patients suffering from complex rare diseases using our novel cell penetrating peptide ("CPP") technology platform. Our lead product candidate, CTI-1601, is a subcutaneously administered, recombinant fusion protein intended to deliver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CTI-1601 represents the first potential therapy designed to increase FXN levels in patients with FA.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pStyle w:val="TextBody"/>
        <w:bidi w:val="0"/>
        <w:spacing w:before="120" w:after="0"/>
        <w:jc w:val="left"/>
        <w:rPr>
          <w:rFonts w:ascii="Times New Roman;serif" w:hAnsi="Times New Roman;serif"/>
          <w:b/>
          <w:sz w:val="20"/>
        </w:rPr>
      </w:pPr>
      <w:r>
        <w:rPr>
          <w:rFonts w:ascii="Times New Roman;serif" w:hAnsi="Times New Roman;serif"/>
          <w:b/>
          <w:sz w:val="20"/>
        </w:rPr>
        <w:t>CTI-1601 Program Update</w:t>
      </w:r>
    </w:p>
    <w:p>
      <w:pPr>
        <w:pStyle w:val="TextBody"/>
        <w:bidi w:val="0"/>
        <w:spacing w:before="120" w:after="0"/>
        <w:jc w:val="left"/>
        <w:rPr>
          <w:rFonts w:ascii="Times New Roman" w:hAnsi="Times New Roman"/>
          <w:sz w:val="20"/>
        </w:rPr>
      </w:pPr>
      <w:r>
        <w:rPr>
          <w:rFonts w:ascii="Times New Roman;serif" w:hAnsi="Times New Roman;serif"/>
          <w:b w:val="false"/>
          <w:sz w:val="20"/>
        </w:rPr>
        <w:t>We have completed two phase 1 clinical trials of CTI-1601 and the first cohort of a phase 2 trial in patients with FA:</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 May 2021, we reported positive top-line data from our Phase 1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serious adverse events associated with either the MAD or SAD trials.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 May 2023, we reported preliminary unblinded top-line data from the 25 mg cohort of our Phase 2 four-week, placebo-controlled, dose exploration trial of CTI-1601 in FA patients. Data from the cohort indicate CTI-1601 was generally well tolerated and showed increases in FXN levels from baseline compared to placebo in all evaluated tissues (skin and buccal cells) at day 14. </w:t>
      </w:r>
    </w:p>
    <w:p>
      <w:pPr>
        <w:pStyle w:val="TextBody"/>
        <w:bidi w:val="0"/>
        <w:spacing w:before="120" w:after="0"/>
        <w:jc w:val="left"/>
        <w:rPr>
          <w:rFonts w:ascii="Times New Roman" w:hAnsi="Times New Roman"/>
          <w:sz w:val="20"/>
        </w:rPr>
      </w:pPr>
      <w:r>
        <w:rPr>
          <w:rFonts w:ascii="Times New Roman;serif" w:hAnsi="Times New Roman;serif"/>
          <w:b w:val="false"/>
          <w:sz w:val="20"/>
        </w:rPr>
        <w:t>From May 2021 through July 2023, we have had ongoing interactions and discussions with the FDA regarding the clinical development of CTI-1601:</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 May 2021, the FDA placed a clinical hold on our CTI-1601 clinical program after we notified the agency of mortalities at the highest dose levels of a 26-week non-human ("NHP") toxicology study that was designed to support extended dosing of patients with CTI-1601. At the time the hold was placed, we had no interventional clinical trials with patients enrolling or enrolled.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 February 2022, in response to the complete response we submitted to the FDA, the FDA stated that it was maintaining the clinical hold and that additional data were needed to resolve the clinical hold. We subsequently submitted a request to the FDA for a Type C meeting, which was granted and held in July 2022. We submitted a complete response incorporating additional information requested by the FDA at the meeting as well as information on the proposed study in August 2022.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 September 2022, following the Type C meeting and the submission of the Company's complete response, the FDA allowed the 25 mg cohort of a Phase 2, four-week, placebo-controlled, dose exploration trial of CTI-1601 in FA patients discussed above to proceed. In connection with this decision, the FDA lifted its full clinical hold on the CTI-1601 clinical development program and imposed a partial clinical hold.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June 2023 we met with the Agency. Following that meeting, we submitted a complete response to the FDA’s partial clinical hold that included unblinded safety, pharmacokinetic (“PK”) and frataxin data from the Phase 2 trial’s completed 25 mg cohort.</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Following the FDA’s review of our complete response, in July 2023, the FDA cleared initiation of a second cohort of our four-week, placebo-controlled, Phase 2 dose exploration trial of CTI-1601 in patients with FA to proceed to a 50 mg cohort in which participants will be dosed daily for the first 14 days, and then every other day until day 28. This second cohort is designed to further characterize CTI-1601’s safety, PK and pharmacodynamic profiles. We expect to report data from the Phase 2 trial’s 50 mg cohort in the first half of 2024. In addition, the FDA cleared for initiation our open label extension (“OLE”) trial in which participants will receive 25 mg of CTI-1601 daily. Participants who complete treatment in the first or second cohort of our Phase 2 dose exploration trial, or who previously participated in and completed a prior phase 1 clinical trial of CTI-1601, are eligible to screen for this OLE trial. The OLE trial is expected to begin in the first quarter of 2024 with interim data expected in the last quarter of 2024. Further dose escalation in the Phase 2 and OLE trials and the initiation of additional U.S. clinical trials evaluating CTI-1601 are contingent on FDA review of results from the Phase 2 trial’s 50 mg cohort in accordance with a partial clinical hold.</w:t>
      </w:r>
    </w:p>
    <w:p>
      <w:pPr>
        <w:pStyle w:val="TextBody"/>
        <w:bidi w:val="0"/>
        <w:spacing w:before="120" w:after="0"/>
        <w:jc w:val="left"/>
        <w:rPr>
          <w:rFonts w:ascii="Times New Roman" w:hAnsi="Times New Roman"/>
          <w:sz w:val="20"/>
        </w:rPr>
      </w:pPr>
      <w:r>
        <w:rPr>
          <w:rFonts w:ascii="Times New Roman;serif" w:hAnsi="Times New Roman;serif"/>
          <w:b w:val="false"/>
          <w:sz w:val="20"/>
        </w:rPr>
        <w:t>CTI-1601 has been granted Orphan Drug (U.S. and Europe), Rare Pediatric Disease (U.S.), Fast Track (U.S.), and PRIME (Europe) designations for FA. We have also begun to engage with regulators and investigators outside the U.S. as we prepare to expand our clinical program to additional geographies. With approximately 75% of individuals with FA living outside the U.S., establishing global clinical trial capabilities is important for addressing the pressing unmet needs of the FA community.</w:t>
        <w:br/>
      </w:r>
      <w:r>
        <w:rPr>
          <w:rFonts w:ascii="Times New Roman" w:hAnsi="Times New Roman"/>
          <w:sz w:val="20"/>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Financing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September 2022, we sold 25,558,750 shares of common stock in an underwritten offering for net proceeds of $75.2 million, after issuance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November 2022, we entered into a Sales Agreement (the "ATM Agreement") with an investment bank in connection with the establishment of an “at-the-market” offering program providing for the sale of up to an aggregate of $50.0 million of shares of our common stock from time to time through this investment bank as sales agent. To date, we have made no sales under this ATM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Financial Operations 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majority of our operating expenses since inception have consisted primarily of research and development and general and administrative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primarily of costs associated with our product research and development efforts and are expensed as incurred. Research and development expenses consist primarily 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contract costs relating to research, formulation, manufacturing, non-clinical studies, and clinical trial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employee related costs, including cash compensation, benefits and stock-based compensation expenses for employees engaged in scientific research and development functions;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external costs of outside consultants and vendors;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payments made under our third-party licensing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laboratory consumables;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allocated facility-related costs.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this time, we cannot reasonably estimate or know the nature, timing and estimated costs of the efforts that will be necessary to complete the clinical and commercial development of CTI-1601 or any other product candidates we may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rate of progress and expense of clinical trials and other research and development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trial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uncertainties in clinical trial enrollment rate or design;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significant and changing government regulation;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and receipt of any regulatory approvals;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influence of the FDA or other regulatory authorities on our clinical trial design and timing;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expand or establish new manufacturing capabilities or making arrangements with third-party manufacturers and risks involved with development of manufacturing processes, FDA pre-approval inspection practices and successful completion of manufacturing batches for clinical development and other regulatory purposes;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liquidity constraints, failure and instability of the U.S. and international banking systems, including possible impacts of a default by the U.S. government on its debt obligation, which could have broad macroeconomic effects that could, among other things, disrupt access to capital markets and deepen recessionary conditions;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obtain and maintain patent and trade secret protection and regulatory exclusivity for our product candidates;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recruit and retain key research and development personnel.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clinical development of a product candidate, or if we experience significant delays in enrollment in any of our clinical trials, we could be required to expend significant additional financial resources and time on clinical development.</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 primarily of personnel costs, composed of cash compensation,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Critical Accounting Policies and Significant Judgments and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condensed consolidated financial statements are prepared in accordance with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Research and Development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judgement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CTI-1601 through additional clinical trials. As a result, we expect that our research and development expenses will increase in the foreseeable future as we pursue clinical development of CTI-1601 and/or any other product candidates we develop.</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Stock Compensation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pStyle w:val="TextBody"/>
        <w:bidi w:val="0"/>
        <w:spacing w:before="120" w:after="0"/>
        <w:jc w:val="left"/>
        <w:rPr>
          <w:rFonts w:ascii="Times New Roman" w:hAnsi="Times New Roman"/>
          <w:sz w:val="20"/>
        </w:rPr>
      </w:pPr>
      <w:r>
        <w:rPr>
          <w:rFonts w:ascii="Times New Roman;serif" w:hAnsi="Times New Roman;serif"/>
          <w:b w:val="false"/>
          <w:sz w:val="20"/>
        </w:rPr>
        <w:t>Prior to May 28, 2020, we were a private company and lacked company-specific historical and implied volatility information for our common stock. Prior to January 1, 2023, the Company estimated its expected common stock price volatility solely based on the historical volatility of publicly traded peer companies with comparable characteristics including enterprise value, risk profiles and position within the industry. Beginning on January 1, 2023, the Company began blending it historical data starting in June 2020 (following its merger with Zafgen in 2020) with its historical peer group. We regularly evaluate our peer group to assess changes in circumstances where identified companies may no longer be similar to us, in which case, more suitable companies whose share prices are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publicly available would be utilized in the calculation. We expect to continue to do so until we have full historical data regarding the volatility of our own traded stock price.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pStyle w:val="TextBody"/>
        <w:bidi w:val="0"/>
        <w:spacing w:before="120" w:after="0"/>
        <w:jc w:val="left"/>
        <w:rPr>
          <w:rFonts w:ascii="Times New Roman" w:hAnsi="Times New Roman"/>
          <w:sz w:val="20"/>
        </w:rPr>
      </w:pPr>
      <w:r>
        <w:rPr>
          <w:rFonts w:ascii="Times New Roman;serif" w:hAnsi="Times New Roman;serif"/>
          <w:b w:val="false"/>
          <w:sz w:val="20"/>
        </w:rPr>
        <w:t>We classify stock-based compensation expense in our condensed consolidated statements of operations and comprehensive loss in the same manner in which the award recipient’s payroll costs are classified or in which the award recipient’s service payments are classified.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three months ended June 30,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three months ended June 30, 2023 and 2022:</w:t>
      </w:r>
    </w:p>
    <w:p>
      <w:pPr>
        <w:pStyle w:val="TextBody"/>
        <w:bidi w:val="0"/>
        <w:spacing w:before="0" w:after="0"/>
        <w:jc w:val="left"/>
        <w:rPr/>
      </w:pPr>
      <w:r>
        <w:rPr/>
        <w:t> </w:t>
      </w:r>
    </w:p>
    <w:tbl>
      <w:tblPr>
        <w:tblW w:w="6406" w:type="dxa"/>
        <w:jc w:val="left"/>
        <w:tblInd w:w="0" w:type="dxa"/>
        <w:tblLayout w:type="fixed"/>
        <w:tblCellMar>
          <w:top w:w="28" w:type="dxa"/>
          <w:left w:w="28" w:type="dxa"/>
          <w:bottom w:w="28" w:type="dxa"/>
          <w:right w:w="28" w:type="dxa"/>
        </w:tblCellMar>
      </w:tblPr>
      <w:tblGrid>
        <w:gridCol w:w="2671"/>
        <w:gridCol w:w="146"/>
        <w:gridCol w:w="211"/>
        <w:gridCol w:w="631"/>
        <w:gridCol w:w="166"/>
        <w:gridCol w:w="146"/>
        <w:gridCol w:w="211"/>
        <w:gridCol w:w="631"/>
        <w:gridCol w:w="166"/>
        <w:gridCol w:w="146"/>
        <w:gridCol w:w="234"/>
        <w:gridCol w:w="636"/>
        <w:gridCol w:w="4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17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r>
          </w:p>
        </w:tc>
        <w:tc>
          <w:tcPr>
            <w:tcW w:w="411"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(Decrease)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178"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Statement of Operations Data:</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6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411" w:type="dxa"/>
            <w:tcBorders/>
            <w:vAlign w:val="center"/>
          </w:tcPr>
          <w:p>
            <w:pPr>
              <w:pStyle w:val="TableContents"/>
              <w:bidi w:val="0"/>
              <w:spacing w:before="0" w:after="0"/>
              <w:ind w:left="0" w:right="0" w:firstLine="200"/>
              <w:jc w:val="left"/>
              <w:rPr/>
            </w:pPr>
            <w:r>
              <w:rPr/>
              <w:t> </w:t>
            </w:r>
          </w:p>
        </w:tc>
      </w:tr>
      <w:tr>
        <w:trPr/>
        <w:tc>
          <w:tcPr>
            <w:tcW w:w="26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for the three months ended June 30, 2023 increased $0.2 million compared to the three months ended June 30, 2022. The increase in research and development expenses was primarily driven by an increase of $0.5 million in test method development and optimization, an increase of $0.4 million in personnel related costs, an increase of $0.2 million in stock-based compensation expense associated with stock option grants made in 2022 and 2023, partially offset by a decrease of $1.1 million in clinical supply manufacturing costs.</w:t>
      </w:r>
    </w:p>
    <w:p>
      <w:pPr>
        <w:pStyle w:val="TextBody"/>
        <w:bidi w:val="0"/>
        <w:spacing w:before="120" w:after="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for the three months ended June 30, 2023 increased $0.7 million compared to the three months ended June 30, 2022. The increase in general and administrative expense was primarily driven by an increase of $0.3 million of professional fees primarily related to increased legal expense, an increase of $0.2 million in stock-based compensation expense associated with stock option grants made in 2022 and 2023 and an increase of $0.2 million in personnel related costs related to increases in headcount.</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income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income (expense), net was $1.3 million of income in the three months ended June 30, 2023 compared to less than $0.1 million in the three months ended June 30, 2022. The increase primarily relates to interest income on a higher investment base and higher interest rates on that base during the period.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six months ended June 30,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six months ended June 30, 2023 and 2022:</w:t>
      </w:r>
    </w:p>
    <w:p>
      <w:pPr>
        <w:pStyle w:val="TextBody"/>
        <w:bidi w:val="0"/>
        <w:spacing w:before="120" w:after="0"/>
        <w:jc w:val="left"/>
        <w:rPr/>
      </w:pPr>
      <w:r>
        <w:rPr/>
        <w:t> </w:t>
      </w:r>
    </w:p>
    <w:tbl>
      <w:tblPr>
        <w:tblW w:w="6616" w:type="dxa"/>
        <w:jc w:val="left"/>
        <w:tblInd w:w="0" w:type="dxa"/>
        <w:tblLayout w:type="fixed"/>
        <w:tblCellMar>
          <w:top w:w="28" w:type="dxa"/>
          <w:left w:w="28" w:type="dxa"/>
          <w:bottom w:w="28" w:type="dxa"/>
          <w:right w:w="28" w:type="dxa"/>
        </w:tblCellMar>
      </w:tblPr>
      <w:tblGrid>
        <w:gridCol w:w="2671"/>
        <w:gridCol w:w="146"/>
        <w:gridCol w:w="211"/>
        <w:gridCol w:w="736"/>
        <w:gridCol w:w="166"/>
        <w:gridCol w:w="146"/>
        <w:gridCol w:w="211"/>
        <w:gridCol w:w="736"/>
        <w:gridCol w:w="166"/>
        <w:gridCol w:w="146"/>
        <w:gridCol w:w="218"/>
        <w:gridCol w:w="652"/>
        <w:gridCol w:w="4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38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r>
          </w:p>
        </w:tc>
        <w:tc>
          <w:tcPr>
            <w:tcW w:w="411"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(Decrease)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388"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Statement of Operations Data:</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6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6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411" w:type="dxa"/>
            <w:tcBorders/>
            <w:vAlign w:val="center"/>
          </w:tcPr>
          <w:p>
            <w:pPr>
              <w:pStyle w:val="TableContents"/>
              <w:bidi w:val="0"/>
              <w:spacing w:before="0" w:after="0"/>
              <w:ind w:left="0" w:right="0" w:firstLine="200"/>
              <w:jc w:val="left"/>
              <w:rPr/>
            </w:pPr>
            <w:r>
              <w:rPr/>
              <w:t> </w:t>
            </w:r>
          </w:p>
        </w:tc>
      </w:tr>
      <w:tr>
        <w:trPr/>
        <w:tc>
          <w:tcPr>
            <w:tcW w:w="26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for the six months ended June 30, 2023 decreased $1.0 million compared to the six months ended June 30, 2022. The decrease in research and development expenses was primarily driven by a decrease of $1.5 million in clinical supply manufacturing costs, a decrease in assay development costs of $0.2 million partially offset by an increase of $0.5 million in personnel related costs, an increase of $0.3 million in stock-based compensation expense associated with stock option grants made in 2022 and 2023.</w:t>
      </w:r>
    </w:p>
    <w:p>
      <w:pPr>
        <w:pStyle w:val="TextBody"/>
        <w:bidi w:val="0"/>
        <w:spacing w:before="120" w:after="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for the six months ended June 30, 2023 increased $0.7 million compared to the six months ended June 30, 2022. The increase in general and administrative expense was primarily driven by an increase of $0.3 million in stock-based compensation expense associated with stock option grants made in 2022 and 2023, an increase of $0.3 million of professional fees primarily related to increased legal expense, and an increase of $0.2 million in personnel related costs related to increases in headcount.</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income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income (expense), net was $2.4 million of income in the six months ended June 30, 2023 compared to less than $0.1 million of net expense in the six months ended June 30, 2022. The increase primarily relates to interest income on a higher investment base and higher interest rates on that base during the period.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Cash Flows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sources and uses of cash for each of the periods presented below:</w:t>
      </w:r>
    </w:p>
    <w:p>
      <w:pPr>
        <w:pStyle w:val="TextBody"/>
        <w:bidi w:val="0"/>
        <w:spacing w:before="120" w:after="0"/>
        <w:jc w:val="left"/>
        <w:rPr/>
      </w:pPr>
      <w:r>
        <w:rPr/>
        <w:t> </w:t>
      </w:r>
    </w:p>
    <w:tbl>
      <w:tblPr>
        <w:tblW w:w="8129"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36"/>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(50,361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Net cash used in 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operating activities used $14.9 million of cash, resulting from our net loss of $14.9 million, adjusted for noncash expenses of $3.3 million and changes in our operating assets and liabilities utilizing cash of $3.4 million. Our net loss was primarily attributed to research and development activities related to our CTI-1601 program and our general and administrative expenses as described above. Noncash expenses primarily relate to stock-based compensation expenses. The change in operating assets and liabilities was primarily due to a decrease in accrued expenses and offset by an increase in accounts payable.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operating activities used $15.0 million of cash, resulting from our net loss of $17.6 million, adjusted for noncash expenses of $3.5 million. Our net loss was primarily attributed to research and development activities related to our CTI-1601 program and our general and administrative expenses as described above. Noncash expenses are primarily stock-based compensation expense. The change in operating assets and liabilities was primarily due to decreases in prepaid expenses and accounts payable.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Net cash provided by (used in) investing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investing activities provided $82.4 million of cash, including $92.3 million from maturities of marketable securities and partially offset by $9.8 million in purchases of marketable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investing activities used $35.3 million of cash, including $35.2 million in purchases of new marketable securities and $0.1 million in purchases of property and equipment.</w:t>
      </w:r>
    </w:p>
    <w:p>
      <w:pPr>
        <w:pStyle w:val="TextBody"/>
        <w:bidi w:val="0"/>
        <w:spacing w:before="120" w:after="0"/>
        <w:jc w:val="left"/>
        <w:rPr>
          <w:rFonts w:ascii="Times New Roman" w:hAnsi="Times New Roman"/>
          <w:sz w:val="20"/>
        </w:rPr>
      </w:pPr>
      <w:r>
        <w:rPr>
          <w:rFonts w:ascii="Times New Roman;serif" w:hAnsi="Times New Roman;serif"/>
          <w:b/>
          <w:i/>
          <w:sz w:val="20"/>
        </w:rPr>
        <w:t>Net cash provided by financing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and 2022 there were no financing activities.</w:t>
      </w:r>
    </w:p>
    <w:p>
      <w:pPr>
        <w:pStyle w:val="TextBody"/>
        <w:bidi w:val="0"/>
        <w:spacing w:before="120" w:after="0"/>
        <w:jc w:val="left"/>
        <w:rPr>
          <w:rFonts w:ascii="Times New Roman;serif" w:hAnsi="Times New Roman;serif"/>
          <w:b/>
          <w:sz w:val="20"/>
        </w:rPr>
      </w:pPr>
      <w:r>
        <w:rPr>
          <w:rFonts w:ascii="Times New Roman;serif" w:hAnsi="Times New Roman;serif"/>
          <w:b/>
          <w:sz w:val="20"/>
        </w:rPr>
        <w:t>Operating Capital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not yet commercialized any products and do not expect to generate revenue from the commercial sale of any products for several years, if at all.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to date incurred net losses. We incurred net losses of approximately $14.9 million and $17.6 million for the six months ended June 30, 2023 and 2022, respectively. As of June 30, 2023, we had an accumulated deficit of $166.5 million and cash, cash equivalents and marketable securities of $104.2 million, excluding restricted cash of $1.3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Losses have resulted principally from costs incurred in connection with research and development activities, and general and administrative costs associated with the development of CTI-1601 and our operations. We expect to incur significant expenses and operating losses for the foreseeable future as we expect to continue to incur expenses in connection with our ongoing activities, if and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advance the development of CTI-1601 through additional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to identify and advance development of additional product candidates into clinical development and identify additional indications for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to obtain regulatory approvals for CTI-1601 and other potential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identify, acquire or in-license other product candidates and technologies;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maintain, leverage and expand our intellectual property portfolio;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expand our operational, financial, commercial and management systems and personnel, including personnel to support our clinical development and future commercialization efforts and our operations as a public company.</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based on our current operating plan our cash, cash equivalents and marketable securities will be able to fund operating expenses and capital expenditure requirements for at least the next twelve months from the filing of these financial statements with the SEC.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offerings, debt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health crises on the global financial markets may reduce our ability to access capital, which could negatively affect our liquidity and ability to continue as a going concern.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pStyle w:val="TextBody"/>
        <w:bidi w:val="0"/>
        <w:spacing w:before="12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Recently Issued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Please read Note 2 to our condensed consolidated financial statements included in Part I of Item 1 of this Quarterly Report for a description of recent accounting pronouncements applicable to our business, if 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Other Company Information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0" w:name="item_3_quantitative_qualitative_disclosu"/>
      <w:bookmarkEnd w:id="10"/>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"smaller reporting company" as defined by Rule 12b-2 of the Securities Exchange Act of 1934, as amended (the "Exchange Act") and are not required to provide the information under this item.</w:t>
      </w:r>
    </w:p>
    <w:p>
      <w:pPr>
        <w:pStyle w:val="TextBody"/>
        <w:bidi w:val="0"/>
        <w:spacing w:before="240" w:after="0"/>
        <w:jc w:val="left"/>
        <w:rPr>
          <w:rFonts w:ascii="Times New Roman" w:hAnsi="Times New Roman"/>
          <w:sz w:val="20"/>
        </w:rPr>
      </w:pPr>
      <w:bookmarkStart w:id="11" w:name="item_4_controls_and_procedures"/>
      <w:bookmarkEnd w:id="11"/>
      <w:r>
        <w:rPr>
          <w:rFonts w:ascii="Times New Roman;serif" w:hAnsi="Times New Roman;serif"/>
          <w:b/>
          <w:sz w:val="20"/>
        </w:rPr>
        <w:t>Item 4. Controls and Procedures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design of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With respect to the quarter ended June 30, 2023,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pStyle w:val="TextBody"/>
        <w:bidi w:val="0"/>
        <w:spacing w:before="240" w:after="0"/>
        <w:jc w:val="left"/>
        <w:rPr>
          <w:rFonts w:ascii="Times New Roman" w:hAnsi="Times New Roman"/>
          <w:sz w:val="20"/>
        </w:rPr>
      </w:pPr>
      <w:r>
        <w:rPr>
          <w:rFonts w:ascii="Times New Roman;serif" w:hAnsi="Times New Roman;serif"/>
          <w:b/>
          <w:i/>
          <w:sz w:val="20"/>
        </w:rPr>
        <w:t>Changes in Internal Control Over Financial Reporting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Rules 13a-15(f) and 15d-15(f) under the Exchange Act) that occurred during the fiscal quarter ended June 30, 2023 which have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2" w:name="part_ii_or_information"/>
      <w:bookmarkEnd w:id="12"/>
      <w:r>
        <w:rPr>
          <w:rFonts w:ascii="Times New Roman;serif" w:hAnsi="Times New Roman;serif"/>
          <w:b/>
          <w:sz w:val="20"/>
        </w:rPr>
        <w:t>PART II - OTHER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bookmarkStart w:id="13" w:name="item_1_legal_proceedings"/>
      <w:bookmarkEnd w:id="13"/>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are subject to claims in legal proceedings arising in the normal course of business. To our knowledge, during the three months ended June 30, 2023, there were no, and as of the date of this Quarterly Report, there are no, threatened or pending legal actions that could reasonably be expected to have a material adverse effect on our business, financial condition, results of operations or cash flows.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 w:name="item_1a_risk_factors"/>
      <w:bookmarkEnd w:id="14"/>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You should carefully consider the risk factors described in our 2022 Annual Report under the caption “Item 1A. Risk Factors.” Except as set forth below, there have been no material changes in our risk factors disclosed in our 2022 Annual Report. The risks described in our 2022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240" w:after="0"/>
        <w:jc w:val="left"/>
        <w:rPr>
          <w:rFonts w:ascii="Times New Roman" w:hAnsi="Times New Roman"/>
          <w:sz w:val="20"/>
        </w:rPr>
      </w:pPr>
      <w:r>
        <w:rPr>
          <w:rFonts w:ascii="Times New Roman;serif" w:hAnsi="Times New Roman;serif"/>
          <w:b/>
          <w:sz w:val="20"/>
        </w:rPr>
        <w:t>Risks Related to Our Product Development and 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Further dose escalation in our Phase 2 and OLE trials and the initiation of additional U.S. clinical trials evaluating CTI-1601 will be contingent on the FDA allowing such trials to proceed following review of data from the 50 mg cohort of our Phase 2 clinical trial; if the FDA does not allow additional trials to proceed, we may be unable to complete our CTI-1601 clinical trials without delays and our business may be adversely affected and our stock price may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2023, the FDA cleared our four-week, placebo-controlled, Phase 2 dose exploration trial of CTI-1601 in patients with FA to proceed to a 50 mg cohort in which participants will be dosed daily for the first 14 days, and then every other day until day 28. Additionally, the FDA cleared for initiation our OLE trial in which participants will receive 25 mg of CTI-1601 daily. Further dose escalation in the Phase 2 and OLE trials and the initiation of additional U.S. clinical trials evaluating CTI-1601 are contingent on FDA review of results from any ongoing clinical trials in accordance with a partial clinical hold. If, following completion of our Phase 2 trial’s 50 mg cohort, we are unable to reach agreement with the FDA to conduct additional clinical trials, we may be unable to complete our CTI-1601 clinical trials without delays in our clinical development plans and anticipated data milestones and additional clinical development costs, any of which could impair our ability, cost or timeline to obtain U.S. regulatory approval for CTI-1601.</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bookmarkStart w:id="15" w:name="item_2_unregistered_sales_of_equity"/>
      <w:bookmarkEnd w:id="15"/>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bookmarkStart w:id="16" w:name="item_3_defaults_upon_senior_securities"/>
      <w:bookmarkEnd w:id="16"/>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 w:hAnsi="Times New Roman"/>
          <w:sz w:val="20"/>
        </w:rPr>
      </w:pPr>
      <w:bookmarkStart w:id="17" w:name="item_4_mine_safety_disclosures"/>
      <w:bookmarkEnd w:id="17"/>
      <w:r>
        <w:rPr>
          <w:rFonts w:ascii="Times New Roman;serif" w:hAnsi="Times New Roman;serif"/>
          <w:b/>
          <w:sz w:val="20"/>
        </w:rPr>
        <w:t>Item 4. Mine Safety Disclosures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bookmarkStart w:id="18" w:name="item_5_other_information"/>
      <w:bookmarkEnd w:id="18"/>
      <w:r>
        <w:rPr>
          <w:rFonts w:ascii="Times New Roman;serif" w:hAnsi="Times New Roman;serif"/>
          <w:b/>
          <w:sz w:val="20"/>
        </w:rPr>
        <w:t>Item 5. Other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9" w:name="item_6_exhibits"/>
      <w:bookmarkEnd w:id="19"/>
      <w:r>
        <w:rPr>
          <w:rFonts w:ascii="Times New Roman;serif" w:hAnsi="Times New Roman;serif"/>
          <w:b/>
          <w:sz w:val="20"/>
        </w:rPr>
        <w:t>Item 6. 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exhibits filed as part of this Quarterly Report are set forth on the Exhibit Index, which is incorporated herein by reference.</w:t>
      </w:r>
      <w:r>
        <w:rPr>
          <w:rFonts w:ascii="Times New Roman" w:hAnsi="Times New Roman"/>
          <w:sz w:val="20"/>
        </w:rPr>
        <w:t xml:space="preserve"> </w:t>
      </w:r>
    </w:p>
    <w:p>
      <w:pPr>
        <w:pStyle w:val="TextBody"/>
        <w:bidi w:val="0"/>
        <w:spacing w:before="360" w:after="0"/>
        <w:jc w:val="center"/>
        <w:rPr>
          <w:rFonts w:ascii="Times New Roman" w:hAnsi="Times New Roman"/>
          <w:sz w:val="20"/>
        </w:rPr>
      </w:pPr>
      <w:r>
        <w:rPr>
          <w:rFonts w:ascii="Times New Roman;serif" w:hAnsi="Times New Roman;serif"/>
          <w:b/>
          <w:sz w:val="20"/>
        </w:rPr>
        <w:t>EXHIBIT INDEX</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904"/>
        <w:gridCol w:w="146"/>
        <w:gridCol w:w="9155"/>
      </w:tblGrid>
      <w:tr>
        <w:trPr/>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55" w:type="dxa"/>
            <w:tcBorders/>
            <w:vAlign w:val="center"/>
          </w:tcPr>
          <w:p>
            <w:pPr>
              <w:pStyle w:val="TableContents"/>
              <w:bidi w:val="0"/>
              <w:spacing w:before="0" w:after="283"/>
              <w:jc w:val="left"/>
              <w:rPr>
                <w:sz w:val="4"/>
                <w:szCs w:val="4"/>
              </w:rPr>
            </w:pPr>
            <w:r>
              <w:rPr>
                <w:sz w:val="4"/>
                <w:szCs w:val="4"/>
              </w:rPr>
            </w:r>
          </w:p>
        </w:tc>
      </w:tr>
      <w:tr>
        <w:trPr/>
        <w:tc>
          <w:tcPr>
            <w:tcW w:w="904"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Exhibit No.</w:t>
            </w:r>
            <w:r>
              <w:rPr>
                <w:rFonts w:ascii="Times New Roman" w:hAnsi="Times New Roman"/>
                <w:sz w:val="16"/>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155"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Description</w:t>
            </w:r>
            <w:r>
              <w:rPr>
                <w:rFonts w:ascii="Times New Roman" w:hAnsi="Times New Roman"/>
                <w:sz w:val="16"/>
              </w:rPr>
              <w:t xml:space="preserve"> </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lrmr-ex10_1.htm">
              <w:r>
                <w:rPr>
                  <w:rStyle w:val="InternetLink"/>
                  <w:rFonts w:ascii="Times New Roman;serif" w:hAnsi="Times New Roman;serif"/>
                  <w:b w:val="false"/>
                  <w:sz w:val="20"/>
                  <w:u w:val="single"/>
                </w:rPr>
                <w:t>Employment Agreement dated May 23, 2023, by and between the Company and Russell Clayton</w:t>
              </w:r>
            </w:hyperlink>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lrmr-ex31_1.htm">
              <w:r>
                <w:rPr>
                  <w:rStyle w:val="InternetLink"/>
                  <w:rFonts w:ascii="Times New Roman;serif" w:hAnsi="Times New Roman;serif"/>
                  <w:b w:val="false"/>
                  <w:sz w:val="20"/>
                  <w:u w:val="single"/>
                </w:rPr>
                <w:t>Certification of Principal Executive Officer pursuant to Rule 13a-14(a) or Rule 15d-14(a) of the Securities Exchange Act of 1934, as adopted pursuant to Section 302 of the Sarbanes-Oxley Act of 2002.</w:t>
              </w:r>
            </w:hyperlink>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lrmr-ex31_2.htm">
              <w:r>
                <w:rPr>
                  <w:rStyle w:val="InternetLink"/>
                  <w:rFonts w:ascii="Times New Roman;serif" w:hAnsi="Times New Roman;serif"/>
                  <w:b w:val="false"/>
                  <w:sz w:val="20"/>
                  <w:u w:val="single"/>
                </w:rPr>
                <w:t>Certification of Principal Financial Officer pursuant to Rule 13a-14(a) or Rule 15d-14(a) of the Securities Exchange Act of 1934, as adopted pursuant to Section 302 of the Sarbanes-Oxley Act of 2002.</w:t>
              </w:r>
            </w:hyperlink>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lrmr-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the instance document does not appear in the Interactive Data File because its XBRL tag re embedded within the Inline XBRL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Labels Linkbase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Filed herewith.</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Furnished herewith.</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6520" w:type="dxa"/>
        <w:jc w:val="left"/>
        <w:tblInd w:w="0" w:type="dxa"/>
        <w:tblLayout w:type="fixed"/>
        <w:tblCellMar>
          <w:top w:w="28" w:type="dxa"/>
          <w:left w:w="28" w:type="dxa"/>
          <w:bottom w:w="28" w:type="dxa"/>
          <w:right w:w="28" w:type="dxa"/>
        </w:tblCellMar>
      </w:tblPr>
      <w:tblGrid>
        <w:gridCol w:w="1951"/>
        <w:gridCol w:w="146"/>
        <w:gridCol w:w="406"/>
        <w:gridCol w:w="14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423"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LARIMAR THERAPEUTICS, INC.</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423"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95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7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Carole S. Ben-Maimon, M.D.</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Carole S. Ben-Maimon, M.D.</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95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7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Celano</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Celano</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1" w:name="lrmr-ex10_1.htm"/>
      <w:bookmarkStart w:id="22" w:name="kslrmrex10_1"/>
      <w:bookmarkEnd w:id="21"/>
      <w:bookmarkEnd w:id="22"/>
      <w:r>
        <w:rPr/>
        <w:t> </w:t>
      </w:r>
      <w:r>
        <w:br w:type="page"/>
      </w:r>
    </w:p>
    <w:p>
      <w:pPr>
        <w:pStyle w:val="TextBody"/>
        <w:bidi w:val="0"/>
        <w:spacing w:before="0" w:after="240"/>
        <w:jc w:val="center"/>
        <w:rPr>
          <w:rFonts w:ascii="Times New Roman;serif" w:hAnsi="Times New Roman;serif"/>
          <w:b/>
          <w:sz w:val="24"/>
        </w:rPr>
      </w:pPr>
      <w:r>
        <w:rPr>
          <w:rFonts w:ascii="Times New Roman;serif" w:hAnsi="Times New Roman;serif"/>
          <w:b/>
          <w:sz w:val="24"/>
        </w:rPr>
        <w:t>EMPLOYMENT AGREEMENT</w:t>
      </w:r>
    </w:p>
    <w:p>
      <w:pPr>
        <w:pStyle w:val="TextBody"/>
        <w:bidi w:val="0"/>
        <w:spacing w:before="0" w:after="240"/>
        <w:jc w:val="both"/>
        <w:rPr>
          <w:rFonts w:ascii="Times New Roman" w:hAnsi="Times New Roman"/>
          <w:sz w:val="20"/>
        </w:rPr>
      </w:pPr>
      <w:r>
        <w:rPr>
          <w:rFonts w:ascii="Times New Roman;serif" w:hAnsi="Times New Roman;serif"/>
          <w:b w:val="false"/>
          <w:sz w:val="24"/>
        </w:rPr>
        <w:t>This Employment Agreement (the “</w:t>
      </w:r>
      <w:r>
        <w:rPr>
          <w:rFonts w:ascii="Times New Roman;serif" w:hAnsi="Times New Roman;serif"/>
          <w:b/>
          <w:sz w:val="24"/>
        </w:rPr>
        <w:t>Agreement</w:t>
      </w:r>
      <w:r>
        <w:rPr>
          <w:rFonts w:ascii="Times New Roman" w:hAnsi="Times New Roman"/>
          <w:sz w:val="20"/>
        </w:rPr>
        <w:t>”</w:t>
      </w:r>
      <w:r>
        <w:rPr>
          <w:rFonts w:ascii="Times New Roman;serif" w:hAnsi="Times New Roman;serif"/>
          <w:b w:val="false"/>
          <w:sz w:val="24"/>
        </w:rPr>
        <w:t xml:space="preserve">) is made on May 23, 2023 by and between LARIMAR THERAPEUTICS, INC. (the </w:t>
      </w:r>
      <w:r>
        <w:rPr>
          <w:rFonts w:ascii="Times New Roman" w:hAnsi="Times New Roman"/>
          <w:sz w:val="20"/>
        </w:rPr>
        <w:t>“</w:t>
      </w:r>
      <w:r>
        <w:rPr>
          <w:rFonts w:ascii="Times New Roman;serif" w:hAnsi="Times New Roman;serif"/>
          <w:b/>
          <w:sz w:val="24"/>
        </w:rPr>
        <w:t>Company</w:t>
      </w:r>
      <w:r>
        <w:rPr>
          <w:rFonts w:ascii="Times New Roman" w:hAnsi="Times New Roman"/>
          <w:sz w:val="20"/>
        </w:rPr>
        <w:t>”</w:t>
      </w:r>
      <w:r>
        <w:rPr>
          <w:rFonts w:ascii="Times New Roman;serif" w:hAnsi="Times New Roman;serif"/>
          <w:b w:val="false"/>
          <w:sz w:val="24"/>
        </w:rPr>
        <w:t xml:space="preserve">) and RUSSELL G. CLAYTON SR., D.O. (the </w:t>
      </w:r>
      <w:r>
        <w:rPr>
          <w:rFonts w:ascii="Times New Roman" w:hAnsi="Times New Roman"/>
          <w:sz w:val="20"/>
        </w:rPr>
        <w:t>“</w:t>
      </w:r>
      <w:r>
        <w:rPr>
          <w:rFonts w:ascii="Times New Roman;serif" w:hAnsi="Times New Roman;serif"/>
          <w:b/>
          <w:sz w:val="24"/>
        </w:rPr>
        <w:t>Executive</w:t>
      </w:r>
      <w:r>
        <w:rPr>
          <w:rFonts w:ascii="Times New Roman" w:hAnsi="Times New Roman"/>
          <w:sz w:val="20"/>
        </w:rPr>
        <w:t>”</w:t>
      </w:r>
      <w:r>
        <w:rPr>
          <w:rFonts w:ascii="Times New Roman;serif" w:hAnsi="Times New Roman;serif"/>
          <w:b w:val="false"/>
          <w:sz w:val="24"/>
        </w:rPr>
        <w:t>).</w:t>
      </w:r>
    </w:p>
    <w:p>
      <w:pPr>
        <w:pStyle w:val="TextBody"/>
        <w:bidi w:val="0"/>
        <w:spacing w:before="0" w:after="240"/>
        <w:jc w:val="center"/>
        <w:rPr>
          <w:rFonts w:ascii="Times New Roman;serif" w:hAnsi="Times New Roman;serif"/>
          <w:b w:val="false"/>
          <w:sz w:val="24"/>
          <w:u w:val="single"/>
        </w:rPr>
      </w:pPr>
      <w:r>
        <w:rPr>
          <w:rFonts w:ascii="Times New Roman;serif" w:hAnsi="Times New Roman;serif"/>
          <w:b w:val="false"/>
          <w:sz w:val="24"/>
          <w:u w:val="single"/>
        </w:rPr>
        <w:t>Introduction</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Company desires to retain the services of the Executive pursuant to the terms and conditions set forth herein and the Executive wishes to be employed by the Company on such terms and conditions. The Executive will be a key employee of the Company, with significant access to information concerning the Company and its business. The disclosure or misuse of such information or the engaging in competitive activities would cause substantial harm to the Company.</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NOW, THEREFORE, for good and valuable consideration, the receipt and sufficiency of which are hereby acknowledged, the parties agree as follows:</w:t>
      </w:r>
    </w:p>
    <w:p>
      <w:pPr>
        <w:pStyle w:val="TextBody"/>
        <w:bidi w:val="0"/>
        <w:spacing w:before="0" w:after="240"/>
        <w:jc w:val="both"/>
        <w:rPr>
          <w:rFonts w:ascii="Times New Roman" w:hAnsi="Times New Roman"/>
          <w:b/>
          <w:sz w:val="24"/>
        </w:rPr>
      </w:pPr>
      <w:r>
        <w:rPr>
          <w:rFonts w:ascii="Times New Roman" w:hAnsi="Times New Roman"/>
          <w:b/>
          <w:sz w:val="24"/>
        </w:rPr>
        <w:t>1.</w:t>
      </w:r>
    </w:p>
    <w:p>
      <w:pPr>
        <w:pStyle w:val="TextBody"/>
        <w:bidi w:val="0"/>
        <w:spacing w:before="0" w:after="240"/>
        <w:jc w:val="both"/>
        <w:rPr/>
      </w:pPr>
      <w:r>
        <w:rPr>
          <w:rFonts w:ascii="Times New Roman;serif" w:hAnsi="Times New Roman;serif"/>
          <w:b/>
          <w:sz w:val="24"/>
        </w:rPr>
        <w:t>Term</w:t>
      </w:r>
      <w:r>
        <w:rPr>
          <w:rFonts w:ascii="Times New Roman;serif" w:hAnsi="Times New Roman;serif"/>
          <w:b w:val="false"/>
          <w:sz w:val="24"/>
        </w:rPr>
        <w:t>. The Company agrees to employ Executive, and Executive accepts employment with the Company, on the terms and subject to the conditions of this Agreement. Executive’s period of employment with the Company will commence on July 17, 2023 or such other date agreed by the parties (the “</w:t>
      </w:r>
      <w:r>
        <w:rPr>
          <w:rFonts w:ascii="Times New Roman;serif" w:hAnsi="Times New Roman;serif"/>
          <w:b/>
          <w:sz w:val="24"/>
        </w:rPr>
        <w:t>Effective Date</w:t>
      </w:r>
      <w:r>
        <w:rPr/>
        <w:t>”</w:t>
      </w:r>
      <w:r>
        <w:rPr>
          <w:rFonts w:ascii="Times New Roman;serif" w:hAnsi="Times New Roman;serif"/>
          <w:b w:val="false"/>
          <w:sz w:val="24"/>
        </w:rPr>
        <w:t>) and will continue until terminated in accordance with this Agreement.</w:t>
      </w:r>
    </w:p>
    <w:p>
      <w:pPr>
        <w:pStyle w:val="TextBody"/>
        <w:bidi w:val="0"/>
        <w:spacing w:before="0" w:after="240"/>
        <w:jc w:val="both"/>
        <w:rPr>
          <w:rFonts w:ascii="Times New Roman" w:hAnsi="Times New Roman"/>
          <w:b/>
          <w:sz w:val="24"/>
        </w:rPr>
      </w:pPr>
      <w:r>
        <w:rPr>
          <w:rFonts w:ascii="Times New Roman" w:hAnsi="Times New Roman"/>
          <w:b/>
          <w:sz w:val="24"/>
        </w:rPr>
        <w:t>2.</w:t>
      </w:r>
    </w:p>
    <w:p>
      <w:pPr>
        <w:pStyle w:val="TextBody"/>
        <w:bidi w:val="0"/>
        <w:spacing w:before="0" w:after="240"/>
        <w:jc w:val="both"/>
        <w:rPr/>
      </w:pPr>
      <w:r>
        <w:rPr>
          <w:rFonts w:ascii="Times New Roman;serif" w:hAnsi="Times New Roman;serif"/>
          <w:b/>
          <w:sz w:val="24"/>
        </w:rPr>
        <w:t>Duties</w:t>
      </w:r>
      <w:r>
        <w:rPr>
          <w:rFonts w:ascii="Times New Roman;serif" w:hAnsi="Times New Roman;serif"/>
          <w:b w:val="false"/>
          <w:sz w:val="24"/>
        </w:rPr>
        <w:t xml:space="preserve">. The Executive will serve as the Chief Medical Officer of the Company and shall have such duties of an executive nature as the Board of Directors of the Company (the </w:t>
      </w:r>
      <w:r>
        <w:rPr/>
        <w:t>“</w:t>
      </w:r>
      <w:r>
        <w:rPr>
          <w:rFonts w:ascii="Times New Roman;serif" w:hAnsi="Times New Roman;serif"/>
          <w:b/>
          <w:sz w:val="24"/>
        </w:rPr>
        <w:t>Board</w:t>
      </w:r>
      <w:r>
        <w:rPr/>
        <w:t>”</w:t>
      </w:r>
      <w:r>
        <w:rPr>
          <w:rFonts w:ascii="Times New Roman;serif" w:hAnsi="Times New Roman;serif"/>
          <w:b w:val="false"/>
          <w:sz w:val="24"/>
        </w:rPr>
        <w:t>) shall determine from time to time. The Executive will report to the Company’s Chief Executive Officer.</w:t>
      </w:r>
    </w:p>
    <w:p>
      <w:pPr>
        <w:pStyle w:val="TextBody"/>
        <w:bidi w:val="0"/>
        <w:spacing w:before="0" w:after="240"/>
        <w:jc w:val="both"/>
        <w:rPr>
          <w:rFonts w:ascii="Times New Roman" w:hAnsi="Times New Roman"/>
          <w:b/>
          <w:sz w:val="24"/>
        </w:rPr>
      </w:pPr>
      <w:r>
        <w:rPr>
          <w:rFonts w:ascii="Times New Roman" w:hAnsi="Times New Roman"/>
          <w:b/>
          <w:sz w:val="24"/>
        </w:rPr>
        <w:t>3.</w:t>
      </w:r>
    </w:p>
    <w:p>
      <w:pPr>
        <w:pStyle w:val="TextBody"/>
        <w:bidi w:val="0"/>
        <w:spacing w:before="0" w:after="240"/>
        <w:jc w:val="both"/>
        <w:rPr/>
      </w:pPr>
      <w:r>
        <w:rPr>
          <w:rFonts w:ascii="Times New Roman;serif" w:hAnsi="Times New Roman;serif"/>
          <w:b/>
          <w:sz w:val="24"/>
        </w:rPr>
        <w:t>Full Time; Best Efforts</w:t>
      </w:r>
      <w:r>
        <w:rPr>
          <w:rFonts w:ascii="Times New Roman;serif" w:hAnsi="Times New Roman;serif"/>
          <w:b w:val="false"/>
          <w:sz w:val="24"/>
        </w:rPr>
        <w:t>. The Executive shall devote Executive</w:t>
      </w:r>
      <w:r>
        <w:rPr/>
        <w:t xml:space="preserve">’ </w:t>
      </w:r>
      <w:r>
        <w:rPr>
          <w:rFonts w:ascii="Times New Roman;serif" w:hAnsi="Times New Roman;serif"/>
          <w:b w:val="false"/>
          <w:sz w:val="24"/>
        </w:rPr>
        <w:t>s full business time and best efforts to the performance of Executive</w:t>
      </w:r>
      <w:r>
        <w:rPr/>
        <w:t xml:space="preserve">’ </w:t>
      </w:r>
      <w:r>
        <w:rPr>
          <w:rFonts w:ascii="Times New Roman;serif" w:hAnsi="Times New Roman;serif"/>
          <w:b w:val="false"/>
          <w:sz w:val="24"/>
        </w:rPr>
        <w:t>s duties hereunder and to the promotion of the business and affairs of the Company. The Executive shall not engage in any other commercial activity; provided however, that the Executive may, with the approval of the Chief Executive Officer, serve on a clinical or scientific advisory board or accept an appointment on a board of directors of a company, so long as such service does not represent a potential conflict of interest or interfere with the performance of the Executive</w:t>
      </w:r>
      <w:r>
        <w:rPr/>
        <w:t xml:space="preserve">’ </w:t>
      </w:r>
      <w:r>
        <w:rPr>
          <w:rFonts w:ascii="Times New Roman;serif" w:hAnsi="Times New Roman;serif"/>
          <w:b w:val="false"/>
          <w:sz w:val="24"/>
        </w:rPr>
        <w:t>s duties and responsibilities hereunder. Similarly, the Executive may engage in charitable or civic endeavors so long as they do not interfere with the performance of the Executive</w:t>
      </w:r>
      <w:r>
        <w:rPr/>
        <w:t xml:space="preserve">’ </w:t>
      </w:r>
      <w:r>
        <w:rPr>
          <w:rFonts w:ascii="Times New Roman;serif" w:hAnsi="Times New Roman;serif"/>
          <w:b w:val="false"/>
          <w:sz w:val="24"/>
        </w:rPr>
        <w:t>s duties and responsibilities hereunder. The Executive shall not engage in any other activity which could reasonably be expected to interfere with the performance of the Executive’s duties, services and responsibilities hereunder.</w:t>
      </w:r>
    </w:p>
    <w:p>
      <w:pPr>
        <w:pStyle w:val="TextBody"/>
        <w:bidi w:val="0"/>
        <w:spacing w:before="0" w:after="240"/>
        <w:jc w:val="both"/>
        <w:rPr>
          <w:rFonts w:ascii="Times New Roman" w:hAnsi="Times New Roman"/>
          <w:b/>
          <w:sz w:val="24"/>
        </w:rPr>
      </w:pPr>
      <w:r>
        <w:rPr>
          <w:rFonts w:ascii="Times New Roman" w:hAnsi="Times New Roman"/>
          <w:b/>
          <w:sz w:val="24"/>
        </w:rPr>
        <w:t>4.</w:t>
      </w:r>
    </w:p>
    <w:p>
      <w:pPr>
        <w:pStyle w:val="TextBody"/>
        <w:bidi w:val="0"/>
        <w:spacing w:before="0" w:after="240"/>
        <w:jc w:val="both"/>
        <w:rPr/>
      </w:pPr>
      <w:r>
        <w:rPr>
          <w:rFonts w:ascii="Times New Roman;serif" w:hAnsi="Times New Roman;serif"/>
          <w:b/>
          <w:sz w:val="24"/>
        </w:rPr>
        <w:t>Compensation and Benefits</w:t>
      </w:r>
      <w:r>
        <w:rPr>
          <w:rFonts w:ascii="Times New Roman;serif" w:hAnsi="Times New Roman;serif"/>
          <w:b w:val="false"/>
          <w:sz w:val="24"/>
        </w:rPr>
        <w:t>. During the Executive</w:t>
      </w:r>
      <w:r>
        <w:rPr/>
        <w:t>’</w:t>
      </w:r>
      <w:r>
        <w:rPr>
          <w:rFonts w:ascii="Times New Roman;serif" w:hAnsi="Times New Roman;serif"/>
          <w:b w:val="false"/>
          <w:sz w:val="24"/>
        </w:rPr>
        <w:t>s employment with the Company under this Agreement, the Executive shall be entitled to compensation and benefits as follows:</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sz w:val="24"/>
        </w:rPr>
        <w:t>Base Salary</w:t>
      </w:r>
      <w:r>
        <w:rPr>
          <w:rFonts w:ascii="Times New Roman;serif" w:hAnsi="Times New Roman;serif"/>
          <w:b w:val="false"/>
          <w:sz w:val="24"/>
        </w:rPr>
        <w:t xml:space="preserve">. The Executive will receive a salary at the rate of $425,000 annually, payable in equal increments not less often than monthly in arrears. The Executive’s rate of base </w:t>
      </w:r>
    </w:p>
    <w:p>
      <w:pPr>
        <w:pStyle w:val="TextBody"/>
        <w:bidi w:val="0"/>
        <w:spacing w:before="0" w:after="240"/>
        <w:jc w:val="both"/>
        <w:rPr>
          <w:rFonts w:ascii="Times New Roman" w:hAnsi="Times New Roman"/>
          <w:sz w:val="20"/>
        </w:rPr>
      </w:pPr>
      <w:r>
        <w:rPr>
          <w:rFonts w:ascii="Times New Roman;serif" w:hAnsi="Times New Roman;serif"/>
          <w:b w:val="false"/>
          <w:sz w:val="24"/>
        </w:rPr>
        <w:t>salary, as in effect from time to time, (the “</w:t>
      </w:r>
      <w:r>
        <w:rPr>
          <w:rFonts w:ascii="Times New Roman;serif" w:hAnsi="Times New Roman;serif"/>
          <w:b/>
          <w:sz w:val="24"/>
        </w:rPr>
        <w:t>Base Salary</w:t>
      </w:r>
      <w:r>
        <w:rPr>
          <w:rFonts w:ascii="Times New Roman" w:hAnsi="Times New Roman"/>
          <w:sz w:val="20"/>
        </w:rPr>
        <w:t>”</w:t>
      </w:r>
      <w:r>
        <w:rPr>
          <w:rFonts w:ascii="Times New Roman;serif" w:hAnsi="Times New Roman;serif"/>
          <w:b w:val="false"/>
          <w:sz w:val="24"/>
        </w:rPr>
        <w:t>) will be reviewed at least annually by the Compensation Committee of the Board (the “</w:t>
      </w:r>
      <w:r>
        <w:rPr>
          <w:rFonts w:ascii="Times New Roman;serif" w:hAnsi="Times New Roman;serif"/>
          <w:b/>
          <w:sz w:val="24"/>
        </w:rPr>
        <w:t>Committee</w:t>
      </w:r>
      <w:r>
        <w:rPr>
          <w:rFonts w:ascii="Times New Roman" w:hAnsi="Times New Roman"/>
          <w:sz w:val="20"/>
        </w:rPr>
        <w:t>”</w:t>
      </w:r>
      <w:r>
        <w:rPr>
          <w:rFonts w:ascii="Times New Roman;serif" w:hAnsi="Times New Roman;serif"/>
          <w:b w:val="false"/>
          <w:sz w:val="24"/>
        </w:rPr>
        <w:t>) and may not be decreased, except in</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connection with a proportionate reduction of the salaries of all the Company’s other executive officers.</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sz w:val="24"/>
        </w:rPr>
        <w:t>Bonus</w:t>
      </w:r>
      <w:r>
        <w:rPr>
          <w:rFonts w:ascii="Times New Roman;serif" w:hAnsi="Times New Roman;serif"/>
          <w:b w:val="false"/>
          <w:sz w:val="24"/>
        </w:rPr>
        <w:t xml:space="preserve">. For each calendar year ending during his employment, the Executive will have the opportunity to earn an annual bonus (the </w:t>
      </w:r>
      <w:r>
        <w:rPr/>
        <w:t>“</w:t>
      </w:r>
      <w:r>
        <w:rPr>
          <w:rFonts w:ascii="Times New Roman;serif" w:hAnsi="Times New Roman;serif"/>
          <w:b/>
          <w:sz w:val="24"/>
        </w:rPr>
        <w:t>Bonus</w:t>
      </w:r>
      <w:r>
        <w:rPr/>
        <w:t>”</w:t>
      </w:r>
      <w:r>
        <w:rPr>
          <w:rFonts w:ascii="Times New Roman;serif" w:hAnsi="Times New Roman;serif"/>
          <w:b w:val="false"/>
          <w:sz w:val="24"/>
        </w:rPr>
        <w:t>) with a target amount not less than 40% of the Base Salary actually earned by the Executive in the applicable year. The actual Bonus payable to the Executive, if any, may be more or less than the target amount and will be determined by the Committee, in its sole discretion, based on the achievement of corporate and/or personal objectives established by the Committee.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pPr>
      <w:r>
        <w:rPr>
          <w:rFonts w:ascii="Times New Roman;serif" w:hAnsi="Times New Roman;serif"/>
          <w:b/>
          <w:sz w:val="24"/>
        </w:rPr>
        <w:t>Initial Equity Award</w:t>
      </w:r>
      <w:r>
        <w:rPr>
          <w:rFonts w:ascii="Times New Roman;serif" w:hAnsi="Times New Roman;serif"/>
          <w:b w:val="false"/>
          <w:sz w:val="24"/>
        </w:rPr>
        <w:t>. As an inducement for the Executive to enter into this Agreement and accept employment with the Company, on the first trading day of first calendar month commencing after the Effective Date (the “</w:t>
      </w:r>
      <w:r>
        <w:rPr>
          <w:rFonts w:ascii="Times New Roman;serif" w:hAnsi="Times New Roman;serif"/>
          <w:b/>
          <w:sz w:val="24"/>
        </w:rPr>
        <w:t>Grant Date</w:t>
      </w:r>
      <w:r>
        <w:rPr/>
        <w:t>”</w:t>
      </w:r>
      <w:r>
        <w:rPr>
          <w:rFonts w:ascii="Times New Roman;serif" w:hAnsi="Times New Roman;serif"/>
          <w:b w:val="false"/>
          <w:sz w:val="24"/>
        </w:rPr>
        <w:t>) and provided the Executive is then in service with the Company, the Company will grant to the Executive a stock option (the “</w:t>
      </w:r>
      <w:r>
        <w:rPr>
          <w:rFonts w:ascii="Times New Roman;serif" w:hAnsi="Times New Roman;serif"/>
          <w:b/>
          <w:sz w:val="24"/>
        </w:rPr>
        <w:t>Initial Award</w:t>
      </w:r>
      <w:r>
        <w:rPr/>
        <w:t>”</w:t>
      </w:r>
      <w:r>
        <w:rPr>
          <w:rFonts w:ascii="Times New Roman;serif" w:hAnsi="Times New Roman;serif"/>
          <w:b w:val="false"/>
          <w:sz w:val="24"/>
        </w:rPr>
        <w:t>) in respect of 180,000 shares of the Company’s common stock. The Initial Award will have an exercise price equal to the closing price of the Company’s common stock on the Grant Date and will vest as follows: (i) 25% of the Initial Award will vest on the first anniversary of the Grant Date, and (ii) the remaining 75% of the Initial Award will in equal monthly installments (on the last day of each of the 36 calendar months commencing after the first anniversary of the Grant Date), subject in each case to the Executive’s continued service to the Company through the applicable vesting date. The Initial Award will be subject to additional terms and conditions specified by the Committee, in its discretion, and will be memorialized in a separate award agreement in form and substance acceptable to the Company.</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pPr>
      <w:r>
        <w:rPr>
          <w:rFonts w:ascii="Times New Roman;serif" w:hAnsi="Times New Roman;serif"/>
          <w:b/>
          <w:sz w:val="24"/>
        </w:rPr>
        <w:t>Benefits</w:t>
      </w:r>
      <w:r>
        <w:rPr>
          <w:rFonts w:ascii="Times New Roman;serif" w:hAnsi="Times New Roman;serif"/>
          <w:b w:val="false"/>
          <w:sz w:val="24"/>
        </w:rPr>
        <w:t>. The Executive shall be entitled to participate in Company benefit plans that are generally available to the Company</w:t>
      </w:r>
      <w:r>
        <w:rPr/>
        <w:t xml:space="preserve">’ </w:t>
      </w:r>
      <w:r>
        <w:rPr>
          <w:rFonts w:ascii="Times New Roman;serif" w:hAnsi="Times New Roman;serif"/>
          <w:b w:val="false"/>
          <w:sz w:val="24"/>
        </w:rPr>
        <w:t>s executive employees in accordance with and subject to the terms and conditions of such plans, as in effect from time to time.</w:t>
      </w:r>
    </w:p>
    <w:p>
      <w:pPr>
        <w:pStyle w:val="TextBody"/>
        <w:bidi w:val="0"/>
        <w:spacing w:before="0" w:after="240"/>
        <w:jc w:val="both"/>
        <w:rPr>
          <w:rFonts w:ascii="Times New Roman" w:hAnsi="Times New Roman"/>
          <w:b/>
          <w:sz w:val="24"/>
        </w:rPr>
      </w:pPr>
      <w:r>
        <w:rPr>
          <w:rFonts w:ascii="Times New Roman" w:hAnsi="Times New Roman"/>
          <w:b/>
          <w:sz w:val="24"/>
        </w:rPr>
        <w:t>(e)</w:t>
      </w:r>
    </w:p>
    <w:p>
      <w:pPr>
        <w:pStyle w:val="TextBody"/>
        <w:bidi w:val="0"/>
        <w:spacing w:before="0" w:after="240"/>
        <w:jc w:val="both"/>
        <w:rPr/>
      </w:pPr>
      <w:r>
        <w:rPr>
          <w:rFonts w:ascii="Times New Roman;serif" w:hAnsi="Times New Roman;serif"/>
          <w:b/>
          <w:sz w:val="24"/>
        </w:rPr>
        <w:t>Vacation</w:t>
      </w:r>
      <w:r>
        <w:rPr>
          <w:rFonts w:ascii="Times New Roman;serif" w:hAnsi="Times New Roman;serif"/>
          <w:b w:val="false"/>
          <w:sz w:val="24"/>
        </w:rPr>
        <w:t>. The Executive will be entitled to paid time off in accordance with the Company’s policies, as in effect from time to time.</w:t>
      </w:r>
    </w:p>
    <w:p>
      <w:pPr>
        <w:pStyle w:val="TextBody"/>
        <w:bidi w:val="0"/>
        <w:spacing w:before="0" w:after="240"/>
        <w:jc w:val="both"/>
        <w:rPr>
          <w:rFonts w:ascii="Times New Roman" w:hAnsi="Times New Roman"/>
          <w:b/>
          <w:sz w:val="24"/>
        </w:rPr>
      </w:pPr>
      <w:r>
        <w:rPr>
          <w:rFonts w:ascii="Times New Roman" w:hAnsi="Times New Roman"/>
          <w:b/>
          <w:sz w:val="24"/>
        </w:rPr>
        <w:t>(f)</w:t>
      </w:r>
    </w:p>
    <w:p>
      <w:pPr>
        <w:pStyle w:val="TextBody"/>
        <w:bidi w:val="0"/>
        <w:spacing w:before="0" w:after="240"/>
        <w:jc w:val="both"/>
        <w:rPr/>
      </w:pPr>
      <w:r>
        <w:rPr>
          <w:rFonts w:ascii="Times New Roman;serif" w:hAnsi="Times New Roman;serif"/>
          <w:b/>
          <w:sz w:val="24"/>
        </w:rPr>
        <w:t>Expenses</w:t>
      </w:r>
      <w:r>
        <w:rPr>
          <w:rFonts w:ascii="Times New Roman;serif" w:hAnsi="Times New Roman;serif"/>
          <w:b w:val="false"/>
          <w:sz w:val="24"/>
        </w:rPr>
        <w:t>. The Executive will be entitled to reimbursement of all reasonable expenses incurred in the ordinary course of business on behalf of the Company in accordance with Company expense reimbursement policies.</w:t>
      </w:r>
    </w:p>
    <w:p>
      <w:pPr>
        <w:pStyle w:val="TextBody"/>
        <w:bidi w:val="0"/>
        <w:spacing w:before="0" w:after="240"/>
        <w:jc w:val="both"/>
        <w:rPr>
          <w:rFonts w:ascii="Times New Roman" w:hAnsi="Times New Roman"/>
          <w:b/>
          <w:sz w:val="24"/>
        </w:rPr>
      </w:pPr>
      <w:r>
        <w:rPr>
          <w:rFonts w:ascii="Times New Roman" w:hAnsi="Times New Roman"/>
          <w:b/>
          <w:sz w:val="24"/>
        </w:rPr>
        <w:t>(g)</w:t>
      </w:r>
    </w:p>
    <w:p>
      <w:pPr>
        <w:pStyle w:val="TextBody"/>
        <w:bidi w:val="0"/>
        <w:spacing w:before="0" w:after="240"/>
        <w:jc w:val="both"/>
        <w:rPr/>
      </w:pPr>
      <w:r>
        <w:rPr>
          <w:rFonts w:ascii="Times New Roman;serif" w:hAnsi="Times New Roman;serif"/>
          <w:b/>
          <w:sz w:val="24"/>
        </w:rPr>
        <w:t>Withholding</w:t>
      </w:r>
      <w:r>
        <w:rPr>
          <w:rFonts w:ascii="Times New Roman;serif" w:hAnsi="Times New Roman;serif"/>
          <w:b w:val="false"/>
          <w:sz w:val="24"/>
        </w:rPr>
        <w:t>. The Company may withhold from compensation payable to the Executive all applicable federal, state and local withholding taxes.</w:t>
      </w:r>
    </w:p>
    <w:p>
      <w:pPr>
        <w:pStyle w:val="TextBody"/>
        <w:bidi w:val="0"/>
        <w:spacing w:before="0" w:after="240"/>
        <w:jc w:val="both"/>
        <w:rPr>
          <w:rFonts w:ascii="Times New Roman" w:hAnsi="Times New Roman"/>
          <w:b/>
          <w:sz w:val="24"/>
        </w:rPr>
      </w:pPr>
      <w:r>
        <w:rPr>
          <w:rFonts w:ascii="Times New Roman" w:hAnsi="Times New Roman"/>
          <w:b/>
          <w:sz w:val="24"/>
        </w:rPr>
        <w:t>5.</w:t>
      </w:r>
    </w:p>
    <w:p>
      <w:pPr>
        <w:pStyle w:val="TextBody"/>
        <w:bidi w:val="0"/>
        <w:spacing w:before="0" w:after="240"/>
        <w:jc w:val="both"/>
        <w:rPr/>
      </w:pPr>
      <w:r>
        <w:rPr>
          <w:rFonts w:ascii="Times New Roman;serif" w:hAnsi="Times New Roman;serif"/>
          <w:b/>
          <w:sz w:val="24"/>
        </w:rPr>
        <w:t>Restrictive Covenant Agreement</w:t>
      </w:r>
      <w:r>
        <w:rPr>
          <w:rFonts w:ascii="Times New Roman;serif" w:hAnsi="Times New Roman;serif"/>
          <w:b w:val="false"/>
          <w:sz w:val="24"/>
        </w:rPr>
        <w:t xml:space="preserve">. In consideration of the good and valuable consideration received hereunder, the Executive will promptly execute the Confidentiality, </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 xml:space="preserve">Intellectual Property Assignment and Restrictive Covenant Agreement attached hereto as </w:t>
      </w:r>
      <w:r>
        <w:rPr>
          <w:rFonts w:ascii="Times New Roman;serif" w:hAnsi="Times New Roman;serif"/>
          <w:b w:val="false"/>
          <w:sz w:val="24"/>
          <w:u w:val="single"/>
        </w:rPr>
        <w:t>Appendix A</w:t>
      </w:r>
      <w:r>
        <w:rPr>
          <w:rFonts w:ascii="Times New Roman" w:hAnsi="Times New Roman"/>
          <w:sz w:val="20"/>
        </w:rPr>
        <w:t xml:space="preserve"> </w:t>
      </w:r>
      <w:r>
        <w:rPr>
          <w:rFonts w:ascii="Times New Roman;serif" w:hAnsi="Times New Roman;serif"/>
          <w:b w:val="false"/>
          <w:sz w:val="24"/>
        </w:rPr>
        <w:t>(the “</w:t>
      </w:r>
      <w:r>
        <w:rPr>
          <w:rFonts w:ascii="Times New Roman;serif" w:hAnsi="Times New Roman;serif"/>
          <w:b/>
          <w:sz w:val="24"/>
        </w:rPr>
        <w:t>Restrictive Covenant Agreement</w:t>
      </w:r>
      <w:r>
        <w:rPr>
          <w:rFonts w:ascii="Times New Roman" w:hAnsi="Times New Roman"/>
          <w:sz w:val="20"/>
        </w:rPr>
        <w:t>”</w:t>
      </w:r>
      <w:r>
        <w:rPr>
          <w:rFonts w:ascii="Times New Roman;serif" w:hAnsi="Times New Roman;serif"/>
          <w:b w:val="false"/>
          <w:sz w:val="24"/>
        </w:rPr>
        <w:t>).</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6.</w:t>
      </w:r>
    </w:p>
    <w:p>
      <w:pPr>
        <w:pStyle w:val="TextBody"/>
        <w:bidi w:val="0"/>
        <w:spacing w:before="0" w:after="240"/>
        <w:jc w:val="both"/>
        <w:rPr/>
      </w:pPr>
      <w:r>
        <w:rPr>
          <w:rFonts w:ascii="Times New Roman;serif" w:hAnsi="Times New Roman;serif"/>
          <w:b/>
          <w:sz w:val="24"/>
        </w:rPr>
        <w:t>Termination</w:t>
      </w:r>
      <w:r>
        <w:rPr>
          <w:rFonts w:ascii="Times New Roman;serif" w:hAnsi="Times New Roman;serif"/>
          <w:b w:val="false"/>
          <w:sz w:val="24"/>
        </w:rPr>
        <w:t>.</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sz w:val="24"/>
        </w:rPr>
        <w:t>General</w:t>
      </w:r>
      <w:r>
        <w:rPr>
          <w:rFonts w:ascii="Times New Roman;serif" w:hAnsi="Times New Roman;serif"/>
          <w:b w:val="false"/>
          <w:sz w:val="24"/>
        </w:rPr>
        <w:t>. The Executive</w:t>
      </w:r>
      <w:r>
        <w:rPr/>
        <w:t xml:space="preserve">’ </w:t>
      </w:r>
      <w:r>
        <w:rPr>
          <w:rFonts w:ascii="Times New Roman;serif" w:hAnsi="Times New Roman;serif"/>
          <w:b w:val="false"/>
          <w:sz w:val="24"/>
        </w:rPr>
        <w:t>s employment with the Company may be terminated by the Company at any time, for any reason. The Executive</w:t>
      </w:r>
      <w:r>
        <w:rPr/>
        <w:t xml:space="preserve">’ </w:t>
      </w:r>
      <w:r>
        <w:rPr>
          <w:rFonts w:ascii="Times New Roman;serif" w:hAnsi="Times New Roman;serif"/>
          <w:b w:val="false"/>
          <w:sz w:val="24"/>
        </w:rPr>
        <w:t>s employment with the Company may also be terminated by the Executive for Good Reason or, after at least 30 days prior written notice thereof from the Executive to the Company, without Good Reason (provided that upon notice by the Executive of a resignation without Good Reason, the Company may without any liability accept such resignation with an earlier effective date than proposed by the Executive).</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sz w:val="24"/>
        </w:rPr>
        <w:t>Definitions</w:t>
      </w:r>
      <w:r>
        <w:rPr>
          <w:rFonts w:ascii="Times New Roman;serif" w:hAnsi="Times New Roman;serif"/>
          <w:b w:val="false"/>
          <w:sz w:val="24"/>
        </w:rPr>
        <w:t>. As used herein, the following terms shall have the following meanings:</w:t>
      </w:r>
    </w:p>
    <w:p>
      <w:pPr>
        <w:pStyle w:val="TextBody"/>
        <w:bidi w:val="0"/>
        <w:spacing w:before="0" w:after="240"/>
        <w:jc w:val="both"/>
        <w:rPr/>
      </w:pPr>
      <w:r>
        <w:rPr/>
        <w:t>“</w:t>
      </w:r>
      <w:r>
        <w:rPr>
          <w:rFonts w:ascii="Times New Roman;serif" w:hAnsi="Times New Roman;serif"/>
          <w:b/>
          <w:sz w:val="24"/>
        </w:rPr>
        <w:t>Cause</w:t>
      </w:r>
      <w:r>
        <w:rPr>
          <w:rFonts w:ascii="Times New Roman" w:hAnsi="Times New Roman"/>
          <w:sz w:val="20"/>
        </w:rPr>
        <w:t xml:space="preserve">” </w:t>
      </w:r>
      <w:r>
        <w:rPr>
          <w:rFonts w:ascii="Times New Roman;serif" w:hAnsi="Times New Roman;serif"/>
          <w:b w:val="false"/>
          <w:sz w:val="24"/>
        </w:rPr>
        <w:t>shall mean: (a) a good faith finding by the Company’ s Board (i) of a willful failure of the Executive to perform his reasonably assigned duties for the Company, which failure is not cured within ten days after written notice thereof, unless the Board determines in good faith such failure is not curable, or (ii) that the Executive has engaged in a material act of dishonesty, gross negligence or material misconduct; (b) the conviction of the Executive of, or the entry of a pleading of guilty by the Executive to, a felony; or (c) a breach by the Executive of any duty owed to or any agreement with the Company, which breach is not cured within ten days after written notice thereof, unless the Board determines in good faith such breach is not curable. For avoidance of doubt, any termination of the Executive’s employment due to a Disability (as defined below) will not be deemed a termination “without Cause.”</w:t>
      </w:r>
    </w:p>
    <w:p>
      <w:pPr>
        <w:pStyle w:val="TextBody"/>
        <w:bidi w:val="0"/>
        <w:spacing w:before="0" w:after="240"/>
        <w:jc w:val="both"/>
        <w:rPr/>
      </w:pPr>
      <w:r>
        <w:rPr/>
        <w:t>“</w:t>
      </w:r>
      <w:r>
        <w:rPr>
          <w:rFonts w:ascii="Times New Roman;serif" w:hAnsi="Times New Roman;serif"/>
          <w:b/>
          <w:sz w:val="24"/>
        </w:rPr>
        <w:t>Change in Control</w:t>
      </w:r>
      <w:r>
        <w:rPr>
          <w:rFonts w:ascii="Times New Roman" w:hAnsi="Times New Roman"/>
          <w:sz w:val="20"/>
        </w:rPr>
        <w:t xml:space="preserve">” </w:t>
      </w:r>
      <w:r>
        <w:rPr>
          <w:rFonts w:ascii="Times New Roman;serif" w:hAnsi="Times New Roman;serif"/>
          <w:b w:val="false"/>
          <w:sz w:val="24"/>
        </w:rPr>
        <w:t>means a “change in control event,” as that term is used in Treas. Reg. § 1.409A-3(i)(5)(i).</w:t>
      </w:r>
    </w:p>
    <w:p>
      <w:pPr>
        <w:pStyle w:val="TextBody"/>
        <w:bidi w:val="0"/>
        <w:spacing w:before="0" w:after="240"/>
        <w:jc w:val="both"/>
        <w:rPr/>
      </w:pPr>
      <w:r>
        <w:rPr/>
        <w:t>“</w:t>
      </w:r>
      <w:r>
        <w:rPr>
          <w:rFonts w:ascii="Times New Roman;serif" w:hAnsi="Times New Roman;serif"/>
          <w:b/>
          <w:sz w:val="24"/>
        </w:rPr>
        <w:t>Disability</w:t>
      </w:r>
      <w:r>
        <w:rPr>
          <w:rFonts w:ascii="Times New Roman" w:hAnsi="Times New Roman"/>
          <w:sz w:val="20"/>
        </w:rPr>
        <w:t xml:space="preserve">” </w:t>
      </w:r>
      <w:r>
        <w:rPr>
          <w:rFonts w:ascii="Times New Roman;serif" w:hAnsi="Times New Roman;serif"/>
          <w:b w:val="false"/>
          <w:sz w:val="24"/>
        </w:rPr>
        <w:t>means Executive’s inability to substantially perform his duties to the Company as a result of incapacity by reason of any medically determinable physical or mental impairment that can be expected to result in death or to last for a period of at least 12 months.</w:t>
      </w:r>
    </w:p>
    <w:p>
      <w:pPr>
        <w:pStyle w:val="TextBody"/>
        <w:bidi w:val="0"/>
        <w:spacing w:before="0" w:after="240"/>
        <w:jc w:val="both"/>
        <w:rPr/>
      </w:pPr>
      <w:r>
        <w:rPr/>
        <w:t>“</w:t>
      </w:r>
      <w:r>
        <w:rPr>
          <w:rFonts w:ascii="Times New Roman;serif" w:hAnsi="Times New Roman;serif"/>
          <w:b/>
          <w:sz w:val="24"/>
        </w:rPr>
        <w:t>Good Reason</w:t>
      </w:r>
      <w:r>
        <w:rPr>
          <w:rFonts w:ascii="Times New Roman" w:hAnsi="Times New Roman"/>
          <w:sz w:val="20"/>
        </w:rPr>
        <w:t xml:space="preserve">” </w:t>
      </w:r>
      <w:r>
        <w:rPr>
          <w:rFonts w:ascii="Times New Roman;serif" w:hAnsi="Times New Roman;serif"/>
          <w:b w:val="false"/>
          <w:sz w:val="24"/>
        </w:rPr>
        <w:t>for resignation shall exist upon, without the Executive</w:t>
      </w:r>
      <w:r>
        <w:rPr>
          <w:rFonts w:ascii="Times New Roman" w:hAnsi="Times New Roman"/>
          <w:sz w:val="20"/>
        </w:rPr>
        <w:t>’</w:t>
      </w:r>
      <w:r>
        <w:rPr>
          <w:rFonts w:ascii="Times New Roman;serif" w:hAnsi="Times New Roman;serif"/>
          <w:b w:val="false"/>
          <w:sz w:val="24"/>
        </w:rPr>
        <w:t xml:space="preserve">s written consent: (a) a change by the Company in the location at which the Executive performs his principal duties for the Company of more than 25 miles from the location at which the Executive was performing his principal duties for the Company prior to such change; (b) a reduction of the Executive’s Base Salary (other than a reduction permitted by </w:t>
      </w:r>
      <w:r>
        <w:rPr>
          <w:rFonts w:ascii="Times New Roman;serif" w:hAnsi="Times New Roman;serif"/>
          <w:b w:val="false"/>
          <w:sz w:val="24"/>
          <w:u w:val="single"/>
        </w:rPr>
        <w:t>Section 4(a)</w:t>
      </w:r>
      <w:r>
        <w:rPr>
          <w:rFonts w:ascii="Times New Roman;serif" w:hAnsi="Times New Roman;serif"/>
          <w:b w:val="false"/>
          <w:sz w:val="24"/>
        </w:rPr>
        <w:t xml:space="preserve">); (c) a reduction of the Executive’s target Bonus opportunity below that specified in </w:t>
      </w:r>
      <w:r>
        <w:rPr>
          <w:rFonts w:ascii="Times New Roman;serif" w:hAnsi="Times New Roman;serif"/>
          <w:b w:val="false"/>
          <w:sz w:val="24"/>
          <w:u w:val="single"/>
        </w:rPr>
        <w:t>Section 4(b)</w:t>
      </w:r>
      <w:r>
        <w:rPr>
          <w:rFonts w:ascii="Times New Roman;serif" w:hAnsi="Times New Roman;serif"/>
          <w:b w:val="false"/>
          <w:sz w:val="24"/>
        </w:rPr>
        <w:t>; or (d) a material adverse change in the Executive</w:t>
      </w:r>
      <w:r>
        <w:rPr>
          <w:rFonts w:ascii="Times New Roman" w:hAnsi="Times New Roman"/>
          <w:sz w:val="20"/>
        </w:rPr>
        <w:t xml:space="preserve">’ </w:t>
      </w:r>
      <w:r>
        <w:rPr>
          <w:rFonts w:ascii="Times New Roman;serif" w:hAnsi="Times New Roman;serif"/>
          <w:b w:val="false"/>
          <w:sz w:val="24"/>
        </w:rPr>
        <w:t>s title, authority or duties; provided that no such event or condition in clauses (a) through (d) shall constitute Good Reason unless (x) the Executive gives the Company a written notice of termination not more than 30 days after the initial existence of the condition, (y) the grounds for termination (if susceptible to correction) are not corrected by the Company within 30 days of its receipt of such notice, and (z) the Executive</w:t>
      </w:r>
      <w:r>
        <w:rPr>
          <w:rFonts w:ascii="Times New Roman" w:hAnsi="Times New Roman"/>
          <w:sz w:val="20"/>
        </w:rPr>
        <w:t>’</w:t>
      </w:r>
      <w:r>
        <w:rPr>
          <w:rFonts w:ascii="Times New Roman;serif" w:hAnsi="Times New Roman;serif"/>
          <w:b w:val="false"/>
          <w:sz w:val="24"/>
        </w:rPr>
        <w:t>s termination occurs within 60 days following the Company’s receipt of such notice.</w:t>
      </w:r>
    </w:p>
    <w:p>
      <w:pPr>
        <w:pStyle w:val="TextBody"/>
        <w:bidi w:val="0"/>
        <w:spacing w:before="0" w:after="240"/>
        <w:jc w:val="both"/>
        <w:rPr/>
      </w:pPr>
      <w:r>
        <w:rPr/>
        <w:t> </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pPr>
      <w:r>
        <w:rPr>
          <w:rFonts w:ascii="Times New Roman;serif" w:hAnsi="Times New Roman;serif"/>
          <w:b/>
          <w:sz w:val="24"/>
        </w:rPr>
        <w:t>Effects of Termination</w:t>
      </w:r>
      <w:r>
        <w:rPr>
          <w:rFonts w:ascii="Times New Roman;serif" w:hAnsi="Times New Roman;serif"/>
          <w:b w:val="false"/>
          <w:sz w:val="24"/>
        </w:rPr>
        <w:t xml:space="preserve">. If the Executive’s employment with the Company ceases for any reason, then the Executive’s rights in respect of outstanding equity awards will be determined in accordance with terms of the applicable award agreements and the Company will pay to the Executive any Base Salary that had been earned but not yet paid, and any expenses subject to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reimbursement under Section 4(f) that had been incurred but not yet reimbursed, in each case prior to the date of termination (collectively, the “</w:t>
      </w:r>
      <w:r>
        <w:rPr>
          <w:rFonts w:ascii="Times New Roman;serif" w:hAnsi="Times New Roman;serif"/>
          <w:b/>
          <w:sz w:val="24"/>
        </w:rPr>
        <w:t>Accrued Rights</w:t>
      </w:r>
      <w:r>
        <w:rPr/>
        <w:t>”</w:t>
      </w:r>
      <w:r>
        <w:rPr>
          <w:rFonts w:ascii="Times New Roman;serif" w:hAnsi="Times New Roman;serif"/>
          <w:b w:val="false"/>
          <w:sz w:val="24"/>
        </w:rPr>
        <w:t>). All compensation and benefits will cease at the time of such cessation of employment and, except as otherwise provided by COBRA or as expressly provided herein, the Company will have no further liability or obligation by reason of such cessation. Contemporaneous with any cessation of the Executive’s employment, unless otherwise requested by the Board, the Executive will resign from all officer and director positions with the Company and its affiliates and execute such documents as may be requested by the Company to confirm that resignation.</w:t>
      </w:r>
    </w:p>
    <w:p>
      <w:pPr>
        <w:pStyle w:val="TextBody"/>
        <w:bidi w:val="0"/>
        <w:spacing w:before="0" w:after="240"/>
        <w:jc w:val="both"/>
        <w:rPr>
          <w:rFonts w:ascii="Times New Roman" w:hAnsi="Times New Roman"/>
          <w:b/>
          <w:sz w:val="24"/>
        </w:rPr>
      </w:pPr>
      <w:r>
        <w:rPr>
          <w:rFonts w:ascii="Times New Roman" w:hAnsi="Times New Roman"/>
          <w:b/>
          <w:sz w:val="24"/>
        </w:rPr>
        <w:t>(d)</w:t>
      </w:r>
    </w:p>
    <w:p>
      <w:pPr>
        <w:pStyle w:val="TextBody"/>
        <w:bidi w:val="0"/>
        <w:spacing w:before="0" w:after="240"/>
        <w:jc w:val="both"/>
        <w:rPr/>
      </w:pPr>
      <w:r>
        <w:rPr>
          <w:rFonts w:ascii="Times New Roman;serif" w:hAnsi="Times New Roman;serif"/>
          <w:b/>
          <w:sz w:val="24"/>
        </w:rPr>
        <w:t>Involuntary Termination</w:t>
      </w:r>
      <w:r>
        <w:rPr>
          <w:rFonts w:ascii="Times New Roman;serif" w:hAnsi="Times New Roman;serif"/>
          <w:b w:val="false"/>
          <w:sz w:val="24"/>
        </w:rPr>
        <w:t>. If the Executive</w:t>
      </w:r>
      <w:r>
        <w:rPr/>
        <w:t xml:space="preserve">’ </w:t>
      </w:r>
      <w:r>
        <w:rPr>
          <w:rFonts w:ascii="Times New Roman;serif" w:hAnsi="Times New Roman;serif"/>
          <w:b w:val="false"/>
          <w:sz w:val="24"/>
        </w:rPr>
        <w:t xml:space="preserve">s employment ceases due to a termination by the Company without Cause or a resignation by the Executive with Good Reason, then in addition to the Accrued Rights and subject to </w:t>
      </w:r>
      <w:r>
        <w:rPr>
          <w:rFonts w:ascii="Times New Roman;serif" w:hAnsi="Times New Roman;serif"/>
          <w:b w:val="false"/>
          <w:sz w:val="24"/>
          <w:u w:val="single"/>
        </w:rPr>
        <w:t>Section 6(f)</w:t>
      </w:r>
      <w:r>
        <w:rPr/>
        <w:t xml:space="preserve"> </w:t>
      </w:r>
      <w:r>
        <w:rPr>
          <w:rFonts w:ascii="Times New Roman;serif" w:hAnsi="Times New Roman;serif"/>
          <w:b w:val="false"/>
          <w:sz w:val="24"/>
        </w:rPr>
        <w:t>below, Executive will be entitled to receive:</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rPr>
        <w:t>payment of any Bonus otherwise earned and payable (but for the cessation of the Executive’s employment), but not yet paid, in respect of the calendar year immediately preceding such cessation (the “</w:t>
      </w:r>
      <w:r>
        <w:rPr>
          <w:rFonts w:ascii="Times New Roman;serif" w:hAnsi="Times New Roman;serif"/>
          <w:b/>
          <w:sz w:val="24"/>
        </w:rPr>
        <w:t>Prior Year Bonus</w:t>
      </w:r>
      <w:r>
        <w:rPr/>
        <w: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monthly severance payments for a period of nine months, with each payment equal to one-twelfth the Base Salary (as in effect immediately prior to such cessation or, if the cessation is a resignation for the Good Reason described in clause (b) of the definition thereof, as in effect immediately prior to such Good Reason); and</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waiver or reimbursement of the applicable premium otherwise payable or paid for COBRA continuation coverage for Executive (and, to the extent covered immediately prior to the date of such cessation, his eligible dependents) for a period equal to nine months.</w:t>
      </w:r>
    </w:p>
    <w:p>
      <w:pPr>
        <w:pStyle w:val="TextBody"/>
        <w:bidi w:val="0"/>
        <w:spacing w:before="0" w:after="240"/>
        <w:jc w:val="both"/>
        <w:rPr>
          <w:rFonts w:ascii="Times New Roman" w:hAnsi="Times New Roman"/>
          <w:b/>
          <w:sz w:val="24"/>
        </w:rPr>
      </w:pPr>
      <w:r>
        <w:rPr>
          <w:rFonts w:ascii="Times New Roman" w:hAnsi="Times New Roman"/>
          <w:b/>
          <w:sz w:val="24"/>
        </w:rPr>
        <w:t>(e)</w:t>
      </w:r>
    </w:p>
    <w:p>
      <w:pPr>
        <w:pStyle w:val="TextBody"/>
        <w:bidi w:val="0"/>
        <w:spacing w:before="0" w:after="240"/>
        <w:jc w:val="both"/>
        <w:rPr/>
      </w:pPr>
      <w:r>
        <w:rPr>
          <w:rFonts w:ascii="Times New Roman;serif" w:hAnsi="Times New Roman;serif"/>
          <w:b/>
          <w:sz w:val="24"/>
        </w:rPr>
        <w:t>Involuntary Termination Proximate to a Change in Control</w:t>
      </w:r>
      <w:r>
        <w:rPr>
          <w:rFonts w:ascii="Times New Roman;serif" w:hAnsi="Times New Roman;serif"/>
          <w:b w:val="false"/>
          <w:sz w:val="24"/>
        </w:rPr>
        <w:t xml:space="preserve">. Notwithstanding the foregoing, if a cessation of employment described in this </w:t>
      </w:r>
      <w:r>
        <w:rPr>
          <w:rFonts w:ascii="Times New Roman;serif" w:hAnsi="Times New Roman;serif"/>
          <w:b w:val="false"/>
          <w:sz w:val="24"/>
          <w:u w:val="single"/>
        </w:rPr>
        <w:t>Section 6(d)</w:t>
      </w:r>
      <w:r>
        <w:rPr/>
        <w:t xml:space="preserve"> </w:t>
      </w:r>
      <w:r>
        <w:rPr>
          <w:rFonts w:ascii="Times New Roman;serif" w:hAnsi="Times New Roman;serif"/>
          <w:b w:val="false"/>
          <w:sz w:val="24"/>
        </w:rPr>
        <w:t>occurs during the one year period immediately following a Change in Control, then</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pPr>
      <w:r>
        <w:rPr>
          <w:rFonts w:ascii="Times New Roman;serif" w:hAnsi="Times New Roman;serif"/>
          <w:b w:val="false"/>
          <w:sz w:val="24"/>
          <w:u w:val="single"/>
        </w:rPr>
        <w:t>Section 6(d)(ii)</w:t>
      </w:r>
      <w:r>
        <w:rPr/>
        <w:t xml:space="preserve"> </w:t>
      </w:r>
      <w:r>
        <w:rPr>
          <w:rFonts w:ascii="Times New Roman;serif" w:hAnsi="Times New Roman;serif"/>
          <w:b w:val="false"/>
          <w:sz w:val="24"/>
        </w:rPr>
        <w:t>will be replaced with the following: “monthly severance payments for a period of 12 months, with each payment equal to one-twelfth the sum of (A) the Base Salary (as in effect immediately prior to such cessation or, if the cessation is a resignation for the Good Reason described in clause (b) of the definition thereof, as in effect immediately prior to such Good Reason), plus (B) the target Bonus opportunity for the year of the cessation (as in effect immediately prior to such cessation or, if the cessation is a resignation for the Good Reason described in clause (c) of the definition thereof, as in effect immediately prior to such Good Reason);” and</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pPr>
      <w:r>
        <w:rPr>
          <w:rFonts w:ascii="Times New Roman;serif" w:hAnsi="Times New Roman;serif"/>
          <w:b w:val="false"/>
          <w:sz w:val="24"/>
        </w:rPr>
        <w:t xml:space="preserve">the reference in </w:t>
      </w:r>
      <w:r>
        <w:rPr>
          <w:rFonts w:ascii="Times New Roman;serif" w:hAnsi="Times New Roman;serif"/>
          <w:b w:val="false"/>
          <w:sz w:val="24"/>
          <w:u w:val="single"/>
        </w:rPr>
        <w:t>Section 6(d)(iii)</w:t>
      </w:r>
      <w:r>
        <w:rPr/>
        <w:t xml:space="preserve"> </w:t>
      </w:r>
      <w:r>
        <w:rPr>
          <w:rFonts w:ascii="Times New Roman;serif" w:hAnsi="Times New Roman;serif"/>
          <w:b w:val="false"/>
          <w:sz w:val="24"/>
        </w:rPr>
        <w:t>to “nine months” will be replaced with “12 months.”</w:t>
      </w:r>
    </w:p>
    <w:p>
      <w:pPr>
        <w:pStyle w:val="TextBody"/>
        <w:bidi w:val="0"/>
        <w:spacing w:before="0" w:after="240"/>
        <w:jc w:val="both"/>
        <w:rPr/>
      </w:pPr>
      <w:r>
        <w:rPr/>
        <w:t> </w:t>
      </w:r>
    </w:p>
    <w:p>
      <w:pPr>
        <w:pStyle w:val="TextBody"/>
        <w:bidi w:val="0"/>
        <w:spacing w:before="0" w:after="240"/>
        <w:jc w:val="both"/>
        <w:rPr>
          <w:rFonts w:ascii="Times New Roman" w:hAnsi="Times New Roman"/>
          <w:b/>
          <w:sz w:val="24"/>
        </w:rPr>
      </w:pPr>
      <w:r>
        <w:rPr>
          <w:rFonts w:ascii="Times New Roman" w:hAnsi="Times New Roman"/>
          <w:b/>
          <w:sz w:val="24"/>
        </w:rPr>
        <w:t>(f)</w:t>
      </w:r>
    </w:p>
    <w:p>
      <w:pPr>
        <w:pStyle w:val="TextBody"/>
        <w:bidi w:val="0"/>
        <w:spacing w:before="0" w:after="240"/>
        <w:jc w:val="both"/>
        <w:rPr/>
      </w:pPr>
      <w:r>
        <w:rPr>
          <w:rFonts w:ascii="Times New Roman;serif" w:hAnsi="Times New Roman;serif"/>
          <w:b/>
          <w:sz w:val="24"/>
        </w:rPr>
        <w:t>Severance Benefits Conditioned on Release</w:t>
      </w:r>
      <w:r>
        <w:rPr>
          <w:rFonts w:ascii="Times New Roman;serif" w:hAnsi="Times New Roman;serif"/>
          <w:b w:val="false"/>
          <w:sz w:val="24"/>
        </w:rPr>
        <w:t xml:space="preserve">. The payments and benefits described in </w:t>
      </w:r>
      <w:r>
        <w:rPr>
          <w:rFonts w:ascii="Times New Roman;serif" w:hAnsi="Times New Roman;serif"/>
          <w:b w:val="false"/>
          <w:sz w:val="24"/>
          <w:u w:val="single"/>
        </w:rPr>
        <w:t>Section 6(d)(i) – (iii)</w:t>
      </w:r>
      <w:r>
        <w:rPr/>
        <w:t xml:space="preserve"> </w:t>
      </w:r>
      <w:r>
        <w:rPr>
          <w:rFonts w:ascii="Times New Roman;serif" w:hAnsi="Times New Roman;serif"/>
          <w:b w:val="false"/>
          <w:sz w:val="24"/>
        </w:rPr>
        <w:t>(as modified by Section 6(e), if applicable)(the “</w:t>
      </w:r>
      <w:r>
        <w:rPr>
          <w:rFonts w:ascii="Times New Roman;serif" w:hAnsi="Times New Roman;serif"/>
          <w:b/>
          <w:sz w:val="24"/>
        </w:rPr>
        <w:t>Severance Benefits</w:t>
      </w:r>
      <w:r>
        <w:rPr/>
        <w:t>”</w:t>
      </w:r>
      <w:r>
        <w:rPr>
          <w:rFonts w:ascii="Times New Roman;serif" w:hAnsi="Times New Roman;serif"/>
          <w:b w:val="false"/>
          <w:sz w:val="24"/>
        </w:rPr>
        <w:t xml:space="preserve">) are in lieu of, and not in addition to, any other severance arrangement maintained by the Company. The Severance Benefits are conditioned on Executive’s execution and delivery to the Company of a general release of claims against the Company and its affiliates in such form as the Company may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4"/>
        </w:rPr>
        <w:t>prescribe (the “</w:t>
      </w:r>
      <w:r>
        <w:rPr>
          <w:rFonts w:ascii="Times New Roman;serif" w:hAnsi="Times New Roman;serif"/>
          <w:b w:val="false"/>
          <w:sz w:val="24"/>
          <w:u w:val="single"/>
        </w:rPr>
        <w:t>Release</w:t>
      </w:r>
      <w:r>
        <w:rPr/>
        <w:t>”</w:t>
      </w:r>
      <w:r>
        <w:rPr>
          <w:rFonts w:ascii="Times New Roman;serif" w:hAnsi="Times New Roman;serif"/>
          <w:b w:val="false"/>
          <w:sz w:val="24"/>
        </w:rPr>
        <w:t xml:space="preserve">) and on such Release becoming irrevocable within 30 days following his cessation of employment. The Prior Year Bonus, if any, will be paid on the date that annual bonuses are paid to other executive officers generally with respect to the applicable year or, if later, within 15 days after the Release has become irrevocable. Subject to </w:t>
      </w:r>
      <w:r>
        <w:rPr>
          <w:rFonts w:ascii="Times New Roman;serif" w:hAnsi="Times New Roman;serif"/>
          <w:b w:val="false"/>
          <w:sz w:val="24"/>
          <w:u w:val="single"/>
        </w:rPr>
        <w:t xml:space="preserve">Section 17 </w:t>
      </w:r>
      <w:r>
        <w:rPr>
          <w:rFonts w:ascii="Times New Roman;serif" w:hAnsi="Times New Roman;serif"/>
          <w:b w:val="false"/>
          <w:sz w:val="24"/>
        </w:rPr>
        <w:t xml:space="preserve">below, the Severance Benefits described in </w:t>
      </w:r>
      <w:r>
        <w:rPr>
          <w:rFonts w:ascii="Times New Roman;serif" w:hAnsi="Times New Roman;serif"/>
          <w:b w:val="false"/>
          <w:sz w:val="24"/>
          <w:u w:val="single"/>
        </w:rPr>
        <w:t>Section 6(d)(ii) and (iii)</w:t>
      </w:r>
      <w:r>
        <w:rPr/>
        <w:t xml:space="preserve"> </w:t>
      </w:r>
      <w:r>
        <w:rPr>
          <w:rFonts w:ascii="Times New Roman;serif" w:hAnsi="Times New Roman;serif"/>
          <w:b w:val="false"/>
          <w:sz w:val="24"/>
        </w:rPr>
        <w:t>(as modified by Section 6(e), if applicable) will begin to be paid or provided (x) 15 days after the Release has become irrevocable, if the 45-day period following the cessation of employment does not straddle two calendar years; or (y) the later of 15 days after the Release has become irrevocable or the first regularly scheduled payroll date in the calendar year following the cessation of employment, if the 45-day period following such cessation straddles two calendar years.</w:t>
      </w:r>
    </w:p>
    <w:p>
      <w:pPr>
        <w:pStyle w:val="TextBody"/>
        <w:bidi w:val="0"/>
        <w:spacing w:before="0" w:after="240"/>
        <w:jc w:val="both"/>
        <w:rPr>
          <w:rFonts w:ascii="Times New Roman" w:hAnsi="Times New Roman"/>
          <w:b/>
          <w:sz w:val="24"/>
        </w:rPr>
      </w:pPr>
      <w:r>
        <w:rPr>
          <w:rFonts w:ascii="Times New Roman" w:hAnsi="Times New Roman"/>
          <w:b/>
          <w:sz w:val="24"/>
        </w:rPr>
        <w:t>(g)</w:t>
      </w:r>
    </w:p>
    <w:p>
      <w:pPr>
        <w:pStyle w:val="TextBody"/>
        <w:bidi w:val="0"/>
        <w:spacing w:before="0" w:after="240"/>
        <w:jc w:val="both"/>
        <w:rPr/>
      </w:pPr>
      <w:r>
        <w:rPr>
          <w:rFonts w:ascii="Times New Roman;serif" w:hAnsi="Times New Roman;serif"/>
          <w:b/>
          <w:sz w:val="24"/>
        </w:rPr>
        <w:t>Death or Disability</w:t>
      </w:r>
      <w:r>
        <w:rPr>
          <w:rFonts w:ascii="Times New Roman;serif" w:hAnsi="Times New Roman;serif"/>
          <w:b w:val="false"/>
          <w:sz w:val="24"/>
        </w:rPr>
        <w:t>. If the Executive</w:t>
      </w:r>
      <w:r>
        <w:rPr/>
        <w:t xml:space="preserve">’ </w:t>
      </w:r>
      <w:r>
        <w:rPr>
          <w:rFonts w:ascii="Times New Roman;serif" w:hAnsi="Times New Roman;serif"/>
          <w:b w:val="false"/>
          <w:sz w:val="24"/>
        </w:rPr>
        <w:t>s employment ceases due to the Executive’s death or Disability, then in addition to the Accrued Rights, the Executive (or his estate or personal representative, as applicable) will be entitled to receive any otherwise unpaid Prior Year Bonus. Such Prior Year Bonus, if any, will be paid on the same date that annual bonuses are paid to other executive officers generally with respect to the applicable year.</w:t>
      </w:r>
    </w:p>
    <w:p>
      <w:pPr>
        <w:pStyle w:val="TextBody"/>
        <w:bidi w:val="0"/>
        <w:spacing w:before="0" w:after="240"/>
        <w:jc w:val="both"/>
        <w:rPr>
          <w:rFonts w:ascii="Times New Roman" w:hAnsi="Times New Roman"/>
          <w:b/>
          <w:sz w:val="24"/>
        </w:rPr>
      </w:pPr>
      <w:r>
        <w:rPr>
          <w:rFonts w:ascii="Times New Roman" w:hAnsi="Times New Roman"/>
          <w:b/>
          <w:sz w:val="24"/>
        </w:rPr>
        <w:t>7.</w:t>
      </w:r>
    </w:p>
    <w:p>
      <w:pPr>
        <w:pStyle w:val="TextBody"/>
        <w:bidi w:val="0"/>
        <w:spacing w:before="0" w:after="240"/>
        <w:jc w:val="both"/>
        <w:rPr/>
      </w:pPr>
      <w:r>
        <w:rPr>
          <w:rFonts w:ascii="Times New Roman;serif" w:hAnsi="Times New Roman;serif"/>
          <w:b/>
          <w:sz w:val="24"/>
        </w:rPr>
        <w:t>Notices</w:t>
      </w:r>
      <w:r>
        <w:rPr>
          <w:rFonts w:ascii="Times New Roman;serif" w:hAnsi="Times New Roman;serif"/>
          <w:b w:val="false"/>
          <w:sz w:val="24"/>
        </w:rPr>
        <w:t>. All notices, demands or other communications hereunder shall be in writing and shall be deemed to have been duly given if delivered in person, by e-mail or fax, by United States mail, certified or registered with return receipt requested, or by a nationally recognized overnight courier service, or otherwise actually delivered: (a) if to the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pStyle w:val="TextBody"/>
        <w:bidi w:val="0"/>
        <w:spacing w:before="0" w:after="240"/>
        <w:jc w:val="both"/>
        <w:rPr>
          <w:rFonts w:ascii="Times New Roman" w:hAnsi="Times New Roman"/>
          <w:b/>
          <w:sz w:val="24"/>
        </w:rPr>
      </w:pPr>
      <w:r>
        <w:rPr>
          <w:rFonts w:ascii="Times New Roman" w:hAnsi="Times New Roman"/>
          <w:b/>
          <w:sz w:val="24"/>
        </w:rPr>
        <w:t>8.</w:t>
      </w:r>
    </w:p>
    <w:p>
      <w:pPr>
        <w:pStyle w:val="TextBody"/>
        <w:bidi w:val="0"/>
        <w:spacing w:before="0" w:after="240"/>
        <w:jc w:val="both"/>
        <w:rPr/>
      </w:pPr>
      <w:r>
        <w:rPr>
          <w:rFonts w:ascii="Times New Roman;serif" w:hAnsi="Times New Roman;serif"/>
          <w:b/>
          <w:sz w:val="24"/>
        </w:rPr>
        <w:t>Governing Law</w:t>
      </w:r>
      <w:r>
        <w:rPr>
          <w:rFonts w:ascii="Times New Roman;serif" w:hAnsi="Times New Roman;serif"/>
          <w:b w:val="false"/>
          <w:sz w:val="24"/>
        </w:rPr>
        <w:t>. This Agreement shall be governed by and construed in accordance with the internal laws of the State of Delaware, without regard to its choice of law provisions.</w:t>
      </w:r>
    </w:p>
    <w:p>
      <w:pPr>
        <w:pStyle w:val="TextBody"/>
        <w:bidi w:val="0"/>
        <w:spacing w:before="0" w:after="240"/>
        <w:jc w:val="both"/>
        <w:rPr>
          <w:rFonts w:ascii="Times New Roman" w:hAnsi="Times New Roman"/>
          <w:b/>
          <w:sz w:val="24"/>
        </w:rPr>
      </w:pPr>
      <w:r>
        <w:rPr>
          <w:rFonts w:ascii="Times New Roman" w:hAnsi="Times New Roman"/>
          <w:b/>
          <w:sz w:val="24"/>
        </w:rPr>
        <w:t>9.</w:t>
      </w:r>
    </w:p>
    <w:p>
      <w:pPr>
        <w:pStyle w:val="TextBody"/>
        <w:bidi w:val="0"/>
        <w:spacing w:before="0" w:after="240"/>
        <w:jc w:val="both"/>
        <w:rPr/>
      </w:pPr>
      <w:r>
        <w:rPr>
          <w:rFonts w:ascii="Times New Roman;serif" w:hAnsi="Times New Roman;serif"/>
          <w:b/>
          <w:sz w:val="24"/>
        </w:rPr>
        <w:t>Arbitration</w:t>
      </w:r>
      <w:r>
        <w:rPr>
          <w:rFonts w:ascii="Times New Roman;serif" w:hAnsi="Times New Roman;serif"/>
          <w:b w:val="false"/>
          <w:sz w:val="24"/>
        </w:rPr>
        <w:t>. In the event of any dispute under the provisions of this Agreement or otherwise regarding the Executive’s employment or compensation (other than a dispute in which the primary relief sought is an injunction or other equitable remedy, such as an action to enforce compliance with the Restrictive Covenant Agreement), the parties shall be required to have the dispute, controversy or claim settled by arbitration in Philadelphia, Pennsylvania in accordance with the National Rules for the Resolution of Employment Disputes then in effect of the American Arbitration Association (“</w:t>
      </w:r>
      <w:r>
        <w:rPr>
          <w:rFonts w:ascii="Times New Roman;serif" w:hAnsi="Times New Roman;serif"/>
          <w:b/>
          <w:sz w:val="24"/>
        </w:rPr>
        <w:t>AAA</w:t>
      </w:r>
      <w:r>
        <w:rPr/>
        <w:t>”</w:t>
      </w:r>
      <w:r>
        <w:rPr>
          <w:rFonts w:ascii="Times New Roman;serif" w:hAnsi="Times New Roman;serif"/>
          <w:b w:val="false"/>
          <w:sz w:val="24"/>
        </w:rPr>
        <w:t xml:space="preserve">), by one arbitrator mutually agreed upon by the parties (or, if no agreement can be reached within 30 days after names of potential arbitrators have been proposed by the AAA, then by one arbitrator having relevant experience who is </w:t>
      </w:r>
    </w:p>
    <w:p>
      <w:pPr>
        <w:pStyle w:val="TextBody"/>
        <w:bidi w:val="0"/>
        <w:spacing w:before="0" w:after="240"/>
        <w:jc w:val="both"/>
        <w:rPr>
          <w:rFonts w:ascii="Times New Roman" w:hAnsi="Times New Roman"/>
          <w:sz w:val="20"/>
        </w:rPr>
      </w:pPr>
      <w:r>
        <w:rPr>
          <w:rFonts w:ascii="Times New Roman;serif" w:hAnsi="Times New Roman;serif"/>
          <w:b w:val="false"/>
          <w:sz w:val="24"/>
        </w:rPr>
        <w:t>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will be responsible for its own expenses relating to the conduct of the arbitration (including reasonable attorneys’ fees and expenses) and will share equally the fees of the arbitrator.</w:t>
      </w:r>
    </w:p>
    <w:p>
      <w:pPr>
        <w:pStyle w:val="TextBody"/>
        <w:bidi w:val="0"/>
        <w:spacing w:before="0" w:after="240"/>
        <w:jc w:val="both"/>
        <w:rPr>
          <w:rFonts w:ascii="Times New Roman" w:hAnsi="Times New Roman"/>
          <w:b/>
          <w:sz w:val="24"/>
        </w:rPr>
      </w:pPr>
      <w:r>
        <w:rPr>
          <w:rFonts w:ascii="Times New Roman" w:hAnsi="Times New Roman"/>
          <w:b/>
          <w:sz w:val="24"/>
        </w:rPr>
        <w:t>10.</w:t>
      </w:r>
    </w:p>
    <w:p>
      <w:pPr>
        <w:pStyle w:val="TextBody"/>
        <w:bidi w:val="0"/>
        <w:spacing w:before="0" w:after="240"/>
        <w:jc w:val="both"/>
        <w:rPr/>
      </w:pPr>
      <w:r>
        <w:rPr>
          <w:rFonts w:ascii="Times New Roman;serif" w:hAnsi="Times New Roman;serif"/>
          <w:b/>
          <w:sz w:val="24"/>
        </w:rPr>
        <w:t>Amendments</w:t>
      </w:r>
      <w:r>
        <w:rPr>
          <w:rFonts w:ascii="Times New Roman;serif" w:hAnsi="Times New Roman;serif"/>
          <w:b w:val="false"/>
          <w:sz w:val="24"/>
        </w:rPr>
        <w:t>. This Agreement may be amended or modified only by a written instrument signed by a duly authorized officer of the Company and the Executive.</w:t>
      </w:r>
    </w:p>
    <w:p>
      <w:pPr>
        <w:pStyle w:val="TextBody"/>
        <w:bidi w:val="0"/>
        <w:spacing w:before="0" w:after="240"/>
        <w:jc w:val="both"/>
        <w:rPr>
          <w:rFonts w:ascii="Times New Roman" w:hAnsi="Times New Roman"/>
          <w:b/>
          <w:sz w:val="24"/>
        </w:rPr>
      </w:pPr>
      <w:r>
        <w:rPr>
          <w:rFonts w:ascii="Times New Roman" w:hAnsi="Times New Roman"/>
          <w:b/>
          <w:sz w:val="24"/>
        </w:rPr>
        <w:t>11.</w:t>
      </w:r>
    </w:p>
    <w:p>
      <w:pPr>
        <w:pStyle w:val="TextBody"/>
        <w:bidi w:val="0"/>
        <w:spacing w:before="0" w:after="240"/>
        <w:jc w:val="both"/>
        <w:rPr/>
      </w:pPr>
      <w:r>
        <w:rPr>
          <w:rFonts w:ascii="Times New Roman;serif" w:hAnsi="Times New Roman;serif"/>
          <w:b/>
          <w:sz w:val="24"/>
        </w:rPr>
        <w:t>No Waivers</w:t>
      </w:r>
      <w:r>
        <w:rPr>
          <w:rFonts w:ascii="Times New Roman;serif" w:hAnsi="Times New Roman;serif"/>
          <w:b w:val="false"/>
          <w:sz w:val="24"/>
        </w:rPr>
        <w:t>. No waiver of this Agreement or any provision hereof shall be binding upon the party against whom enforcement of such waiver is sought unless it is made in writing and signed by or on behalf of such party. The waiver of a breach of any provision of this Agreement shall not be construed as a waiver or a continuing waiver of the same or any subsequent breach of any provision of this Agreement. No delay or omission in exercising any right under this Agreement shall operate as a waiver of that or any other right.</w:t>
      </w:r>
    </w:p>
    <w:p>
      <w:pPr>
        <w:pStyle w:val="TextBody"/>
        <w:bidi w:val="0"/>
        <w:spacing w:before="0" w:after="240"/>
        <w:jc w:val="both"/>
        <w:rPr>
          <w:rFonts w:ascii="Times New Roman" w:hAnsi="Times New Roman"/>
          <w:b/>
          <w:sz w:val="24"/>
        </w:rPr>
      </w:pPr>
      <w:r>
        <w:rPr>
          <w:rFonts w:ascii="Times New Roman" w:hAnsi="Times New Roman"/>
          <w:b/>
          <w:sz w:val="24"/>
        </w:rPr>
        <w:t>12.</w:t>
      </w:r>
    </w:p>
    <w:p>
      <w:pPr>
        <w:pStyle w:val="TextBody"/>
        <w:bidi w:val="0"/>
        <w:spacing w:before="0" w:after="240"/>
        <w:jc w:val="both"/>
        <w:rPr/>
      </w:pPr>
      <w:r>
        <w:rPr>
          <w:rFonts w:ascii="Times New Roman;serif" w:hAnsi="Times New Roman;serif"/>
          <w:b/>
          <w:sz w:val="24"/>
        </w:rPr>
        <w:t>Binding Effect</w:t>
      </w:r>
      <w:r>
        <w:rPr>
          <w:rFonts w:ascii="Times New Roman;serif" w:hAnsi="Times New Roman;serif"/>
          <w:b w:val="false"/>
          <w:sz w:val="24"/>
        </w:rPr>
        <w:t>. This Agreement shall be binding on and inure to the benefit of the parties hereto and their respective heirs, executors and administrators, successors and assigns, except that the rights and obligations of the Executive hereunder are personal and may not be assigned without the Company</w:t>
      </w:r>
      <w:r>
        <w:rPr/>
        <w:t xml:space="preserve">’ </w:t>
      </w:r>
      <w:r>
        <w:rPr>
          <w:rFonts w:ascii="Times New Roman;serif" w:hAnsi="Times New Roman;serif"/>
          <w:b w:val="false"/>
          <w:sz w:val="24"/>
        </w:rPr>
        <w:t>s prior written consent. Any assignment of this Agreement by the Company shall not be considered a termination of the Executive’s employment.</w:t>
      </w:r>
    </w:p>
    <w:p>
      <w:pPr>
        <w:pStyle w:val="TextBody"/>
        <w:bidi w:val="0"/>
        <w:spacing w:before="0" w:after="240"/>
        <w:jc w:val="both"/>
        <w:rPr>
          <w:rFonts w:ascii="Times New Roman" w:hAnsi="Times New Roman"/>
          <w:b/>
          <w:sz w:val="24"/>
        </w:rPr>
      </w:pPr>
      <w:r>
        <w:rPr>
          <w:rFonts w:ascii="Times New Roman" w:hAnsi="Times New Roman"/>
          <w:b/>
          <w:sz w:val="24"/>
        </w:rPr>
        <w:t>13.</w:t>
      </w:r>
    </w:p>
    <w:p>
      <w:pPr>
        <w:pStyle w:val="TextBody"/>
        <w:bidi w:val="0"/>
        <w:spacing w:before="0" w:after="240"/>
        <w:jc w:val="both"/>
        <w:rPr/>
      </w:pPr>
      <w:r>
        <w:rPr>
          <w:rFonts w:ascii="Times New Roman;serif" w:hAnsi="Times New Roman;serif"/>
          <w:b/>
          <w:sz w:val="24"/>
        </w:rPr>
        <w:t>Entire Agreement</w:t>
      </w:r>
      <w:r>
        <w:rPr>
          <w:rFonts w:ascii="Times New Roman;serif" w:hAnsi="Times New Roman;serif"/>
          <w:b w:val="false"/>
          <w:sz w:val="24"/>
        </w:rPr>
        <w:t>. This Agreement, together with the Restrictive Covenant Agreement, constitutes the final and entire agreement of the parties with respect to the matters covered hereby and replaces and supersedes all other agreements and understandings relating hereto and to the Executive</w:t>
      </w:r>
      <w:r>
        <w:rPr/>
        <w:t>’</w:t>
      </w:r>
      <w:r>
        <w:rPr>
          <w:rFonts w:ascii="Times New Roman;serif" w:hAnsi="Times New Roman;serif"/>
          <w:b w:val="false"/>
          <w:sz w:val="24"/>
        </w:rPr>
        <w:t>s employment.</w:t>
      </w:r>
    </w:p>
    <w:p>
      <w:pPr>
        <w:pStyle w:val="TextBody"/>
        <w:bidi w:val="0"/>
        <w:spacing w:before="0" w:after="240"/>
        <w:jc w:val="both"/>
        <w:rPr>
          <w:rFonts w:ascii="Times New Roman" w:hAnsi="Times New Roman"/>
          <w:b/>
          <w:sz w:val="24"/>
        </w:rPr>
      </w:pPr>
      <w:r>
        <w:rPr>
          <w:rFonts w:ascii="Times New Roman" w:hAnsi="Times New Roman"/>
          <w:b/>
          <w:sz w:val="24"/>
        </w:rPr>
        <w:t>14.</w:t>
      </w:r>
    </w:p>
    <w:p>
      <w:pPr>
        <w:pStyle w:val="TextBody"/>
        <w:bidi w:val="0"/>
        <w:spacing w:before="0" w:after="240"/>
        <w:jc w:val="both"/>
        <w:rPr/>
      </w:pPr>
      <w:r>
        <w:rPr>
          <w:rFonts w:ascii="Times New Roman;serif" w:hAnsi="Times New Roman;serif"/>
          <w:b/>
          <w:sz w:val="24"/>
        </w:rPr>
        <w:t>Counterparts</w:t>
      </w:r>
      <w:r>
        <w:rPr>
          <w:rFonts w:ascii="Times New Roman;serif" w:hAnsi="Times New Roman;serif"/>
          <w:b w:val="false"/>
          <w:sz w:val="24"/>
        </w:rPr>
        <w:t>. This Agreement may be executed in any number of counterparts, including counterpart signature pages or counterpart facsimile signature pages, each of which shall be deemed an original, but all of which together shall constitute one and the same instrument.</w:t>
      </w:r>
    </w:p>
    <w:p>
      <w:pPr>
        <w:pStyle w:val="TextBody"/>
        <w:bidi w:val="0"/>
        <w:spacing w:before="0" w:after="240"/>
        <w:jc w:val="both"/>
        <w:rPr>
          <w:rFonts w:ascii="Times New Roman" w:hAnsi="Times New Roman"/>
          <w:b/>
          <w:sz w:val="24"/>
        </w:rPr>
      </w:pPr>
      <w:r>
        <w:rPr>
          <w:rFonts w:ascii="Times New Roman" w:hAnsi="Times New Roman"/>
          <w:b/>
          <w:sz w:val="24"/>
        </w:rPr>
        <w:t>15.</w:t>
      </w:r>
    </w:p>
    <w:p>
      <w:pPr>
        <w:pStyle w:val="TextBody"/>
        <w:bidi w:val="0"/>
        <w:spacing w:before="0" w:after="240"/>
        <w:jc w:val="both"/>
        <w:rPr/>
      </w:pPr>
      <w:r>
        <w:rPr>
          <w:rFonts w:ascii="Times New Roman;serif" w:hAnsi="Times New Roman;serif"/>
          <w:b/>
          <w:sz w:val="24"/>
        </w:rPr>
        <w:t>No Conflicting Agreements</w:t>
      </w:r>
      <w:r>
        <w:rPr>
          <w:rFonts w:ascii="Times New Roman;serif" w:hAnsi="Times New Roman;serif"/>
          <w:b w:val="false"/>
          <w:sz w:val="24"/>
        </w:rPr>
        <w:t>. The Executive represents and warrants that he is not a party to or otherwise bound by any agreement or restriction that could conflict with, or be violated by, the performance of his duties to the Company or his obligations under this Agreement. Executive will not use or misappropriate any intellectual property, trade secrets or confidential information belonging to any third party.</w:t>
      </w:r>
    </w:p>
    <w:p>
      <w:pPr>
        <w:pStyle w:val="TextBody"/>
        <w:bidi w:val="0"/>
        <w:spacing w:before="0" w:after="240"/>
        <w:jc w:val="both"/>
        <w:rPr>
          <w:rFonts w:ascii="Times New Roman" w:hAnsi="Times New Roman"/>
          <w:b/>
          <w:sz w:val="24"/>
        </w:rPr>
      </w:pPr>
      <w:r>
        <w:rPr>
          <w:rFonts w:ascii="Times New Roman" w:hAnsi="Times New Roman"/>
          <w:b/>
          <w:sz w:val="24"/>
        </w:rPr>
        <w:t>16.</w:t>
      </w:r>
    </w:p>
    <w:p>
      <w:pPr>
        <w:pStyle w:val="TextBody"/>
        <w:bidi w:val="0"/>
        <w:spacing w:before="0" w:after="240"/>
        <w:jc w:val="both"/>
        <w:rPr/>
      </w:pPr>
      <w:r>
        <w:rPr>
          <w:rFonts w:ascii="Times New Roman;serif" w:hAnsi="Times New Roman;serif"/>
          <w:b/>
          <w:sz w:val="24"/>
        </w:rPr>
        <w:t>Interpretation</w:t>
      </w:r>
      <w:r>
        <w:rPr>
          <w:rFonts w:ascii="Times New Roman;serif" w:hAnsi="Times New Roman;serif"/>
          <w:b w:val="false"/>
          <w:sz w:val="24"/>
        </w:rPr>
        <w:t xml:space="preserve">. The captions of the sections of this Agreement are for convenience of reference only and in no way define, limit or affect the scope or substance of any section of this Agreement. The parties have participated jointly in the negotiation and drafting of this Agreement. In the event an ambiguity or question of intent or interpretation arises under any provision of this Agreement, this Agreement shall be construed as if drafted jointly by the parties </w:t>
      </w:r>
    </w:p>
    <w:p>
      <w:pPr>
        <w:pStyle w:val="TextBody"/>
        <w:bidi w:val="0"/>
        <w:spacing w:before="0" w:after="240"/>
        <w:jc w:val="both"/>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thereto, and no presumption or burden of proof shall arise favoring or disfavoring any party by virtue of authoring any of the provisions of this Agreement.</w:t>
      </w:r>
    </w:p>
    <w:p>
      <w:pPr>
        <w:pStyle w:val="TextBody"/>
        <w:bidi w:val="0"/>
        <w:spacing w:before="0" w:after="240"/>
        <w:jc w:val="both"/>
        <w:rPr>
          <w:rFonts w:ascii="Times New Roman" w:hAnsi="Times New Roman"/>
          <w:b/>
          <w:sz w:val="24"/>
        </w:rPr>
      </w:pPr>
      <w:r>
        <w:rPr>
          <w:rFonts w:ascii="Times New Roman" w:hAnsi="Times New Roman"/>
          <w:b/>
          <w:sz w:val="24"/>
        </w:rPr>
        <w:t>17.</w:t>
      </w:r>
    </w:p>
    <w:p>
      <w:pPr>
        <w:pStyle w:val="TextBody"/>
        <w:bidi w:val="0"/>
        <w:spacing w:before="0" w:after="240"/>
        <w:jc w:val="both"/>
        <w:rPr/>
      </w:pPr>
      <w:r>
        <w:rPr>
          <w:rFonts w:ascii="Times New Roman;serif" w:hAnsi="Times New Roman;serif"/>
          <w:b/>
          <w:sz w:val="24"/>
        </w:rPr>
        <w:t>Section 409A</w:t>
      </w:r>
      <w:r>
        <w:rPr>
          <w:rFonts w:ascii="Times New Roman;serif" w:hAnsi="Times New Roman;serif"/>
          <w:b w:val="false"/>
          <w:sz w:val="24"/>
        </w:rPr>
        <w:t>.</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sz w:val="24"/>
        </w:rPr>
      </w:pPr>
      <w:r>
        <w:rPr>
          <w:rFonts w:ascii="Times New Roman" w:hAnsi="Times New Roman"/>
          <w:b/>
          <w:sz w:val="24"/>
        </w:rPr>
        <w:t>(a)</w:t>
      </w:r>
    </w:p>
    <w:p>
      <w:pPr>
        <w:pStyle w:val="TextBody"/>
        <w:bidi w:val="0"/>
        <w:spacing w:before="0" w:after="240"/>
        <w:jc w:val="both"/>
        <w:rPr/>
      </w:pPr>
      <w:r>
        <w:rPr>
          <w:rFonts w:ascii="Times New Roman;serif" w:hAnsi="Times New Roman;serif"/>
          <w:b w:val="false"/>
          <w:sz w:val="24"/>
        </w:rPr>
        <w:t xml:space="preserve">The parties intend for this Agreement to comply with or be exempt from Section 409A of the Internal Revenue Code of 1986, as amended (the </w:t>
      </w:r>
      <w:r>
        <w:rPr/>
        <w:t>“</w:t>
      </w:r>
      <w:r>
        <w:rPr>
          <w:rFonts w:ascii="Times New Roman;serif" w:hAnsi="Times New Roman;serif"/>
          <w:b/>
          <w:sz w:val="24"/>
        </w:rPr>
        <w:t>Code</w:t>
      </w:r>
      <w:r>
        <w:rPr/>
        <w:t>”</w:t>
      </w:r>
      <w:r>
        <w:rPr>
          <w:rFonts w:ascii="Times New Roman;serif" w:hAnsi="Times New Roman;serif"/>
          <w:b w:val="false"/>
          <w:sz w:val="24"/>
        </w:rPr>
        <w:t>), and all provisions of this Agreement will be interpreted and applied accordingly. Nonetheless, the Company does not guaranty the tax treatment of any compensation payable to the Executive.</w:t>
      </w:r>
    </w:p>
    <w:p>
      <w:pPr>
        <w:pStyle w:val="TextBody"/>
        <w:bidi w:val="0"/>
        <w:spacing w:before="0" w:after="240"/>
        <w:jc w:val="both"/>
        <w:rPr>
          <w:rFonts w:ascii="Times New Roman" w:hAnsi="Times New Roman"/>
          <w:b/>
          <w:sz w:val="24"/>
        </w:rPr>
      </w:pPr>
      <w:r>
        <w:rPr>
          <w:rFonts w:ascii="Times New Roman" w:hAnsi="Times New Roman"/>
          <w:b/>
          <w:sz w:val="24"/>
        </w:rPr>
        <w:t>(b)</w:t>
      </w:r>
    </w:p>
    <w:p>
      <w:pPr>
        <w:pStyle w:val="TextBody"/>
        <w:bidi w:val="0"/>
        <w:spacing w:before="0" w:after="240"/>
        <w:jc w:val="both"/>
        <w:rPr/>
      </w:pPr>
      <w:r>
        <w:rPr>
          <w:rFonts w:ascii="Times New Roman;serif" w:hAnsi="Times New Roman;serif"/>
          <w:b w:val="false"/>
          <w:sz w:val="24"/>
        </w:rPr>
        <w:t xml:space="preserve">If the cessation of employment giving rise to the payments described in </w:t>
      </w:r>
      <w:r>
        <w:rPr>
          <w:rFonts w:ascii="Times New Roman;serif" w:hAnsi="Times New Roman;serif"/>
          <w:b w:val="false"/>
          <w:sz w:val="24"/>
          <w:u w:val="single"/>
        </w:rPr>
        <w:t>Section 6(d)</w:t>
      </w:r>
      <w:r>
        <w:rPr/>
        <w:t xml:space="preserve"> </w:t>
      </w:r>
      <w:r>
        <w:rPr>
          <w:rFonts w:ascii="Times New Roman;serif" w:hAnsi="Times New Roman;serif"/>
          <w:b w:val="false"/>
          <w:sz w:val="24"/>
        </w:rPr>
        <w:t>(as modified by Section 6(e), if applicable) is not a “Separation from Service” within the meaning of Treas. Reg. § 1.409A-1(h)(1) (or any successor provision), then the amounts otherwise payable pursuant to that section will instead be deferred without interest and will not be paid until the Executive experiences a Separation from Service. In addition, to the extent compliance with the requirements of Treas. Reg. § 1.409A-3(i)(2) (or any successor provision) is necessary to avoid the application of an additional tax under Section 409A of the Code to payments due to the Executive upon or following his Separation from Service, then notwithstanding any other provision of this Agreement (or any otherwise applicable plan, policy, agreement or arrangement), any such payments that are otherwise due within six months following the Executive’s Separation from Service (taking into account the preceding sentence of this paragraph) will be deferred without interest and paid to Executive in a lump sum immediately following that six-month period. This paragraph should not be construed to prevent the application of Treas. Reg. § 1.409A-1(b)(9)(iii)(or any successor provision) to amounts payable hereunder. For purposes of the application of Treas. Reg. § 1.409A-1(b)(4)(or any successor provision), each payment in a series of payments will be deemed a separate payment.</w:t>
      </w:r>
    </w:p>
    <w:p>
      <w:pPr>
        <w:pStyle w:val="TextBody"/>
        <w:bidi w:val="0"/>
        <w:spacing w:before="0" w:after="240"/>
        <w:jc w:val="both"/>
        <w:rPr>
          <w:rFonts w:ascii="Times New Roman" w:hAnsi="Times New Roman"/>
          <w:b/>
          <w:sz w:val="24"/>
        </w:rPr>
      </w:pPr>
      <w:r>
        <w:rPr>
          <w:rFonts w:ascii="Times New Roman" w:hAnsi="Times New Roman"/>
          <w:b/>
          <w:sz w:val="24"/>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Notwithstanding anything in this Agreement to the contrary, to the extent an expense, reimbursement or in-kind benefit provided to the Executive pursuant to this Agreement or otherwise constitutes a “deferral of compensation” within the meaning of Section 409A of the Code (a) the amount of expenses eligible for reimbursement or in-kind benefits provided to the Executive during any calendar year will not affect the amount of expenses eligible for reimbursement or in-kind benefits provided to the Executive in any other calendar year, (b) the reimbursements for expenses for which the Executive is entitled to be reimbursed shall be made on or before the last day of the calendar year following the calendar year in which the applicable expense is incurred, and (c) the right to payment or reimbursement or in-kind benefits hereunder may not be liquidated or exchanged for any other benefit.</w:t>
      </w:r>
    </w:p>
    <w:p>
      <w:pPr>
        <w:pStyle w:val="TextBody"/>
        <w:bidi w:val="0"/>
        <w:spacing w:before="0" w:after="240"/>
        <w:jc w:val="both"/>
        <w:rPr>
          <w:rFonts w:ascii="Times New Roman" w:hAnsi="Times New Roman"/>
          <w:b/>
          <w:sz w:val="24"/>
        </w:rPr>
      </w:pPr>
      <w:r>
        <w:rPr>
          <w:rFonts w:ascii="Times New Roman" w:hAnsi="Times New Roman"/>
          <w:b/>
          <w:sz w:val="24"/>
        </w:rPr>
        <w:t>18.</w:t>
      </w:r>
    </w:p>
    <w:p>
      <w:pPr>
        <w:pStyle w:val="TextBody"/>
        <w:bidi w:val="0"/>
        <w:spacing w:before="0" w:after="240"/>
        <w:jc w:val="both"/>
        <w:rPr/>
      </w:pPr>
      <w:r>
        <w:rPr>
          <w:rFonts w:ascii="Times New Roman;serif" w:hAnsi="Times New Roman;serif"/>
          <w:b/>
          <w:sz w:val="24"/>
        </w:rPr>
        <w:t>Section 280G</w:t>
      </w:r>
      <w:r>
        <w:rPr>
          <w:rFonts w:ascii="Times New Roman;serif" w:hAnsi="Times New Roman;serif"/>
          <w:b w:val="false"/>
          <w:sz w:val="24"/>
        </w:rPr>
        <w:t>. Notwithstanding any other provision of this Agreement or the terms of any other agreement, award or plan, if any payment to or for the benefit of the Executive, whether paid or payable pursuant to the terms of this Agreement or otherwise (each, a “</w:t>
      </w:r>
      <w:r>
        <w:rPr>
          <w:rFonts w:ascii="Times New Roman;serif" w:hAnsi="Times New Roman;serif"/>
          <w:b/>
          <w:sz w:val="24"/>
        </w:rPr>
        <w:t>Payment</w:t>
      </w:r>
      <w:r>
        <w:rPr>
          <w:rFonts w:ascii="Times New Roman;serif" w:hAnsi="Times New Roman;serif"/>
          <w:b w:val="false"/>
          <w:sz w:val="24"/>
        </w:rPr>
        <w:t>,” and collectively, the “</w:t>
      </w:r>
      <w:r>
        <w:rPr>
          <w:rFonts w:ascii="Times New Roman;serif" w:hAnsi="Times New Roman;serif"/>
          <w:b/>
          <w:sz w:val="24"/>
        </w:rPr>
        <w:t>Total Payments</w:t>
      </w:r>
      <w:r>
        <w:rPr/>
        <w:t>”</w:t>
      </w:r>
      <w:r>
        <w:rPr>
          <w:rFonts w:ascii="Times New Roman;serif" w:hAnsi="Times New Roman;serif"/>
          <w:b w:val="false"/>
          <w:sz w:val="24"/>
        </w:rPr>
        <w:t>), would be subject (in whole or in part) to the excise tax imposed by Section 4999 of the Code (the “</w:t>
      </w:r>
      <w:r>
        <w:rPr>
          <w:rFonts w:ascii="Times New Roman;serif" w:hAnsi="Times New Roman;serif"/>
          <w:b/>
          <w:sz w:val="24"/>
        </w:rPr>
        <w:t>Excise Tax</w:t>
      </w:r>
      <w:r>
        <w:rPr/>
        <w:t>”</w:t>
      </w:r>
      <w:r>
        <w:rPr>
          <w:rFonts w:ascii="Times New Roman;serif" w:hAnsi="Times New Roman;serif"/>
          <w:b w:val="false"/>
          <w:sz w:val="24"/>
        </w:rPr>
        <w:t xml:space="preserve">), then the Total Payments shall be reduced to the minimum extent necessary to avoid the imposition of the Excise Tax on the Total Payments, but only if (i) the net amount of such Total Payments, as so reduced, is greater than or equal to (ii) the net amount of such Total Payments without such reduction (in </w:t>
      </w:r>
    </w:p>
    <w:p>
      <w:pPr>
        <w:pStyle w:val="TextBody"/>
        <w:bidi w:val="0"/>
        <w:spacing w:before="0" w:after="240"/>
        <w:jc w:val="both"/>
        <w:rPr>
          <w:rFonts w:ascii="Times New Roman" w:hAnsi="Times New Roman"/>
          <w:sz w:val="20"/>
        </w:rPr>
      </w:pPr>
      <w:r>
        <w:rPr>
          <w:rFonts w:ascii="Times New Roman;serif" w:hAnsi="Times New Roman;serif"/>
          <w:b w:val="false"/>
          <w:sz w:val="24"/>
        </w:rPr>
        <w:t>each case, after subtracting the expected federal, state and local taxes on such Total Payments and after taking into account the phase out of itemized deductions and personal exemptions attributable to such Total Payments). The reduction of the Total Payments contemplated in this paragraph will be implemented by determining the Parachute Payment Ratio (as defined below), as determined in good faith by the Company, for each Payment and then reducing the Total Payments in order</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beginning with the Payment with the highest Parachute Payment Ratio. For Payments with the same Parachute Payment Ratio, such Payments will be reduced based on the time of payment of such Payments, with the latest Payments reduced first. For Payments with the same Parachute Ratio and the same time of payment, each such Payment will be reduced proportionately. For purposes hereof, the term “</w:t>
      </w:r>
      <w:r>
        <w:rPr>
          <w:rFonts w:ascii="Times New Roman;serif" w:hAnsi="Times New Roman;serif"/>
          <w:b/>
          <w:sz w:val="24"/>
        </w:rPr>
        <w:t>Parachute Payment Ratio</w:t>
      </w:r>
      <w:r>
        <w:rPr>
          <w:rFonts w:ascii="Times New Roman" w:hAnsi="Times New Roman"/>
          <w:sz w:val="20"/>
        </w:rPr>
        <w:t xml:space="preserve">” </w:t>
      </w:r>
      <w:r>
        <w:rPr>
          <w:rFonts w:ascii="Times New Roman;serif" w:hAnsi="Times New Roman;serif"/>
          <w:b w:val="false"/>
          <w:sz w:val="24"/>
        </w:rPr>
        <w:t>shall mean a fraction, (x) the numerator of which is the value of the applicable Total Payment (as calculated for purposes of Section 280G of the Code), and (y) the denominator of which is the intrinsic (i.e., economic) value of such Total Payment.</w:t>
      </w:r>
    </w:p>
    <w:p>
      <w:pPr>
        <w:pStyle w:val="TextBody"/>
        <w:bidi w:val="0"/>
        <w:spacing w:before="0" w:after="240"/>
        <w:jc w:val="both"/>
        <w:rPr>
          <w:rFonts w:ascii="Times New Roman" w:hAnsi="Times New Roman"/>
          <w:b/>
          <w:sz w:val="24"/>
        </w:rPr>
      </w:pPr>
      <w:r>
        <w:rPr>
          <w:rFonts w:ascii="Times New Roman" w:hAnsi="Times New Roman"/>
          <w:b/>
          <w:sz w:val="24"/>
        </w:rPr>
        <w:t>19.</w:t>
      </w:r>
    </w:p>
    <w:p>
      <w:pPr>
        <w:pStyle w:val="TextBody"/>
        <w:bidi w:val="0"/>
        <w:spacing w:before="0" w:after="240"/>
        <w:jc w:val="both"/>
        <w:rPr/>
      </w:pPr>
      <w:r>
        <w:rPr>
          <w:rFonts w:ascii="Times New Roman;serif" w:hAnsi="Times New Roman;serif"/>
          <w:b/>
          <w:sz w:val="24"/>
        </w:rPr>
        <w:t>CARES Act Limitation</w:t>
      </w:r>
      <w:r>
        <w:rPr>
          <w:rFonts w:ascii="Times New Roman;serif" w:hAnsi="Times New Roman;serif"/>
          <w:b w:val="false"/>
          <w:sz w:val="24"/>
        </w:rPr>
        <w:t>. Notwithstanding anything to the contrary in this Agreement or otherwise, to the extent required to enable the Company to qualify for a loan, loan guarantee or other form of financial assistance with the Secretary of the Treasury or other governmental entity under the Coronavirus Aid, Relief, and Economic Security Act (as may be amended or modified, the “</w:t>
      </w:r>
      <w:r>
        <w:rPr>
          <w:rFonts w:ascii="Times New Roman;serif" w:hAnsi="Times New Roman;serif"/>
          <w:b/>
          <w:sz w:val="24"/>
        </w:rPr>
        <w:t>CARES Act</w:t>
      </w:r>
      <w:r>
        <w:rPr/>
        <w:t>”</w:t>
      </w:r>
      <w:r>
        <w:rPr>
          <w:rFonts w:ascii="Times New Roman;serif" w:hAnsi="Times New Roman;serif"/>
          <w:b w:val="false"/>
          <w:sz w:val="24"/>
        </w:rPr>
        <w:t>), the Executive’s rights to compensation from the Company, whether under this Agreement or otherwise, will be limited to the maximum amounts permitted under Section 4004 of the CARES Act.</w:t>
      </w:r>
    </w:p>
    <w:p>
      <w:pPr>
        <w:pStyle w:val="TextBody"/>
        <w:bidi w:val="0"/>
        <w:spacing w:before="0" w:after="240"/>
        <w:jc w:val="both"/>
        <w:rPr>
          <w:rFonts w:ascii="Times New Roman" w:hAnsi="Times New Roman"/>
          <w:b/>
          <w:sz w:val="24"/>
        </w:rPr>
      </w:pPr>
      <w:r>
        <w:rPr>
          <w:rFonts w:ascii="Times New Roman" w:hAnsi="Times New Roman"/>
          <w:b/>
          <w:sz w:val="24"/>
        </w:rPr>
        <w:t>20.</w:t>
      </w:r>
    </w:p>
    <w:p>
      <w:pPr>
        <w:pStyle w:val="TextBody"/>
        <w:bidi w:val="0"/>
        <w:spacing w:before="0" w:after="240"/>
        <w:jc w:val="both"/>
        <w:rPr/>
      </w:pPr>
      <w:r>
        <w:rPr>
          <w:rFonts w:ascii="Times New Roman;serif" w:hAnsi="Times New Roman;serif"/>
          <w:b/>
          <w:sz w:val="24"/>
        </w:rPr>
        <w:t>Company Policies</w:t>
      </w:r>
      <w:r>
        <w:rPr>
          <w:rFonts w:ascii="Times New Roman;serif" w:hAnsi="Times New Roman;serif"/>
          <w:b w:val="false"/>
          <w:sz w:val="24"/>
        </w:rPr>
        <w:t>. The Executive will be subject to all policies of the Company in effect from time to time, including (without limitation) policies regarding ethics, personal conduct, stock ownership, securities trading, clawback and hedging and pledging of securities.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This Agreement has been executed and delivered on the date first above written.</w:t>
      </w:r>
    </w:p>
    <w:p>
      <w:pPr>
        <w:pStyle w:val="TextBody"/>
        <w:bidi w:val="0"/>
        <w:spacing w:before="0" w:after="480"/>
        <w:jc w:val="left"/>
        <w:rPr>
          <w:rFonts w:ascii="Times New Roman;serif" w:hAnsi="Times New Roman;serif"/>
          <w:b w:val="false"/>
          <w:sz w:val="24"/>
        </w:rPr>
      </w:pPr>
      <w:r>
        <w:rPr>
          <w:rFonts w:ascii="Times New Roman;serif" w:hAnsi="Times New Roman;serif"/>
          <w:b w:val="false"/>
          <w:sz w:val="24"/>
        </w:rPr>
        <w:t>LARIMAR THERAPEUTICS, INC.</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Carole Ben-Maimon</w:t>
      </w:r>
    </w:p>
    <w:p>
      <w:pPr>
        <w:pStyle w:val="TextBody"/>
        <w:bidi w:val="0"/>
        <w:spacing w:before="0" w:after="240"/>
        <w:jc w:val="left"/>
        <w:rPr>
          <w:rFonts w:ascii="Times New Roman" w:hAnsi="Times New Roman"/>
          <w:sz w:val="20"/>
        </w:rPr>
      </w:pPr>
      <w:r>
        <w:rPr>
          <w:rFonts w:ascii="Times New Roman;serif" w:hAnsi="Times New Roman;serif"/>
          <w:b w:val="false"/>
          <w:sz w:val="24"/>
        </w:rPr>
        <w:t>Name: Carole Ben-Maimon</w:t>
      </w:r>
      <w:r>
        <w:rPr>
          <w:rFonts w:ascii="Times New Roman" w:hAnsi="Times New Roman"/>
          <w:sz w:val="20"/>
        </w:rPr>
        <w:t xml:space="preserve"> </w:t>
      </w:r>
    </w:p>
    <w:p>
      <w:pPr>
        <w:pStyle w:val="TextBody"/>
        <w:bidi w:val="0"/>
        <w:spacing w:before="0" w:after="600"/>
        <w:jc w:val="left"/>
        <w:rPr>
          <w:rFonts w:ascii="Times New Roman;serif" w:hAnsi="Times New Roman;serif"/>
          <w:b w:val="false"/>
          <w:sz w:val="24"/>
        </w:rPr>
      </w:pPr>
      <w:r>
        <w:rPr>
          <w:rFonts w:ascii="Times New Roman;serif" w:hAnsi="Times New Roman;serif"/>
          <w:b w:val="false"/>
          <w:sz w:val="24"/>
        </w:rPr>
        <w:t>Title: President and CEO</w:t>
      </w:r>
    </w:p>
    <w:p>
      <w:pPr>
        <w:pStyle w:val="TextBody"/>
        <w:bidi w:val="0"/>
        <w:spacing w:before="0" w:after="480"/>
        <w:jc w:val="left"/>
        <w:rPr>
          <w:rFonts w:ascii="Times New Roman;serif" w:hAnsi="Times New Roman;serif"/>
          <w:b w:val="false"/>
          <w:sz w:val="24"/>
        </w:rPr>
      </w:pPr>
      <w:r>
        <w:rPr>
          <w:rFonts w:ascii="Times New Roman;serif" w:hAnsi="Times New Roman;serif"/>
          <w:b w:val="false"/>
          <w:sz w:val="24"/>
        </w:rPr>
        <w:t>EXECUTIVE</w:t>
      </w:r>
    </w:p>
    <w:p>
      <w:pPr>
        <w:pStyle w:val="TextBody"/>
        <w:bidi w:val="0"/>
        <w:spacing w:before="0" w:after="240"/>
        <w:jc w:val="left"/>
        <w:rPr>
          <w:rFonts w:ascii="Times New Roman;serif" w:hAnsi="Times New Roman;serif"/>
          <w:b w:val="false"/>
          <w:sz w:val="24"/>
          <w:u w:val="single"/>
        </w:rPr>
      </w:pPr>
      <w:r>
        <w:rPr>
          <w:rFonts w:ascii="Times New Roman;serif" w:hAnsi="Times New Roman;serif"/>
          <w:b w:val="false"/>
          <w:sz w:val="24"/>
          <w:u w:val="single"/>
        </w:rPr>
        <w:t>/s/ Russell Clayton</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Russell G. Clayton Sr., D.O.</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w:t>
      </w:r>
      <w:r>
        <w:rPr>
          <w:rFonts w:ascii="Times New Roman;serif" w:hAnsi="Times New Roman;serif"/>
          <w:b/>
          <w:i/>
          <w:sz w:val="24"/>
        </w:rPr>
        <w:t>SIGNATURE PAGE TO EMPLOYMENT AGREEMENT</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val="false"/>
          <w:sz w:val="22"/>
          <w:u w:val="single"/>
        </w:rPr>
      </w:pPr>
      <w:r>
        <w:rPr>
          <w:rFonts w:ascii="Times New Roman;serif" w:hAnsi="Times New Roman;serif"/>
          <w:b w:val="false"/>
          <w:sz w:val="22"/>
          <w:u w:val="single"/>
        </w:rPr>
        <w:t>Appendix A</w:t>
      </w:r>
    </w:p>
    <w:p>
      <w:pPr>
        <w:pStyle w:val="TextBody"/>
        <w:bidi w:val="0"/>
        <w:spacing w:before="0" w:after="240"/>
        <w:jc w:val="center"/>
        <w:rPr>
          <w:rFonts w:ascii="Times New Roman;serif" w:hAnsi="Times New Roman;serif"/>
          <w:b/>
          <w:sz w:val="22"/>
        </w:rPr>
      </w:pPr>
      <w:r>
        <w:rPr>
          <w:rFonts w:ascii="Times New Roman;serif" w:hAnsi="Times New Roman;serif"/>
          <w:b/>
          <w:sz w:val="22"/>
        </w:rPr>
        <w:t>LARIMAR THERAPEUTICS, INC.</w:t>
      </w:r>
    </w:p>
    <w:p>
      <w:pPr>
        <w:pStyle w:val="TextBody"/>
        <w:bidi w:val="0"/>
        <w:spacing w:before="0" w:after="240"/>
        <w:jc w:val="center"/>
        <w:rPr>
          <w:rFonts w:ascii="Times New Roman" w:hAnsi="Times New Roman"/>
          <w:sz w:val="20"/>
        </w:rPr>
      </w:pPr>
      <w:r>
        <w:rPr>
          <w:rFonts w:ascii="Times New Roman;serif" w:hAnsi="Times New Roman;serif"/>
          <w:b/>
          <w:sz w:val="22"/>
        </w:rPr>
        <w:t>Confidentiality, Intellectual Property Assignment and</w:t>
        <w:br/>
        <w:t>Restrictive Covenant Agreement (the “</w:t>
      </w:r>
      <w:r>
        <w:rPr>
          <w:rFonts w:ascii="Times New Roman;serif" w:hAnsi="Times New Roman;serif"/>
          <w:b/>
          <w:sz w:val="22"/>
          <w:u w:val="single"/>
        </w:rPr>
        <w:t>Agreement</w:t>
      </w:r>
      <w:r>
        <w:rPr>
          <w:rFonts w:ascii="Times New Roman" w:hAnsi="Times New Roman"/>
          <w:sz w:val="20"/>
        </w:rPr>
        <w:t>”</w:t>
      </w:r>
      <w:r>
        <w:rPr>
          <w:rFonts w:ascii="Times New Roman;serif" w:hAnsi="Times New Roman;serif"/>
          <w:b/>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In consideration and as a condition of my service relationship, whether as an employee, consultant, advisor or otherwise (collectively, “</w:t>
      </w:r>
      <w:r>
        <w:rPr>
          <w:rFonts w:ascii="Times New Roman;serif" w:hAnsi="Times New Roman;serif"/>
          <w:b w:val="false"/>
          <w:sz w:val="22"/>
          <w:u w:val="single"/>
        </w:rPr>
        <w:t>Service Relationship</w:t>
      </w:r>
      <w:r>
        <w:rPr>
          <w:rFonts w:ascii="Times New Roman" w:hAnsi="Times New Roman"/>
          <w:sz w:val="20"/>
        </w:rPr>
        <w:t>”</w:t>
      </w:r>
      <w:r>
        <w:rPr>
          <w:rFonts w:ascii="Times New Roman;serif" w:hAnsi="Times New Roman;serif"/>
          <w:b w:val="false"/>
          <w:sz w:val="22"/>
        </w:rPr>
        <w:t>) with Larimar Therapeutics, Inc. or any of its current or future parents, subsidiaries or affiliates (collectively,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I agree as follows:</w:t>
      </w:r>
    </w:p>
    <w:p>
      <w:pPr>
        <w:pStyle w:val="TextBody"/>
        <w:bidi w:val="0"/>
        <w:spacing w:before="0" w:after="240"/>
        <w:jc w:val="both"/>
        <w:rPr>
          <w:rFonts w:ascii="Times New Roman" w:hAnsi="Times New Roman"/>
          <w:b w:val="false"/>
          <w:sz w:val="24"/>
        </w:rPr>
      </w:pPr>
      <w:r>
        <w:rPr>
          <w:rFonts w:ascii="Times New Roman" w:hAnsi="Times New Roman"/>
          <w:b w:val="false"/>
          <w:sz w:val="24"/>
        </w:rPr>
        <w:t>1.</w:t>
      </w:r>
    </w:p>
    <w:p>
      <w:pPr>
        <w:pStyle w:val="TextBody"/>
        <w:bidi w:val="0"/>
        <w:spacing w:before="0" w:after="240"/>
        <w:jc w:val="both"/>
        <w:rPr/>
      </w:pPr>
      <w:r>
        <w:rPr>
          <w:rFonts w:ascii="Times New Roman;serif" w:hAnsi="Times New Roman;serif"/>
          <w:b w:val="false"/>
          <w:sz w:val="22"/>
          <w:u w:val="single"/>
        </w:rPr>
        <w:t>Confidential Information</w:t>
      </w:r>
      <w:r>
        <w:rPr>
          <w:rFonts w:ascii="Times New Roman;serif" w:hAnsi="Times New Roman;serif"/>
          <w:b w:val="false"/>
          <w:sz w:val="22"/>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2"/>
        </w:rPr>
        <w:t>I agree that all information, whether or not in writing, concerning the Company’s business, technology, business relationships or financial affairs which the Company has not released to the general public (collectively, “</w:t>
      </w:r>
      <w:r>
        <w:rPr>
          <w:rFonts w:ascii="Times New Roman;serif" w:hAnsi="Times New Roman;serif"/>
          <w:b w:val="false"/>
          <w:sz w:val="22"/>
          <w:u w:val="single"/>
        </w:rPr>
        <w:t>Confidential Information</w:t>
      </w:r>
      <w:r>
        <w:rPr/>
        <w:t>”</w:t>
      </w:r>
      <w:r>
        <w:rPr>
          <w:rFonts w:ascii="Times New Roman;serif" w:hAnsi="Times New Roman;serif"/>
          <w:b w:val="false"/>
          <w:sz w:val="22"/>
        </w:rPr>
        <w:t>) is and will be the exclusive property of the Company. Confidential Information also includes information received in confidence by the Company from its customers or suppliers or other third parties. Confidential Information may include, without limitation, information on finance, structure, business plans, employee performance, staffing, compensation of others, research and development, operations, manufacturing and marketing, strategies, customers, files, keys, certificates, passwords and other computer information, as well as information that the Company receives from others under an obligation of confidentiality.</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will not, at any time, without the Company’s prior written permission, either during or after my Service Relationship, disclose any Confidential Information to anyone outside of the Company, or use or permit to be used any Confidential Information for any purpose other than the performance of my duties as a service provider of the Company. I will cooperate with the Company and use my best efforts to prevent the unauthorized disclosure of all Confidential Information. I will deliver to the Company all copies of Confidential Information in my possession or control upon the earlier of a request by the Company or termination of my Service Relationship.</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Notwithstanding the foregoing, pursuant to 18 U.S.C. Section 1833(b), I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Notwithstanding anything herein to the contrary, I understand that this Agreement will not (1) prohibit me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(2) require notification or prior approval by the Company of any such report; provided that, I am not authorized to disclose communications with counsel that were made for the purpose of receiving legal advice or that contain legal advice or that are protected by the attorney work product or similar privilege.</w:t>
      </w:r>
    </w:p>
    <w:p>
      <w:pPr>
        <w:pStyle w:val="TextBody"/>
        <w:bidi w:val="0"/>
        <w:spacing w:before="0" w:after="240"/>
        <w:jc w:val="both"/>
        <w:rPr>
          <w:rFonts w:ascii="Times New Roman" w:hAnsi="Times New Roman"/>
          <w:b w:val="false"/>
          <w:sz w:val="24"/>
        </w:rPr>
      </w:pPr>
      <w:r>
        <w:rPr>
          <w:rFonts w:ascii="Times New Roman" w:hAnsi="Times New Roman"/>
          <w:b w:val="false"/>
          <w:sz w:val="24"/>
        </w:rPr>
        <w:t>2.</w:t>
      </w:r>
    </w:p>
    <w:p>
      <w:pPr>
        <w:pStyle w:val="TextBody"/>
        <w:bidi w:val="0"/>
        <w:spacing w:before="0" w:after="240"/>
        <w:jc w:val="both"/>
        <w:rPr/>
      </w:pPr>
      <w:r>
        <w:rPr>
          <w:rFonts w:ascii="Times New Roman;serif" w:hAnsi="Times New Roman;serif"/>
          <w:b w:val="false"/>
          <w:sz w:val="22"/>
          <w:u w:val="single"/>
        </w:rPr>
        <w:t>Developments</w:t>
      </w:r>
      <w:r>
        <w:rPr>
          <w:rFonts w:ascii="Times New Roman;serif" w:hAnsi="Times New Roman;serif"/>
          <w:b w:val="false"/>
          <w:sz w:val="22"/>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 xml:space="preserve">All inventions, know-how, knowledge, discoveries, data, technology, designs, innovations and improvements (whether or not patentable and whether or not copyrightable), which are created, invented, developed, conceived, discovered or reduced to practice by me, solely or jointly with others, in the course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2"/>
        </w:rPr>
        <w:t>of my Service Relationship with the Company (the “</w:t>
      </w:r>
      <w:r>
        <w:rPr>
          <w:rFonts w:ascii="Times New Roman;serif" w:hAnsi="Times New Roman;serif"/>
          <w:b w:val="false"/>
          <w:sz w:val="22"/>
          <w:u w:val="single"/>
        </w:rPr>
        <w:t>Inventions</w:t>
      </w:r>
      <w:r>
        <w:rPr/>
        <w:t>”</w:t>
      </w:r>
      <w:r>
        <w:rPr>
          <w:rFonts w:ascii="Times New Roman;serif" w:hAnsi="Times New Roman;serif"/>
          <w:b w:val="false"/>
          <w:sz w:val="22"/>
        </w:rPr>
        <w:t>) are the sole property of the Company, and the Company has the right to use any Inventions to develop products, to effect its development, marketing and sales activities and to otherwise freely use such Inventions in the conduct of its business operations. I agree to assign and hereby assign to the Company all of my rights, title and interest in any Inventions and any and all related patents, copyrights, trademarks, trade names, and other industrial and intellectual property rights and applications therefor, in the United States and elsewhere, and appoints any officer of the Company as my duly authorized attorney to execute, file, prosecute and protect the same before any government agency, court or authority. Upon the request of the Company and at the Company’ s expense, I will execute such further assignments, documents and other instruments as may be necessary or desirable to fully and completely assign all Inventions to the Company and to assist the Company in applying for, obtaining and enforcing patents or copyrights or other rights in the United States and in any foreign country with respect to any Invention.</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will promptly disclose to the Company all Inventions and will maintain adequate and current written records (in the form of notes, sketches, drawings or in such form as may be specified by the Company) to document the conception and/or first actual reduction to practice of any Invention. Such written records are and remain the sole property of the Company at all times.</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If any Invention is not the property of the Company by operation of law, this Agreement or otherwise, I will, and I hereby do, assign to the Company all right, title and interest in such Invention, without further consideration, and will assist the Company and its nominees in every way, at the Company’ s expense, to secure, maintain and defend the Company’ s rights in such Invention. I will sign all instruments necessary for the filing and prosecution of any applications for, or extension or renewals of, letters patent (or other intellectual property registrations or filings) of the United States or any foreign country which the Company desires to file and relates to any Invention. I hereby irrevocably designate and appoint the Company and its duly authorized officers and agents as my agent and attorney-in-fact (which designation and appointment shall be deemed coupled with an interest and shall survive my death or incapacity), to act on my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me.</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further acknowledge that all original works of authorship which are made by me (solely or jointly with others) in the course of the performance of my Service Relationship and which are protectable by copyright are “works made for hire,” as that term is defined in the United States Copyright Act. To the extent any such works of authorship do not qualify as “works made for hire,” as that term is defined in the United States Copyright Act, then I will, and I hereby do, assign to the Company all right, title and interest, including copyrights, in such works of authorship.</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2"/>
        </w:rPr>
        <w:t xml:space="preserve">Attached hereto as </w:t>
      </w:r>
      <w:r>
        <w:rPr>
          <w:rFonts w:ascii="Times New Roman;serif" w:hAnsi="Times New Roman;serif"/>
          <w:b w:val="false"/>
          <w:sz w:val="22"/>
          <w:u w:val="single"/>
        </w:rPr>
        <w:t>Exhibit I</w:t>
      </w:r>
      <w:r>
        <w:rPr/>
        <w:t xml:space="preserve"> </w:t>
      </w:r>
      <w:r>
        <w:rPr>
          <w:rFonts w:ascii="Times New Roman;serif" w:hAnsi="Times New Roman;serif"/>
          <w:b w:val="false"/>
          <w:sz w:val="22"/>
        </w:rPr>
        <w:t>is a list of all inventions, modifications, discoveries, designs, developments, improvements, processes, software programs, works of authorship, documentation, formulae, data, techniques, know-how, secrets or intellectual property rights or any interest therein made by me prior to the commencement of my Service Relationship (collectively, the “</w:t>
      </w:r>
      <w:r>
        <w:rPr>
          <w:rFonts w:ascii="Times New Roman;serif" w:hAnsi="Times New Roman;serif"/>
          <w:b w:val="false"/>
          <w:sz w:val="22"/>
          <w:u w:val="single"/>
        </w:rPr>
        <w:t>Prior Inventions</w:t>
      </w:r>
      <w:r>
        <w:rPr/>
        <w:t>”</w:t>
      </w:r>
      <w:r>
        <w:rPr>
          <w:rFonts w:ascii="Times New Roman;serif" w:hAnsi="Times New Roman;serif"/>
          <w:b w:val="false"/>
          <w:sz w:val="22"/>
        </w:rPr>
        <w:t>), which belong to me and which relate directly to the business of the Company and which are not assigned to the Company hereunder; (or if no such list is attached, I represent that there are no such Prior Inventions that relate to the business of the Company). If, in the course of my Service Relationship, I incorporate into a Company product, process or machine a Prior Invention owned by me or in which I have an interest, the Company is hereby granted and has a non-exclusive, royalty-free, irrevocable, perpetual, transferable, worldwide license to make, have made, modify, use, sell and otherwise exploit such Prior Invention as part of or in connection with such product, process or machine, or any enhancements or extensions thereof.</w:t>
      </w:r>
    </w:p>
    <w:p>
      <w:pPr>
        <w:pStyle w:val="TextBody"/>
        <w:bidi w:val="0"/>
        <w:spacing w:before="0" w:after="240"/>
        <w:jc w:val="both"/>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3.</w:t>
      </w:r>
    </w:p>
    <w:p>
      <w:pPr>
        <w:pStyle w:val="TextBody"/>
        <w:bidi w:val="0"/>
        <w:spacing w:before="0" w:after="240"/>
        <w:jc w:val="both"/>
        <w:rPr/>
      </w:pPr>
      <w:r>
        <w:rPr>
          <w:rFonts w:ascii="Times New Roman;serif" w:hAnsi="Times New Roman;serif"/>
          <w:b w:val="false"/>
          <w:sz w:val="22"/>
          <w:u w:val="single"/>
        </w:rPr>
        <w:t>Nondisparagement and Cooperation</w:t>
      </w:r>
      <w:r>
        <w:rPr>
          <w:rFonts w:ascii="Times New Roman;serif" w:hAnsi="Times New Roman;serif"/>
          <w:b w:val="false"/>
          <w:sz w:val="22"/>
        </w:rPr>
        <w:t>. During my Service Relationship and at all times thereafter:</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will not, directly or indirectly, disparage or otherwise take any action that could reasonably be expected to harm the reputation of the Company or any of its products or practices, directors, officers, employees, stockholders, partners or agents. This Section shall not, however, prohibit the Executive from testifying truthfully as a witness in any court proceeding or governmental investigation.</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will cooperate with the Company and its counsel with respect to litigation, investigations, audits, governmental proceedings and all similar matters that relate to events occurring, in whole or in part, during my Service Relationship. The Executive will render such cooperation in a timely manner on reasonable notice from the Company. Following my Service Relationship, the Company will exercise reasonable efforts to limit and schedule the need for my cooperation so as not to materially interfere with my other professional obligations.</w:t>
      </w:r>
    </w:p>
    <w:p>
      <w:pPr>
        <w:pStyle w:val="TextBody"/>
        <w:bidi w:val="0"/>
        <w:spacing w:before="0" w:after="240"/>
        <w:jc w:val="both"/>
        <w:rPr>
          <w:rFonts w:ascii="Times New Roman" w:hAnsi="Times New Roman"/>
          <w:b w:val="false"/>
          <w:sz w:val="24"/>
        </w:rPr>
      </w:pPr>
      <w:r>
        <w:rPr>
          <w:rFonts w:ascii="Times New Roman" w:hAnsi="Times New Roman"/>
          <w:b w:val="false"/>
          <w:sz w:val="24"/>
        </w:rPr>
        <w:t>4.</w:t>
      </w:r>
    </w:p>
    <w:p>
      <w:pPr>
        <w:pStyle w:val="TextBody"/>
        <w:bidi w:val="0"/>
        <w:spacing w:before="0" w:after="240"/>
        <w:jc w:val="both"/>
        <w:rPr/>
      </w:pPr>
      <w:r>
        <w:rPr>
          <w:rFonts w:ascii="Times New Roman;serif" w:hAnsi="Times New Roman;serif"/>
          <w:b w:val="false"/>
          <w:sz w:val="22"/>
          <w:u w:val="single"/>
        </w:rPr>
        <w:t>Survival and Assignment by the Company</w:t>
      </w:r>
      <w:r>
        <w:rPr>
          <w:rFonts w:ascii="Times New Roman;serif" w:hAnsi="Times New Roman;serif"/>
          <w:b w:val="false"/>
          <w:sz w:val="22"/>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understand that my obligations under this Agreement will continue in accordance with its express terms regardless of any changes in my title, position, duties, salary, compensation or benefits or other terms and conditions of my Service Relationship. I further understand that my obligations under this Agreement will continue following the termination of my Service Relationship regardless of the manner of such termination and will be binding upon my heirs, executors and administrators.</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acknowledge that the current and future parents, subsidiaries or affiliates of the Company are intended third party beneficiaries of this Agreement. I agree that the Company may assign this Agreement to a successor to or acquirer of any portion of its business or assets, without my consent.</w:t>
      </w:r>
    </w:p>
    <w:p>
      <w:pPr>
        <w:pStyle w:val="TextBody"/>
        <w:bidi w:val="0"/>
        <w:spacing w:before="0" w:after="240"/>
        <w:jc w:val="both"/>
        <w:rPr>
          <w:rFonts w:ascii="Times New Roman" w:hAnsi="Times New Roman"/>
          <w:b w:val="false"/>
          <w:sz w:val="24"/>
        </w:rPr>
      </w:pPr>
      <w:r>
        <w:rPr>
          <w:rFonts w:ascii="Times New Roman" w:hAnsi="Times New Roman"/>
          <w:b w:val="false"/>
          <w:sz w:val="24"/>
        </w:rPr>
        <w:t>5.</w:t>
      </w:r>
    </w:p>
    <w:p>
      <w:pPr>
        <w:pStyle w:val="TextBody"/>
        <w:bidi w:val="0"/>
        <w:spacing w:before="0" w:after="240"/>
        <w:jc w:val="both"/>
        <w:rPr/>
      </w:pPr>
      <w:r>
        <w:rPr>
          <w:rFonts w:ascii="Times New Roman;serif" w:hAnsi="Times New Roman;serif"/>
          <w:b w:val="false"/>
          <w:sz w:val="22"/>
          <w:u w:val="single"/>
        </w:rPr>
        <w:t>Severability</w:t>
      </w:r>
      <w:r>
        <w:rPr>
          <w:rFonts w:ascii="Times New Roman;serif" w:hAnsi="Times New Roman;serif"/>
          <w:b w:val="false"/>
          <w:sz w:val="22"/>
        </w:rPr>
        <w:t>. This Agreement shall be interpreted in such a manner as to be effective and valid under applicable law, but if any 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pStyle w:val="TextBody"/>
        <w:bidi w:val="0"/>
        <w:spacing w:before="0" w:after="240"/>
        <w:jc w:val="both"/>
        <w:rPr>
          <w:rFonts w:ascii="Times New Roman" w:hAnsi="Times New Roman"/>
          <w:b w:val="false"/>
          <w:sz w:val="24"/>
        </w:rPr>
      </w:pPr>
      <w:r>
        <w:rPr>
          <w:rFonts w:ascii="Times New Roman" w:hAnsi="Times New Roman"/>
          <w:b w:val="false"/>
          <w:sz w:val="24"/>
        </w:rPr>
        <w:t>6.</w:t>
      </w:r>
    </w:p>
    <w:p>
      <w:pPr>
        <w:pStyle w:val="TextBody"/>
        <w:bidi w:val="0"/>
        <w:spacing w:before="0" w:after="240"/>
        <w:jc w:val="both"/>
        <w:rPr/>
      </w:pPr>
      <w:r>
        <w:rPr>
          <w:rFonts w:ascii="Times New Roman;serif" w:hAnsi="Times New Roman;serif"/>
          <w:b w:val="false"/>
          <w:sz w:val="22"/>
          <w:u w:val="single"/>
        </w:rPr>
        <w:t>No Service Relationship Obligation</w:t>
      </w:r>
      <w:r>
        <w:rPr>
          <w:rFonts w:ascii="Times New Roman;serif" w:hAnsi="Times New Roman;serif"/>
          <w:b w:val="false"/>
          <w:sz w:val="22"/>
        </w:rPr>
        <w:t>. I understand that this Agreement does not create an obligation on the Company or any other person to continue my Service Relationship. I acknowledge that my Service Relationship with the Company is at-will and therefore may be terminated by the Company or me at any time and for any reason, with or without cause.</w:t>
      </w:r>
    </w:p>
    <w:p>
      <w:pPr>
        <w:pStyle w:val="TextBody"/>
        <w:bidi w:val="0"/>
        <w:spacing w:before="0" w:after="240"/>
        <w:jc w:val="both"/>
        <w:rPr>
          <w:rFonts w:ascii="Times New Roman" w:hAnsi="Times New Roman"/>
          <w:b w:val="false"/>
          <w:sz w:val="24"/>
        </w:rPr>
      </w:pPr>
      <w:r>
        <w:rPr>
          <w:rFonts w:ascii="Times New Roman" w:hAnsi="Times New Roman"/>
          <w:b w:val="false"/>
          <w:sz w:val="24"/>
        </w:rPr>
        <w:t>7.</w:t>
      </w:r>
    </w:p>
    <w:p>
      <w:pPr>
        <w:pStyle w:val="TextBody"/>
        <w:bidi w:val="0"/>
        <w:spacing w:before="0" w:after="240"/>
        <w:jc w:val="both"/>
        <w:rPr/>
      </w:pPr>
      <w:r>
        <w:rPr>
          <w:rFonts w:ascii="Times New Roman;serif" w:hAnsi="Times New Roman;serif"/>
          <w:b w:val="false"/>
          <w:sz w:val="22"/>
          <w:u w:val="single"/>
        </w:rPr>
        <w:t>Non-Solicitation and Non-Competition</w:t>
      </w:r>
      <w:r>
        <w:rPr>
          <w:rFonts w:ascii="Times New Roman;serif" w:hAnsi="Times New Roman;serif"/>
          <w:b w:val="false"/>
          <w:sz w:val="22"/>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agree that during the period of my Service Relationship and for the one year period after my Service Relationship ends for any reason (whether the relationship is terminated by me or the Company, with or without cause), I will not do any of the following, either directly or indirectly, except on behalf of the Company:</w:t>
      </w:r>
    </w:p>
    <w:p>
      <w:pPr>
        <w:pStyle w:val="TextBody"/>
        <w:bidi w:val="0"/>
        <w:spacing w:before="0" w:after="240"/>
        <w:jc w:val="both"/>
        <w:rPr>
          <w:rFonts w:ascii="Times New Roman" w:hAnsi="Times New Roman"/>
          <w:b w:val="false"/>
          <w:sz w:val="24"/>
        </w:rPr>
      </w:pPr>
      <w:r>
        <w:rPr>
          <w:rFonts w:ascii="Times New Roman" w:hAnsi="Times New Roman"/>
          <w:b w:val="false"/>
          <w:sz w:val="24"/>
        </w:rPr>
        <w:t>(1)</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solicit, induce, encourage, or participate in soliciting, inducing, or encouraging any employee, contractor, investor, lender, partner or supplier of the Company to terminate or alter his, her or its relationship with the Company;</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(2)</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hire, employ, or engage, or attempt to hire, employ, or engage any person employed or engaged by the Company (or who was employed or engaged by the Company within the preceding 12 months) or discuss any potential employment or engagement with such person, even if I did not initiate the discussion or seek out the contact;</w:t>
      </w:r>
    </w:p>
    <w:p>
      <w:pPr>
        <w:pStyle w:val="TextBody"/>
        <w:bidi w:val="0"/>
        <w:spacing w:before="0" w:after="240"/>
        <w:jc w:val="both"/>
        <w:rPr>
          <w:rFonts w:ascii="Times New Roman" w:hAnsi="Times New Roman"/>
          <w:b w:val="false"/>
          <w:sz w:val="24"/>
        </w:rPr>
      </w:pPr>
      <w:r>
        <w:rPr>
          <w:rFonts w:ascii="Times New Roman" w:hAnsi="Times New Roman"/>
          <w:b w:val="false"/>
          <w:sz w:val="24"/>
        </w:rPr>
        <w:t>(3)</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solicit, perform, provide or attempt to perform or provide Competitive Products to any Customer or Potential Customer (as those terms are defined below); or</w:t>
      </w:r>
    </w:p>
    <w:p>
      <w:pPr>
        <w:pStyle w:val="TextBody"/>
        <w:bidi w:val="0"/>
        <w:spacing w:before="0" w:after="240"/>
        <w:jc w:val="both"/>
        <w:rPr>
          <w:rFonts w:ascii="Times New Roman" w:hAnsi="Times New Roman"/>
          <w:b w:val="false"/>
          <w:sz w:val="24"/>
        </w:rPr>
      </w:pPr>
      <w:r>
        <w:rPr>
          <w:rFonts w:ascii="Times New Roman" w:hAnsi="Times New Roman"/>
          <w:b w:val="false"/>
          <w:sz w:val="24"/>
        </w:rPr>
        <w:t>(4)</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establish, invest in, promote or perform services for another enterprise engaged anywhere in the world in the development, manufacture or marketing of Competitive Products; provided, however, that my ownership of one percent or less of the outstanding publicly traded capital stock of any company will not violate this paragraph, provided that I have no other relationship with such company. I acknowledge that the Company’s business and the market for its products is global in scope.</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For purposes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(1)</w:t>
      </w:r>
    </w:p>
    <w:p>
      <w:pPr>
        <w:pStyle w:val="TextBody"/>
        <w:bidi w:val="0"/>
        <w:spacing w:before="0" w:after="240"/>
        <w:jc w:val="both"/>
        <w:rPr/>
      </w:pPr>
      <w:r>
        <w:rPr/>
        <w:t>“</w:t>
      </w:r>
      <w:r>
        <w:rPr>
          <w:rFonts w:ascii="Times New Roman;serif" w:hAnsi="Times New Roman;serif"/>
          <w:b w:val="false"/>
          <w:sz w:val="22"/>
          <w:u w:val="single"/>
        </w:rPr>
        <w:t>Competitive Products</w:t>
      </w:r>
      <w:r>
        <w:rPr/>
        <w:t xml:space="preserve">” </w:t>
      </w:r>
      <w:r>
        <w:rPr>
          <w:rFonts w:ascii="Times New Roman;serif" w:hAnsi="Times New Roman;serif"/>
          <w:b w:val="false"/>
          <w:sz w:val="22"/>
        </w:rPr>
        <w:t>means products or services that are competitive with or similar to products or services of the Company, or products or services that the Company has under development or that are the subject of active planning during my Service Relationship, including, but not limited to products for the treatment or prevention of Friedreich’s Ataxia.</w:t>
      </w:r>
    </w:p>
    <w:p>
      <w:pPr>
        <w:pStyle w:val="TextBody"/>
        <w:bidi w:val="0"/>
        <w:spacing w:before="0" w:after="240"/>
        <w:jc w:val="both"/>
        <w:rPr>
          <w:rFonts w:ascii="Times New Roman" w:hAnsi="Times New Roman"/>
          <w:b w:val="false"/>
          <w:sz w:val="24"/>
        </w:rPr>
      </w:pPr>
      <w:r>
        <w:rPr>
          <w:rFonts w:ascii="Times New Roman" w:hAnsi="Times New Roman"/>
          <w:b w:val="false"/>
          <w:sz w:val="24"/>
        </w:rPr>
        <w:t>(2)</w:t>
      </w:r>
    </w:p>
    <w:p>
      <w:pPr>
        <w:pStyle w:val="TextBody"/>
        <w:bidi w:val="0"/>
        <w:spacing w:before="0" w:after="240"/>
        <w:jc w:val="both"/>
        <w:rPr/>
      </w:pPr>
      <w:r>
        <w:rPr/>
        <w:t>“</w:t>
      </w:r>
      <w:r>
        <w:rPr>
          <w:rFonts w:ascii="Times New Roman;serif" w:hAnsi="Times New Roman;serif"/>
          <w:b w:val="false"/>
          <w:sz w:val="22"/>
          <w:u w:val="single"/>
        </w:rPr>
        <w:t>Customer or Potential Customer</w:t>
      </w:r>
      <w:r>
        <w:rPr/>
        <w:t xml:space="preserve">” </w:t>
      </w:r>
      <w:r>
        <w:rPr>
          <w:rFonts w:ascii="Times New Roman;serif" w:hAnsi="Times New Roman;serif"/>
          <w:b w:val="false"/>
          <w:sz w:val="22"/>
        </w:rPr>
        <w:t>means any person or entity who or which, at any time during the preceding two years (while I am still employed or engaged by the Company) or during the two years preceding the end of my Service Relationship (once I am no longer employed or engaged by the Company): (i) contracted for, was billed for or received from the Company any product, service or process; or (ii) was solicited by the Company in an effort in which I was involved, or of which I was or should have been aware, concerning any product, service or process of the Company.</w:t>
      </w:r>
    </w:p>
    <w:p>
      <w:pPr>
        <w:pStyle w:val="TextBody"/>
        <w:bidi w:val="0"/>
        <w:spacing w:before="0" w:after="240"/>
        <w:jc w:val="both"/>
        <w:rPr>
          <w:rFonts w:ascii="Times New Roman" w:hAnsi="Times New Roman"/>
          <w:b w:val="false"/>
          <w:sz w:val="24"/>
        </w:rPr>
      </w:pPr>
      <w:r>
        <w:rPr>
          <w:rFonts w:ascii="Times New Roman" w:hAnsi="Times New Roman"/>
          <w:b w:val="false"/>
          <w:sz w:val="24"/>
        </w:rPr>
        <w:t>8.</w:t>
      </w:r>
    </w:p>
    <w:p>
      <w:pPr>
        <w:pStyle w:val="TextBody"/>
        <w:bidi w:val="0"/>
        <w:spacing w:before="0" w:after="240"/>
        <w:jc w:val="both"/>
        <w:rPr/>
      </w:pPr>
      <w:r>
        <w:rPr>
          <w:rFonts w:ascii="Times New Roman;serif" w:hAnsi="Times New Roman;serif"/>
          <w:b w:val="false"/>
          <w:sz w:val="22"/>
          <w:u w:val="single"/>
        </w:rPr>
        <w:t>Legal and Equitable Remedies</w:t>
      </w:r>
      <w:r>
        <w:rPr>
          <w:rFonts w:ascii="Times New Roman;serif" w:hAnsi="Times New Roman;serif"/>
          <w:b w:val="false"/>
          <w:sz w:val="22"/>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agree that it may be impossible to assess the damages caused by my violation of this Agreement or any of its terms. I agree that any threatened or actual violation of this Agreement or any of its terms will constitute immediate and irreparable injury to the Company for which there would be no adequate remedy at law and the Company shall have the right to enforce this Agreement and any of its provisions by injunction, specific performance or other equitable relief, without bond and without prejudice to any other rights and remedies that the Company may have for a breach or threatened breach of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agree that if the Company is successful in whole or in part in any legal or equitable action against me under this Agreement, the Company shall be entitled to payment of all costs, including reasonable attorney’s fees, from me.</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If I am found to have been in breach of Section 7 of this Agreement, the restrictions described in that section will be extended by the period equal to the length of time I was in breach of that section.</w:t>
      </w:r>
    </w:p>
    <w:p>
      <w:pPr>
        <w:pStyle w:val="TextBody"/>
        <w:bidi w:val="0"/>
        <w:spacing w:before="0" w:after="240"/>
        <w:jc w:val="both"/>
        <w:rPr>
          <w:rFonts w:ascii="Times New Roman" w:hAnsi="Times New Roman"/>
          <w:b w:val="false"/>
          <w:sz w:val="24"/>
        </w:rPr>
      </w:pPr>
      <w:r>
        <w:rPr>
          <w:rFonts w:ascii="Times New Roman" w:hAnsi="Times New Roman"/>
          <w:b w:val="false"/>
          <w:sz w:val="24"/>
        </w:rPr>
        <w:t>9.</w:t>
      </w:r>
    </w:p>
    <w:p>
      <w:pPr>
        <w:pStyle w:val="TextBody"/>
        <w:bidi w:val="0"/>
        <w:spacing w:before="0" w:after="240"/>
        <w:jc w:val="both"/>
        <w:rPr/>
      </w:pPr>
      <w:r>
        <w:rPr>
          <w:rFonts w:ascii="Times New Roman;serif" w:hAnsi="Times New Roman;serif"/>
          <w:b w:val="false"/>
          <w:sz w:val="22"/>
          <w:u w:val="single"/>
        </w:rPr>
        <w:t>Reasonableness of Restrictions</w:t>
      </w:r>
      <w:r>
        <w:rPr>
          <w:rFonts w:ascii="Times New Roman;serif" w:hAnsi="Times New Roman;serif"/>
          <w:b w:val="false"/>
          <w:sz w:val="22"/>
        </w:rPr>
        <w:t xml:space="preserve">. I have read this entire Agreement, understand it and have had the opportunity to review it with counsel. I agree that this Agreement does not prevent me from earning a living or pursuing my career and that I have the ability to secure other non-competitive employment using my marketable skills. I agree that the restrictions contained in this Agreement, including the duration and scope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thereof, are reasonable, proper and necessary to protect the Company’s legitimate business interests, including without limitation the Company’s intellectual property rights, Confidential Information and goodwill. I represent and agree that I am entering into this Agreement freely and with knowledge of its contents with the intent to be bound by the Agreement and the restrictions contained in it.</w:t>
      </w:r>
    </w:p>
    <w:p>
      <w:pPr>
        <w:pStyle w:val="TextBody"/>
        <w:bidi w:val="0"/>
        <w:spacing w:before="0" w:after="240"/>
        <w:jc w:val="both"/>
        <w:rPr>
          <w:rFonts w:ascii="Times New Roman" w:hAnsi="Times New Roman"/>
          <w:b w:val="false"/>
          <w:sz w:val="24"/>
        </w:rPr>
      </w:pPr>
      <w:r>
        <w:rPr>
          <w:rFonts w:ascii="Times New Roman" w:hAnsi="Times New Roman"/>
          <w:b w:val="false"/>
          <w:sz w:val="24"/>
        </w:rPr>
        <w:t>10.</w:t>
      </w:r>
    </w:p>
    <w:p>
      <w:pPr>
        <w:pStyle w:val="TextBody"/>
        <w:bidi w:val="0"/>
        <w:spacing w:before="0" w:after="240"/>
        <w:jc w:val="both"/>
        <w:rPr/>
      </w:pPr>
      <w:r>
        <w:rPr>
          <w:rFonts w:ascii="Times New Roman;serif" w:hAnsi="Times New Roman;serif"/>
          <w:b w:val="false"/>
          <w:sz w:val="22"/>
          <w:u w:val="single"/>
        </w:rPr>
        <w:t>Notification of New Employer</w:t>
      </w:r>
      <w:r>
        <w:rPr>
          <w:rFonts w:ascii="Times New Roman;serif" w:hAnsi="Times New Roman;serif"/>
          <w:b w:val="false"/>
          <w:sz w:val="22"/>
        </w:rPr>
        <w:t>. In the event that I leave the employ of the Company, I authorize the Company to provide notice of my obligations under this Agreement to my subsequent employer and to any other entity or person to whom I provide or propose to provide services.</w:t>
      </w:r>
    </w:p>
    <w:p>
      <w:pPr>
        <w:pStyle w:val="TextBody"/>
        <w:bidi w:val="0"/>
        <w:spacing w:before="0" w:after="240"/>
        <w:jc w:val="both"/>
        <w:rPr>
          <w:rFonts w:ascii="Times New Roman" w:hAnsi="Times New Roman"/>
          <w:b w:val="false"/>
          <w:sz w:val="24"/>
        </w:rPr>
      </w:pPr>
      <w:r>
        <w:rPr>
          <w:rFonts w:ascii="Times New Roman" w:hAnsi="Times New Roman"/>
          <w:b w:val="false"/>
          <w:sz w:val="24"/>
        </w:rPr>
        <w:t>11.</w:t>
      </w:r>
    </w:p>
    <w:p>
      <w:pPr>
        <w:pStyle w:val="TextBody"/>
        <w:bidi w:val="0"/>
        <w:spacing w:before="0" w:after="240"/>
        <w:jc w:val="both"/>
        <w:rPr/>
      </w:pPr>
      <w:r>
        <w:rPr>
          <w:rFonts w:ascii="Times New Roman;serif" w:hAnsi="Times New Roman;serif"/>
          <w:b w:val="false"/>
          <w:sz w:val="22"/>
          <w:u w:val="single"/>
        </w:rPr>
        <w:t>Governing Law</w:t>
      </w:r>
      <w:r>
        <w:rPr>
          <w:rFonts w:ascii="Times New Roman;serif" w:hAnsi="Times New Roman;serif"/>
          <w:b w:val="false"/>
          <w:sz w:val="22"/>
        </w:rPr>
        <w:t>. This Agreement and actions taken hereunder shall be governed by and construed in accordance with the laws of the State of Delaware, applied without regard to conflict of law principles.</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[The remainder of this page is intentionally left blank]</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480"/>
        <w:jc w:val="both"/>
        <w:rPr>
          <w:rFonts w:ascii="Times New Roman;serif" w:hAnsi="Times New Roman;serif"/>
          <w:b w:val="false"/>
          <w:sz w:val="24"/>
        </w:rPr>
      </w:pPr>
      <w:r>
        <w:rPr>
          <w:rFonts w:ascii="Times New Roman;serif" w:hAnsi="Times New Roman;serif"/>
          <w:b w:val="false"/>
          <w:sz w:val="24"/>
        </w:rPr>
        <w:t>IN WITNESS WHEREOF, the undersigned has executed this Confidentiality, Intellectual Property Assignment and Restrictive Covenant Agreement as of the date set forth below.</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Signed: </w:t>
      </w:r>
      <w:r>
        <w:rPr>
          <w:rFonts w:ascii="Times New Roman;serif" w:hAnsi="Times New Roman;serif"/>
          <w:b w:val="false"/>
          <w:sz w:val="24"/>
          <w:u w:val="single"/>
        </w:rPr>
        <w:t>/s/ Russell Clayton</w:t>
      </w:r>
      <w:r>
        <w:rPr>
          <w:rFonts w:ascii="Times New Roman" w:hAnsi="Times New Roman"/>
          <w:sz w:val="20"/>
        </w:rPr>
        <w:t xml:space="preserve"> </w:t>
      </w:r>
      <w:r>
        <w:rPr>
          <w:rFonts w:ascii="Times New Roman;serif" w:hAnsi="Times New Roman;serif"/>
          <w:b w:val="false"/>
          <w:sz w:val="24"/>
        </w:rPr>
        <w:t xml:space="preserve">Date: </w:t>
      </w:r>
      <w:r>
        <w:rPr>
          <w:rFonts w:ascii="Times New Roman;serif" w:hAnsi="Times New Roman;serif"/>
          <w:b w:val="false"/>
          <w:sz w:val="24"/>
          <w:u w:val="single"/>
        </w:rPr>
        <w:t>5/23/2023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(sign name above)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Print Name: Russell G. Clayton Sr., D.O.</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4"/>
        </w:rPr>
      </w:pPr>
      <w:r>
        <w:rPr>
          <w:rFonts w:ascii="Times New Roman;serif" w:hAnsi="Times New Roman;serif"/>
          <w:b/>
          <w:sz w:val="24"/>
        </w:rPr>
        <w:t>Exhibit I</w:t>
        <w:br/>
        <w:t>Prior Inventions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None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A-7</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serif" w:hAnsi="Times New Roman;serif"/>
          <w:b/>
          <w:sz w:val="20"/>
        </w:rPr>
      </w:pPr>
      <w:bookmarkStart w:id="23" w:name="lrmr-ex31_1.htm"/>
      <w:bookmarkStart w:id="24" w:name="kslrmrex31_1"/>
      <w:bookmarkEnd w:id="23"/>
      <w:bookmarkEnd w:id="24"/>
      <w:r>
        <w:rPr>
          <w:rFonts w:ascii="Times New Roman;serif" w:hAnsi="Times New Roman;serif"/>
          <w:b/>
          <w:sz w:val="20"/>
        </w:rPr>
        <w:t>Exhibit 31.1</w:t>
      </w:r>
      <w:r>
        <w:br w:type="page"/>
      </w:r>
    </w:p>
    <w:p>
      <w:pPr>
        <w:pStyle w:val="TextBody"/>
        <w:bidi w:val="0"/>
        <w:spacing w:before="0" w:after="12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I, Carole S. Ben-Maimon, M.D., certify that: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1. I have reviewed this Quarterly Report on Form 10-Q of Larimar Therapeutics, Inc.;</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b w:val="false"/>
          <w:sz w:val="20"/>
        </w:rPr>
      </w:pPr>
      <w:r>
        <w:rPr>
          <w:rFonts w:ascii="Times New Roman" w:hAnsi="Times New Roman"/>
          <w:b w:val="false"/>
          <w:sz w:val="20"/>
        </w:rPr>
        <w:t>1.</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80"/>
        <w:jc w:val="left"/>
        <w:rPr>
          <w:rFonts w:ascii="Times New Roman" w:hAnsi="Times New Roman"/>
          <w:b w:val="false"/>
          <w:sz w:val="20"/>
        </w:rPr>
      </w:pPr>
      <w:r>
        <w:rPr>
          <w:rFonts w:ascii="Times New Roman" w:hAnsi="Times New Roman"/>
          <w:b w:val="false"/>
          <w:sz w:val="20"/>
        </w:rPr>
        <w:t>2.</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b w:val="false"/>
          <w:sz w:val="20"/>
        </w:rPr>
      </w:pPr>
      <w:r>
        <w:rPr>
          <w:rFonts w:ascii="Times New Roman" w:hAnsi="Times New Roman"/>
          <w:b w:val="false"/>
          <w:sz w:val="20"/>
        </w:rPr>
        <w:t>3.</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b w:val="false"/>
          <w:sz w:val="20"/>
        </w:rPr>
      </w:pPr>
      <w:r>
        <w:rPr>
          <w:rFonts w:ascii="Times New Roman" w:hAnsi="Times New Roman"/>
          <w:b w:val="false"/>
          <w:sz w:val="20"/>
        </w:rPr>
        <w:t>4.</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b w:val="false"/>
          <w:sz w:val="20"/>
        </w:rPr>
      </w:pPr>
      <w:r>
        <w:rPr>
          <w:rFonts w:ascii="Times New Roman" w:hAnsi="Times New Roman"/>
          <w:b w:val="false"/>
          <w:sz w:val="20"/>
        </w:rPr>
        <w:t>1.</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b w:val="false"/>
          <w:sz w:val="20"/>
        </w:rPr>
      </w:pPr>
      <w:r>
        <w:rPr>
          <w:rFonts w:ascii="Times New Roman" w:hAnsi="Times New Roman"/>
          <w:b w:val="false"/>
          <w:sz w:val="20"/>
        </w:rPr>
        <w:t>2.</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Date: August 10, 2023</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Carole S. Ben-Maimon, M.D.</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Carole S. Ben-Maimon, M.D.</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serif" w:hAnsi="Times New Roman;serif"/>
          <w:b/>
          <w:sz w:val="20"/>
        </w:rPr>
      </w:pPr>
      <w:bookmarkStart w:id="25" w:name="lrmr-ex31_2.htm"/>
      <w:bookmarkStart w:id="26" w:name="kslrmrex31_2"/>
      <w:bookmarkEnd w:id="25"/>
      <w:bookmarkEnd w:id="26"/>
      <w:r>
        <w:rPr>
          <w:rFonts w:ascii="Times New Roman;serif" w:hAnsi="Times New Roman;serif"/>
          <w:b/>
          <w:sz w:val="20"/>
        </w:rPr>
        <w:t>Exhibit 31.2</w:t>
      </w:r>
      <w:r>
        <w:br w:type="page"/>
      </w:r>
    </w:p>
    <w:p>
      <w:pPr>
        <w:pStyle w:val="TextBody"/>
        <w:bidi w:val="0"/>
        <w:spacing w:before="0" w:after="12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I, Michael Celano, certify that: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1. I have reviewed this Quarterly Report on Form 10-Q of Larimar Therapeutics, Inc.;</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b w:val="false"/>
          <w:sz w:val="20"/>
        </w:rPr>
      </w:pPr>
      <w:r>
        <w:rPr>
          <w:rFonts w:ascii="Times New Roman" w:hAnsi="Times New Roman"/>
          <w:b w:val="false"/>
          <w:sz w:val="20"/>
        </w:rPr>
        <w:t>1.</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80"/>
        <w:jc w:val="left"/>
        <w:rPr>
          <w:rFonts w:ascii="Times New Roman" w:hAnsi="Times New Roman"/>
          <w:b w:val="false"/>
          <w:sz w:val="20"/>
        </w:rPr>
      </w:pPr>
      <w:r>
        <w:rPr>
          <w:rFonts w:ascii="Times New Roman" w:hAnsi="Times New Roman"/>
          <w:b w:val="false"/>
          <w:sz w:val="20"/>
        </w:rPr>
        <w:t>2.</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b w:val="false"/>
          <w:sz w:val="20"/>
        </w:rPr>
      </w:pPr>
      <w:r>
        <w:rPr>
          <w:rFonts w:ascii="Times New Roman" w:hAnsi="Times New Roman"/>
          <w:b w:val="false"/>
          <w:sz w:val="20"/>
        </w:rPr>
        <w:t>3.</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b w:val="false"/>
          <w:sz w:val="20"/>
        </w:rPr>
      </w:pPr>
      <w:r>
        <w:rPr>
          <w:rFonts w:ascii="Times New Roman" w:hAnsi="Times New Roman"/>
          <w:b w:val="false"/>
          <w:sz w:val="20"/>
        </w:rPr>
        <w:t>4.</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b w:val="false"/>
          <w:sz w:val="20"/>
        </w:rPr>
      </w:pPr>
      <w:r>
        <w:rPr>
          <w:rFonts w:ascii="Times New Roman" w:hAnsi="Times New Roman"/>
          <w:b w:val="false"/>
          <w:sz w:val="20"/>
        </w:rPr>
        <w:t>1.</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b w:val="false"/>
          <w:sz w:val="20"/>
        </w:rPr>
      </w:pPr>
      <w:r>
        <w:rPr>
          <w:rFonts w:ascii="Times New Roman" w:hAnsi="Times New Roman"/>
          <w:b w:val="false"/>
          <w:sz w:val="20"/>
        </w:rPr>
        <w:t>2.</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rFonts w:ascii="Times New Roman" w:hAnsi="Times New Roman"/>
          <w:sz w:val="20"/>
        </w:rPr>
      </w:pPr>
      <w:r>
        <w:rPr>
          <w:rFonts w:ascii="Times New Roman;serif" w:hAnsi="Times New Roman;serif"/>
          <w:b w:val="false"/>
          <w:sz w:val="20"/>
        </w:rPr>
        <w:t>Date: August 10, 2023</w:t>
      </w:r>
      <w:r>
        <w:rPr>
          <w:rFonts w:ascii="Times New Roman" w:hAnsi="Times New Roman"/>
          <w:sz w:val="20"/>
        </w:rPr>
        <w:t xml:space="preserve">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283"/>
              <w:jc w:val="left"/>
              <w:rPr>
                <w:sz w:val="4"/>
                <w:szCs w:val="4"/>
              </w:rPr>
            </w:pPr>
            <w:r>
              <w:rPr>
                <w:sz w:val="4"/>
                <w:szCs w:val="4"/>
              </w:rPr>
            </w:r>
          </w:p>
        </w:tc>
      </w:tr>
      <w:tr>
        <w:trPr/>
        <w:tc>
          <w:tcPr>
            <w:tcW w:w="438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Celano</w:t>
            </w:r>
          </w:p>
        </w:tc>
      </w:tr>
      <w:tr>
        <w:trPr/>
        <w:tc>
          <w:tcPr>
            <w:tcW w:w="4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Celano</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Financial Officer and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lrmr-ex32_1.htm"/>
      <w:bookmarkStart w:id="28" w:name="kslrmrex32_1"/>
      <w:bookmarkEnd w:id="27"/>
      <w:bookmarkEnd w:id="28"/>
      <w:r>
        <w:rPr/>
        <w:t> </w:t>
      </w:r>
      <w:r>
        <w:br w:type="page"/>
      </w:r>
    </w:p>
    <w:p>
      <w:pPr>
        <w:pStyle w:val="TextBody"/>
        <w:bidi w:val="0"/>
        <w:spacing w:before="0" w:after="200"/>
        <w:jc w:val="right"/>
        <w:rPr>
          <w:rFonts w:ascii="Times New Roman;serif" w:hAnsi="Times New Roman;serif"/>
          <w:b/>
          <w:sz w:val="20"/>
        </w:rPr>
      </w:pPr>
      <w:r>
        <w:rPr>
          <w:rFonts w:ascii="Times New Roman;serif" w:hAnsi="Times New Roman;serif"/>
          <w:b/>
          <w:sz w:val="20"/>
        </w:rPr>
        <w:t>Exhibit 32.1</w:t>
      </w:r>
    </w:p>
    <w:p>
      <w:pPr>
        <w:pStyle w:val="TextBody"/>
        <w:bidi w:val="0"/>
        <w:spacing w:before="0" w:after="0"/>
        <w:jc w:val="center"/>
        <w:rPr>
          <w:rFonts w:ascii="Times New Roman" w:hAnsi="Times New Roman"/>
          <w:sz w:val="20"/>
        </w:rPr>
      </w:pPr>
      <w:r>
        <w:rPr>
          <w:rFonts w:ascii="Times New Roman;serif" w:hAnsi="Times New Roman;serif"/>
          <w:b/>
          <w:sz w:val="20"/>
        </w:rPr>
        <w:t>CERTIFICATION</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 906 of the Sarbanes-Oxley Act of 2002</w:t>
      </w:r>
    </w:p>
    <w:p>
      <w:pPr>
        <w:pStyle w:val="TextBody"/>
        <w:bidi w:val="0"/>
        <w:spacing w:before="0" w:after="0"/>
        <w:jc w:val="center"/>
        <w:rPr>
          <w:rFonts w:ascii="Times New Roman;serif" w:hAnsi="Times New Roman;serif"/>
          <w:b/>
          <w:sz w:val="20"/>
        </w:rPr>
      </w:pPr>
      <w:r>
        <w:rPr>
          <w:rFonts w:ascii="Times New Roman;serif" w:hAnsi="Times New Roman;serif"/>
          <w:b/>
          <w:sz w:val="20"/>
        </w:rPr>
        <w:t>(Subsections (a) and (b) of Section 1350, Chapter 63 of Title 18, United States Code)</w:t>
      </w:r>
    </w:p>
    <w:p>
      <w:pPr>
        <w:pStyle w:val="TextBody"/>
        <w:bidi w:val="0"/>
        <w:spacing w:before="0" w:after="0"/>
        <w:jc w:val="center"/>
        <w:rPr/>
      </w:pPr>
      <w:r>
        <w:rPr/>
        <w:t> </w:t>
      </w:r>
    </w:p>
    <w:p>
      <w:pPr>
        <w:pStyle w:val="TextBody"/>
        <w:bidi w:val="0"/>
        <w:spacing w:before="0" w:after="200"/>
        <w:jc w:val="left"/>
        <w:rPr>
          <w:rFonts w:ascii="Times New Roman;serif" w:hAnsi="Times New Roman;serif"/>
          <w:b w:val="false"/>
          <w:sz w:val="20"/>
        </w:rPr>
      </w:pPr>
      <w:r>
        <w:rPr>
          <w:rFonts w:ascii="Times New Roman;serif" w:hAnsi="Times New Roman;serif"/>
          <w:b w:val="false"/>
          <w:sz w:val="20"/>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pStyle w:val="TextBody"/>
        <w:bidi w:val="0"/>
        <w:spacing w:before="0" w:after="200"/>
        <w:jc w:val="left"/>
        <w:rPr>
          <w:rFonts w:ascii="Times New Roman" w:hAnsi="Times New Roman"/>
          <w:b w:val="false"/>
          <w:sz w:val="20"/>
        </w:rPr>
      </w:pPr>
      <w:r>
        <w:rPr>
          <w:rFonts w:ascii="Times New Roman" w:hAnsi="Times New Roman"/>
          <w:b w:val="false"/>
          <w:sz w:val="20"/>
        </w:rPr>
        <w:t>(1)</w:t>
      </w:r>
    </w:p>
    <w:p>
      <w:pPr>
        <w:pStyle w:val="TextBody"/>
        <w:bidi w:val="0"/>
        <w:spacing w:before="0" w:after="200"/>
        <w:jc w:val="left"/>
        <w:rPr>
          <w:rFonts w:ascii="Times New Roman;serif" w:hAnsi="Times New Roman;serif"/>
          <w:b w:val="false"/>
          <w:sz w:val="20"/>
        </w:rPr>
      </w:pPr>
      <w:r>
        <w:rPr>
          <w:rFonts w:ascii="Times New Roman;serif" w:hAnsi="Times New Roman;serif"/>
          <w:b w:val="false"/>
          <w:sz w:val="20"/>
        </w:rPr>
        <w:t>The Quarterly Report on Form 10-Q for the quarter ended June 30, 2023 (the “Report”) of the Company fully complies with the requirements of Section 13(a) or 15(d) of the Securities Exchange Act of 1934; and</w:t>
      </w:r>
    </w:p>
    <w:p>
      <w:pPr>
        <w:pStyle w:val="TextBody"/>
        <w:bidi w:val="0"/>
        <w:spacing w:before="0" w:after="240"/>
        <w:jc w:val="left"/>
        <w:rPr>
          <w:rFonts w:ascii="Times New Roman" w:hAnsi="Times New Roman"/>
          <w:b w:val="false"/>
          <w:sz w:val="20"/>
        </w:rPr>
      </w:pPr>
      <w:r>
        <w:rPr>
          <w:rFonts w:ascii="Times New Roman" w:hAnsi="Times New Roman"/>
          <w:b w:val="false"/>
          <w:sz w:val="20"/>
        </w:rPr>
        <w:t>(2)</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bl>
      <w:tblPr>
        <w:tblW w:w="6275" w:type="dxa"/>
        <w:jc w:val="left"/>
        <w:tblInd w:w="0" w:type="dxa"/>
        <w:tblLayout w:type="fixed"/>
        <w:tblCellMar>
          <w:top w:w="28" w:type="dxa"/>
          <w:left w:w="28" w:type="dxa"/>
          <w:bottom w:w="28" w:type="dxa"/>
          <w:right w:w="28" w:type="dxa"/>
        </w:tblCellMar>
      </w:tblPr>
      <w:tblGrid>
        <w:gridCol w:w="1951"/>
        <w:gridCol w:w="146"/>
        <w:gridCol w:w="146"/>
        <w:gridCol w:w="146"/>
        <w:gridCol w:w="388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/s/ Carole S. Ben-Maimon, M.D.</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Carole S. Ben-Maimon, M.D.</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(Principal Executive Officer)</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/s/ Michael Celano</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Michael Celano</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23670</Words>
  <Characters>128649</Characters>
  <CharactersWithSpaces>153118</CharactersWithSpaces>
  <Paragraphs>3921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