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5"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13G</w:t>
      </w:r>
    </w:p>
    <w:p>
      <w:pPr>
        <w:ind w:left="4900"/>
        <w:spacing w:after="0"/>
        <w:rPr>
          <w:sz w:val="20"/>
          <w:szCs w:val="20"/>
          <w:color w:val="auto"/>
        </w:rPr>
      </w:pPr>
      <w:r>
        <w:rPr>
          <w:rFonts w:ascii="Arial" w:cs="Arial" w:eastAsia="Arial" w:hAnsi="Arial"/>
          <w:sz w:val="22"/>
          <w:szCs w:val="22"/>
          <w:b w:val="1"/>
          <w:bCs w:val="1"/>
          <w:color w:val="auto"/>
        </w:rPr>
        <w:t>(RULE 13d - 102)</w:t>
      </w:r>
    </w:p>
    <w:p>
      <w:pPr>
        <w:spacing w:after="0" w:line="142" w:lineRule="exact"/>
        <w:rPr>
          <w:sz w:val="24"/>
          <w:szCs w:val="24"/>
          <w:color w:val="auto"/>
        </w:rPr>
      </w:pPr>
    </w:p>
    <w:p>
      <w:pPr>
        <w:jc w:val="center"/>
        <w:spacing w:after="0" w:line="229" w:lineRule="auto"/>
        <w:rPr>
          <w:sz w:val="20"/>
          <w:szCs w:val="20"/>
          <w:color w:val="auto"/>
        </w:rPr>
      </w:pPr>
      <w:r>
        <w:rPr>
          <w:rFonts w:ascii="Arial" w:cs="Arial" w:eastAsia="Arial" w:hAnsi="Arial"/>
          <w:sz w:val="22"/>
          <w:szCs w:val="22"/>
          <w:b w:val="1"/>
          <w:bCs w:val="1"/>
          <w:color w:val="auto"/>
        </w:rPr>
        <w:t>INFORMATION TO BE INCLUDED IN STATEMENTS FILED PURSUANT TO 13d-1(b), (c) AND (d) AND AMENDMENTS THERETO FILED PURSUANT TO 13d-2(b)</w:t>
      </w:r>
    </w:p>
    <w:p>
      <w:pPr>
        <w:spacing w:after="0" w:line="138"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(Amendment No. )*</w:t>
      </w:r>
    </w:p>
    <w:p>
      <w:pPr>
        <w:spacing w:after="0" w:line="139" w:lineRule="exact"/>
        <w:rPr>
          <w:sz w:val="24"/>
          <w:szCs w:val="24"/>
          <w:color w:val="auto"/>
        </w:rPr>
      </w:pPr>
    </w:p>
    <w:p>
      <w:pPr>
        <w:ind w:left="5180"/>
        <w:spacing w:after="0"/>
        <w:rPr>
          <w:sz w:val="20"/>
          <w:szCs w:val="20"/>
          <w:color w:val="auto"/>
        </w:rPr>
      </w:pPr>
      <w:r>
        <w:rPr>
          <w:rFonts w:ascii="Arial" w:cs="Arial" w:eastAsia="Arial" w:hAnsi="Arial"/>
          <w:sz w:val="22"/>
          <w:szCs w:val="22"/>
          <w:u w:val="single" w:color="auto"/>
          <w:color w:val="auto"/>
        </w:rPr>
        <w:t>Zafgen, Inc.</w:t>
      </w:r>
    </w:p>
    <w:p>
      <w:pPr>
        <w:ind w:left="4980"/>
        <w:spacing w:after="0"/>
        <w:rPr>
          <w:sz w:val="20"/>
          <w:szCs w:val="20"/>
          <w:color w:val="auto"/>
        </w:rPr>
      </w:pPr>
      <w:r>
        <w:rPr>
          <w:rFonts w:ascii="Arial" w:cs="Arial" w:eastAsia="Arial" w:hAnsi="Arial"/>
          <w:sz w:val="22"/>
          <w:szCs w:val="22"/>
          <w:color w:val="auto"/>
        </w:rPr>
        <w:t>(Name of Issuer)</w:t>
      </w:r>
    </w:p>
    <w:p>
      <w:pPr>
        <w:spacing w:after="0" w:line="115" w:lineRule="exact"/>
        <w:rPr>
          <w:sz w:val="24"/>
          <w:szCs w:val="24"/>
          <w:color w:val="auto"/>
        </w:rPr>
      </w:pPr>
    </w:p>
    <w:p>
      <w:pPr>
        <w:ind w:left="4280"/>
        <w:spacing w:after="0"/>
        <w:rPr>
          <w:sz w:val="20"/>
          <w:szCs w:val="20"/>
          <w:color w:val="auto"/>
        </w:rPr>
      </w:pPr>
      <w:r>
        <w:rPr>
          <w:rFonts w:ascii="Arial" w:cs="Arial" w:eastAsia="Arial" w:hAnsi="Arial"/>
          <w:sz w:val="22"/>
          <w:szCs w:val="22"/>
          <w:u w:val="single" w:color="auto"/>
          <w:color w:val="auto"/>
        </w:rPr>
        <w:t>Common stock, $0.001 par value</w:t>
      </w:r>
    </w:p>
    <w:p>
      <w:pPr>
        <w:ind w:left="4500"/>
        <w:spacing w:after="0"/>
        <w:rPr>
          <w:sz w:val="20"/>
          <w:szCs w:val="20"/>
          <w:color w:val="auto"/>
        </w:rPr>
      </w:pPr>
      <w:r>
        <w:rPr>
          <w:rFonts w:ascii="Arial" w:cs="Arial" w:eastAsia="Arial" w:hAnsi="Arial"/>
          <w:sz w:val="22"/>
          <w:szCs w:val="22"/>
          <w:color w:val="auto"/>
        </w:rPr>
        <w:t>(Title of Class of Securities)</w:t>
      </w:r>
    </w:p>
    <w:p>
      <w:pPr>
        <w:spacing w:after="0" w:line="115" w:lineRule="exact"/>
        <w:rPr>
          <w:sz w:val="24"/>
          <w:szCs w:val="24"/>
          <w:color w:val="auto"/>
        </w:rPr>
      </w:pPr>
    </w:p>
    <w:p>
      <w:pPr>
        <w:ind w:left="5220"/>
        <w:spacing w:after="0"/>
        <w:rPr>
          <w:sz w:val="20"/>
          <w:szCs w:val="20"/>
          <w:color w:val="auto"/>
        </w:rPr>
      </w:pPr>
      <w:r>
        <w:rPr>
          <w:rFonts w:ascii="Arial" w:cs="Arial" w:eastAsia="Arial" w:hAnsi="Arial"/>
          <w:sz w:val="22"/>
          <w:szCs w:val="22"/>
          <w:u w:val="single" w:color="auto"/>
          <w:color w:val="auto"/>
        </w:rPr>
        <w:t>98885E103</w:t>
      </w:r>
    </w:p>
    <w:p>
      <w:pPr>
        <w:ind w:left="4960"/>
        <w:spacing w:after="0"/>
        <w:rPr>
          <w:sz w:val="20"/>
          <w:szCs w:val="20"/>
          <w:color w:val="auto"/>
        </w:rPr>
      </w:pPr>
      <w:r>
        <w:rPr>
          <w:rFonts w:ascii="Arial" w:cs="Arial" w:eastAsia="Arial" w:hAnsi="Arial"/>
          <w:sz w:val="22"/>
          <w:szCs w:val="22"/>
          <w:color w:val="auto"/>
        </w:rPr>
        <w:t>(CUSIP Number)</w:t>
      </w:r>
    </w:p>
    <w:p>
      <w:pPr>
        <w:spacing w:after="0" w:line="115" w:lineRule="exact"/>
        <w:rPr>
          <w:sz w:val="24"/>
          <w:szCs w:val="24"/>
          <w:color w:val="auto"/>
        </w:rPr>
      </w:pPr>
    </w:p>
    <w:p>
      <w:pPr>
        <w:ind w:left="4900"/>
        <w:spacing w:after="0"/>
        <w:rPr>
          <w:sz w:val="20"/>
          <w:szCs w:val="20"/>
          <w:color w:val="auto"/>
        </w:rPr>
      </w:pPr>
      <w:r>
        <w:rPr>
          <w:rFonts w:ascii="Arial" w:cs="Arial" w:eastAsia="Arial" w:hAnsi="Arial"/>
          <w:sz w:val="22"/>
          <w:szCs w:val="22"/>
          <w:u w:val="single" w:color="auto"/>
          <w:color w:val="auto"/>
        </w:rPr>
        <w:t>September 5, 2019</w:t>
      </w:r>
    </w:p>
    <w:p>
      <w:pPr>
        <w:ind w:left="3300"/>
        <w:spacing w:after="0"/>
        <w:rPr>
          <w:sz w:val="20"/>
          <w:szCs w:val="20"/>
          <w:color w:val="auto"/>
        </w:rPr>
      </w:pPr>
      <w:r>
        <w:rPr>
          <w:rFonts w:ascii="Arial" w:cs="Arial" w:eastAsia="Arial" w:hAnsi="Arial"/>
          <w:sz w:val="22"/>
          <w:szCs w:val="22"/>
          <w:color w:val="auto"/>
        </w:rPr>
        <w:t>(Date of Event which Requires Filing of this Statement)</w:t>
      </w:r>
    </w:p>
    <w:p>
      <w:pPr>
        <w:spacing w:after="0" w:line="14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166" w:lineRule="exact"/>
        <w:rPr>
          <w:sz w:val="24"/>
          <w:szCs w:val="24"/>
          <w:color w:val="auto"/>
        </w:rPr>
      </w:pPr>
    </w:p>
    <w:p>
      <w:pPr>
        <w:jc w:val="center"/>
        <w:spacing w:after="0"/>
        <w:tabs>
          <w:tab w:leader="none" w:pos="26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Rule 13d-1(b)</w:t>
      </w:r>
    </w:p>
    <w:p>
      <w:pPr>
        <w:spacing w:after="0" w:line="206" w:lineRule="exact"/>
        <w:rPr>
          <w:sz w:val="24"/>
          <w:szCs w:val="24"/>
          <w:color w:val="auto"/>
        </w:rPr>
      </w:pPr>
    </w:p>
    <w:p>
      <w:pPr>
        <w:jc w:val="both"/>
        <w:ind w:left="4860" w:right="4840" w:hanging="14"/>
        <w:spacing w:after="0" w:line="504" w:lineRule="auto"/>
        <w:tabs>
          <w:tab w:leader="none" w:pos="53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 [ ] Rule 13d-1(d)</w:t>
      </w:r>
    </w:p>
    <w:p>
      <w:pPr>
        <w:spacing w:after="0" w:line="1" w:lineRule="exact"/>
        <w:rPr>
          <w:sz w:val="24"/>
          <w:szCs w:val="24"/>
          <w:color w:val="auto"/>
        </w:rPr>
      </w:pPr>
    </w:p>
    <w:p>
      <w:pPr>
        <w:jc w:val="both"/>
        <w:spacing w:after="0" w:line="214"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jc w:val="both"/>
        <w:spacing w:after="0" w:line="214" w:lineRule="auto"/>
        <w:rPr>
          <w:sz w:val="20"/>
          <w:szCs w:val="20"/>
          <w:color w:val="auto"/>
        </w:rPr>
      </w:pPr>
      <w:r>
        <w:rPr>
          <w:rFonts w:ascii="Arial" w:cs="Arial" w:eastAsia="Arial" w:hAnsi="Arial"/>
          <w:sz w:val="22"/>
          <w:szCs w:val="22"/>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22"/>
          <w:szCs w:val="22"/>
          <w:i w:val="1"/>
          <w:iCs w:val="1"/>
          <w:color w:val="auto"/>
        </w:rPr>
        <w:t>see the 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80" w:right="239" w:bottom="1440" w:gutter="0" w:footer="0" w:header="0"/>
        </w:sectPr>
      </w:pPr>
    </w:p>
    <w:bookmarkStart w:id="1" w:name="page2"/>
    <w:bookmarkEnd w:id="1"/>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683 Capital Management, LLC</w:t>
      </w:r>
    </w:p>
    <w:p>
      <w:pPr>
        <w:spacing w:after="0" w:line="225"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7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31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22" w:lineRule="auto"/>
        <w:tabs>
          <w:tab w:leader="none" w:pos="1044"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2,331,413</w:t>
      </w:r>
    </w:p>
    <w:p>
      <w:pPr>
        <w:ind w:left="1880" w:right="691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2,331,413</w:t>
      </w:r>
    </w:p>
    <w:p>
      <w:pPr>
        <w:ind w:left="1880" w:right="261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2,331,413</w:t>
      </w: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119" w:hanging="1872"/>
        <w:spacing w:after="0" w:line="493" w:lineRule="auto"/>
        <w:tabs>
          <w:tab w:leader="none" w:pos="10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6.2%</w:t>
      </w: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683 Capital Partners, LP</w:t>
      </w:r>
    </w:p>
    <w:p>
      <w:pPr>
        <w:spacing w:after="0" w:line="225"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72"/>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31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22" w:lineRule="auto"/>
        <w:tabs>
          <w:tab w:leader="none" w:pos="1044"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VOTING POWER 2,331,413</w:t>
      </w:r>
    </w:p>
    <w:p>
      <w:pPr>
        <w:ind w:left="1880" w:right="691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2,331,413</w:t>
      </w:r>
    </w:p>
    <w:p>
      <w:pPr>
        <w:ind w:left="1880" w:right="261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2,331,413</w:t>
      </w: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119" w:hanging="1872"/>
        <w:spacing w:after="0" w:line="493" w:lineRule="auto"/>
        <w:tabs>
          <w:tab w:leader="none" w:pos="1044"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6.2%</w:t>
      </w:r>
    </w:p>
    <w:p>
      <w:pPr>
        <w:ind w:left="1040" w:hanging="103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ind w:left="1040" w:hanging="103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Ari Zweiman</w:t>
      </w:r>
    </w:p>
    <w:p>
      <w:pPr>
        <w:spacing w:after="0" w:line="225" w:lineRule="exact"/>
        <w:rPr>
          <w:sz w:val="20"/>
          <w:szCs w:val="20"/>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72"/>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31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22" w:lineRule="auto"/>
        <w:tabs>
          <w:tab w:leader="none" w:pos="10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SHARED VOTING POWER 2,331,413</w:t>
      </w:r>
    </w:p>
    <w:p>
      <w:pPr>
        <w:ind w:left="1880" w:right="691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2,331,413</w:t>
      </w:r>
    </w:p>
    <w:p>
      <w:pPr>
        <w:ind w:left="1880" w:right="261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2,331,413</w:t>
      </w: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119" w:hanging="1872"/>
        <w:spacing w:after="0" w:line="493" w:lineRule="auto"/>
        <w:tabs>
          <w:tab w:leader="none" w:pos="10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6.2%</w:t>
      </w:r>
    </w:p>
    <w:p>
      <w:pPr>
        <w:ind w:left="1040" w:hanging="1032"/>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This Schedule 13G reflects the beneficial ownership of the Reporting Persons (as defined below) as of September 16, 2019.</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Zafgen, Inc. (“</w:t>
      </w:r>
      <w:r>
        <w:rPr>
          <w:rFonts w:ascii="Arial" w:cs="Arial" w:eastAsia="Arial" w:hAnsi="Arial"/>
          <w:sz w:val="22"/>
          <w:szCs w:val="22"/>
          <w:u w:val="single" w:color="auto"/>
          <w:color w:val="auto"/>
        </w:rPr>
        <w:t>Issuer</w:t>
      </w: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 Center Plaza, Suite 610, Boston, Massachusetts 02108</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names of the persons filing this statement on Schedule 13G (collectively, the “</w:t>
      </w:r>
      <w:r>
        <w:rPr>
          <w:rFonts w:ascii="Arial" w:cs="Arial" w:eastAsia="Arial" w:hAnsi="Arial"/>
          <w:sz w:val="22"/>
          <w:szCs w:val="22"/>
          <w:u w:val="single" w:color="auto"/>
          <w:color w:val="auto"/>
        </w:rPr>
        <w:t>Reporting Persons</w:t>
      </w:r>
      <w:r>
        <w:rPr>
          <w:rFonts w:ascii="Arial" w:cs="Arial" w:eastAsia="Arial" w:hAnsi="Arial"/>
          <w:sz w:val="22"/>
          <w:szCs w:val="22"/>
          <w:color w:val="auto"/>
        </w:rPr>
        <w:t>”) are:</w:t>
      </w:r>
    </w:p>
    <w:p>
      <w:pPr>
        <w:spacing w:after="0" w:line="18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683 Capital Management, LLC,</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683 Capital Partners, LP and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Ari Zweiman.</w:t>
      </w:r>
    </w:p>
    <w:p>
      <w:pPr>
        <w:spacing w:after="0" w:line="200" w:lineRule="exact"/>
        <w:rPr>
          <w:sz w:val="20"/>
          <w:szCs w:val="20"/>
          <w:color w:val="auto"/>
        </w:rPr>
      </w:pPr>
    </w:p>
    <w:p>
      <w:pPr>
        <w:spacing w:after="0" w:line="2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principal business address for each of the Reporting Persons is 3 Columbus Circle, Suite 2205, New York, NY 10019.</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09"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683 Capital Management, LLC is a Delaware limited liability company. 683 Capital Partners, LP is a Delaware limited partnership. Ari Zweiman is a citizen of the United States.</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Common stock, $0.001 par value (the “</w:t>
      </w:r>
      <w:r>
        <w:rPr>
          <w:rFonts w:ascii="Arial" w:cs="Arial" w:eastAsia="Arial" w:hAnsi="Arial"/>
          <w:sz w:val="22"/>
          <w:szCs w:val="22"/>
          <w:u w:val="single" w:color="auto"/>
          <w:color w:val="auto"/>
        </w:rPr>
        <w:t>Common Stock</w:t>
      </w: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98885E103</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 1(b), or 13d-2(b) or (c), Check Whether the Person Filing is a:</w:t>
      </w:r>
    </w:p>
    <w:p>
      <w:pPr>
        <w:spacing w:after="0" w:line="229" w:lineRule="exact"/>
        <w:rPr>
          <w:sz w:val="20"/>
          <w:szCs w:val="20"/>
          <w:color w:val="auto"/>
        </w:rPr>
      </w:pPr>
    </w:p>
    <w:p>
      <w:pPr>
        <w:ind w:left="1020" w:hanging="376"/>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25" w:lineRule="exact"/>
        <w:rPr>
          <w:rFonts w:ascii="Arial" w:cs="Arial" w:eastAsia="Arial" w:hAnsi="Arial"/>
          <w:sz w:val="18"/>
          <w:szCs w:val="18"/>
          <w:color w:val="auto"/>
        </w:rPr>
      </w:pPr>
    </w:p>
    <w:p>
      <w:pPr>
        <w:ind w:left="1020" w:hanging="381"/>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25" w:lineRule="exact"/>
        <w:rPr>
          <w:rFonts w:ascii="Arial" w:cs="Arial" w:eastAsia="Arial" w:hAnsi="Arial"/>
          <w:sz w:val="18"/>
          <w:szCs w:val="18"/>
          <w:color w:val="auto"/>
        </w:rPr>
      </w:pPr>
    </w:p>
    <w:p>
      <w:pPr>
        <w:ind w:left="1020" w:hanging="376"/>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Insurance company defined in Section 3(a)(19) of the Exchange Act.</w:t>
      </w:r>
    </w:p>
    <w:p>
      <w:pPr>
        <w:spacing w:after="0" w:line="225" w:lineRule="exact"/>
        <w:rPr>
          <w:rFonts w:ascii="Arial" w:cs="Arial" w:eastAsia="Arial" w:hAnsi="Arial"/>
          <w:sz w:val="18"/>
          <w:szCs w:val="18"/>
          <w:color w:val="auto"/>
        </w:rPr>
      </w:pPr>
    </w:p>
    <w:p>
      <w:pPr>
        <w:ind w:left="1020" w:hanging="381"/>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25" w:lineRule="exact"/>
        <w:rPr>
          <w:rFonts w:ascii="Arial" w:cs="Arial" w:eastAsia="Arial" w:hAnsi="Arial"/>
          <w:sz w:val="18"/>
          <w:szCs w:val="18"/>
          <w:color w:val="auto"/>
        </w:rPr>
      </w:pPr>
    </w:p>
    <w:p>
      <w:pPr>
        <w:ind w:left="1020" w:hanging="376"/>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Investment adviser in accordance with Rule 13d-1(b)(1)(ii)(E).</w:t>
      </w:r>
    </w:p>
    <w:p>
      <w:pPr>
        <w:spacing w:after="0" w:line="225" w:lineRule="exact"/>
        <w:rPr>
          <w:rFonts w:ascii="Arial" w:cs="Arial" w:eastAsia="Arial" w:hAnsi="Arial"/>
          <w:sz w:val="18"/>
          <w:szCs w:val="18"/>
          <w:color w:val="auto"/>
        </w:rPr>
      </w:pPr>
    </w:p>
    <w:p>
      <w:pPr>
        <w:ind w:left="1020" w:hanging="366"/>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Employee benefit plan or endowment fund in accordance with Rule 13d-1(b)(1)(ii)(F).</w:t>
      </w:r>
    </w:p>
    <w:p>
      <w:pPr>
        <w:spacing w:after="0" w:line="225" w:lineRule="exact"/>
        <w:rPr>
          <w:rFonts w:ascii="Arial" w:cs="Arial" w:eastAsia="Arial" w:hAnsi="Arial"/>
          <w:sz w:val="18"/>
          <w:szCs w:val="18"/>
          <w:color w:val="auto"/>
        </w:rPr>
      </w:pPr>
    </w:p>
    <w:p>
      <w:pPr>
        <w:ind w:left="1020" w:hanging="381"/>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Parent holding company or control person in accordance with Rule 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5" w:name="page6"/>
    <w:bookmarkEnd w:id="5"/>
    <w:p>
      <w:pPr>
        <w:ind w:left="640"/>
        <w:spacing w:after="0"/>
        <w:tabs>
          <w:tab w:leader="none" w:pos="1000" w:val="left"/>
          <w:tab w:leader="none" w:pos="1440" w:val="left"/>
        </w:tabs>
        <w:rPr>
          <w:sz w:val="20"/>
          <w:szCs w:val="20"/>
          <w:color w:val="auto"/>
        </w:rPr>
      </w:pPr>
      <w:r>
        <w:rPr>
          <w:rFonts w:ascii="Arial" w:cs="Arial" w:eastAsia="Arial" w:hAnsi="Arial"/>
          <w:sz w:val="18"/>
          <w:szCs w:val="18"/>
          <w:color w:val="auto"/>
        </w:rPr>
        <w:t>(h)</w:t>
        <w:tab/>
        <w:t>[ ]</w:t>
      </w:r>
      <w:r>
        <w:rPr>
          <w:sz w:val="20"/>
          <w:szCs w:val="20"/>
          <w:color w:val="auto"/>
        </w:rPr>
        <w:tab/>
      </w:r>
      <w:r>
        <w:rPr>
          <w:rFonts w:ascii="Arial" w:cs="Arial" w:eastAsia="Arial" w:hAnsi="Arial"/>
          <w:sz w:val="16"/>
          <w:szCs w:val="16"/>
          <w:color w:val="auto"/>
        </w:rPr>
        <w:t>Savings association as defined in Section 3(b) of the Federal Deposit Insurance Act.</w:t>
      </w:r>
    </w:p>
    <w:p>
      <w:pPr>
        <w:spacing w:after="0" w:line="225" w:lineRule="exact"/>
        <w:rPr>
          <w:sz w:val="20"/>
          <w:szCs w:val="20"/>
          <w:color w:val="auto"/>
        </w:rPr>
      </w:pPr>
    </w:p>
    <w:p>
      <w:pPr>
        <w:ind w:left="1020" w:hanging="361"/>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20" w:hanging="361"/>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   Non-U.S. institution in accordance with Section 240.13d-1(b)(1)(ii)(J).</w:t>
      </w:r>
    </w:p>
    <w:p>
      <w:pPr>
        <w:spacing w:after="0" w:line="225" w:lineRule="exact"/>
        <w:rPr>
          <w:sz w:val="20"/>
          <w:szCs w:val="20"/>
          <w:color w:val="auto"/>
        </w:rPr>
      </w:pPr>
    </w:p>
    <w:p>
      <w:pPr>
        <w:ind w:left="1460" w:hanging="821"/>
        <w:spacing w:after="0" w:line="262" w:lineRule="auto"/>
        <w:tabs>
          <w:tab w:leader="none" w:pos="10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 ] Group, in accordance with Rule 240.13d-1(b)(1)(ii)(K). If filing as a non-U.S. institution in accordance with § 240.13d-1(b)(1)(ii)(J), please specify the type of institution: ____</w:t>
      </w:r>
    </w:p>
    <w:p>
      <w:pPr>
        <w:spacing w:after="0" w:line="34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September 16, 2019, 683 Capital Partners, LP beneficially owned 2,331,413 shares of Common Stock.</w:t>
      </w:r>
    </w:p>
    <w:p>
      <w:pPr>
        <w:spacing w:after="0" w:line="166" w:lineRule="exact"/>
        <w:rPr>
          <w:sz w:val="20"/>
          <w:szCs w:val="20"/>
          <w:color w:val="auto"/>
        </w:rPr>
      </w:pPr>
    </w:p>
    <w:p>
      <w:pPr>
        <w:ind w:left="660"/>
        <w:spacing w:after="0" w:line="237" w:lineRule="auto"/>
        <w:rPr>
          <w:sz w:val="20"/>
          <w:szCs w:val="20"/>
          <w:color w:val="auto"/>
        </w:rPr>
      </w:pPr>
      <w:r>
        <w:rPr>
          <w:rFonts w:ascii="Arial" w:cs="Arial" w:eastAsia="Arial" w:hAnsi="Arial"/>
          <w:sz w:val="21"/>
          <w:szCs w:val="21"/>
          <w:color w:val="auto"/>
        </w:rPr>
        <w:t>683 Capital Management, LLC, as the investment manager of 683 Capital Partners, LP, may be deemed to have beneficially owned the 2,331,413 shares of Common Stock beneficially owned by 683 Capital Partners, LP.</w:t>
      </w:r>
    </w:p>
    <w:p>
      <w:pPr>
        <w:spacing w:after="0" w:line="144" w:lineRule="exact"/>
        <w:rPr>
          <w:sz w:val="20"/>
          <w:szCs w:val="20"/>
          <w:color w:val="auto"/>
        </w:rPr>
      </w:pPr>
    </w:p>
    <w:p>
      <w:pPr>
        <w:ind w:left="660"/>
        <w:spacing w:after="0" w:line="237" w:lineRule="auto"/>
        <w:rPr>
          <w:sz w:val="20"/>
          <w:szCs w:val="20"/>
          <w:color w:val="auto"/>
        </w:rPr>
      </w:pPr>
      <w:r>
        <w:rPr>
          <w:rFonts w:ascii="Arial" w:cs="Arial" w:eastAsia="Arial" w:hAnsi="Arial"/>
          <w:sz w:val="21"/>
          <w:szCs w:val="21"/>
          <w:color w:val="auto"/>
        </w:rPr>
        <w:t>Ari Zweiman, as the Managing Member of 683 Capital Management, LLC, may be deemed to have beneficially owned the 2,331,413 shares of Common Stock beneficially owned by 683 Capital Management, LLC.</w:t>
      </w:r>
    </w:p>
    <w:p>
      <w:pPr>
        <w:spacing w:after="0" w:line="16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05" w:lineRule="exact"/>
        <w:rPr>
          <w:sz w:val="20"/>
          <w:szCs w:val="20"/>
          <w:color w:val="auto"/>
        </w:rPr>
      </w:pPr>
    </w:p>
    <w:p>
      <w:pPr>
        <w:ind w:left="660" w:right="20"/>
        <w:spacing w:after="0" w:line="284" w:lineRule="auto"/>
        <w:rPr>
          <w:sz w:val="20"/>
          <w:szCs w:val="20"/>
          <w:color w:val="auto"/>
        </w:rPr>
      </w:pPr>
      <w:r>
        <w:rPr>
          <w:rFonts w:ascii="Arial" w:cs="Arial" w:eastAsia="Arial" w:hAnsi="Arial"/>
          <w:sz w:val="19"/>
          <w:szCs w:val="19"/>
          <w:color w:val="auto"/>
        </w:rPr>
        <w:t>The following percentage is based on 37,370,301 shares of Common Stock outstanding as of July 31, 2019 as disclosed in the Issuer’s Quarterly Report on Form 10-Q filed with the Securities and Exchange Commission on August 8, 2019.</w:t>
      </w:r>
    </w:p>
    <w:p>
      <w:pPr>
        <w:spacing w:after="0" w:line="104" w:lineRule="exact"/>
        <w:rPr>
          <w:sz w:val="20"/>
          <w:szCs w:val="20"/>
          <w:color w:val="auto"/>
        </w:rPr>
      </w:pPr>
    </w:p>
    <w:p>
      <w:pPr>
        <w:ind w:left="660"/>
        <w:spacing w:after="0" w:line="226" w:lineRule="auto"/>
        <w:rPr>
          <w:sz w:val="20"/>
          <w:szCs w:val="20"/>
          <w:color w:val="auto"/>
        </w:rPr>
      </w:pPr>
      <w:r>
        <w:rPr>
          <w:rFonts w:ascii="Arial" w:cs="Arial" w:eastAsia="Arial" w:hAnsi="Arial"/>
          <w:sz w:val="22"/>
          <w:szCs w:val="22"/>
          <w:color w:val="auto"/>
        </w:rPr>
        <w:t>As of September 16, 2019, each of the Reporting Persons may be deemed to have beneficially owned approximately 6.2% of the outstanding shares of Common Stock.</w:t>
      </w:r>
    </w:p>
    <w:p>
      <w:pPr>
        <w:spacing w:after="0" w:line="165" w:lineRule="exact"/>
        <w:rPr>
          <w:sz w:val="20"/>
          <w:szCs w:val="20"/>
          <w:color w:val="auto"/>
        </w:rPr>
      </w:pPr>
    </w:p>
    <w:p>
      <w:pPr>
        <w:ind w:left="1300" w:hanging="129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4" w:lineRule="exact"/>
        <w:rPr>
          <w:rFonts w:ascii="Arial" w:cs="Arial" w:eastAsia="Arial" w:hAnsi="Arial"/>
          <w:sz w:val="18"/>
          <w:szCs w:val="18"/>
          <w:color w:val="auto"/>
        </w:rPr>
      </w:pPr>
    </w:p>
    <w:p>
      <w:pPr>
        <w:ind w:left="1140" w:hanging="484"/>
        <w:spacing w:after="0"/>
        <w:tabs>
          <w:tab w:leader="none" w:pos="1140" w:val="left"/>
        </w:tabs>
        <w:numPr>
          <w:ilvl w:val="1"/>
          <w:numId w:val="20"/>
        </w:numPr>
        <w:rPr>
          <w:rFonts w:ascii="Arial" w:cs="Arial" w:eastAsia="Arial" w:hAnsi="Arial"/>
          <w:sz w:val="22"/>
          <w:szCs w:val="22"/>
          <w:color w:val="auto"/>
        </w:rPr>
      </w:pPr>
      <w:r>
        <w:rPr>
          <w:rFonts w:ascii="Arial" w:cs="Arial" w:eastAsia="Arial" w:hAnsi="Arial"/>
          <w:sz w:val="22"/>
          <w:szCs w:val="22"/>
          <w:color w:val="auto"/>
        </w:rPr>
        <w:t>Sole power to vote or to direct the vote of Common Stock:</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Cover Pages Items 5-9.</w:t>
      </w:r>
    </w:p>
    <w:p>
      <w:pPr>
        <w:spacing w:after="0" w:line="166" w:lineRule="exact"/>
        <w:rPr>
          <w:sz w:val="20"/>
          <w:szCs w:val="20"/>
          <w:color w:val="auto"/>
        </w:rPr>
      </w:pPr>
    </w:p>
    <w:p>
      <w:pPr>
        <w:ind w:left="1200" w:hanging="544"/>
        <w:spacing w:after="0"/>
        <w:tabs>
          <w:tab w:leader="none" w:pos="12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Shared power to vote or to direct the vote of Common Stock:</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Cover Pages Items 5-9.</w:t>
      </w:r>
    </w:p>
    <w:p>
      <w:pPr>
        <w:spacing w:after="0" w:line="166" w:lineRule="exact"/>
        <w:rPr>
          <w:sz w:val="20"/>
          <w:szCs w:val="20"/>
          <w:color w:val="auto"/>
        </w:rPr>
      </w:pPr>
    </w:p>
    <w:p>
      <w:pPr>
        <w:ind w:left="1260" w:hanging="604"/>
        <w:spacing w:after="0"/>
        <w:tabs>
          <w:tab w:leader="none" w:pos="12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Common Stock:</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Cover Pages Items 5-9.</w:t>
      </w:r>
    </w:p>
    <w:p>
      <w:pPr>
        <w:spacing w:after="0" w:line="166" w:lineRule="exact"/>
        <w:rPr>
          <w:sz w:val="20"/>
          <w:szCs w:val="20"/>
          <w:color w:val="auto"/>
        </w:rPr>
      </w:pPr>
    </w:p>
    <w:p>
      <w:pPr>
        <w:ind w:left="1300" w:right="4040" w:hanging="644"/>
        <w:spacing w:after="0" w:line="456" w:lineRule="auto"/>
        <w:tabs>
          <w:tab w:leader="none" w:pos="1241" w:val="left"/>
        </w:tabs>
        <w:numPr>
          <w:ilvl w:val="0"/>
          <w:numId w:val="23"/>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Common Stock: 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0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Persons have ceased to be the beneficial owner of more than five percent of the class of securities, check the following [ ].</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ind w:left="1300" w:right="7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Exhibit A.</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09"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2"/>
          <w:szCs w:val="22"/>
          <w:color w:val="auto"/>
        </w:rPr>
        <w:t>By signing below the undersigned certifies that, to the best of its or his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SIGNATURES</w:t>
      </w:r>
    </w:p>
    <w:p>
      <w:pPr>
        <w:spacing w:after="0" w:line="173"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After reasonable inquiry and to the best of its knowledge and belief, each of the undersigned certifies that the information with respect to it set forth in this statement is true, complete, and correct.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16, 2019</w:t>
      </w:r>
    </w:p>
    <w:p>
      <w:pPr>
        <w:spacing w:after="0" w:line="18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683 CAPITAL MANAGEMENT, LLC*</w:t>
      </w:r>
    </w:p>
    <w:p>
      <w:pPr>
        <w:spacing w:after="0" w:line="22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Ari ZweimanBy: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14605</wp:posOffset>
            </wp:positionV>
            <wp:extent cx="23152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Ari Zweiman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Authorized Person</w:t>
      </w: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683 CAPITAL PARTNERS, LP*</w:t>
      </w:r>
    </w:p>
    <w:p>
      <w:pPr>
        <w:spacing w:after="0" w:line="22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Ari ZweimanBy: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14605</wp:posOffset>
            </wp:positionV>
            <wp:extent cx="23152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Ari Zweiman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Authorized Person</w:t>
      </w: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Ari Zweiman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14605</wp:posOffset>
            </wp:positionV>
            <wp:extent cx="25215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ARI ZWEIMAN *</w:t>
      </w:r>
    </w:p>
    <w:p>
      <w:pPr>
        <w:spacing w:after="0" w:line="200" w:lineRule="exact"/>
        <w:rPr>
          <w:sz w:val="20"/>
          <w:szCs w:val="20"/>
          <w:color w:val="auto"/>
        </w:rPr>
      </w:pPr>
    </w:p>
    <w:p>
      <w:pPr>
        <w:spacing w:after="0" w:line="261"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*The Reporting Persons disclaim beneficial ownership in the shares of Common Stock reported herein except to the extent of their pecuniary interest therein.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6"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s.240.13d-7 for other parties for whom copies are to be sent.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Attention. Intentional misstatements or omissions of fact constitute Federal criminal violations (see 18 U.S.C. 1001).</w:t>
      </w:r>
    </w:p>
    <w:p>
      <w:pPr>
        <w:sectPr>
          <w:pgSz w:w="11900" w:h="16838" w:orient="portrait"/>
          <w:cols w:equalWidth="0" w:num="1">
            <w:col w:w="11420"/>
          </w:cols>
          <w:pgMar w:left="240" w:top="9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EXHIBIT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172"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2"/>
          <w:szCs w:val="22"/>
          <w:color w:val="auto"/>
        </w:rPr>
        <w:t>The undersigned hereby agree that the statement on Schedule 13G with respect to the Common Stock of Zafgen, Inc. dated as of September 16, 2019 is, and any further amendments thereto signed by each of the undersigned shall be, filed on behalf of each of the undersigned pursuant to and in accordance with the provisions of Rule 13d-1(k)(2) under the Securities Exchange Act of 1934, as amended.</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16, 2019</w:t>
      </w:r>
    </w:p>
    <w:p>
      <w:pPr>
        <w:spacing w:after="0" w:line="18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683 CAPITAL MANAGEMENT, LLC*</w:t>
      </w:r>
    </w:p>
    <w:p>
      <w:pPr>
        <w:spacing w:after="0" w:line="22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Ari ZweimanBy: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14605</wp:posOffset>
            </wp:positionV>
            <wp:extent cx="23152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Ari Zweiman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Authorized Person</w:t>
      </w: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683 CAPITAL PARTNERS, LP*</w:t>
      </w:r>
    </w:p>
    <w:p>
      <w:pPr>
        <w:spacing w:after="0" w:line="22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Ari ZweimanBy: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14605</wp:posOffset>
            </wp:positionV>
            <wp:extent cx="23152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Ari Zweiman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Authorized Person</w:t>
      </w: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Ari Zweiman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14605</wp:posOffset>
            </wp:positionV>
            <wp:extent cx="252158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ARI ZWEIMAN *</w:t>
      </w:r>
    </w:p>
    <w:sectPr>
      <w:pgSz w:w="11900" w:h="16838" w:orient="portrait"/>
      <w:cols w:equalWidth="0" w:num="1">
        <w:col w:w="11420"/>
      </w:cols>
      <w:pgMar w:left="240" w:top="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Roman"/>
      <w:start w:val="10"/>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lvl w:ilvl="1">
      <w:lvlJc w:val="left"/>
      <w:lvlText w:val="(%2)"/>
      <w:numFmt w:val="lowerLetter"/>
      <w:start w:val="1"/>
    </w:lvl>
  </w:abstractNum>
  <w:abstractNum w:abstractNumId="3">
    <w:nsid w:val="109CF92E"/>
    <w:multiLevelType w:val="hybridMultilevel"/>
    <w:lvl w:ilvl="0">
      <w:lvlJc w:val="left"/>
      <w:lvlText w:val="%1."/>
      <w:numFmt w:val="decimal"/>
      <w:start w:val="5"/>
    </w:lvl>
  </w:abstractNum>
  <w:abstractNum w:abstractNumId="4">
    <w:nsid w:val="DED7263"/>
    <w:multiLevelType w:val="hybridMultilevel"/>
    <w:lvl w:ilvl="0">
      <w:lvlJc w:val="left"/>
      <w:lvlText w:val="%1."/>
      <w:numFmt w:val="decimal"/>
      <w:start w:val="1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2"/>
    </w:lvl>
    <w:lvl w:ilvl="1">
      <w:lvlJc w:val="left"/>
      <w:lvlText w:val="(%2)"/>
      <w:numFmt w:val="lowerLetter"/>
      <w:start w:val="1"/>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1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2"/>
    </w:lvl>
    <w:lvl w:ilvl="1">
      <w:lvlJc w:val="left"/>
      <w:lvlText w:val="(%2)"/>
      <w:numFmt w:val="lowerLetter"/>
      <w:start w:val="1"/>
    </w:lvl>
  </w:abstractNum>
  <w:abstractNum w:abstractNumId="11">
    <w:nsid w:val="519B500D"/>
    <w:multiLevelType w:val="hybridMultilevel"/>
    <w:lvl w:ilvl="0">
      <w:lvlJc w:val="left"/>
      <w:lvlText w:val="%1."/>
      <w:numFmt w:val="decimal"/>
      <w:start w:val="5"/>
    </w:lvl>
  </w:abstractNum>
  <w:abstractNum w:abstractNumId="12">
    <w:nsid w:val="431BD7B7"/>
    <w:multiLevelType w:val="hybridMultilevel"/>
    <w:lvl w:ilvl="0">
      <w:lvlJc w:val="left"/>
      <w:lvlText w:val="%1."/>
      <w:numFmt w:val="decimal"/>
      <w:start w:val="1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9"/>
    </w:lvl>
  </w:abstractNum>
  <w:abstractNum w:abstractNumId="16">
    <w:nsid w:val="62BBD95A"/>
    <w:multiLevelType w:val="hybridMultilevel"/>
    <w:lvl w:ilvl="0">
      <w:lvlJc w:val="left"/>
      <w:lvlText w:val="(%1)"/>
      <w:numFmt w:val="lowerLetter"/>
      <w:start w:val="1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lowerLetter"/>
      <w:start w:val="3"/>
    </w:lvl>
    <w:lvl w:ilvl="1">
      <w:lvlJc w:val="left"/>
      <w:lvlText w:val="(%2)"/>
      <w:numFmt w:val="lowerLetter"/>
      <w:start w:val="9"/>
    </w:lvl>
  </w:abstractNum>
  <w:abstractNum w:abstractNumId="20">
    <w:nsid w:val="721DA317"/>
    <w:multiLevelType w:val="hybridMultilevel"/>
    <w:lvl w:ilvl="0">
      <w:lvlJc w:val="left"/>
      <w:lvlText w:val="(%1)"/>
      <w:numFmt w:val="lowerRoman"/>
      <w:start w:val="2"/>
    </w:lvl>
  </w:abstractNum>
  <w:abstractNum w:abstractNumId="21">
    <w:nsid w:val="2443A858"/>
    <w:multiLevelType w:val="hybridMultilevel"/>
    <w:lvl w:ilvl="0">
      <w:lvlJc w:val="left"/>
      <w:lvlText w:val="(%1)"/>
      <w:numFmt w:val="lowerRoman"/>
      <w:start w:val="3"/>
    </w:lvl>
  </w:abstractNum>
  <w:abstractNum w:abstractNumId="22">
    <w:nsid w:val="2D1D5AE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2019-12-20T07:23:06Z</dcterms:created>
  <dcterms:modified xsi:type="dcterms:W3CDTF">2019-12-20T07:23:06Z</dcterms:modified>
</cp:coreProperties>
</file>