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820" w:right="1560" w:hanging="3803"/>
        <w:spacing w:after="0" w:line="303" w:lineRule="auto"/>
        <w:tabs>
          <w:tab w:leader="none" w:pos="53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000" w:right="1560" w:hanging="3983"/>
        <w:spacing w:after="0" w:line="344" w:lineRule="auto"/>
        <w:tabs>
          <w:tab w:leader="none" w:pos="52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____</w:t>
      </w:r>
    </w:p>
    <w:p>
      <w:pPr>
        <w:ind w:left="41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001-36510</w:t>
      </w:r>
    </w:p>
    <w:p>
      <w:pPr>
        <w:spacing w:after="0" w:line="20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8"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060" w:type="dxa"/>
            <w:vAlign w:val="bottom"/>
          </w:tcPr>
          <w:p>
            <w:pPr>
              <w:jc w:val="center"/>
              <w:ind w:left="15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right"/>
              <w:ind w:right="2305"/>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060" w:type="dxa"/>
            <w:vAlign w:val="bottom"/>
          </w:tcPr>
          <w:p>
            <w:pPr>
              <w:jc w:val="center"/>
              <w:ind w:left="150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60" w:type="dxa"/>
            <w:vAlign w:val="bottom"/>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6"/>
        </w:trPr>
        <w:tc>
          <w:tcPr>
            <w:tcW w:w="4060" w:type="dxa"/>
            <w:vAlign w:val="bottom"/>
          </w:tcPr>
          <w:p>
            <w:pPr>
              <w:jc w:val="center"/>
              <w:ind w:left="1484"/>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tcPr>
          <w:p>
            <w:pPr>
              <w:jc w:val="right"/>
              <w:ind w:right="2505"/>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216"/>
        </w:trPr>
        <w:tc>
          <w:tcPr>
            <w:tcW w:w="406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Bala Cynwyd, PA</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4060" w:type="dxa"/>
            <w:vAlign w:val="bottom"/>
          </w:tcPr>
          <w:p>
            <w:pPr>
              <w:jc w:val="center"/>
              <w:ind w:left="14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96"/>
        </w:trPr>
        <w:tc>
          <w:tcPr>
            <w:tcW w:w="4060" w:type="dxa"/>
            <w:vAlign w:val="bottom"/>
          </w:tcPr>
          <w:p>
            <w:pPr>
              <w:spacing w:after="0"/>
              <w:rPr>
                <w:sz w:val="24"/>
                <w:szCs w:val="24"/>
                <w:color w:val="auto"/>
              </w:rPr>
            </w:pPr>
          </w:p>
        </w:tc>
        <w:tc>
          <w:tcPr>
            <w:tcW w:w="2700" w:type="dxa"/>
            <w:vAlign w:val="bottom"/>
            <w:gridSpan w:val="2"/>
          </w:tcPr>
          <w:p>
            <w:pPr>
              <w:jc w:val="center"/>
              <w:ind w:left="304"/>
              <w:spacing w:after="0"/>
              <w:rPr>
                <w:sz w:val="20"/>
                <w:szCs w:val="20"/>
                <w:color w:val="auto"/>
              </w:rPr>
            </w:pPr>
            <w:r>
              <w:rPr>
                <w:rFonts w:ascii="Times New Roman" w:cs="Times New Roman" w:eastAsia="Times New Roman" w:hAnsi="Times New Roman"/>
                <w:sz w:val="18"/>
                <w:szCs w:val="18"/>
                <w:b w:val="1"/>
                <w:bCs w:val="1"/>
                <w:color w:val="auto"/>
                <w:w w:val="99"/>
              </w:rPr>
              <w:t>(844) 511-9056</w:t>
            </w:r>
          </w:p>
        </w:tc>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7480" w:type="dxa"/>
            <w:vAlign w:val="bottom"/>
            <w:gridSpan w:val="4"/>
          </w:tcPr>
          <w:p>
            <w:pPr>
              <w:jc w:val="center"/>
              <w:ind w:left="368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60" w:type="dxa"/>
            <w:vAlign w:val="bottom"/>
          </w:tcPr>
          <w:p>
            <w:pPr>
              <w:spacing w:after="0"/>
              <w:rPr>
                <w:sz w:val="16"/>
                <w:szCs w:val="16"/>
                <w:color w:val="auto"/>
              </w:rPr>
            </w:pPr>
          </w:p>
        </w:tc>
      </w:tr>
      <w:tr>
        <w:trPr>
          <w:trHeight w:val="250"/>
        </w:trPr>
        <w:tc>
          <w:tcPr>
            <w:tcW w:w="4060" w:type="dxa"/>
            <w:vAlign w:val="bottom"/>
          </w:tcPr>
          <w:p>
            <w:pPr>
              <w:spacing w:after="0"/>
              <w:rPr>
                <w:sz w:val="21"/>
                <w:szCs w:val="21"/>
                <w:color w:val="auto"/>
              </w:rPr>
            </w:pPr>
          </w:p>
        </w:tc>
        <w:tc>
          <w:tcPr>
            <w:tcW w:w="342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760" w:type="dxa"/>
            <w:vAlign w:val="bottom"/>
          </w:tcPr>
          <w:p>
            <w:pPr>
              <w:spacing w:after="0"/>
              <w:rPr>
                <w:sz w:val="21"/>
                <w:szCs w:val="21"/>
                <w:color w:val="auto"/>
              </w:rPr>
            </w:pPr>
          </w:p>
        </w:tc>
      </w:tr>
      <w:tr>
        <w:trPr>
          <w:trHeight w:val="147"/>
        </w:trPr>
        <w:tc>
          <w:tcPr>
            <w:tcW w:w="40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r>
      <w:tr>
        <w:trPr>
          <w:trHeight w:val="122"/>
        </w:trPr>
        <w:tc>
          <w:tcPr>
            <w:tcW w:w="4060" w:type="dxa"/>
            <w:vAlign w:val="bottom"/>
            <w:tcBorders>
              <w:left w:val="single" w:sz="8" w:color="auto"/>
              <w:bottom w:val="single" w:sz="8" w:color="auto"/>
            </w:tcBorders>
          </w:tcPr>
          <w:p>
            <w:pPr>
              <w:jc w:val="center"/>
              <w:ind w:left="384"/>
              <w:spacing w:after="0" w:line="102" w:lineRule="exact"/>
              <w:rPr>
                <w:sz w:val="20"/>
                <w:szCs w:val="20"/>
                <w:color w:val="auto"/>
              </w:rPr>
            </w:pPr>
            <w:r>
              <w:rPr>
                <w:rFonts w:ascii="Times New Roman" w:cs="Times New Roman" w:eastAsia="Times New Roman" w:hAnsi="Times New Roman"/>
                <w:sz w:val="11"/>
                <w:szCs w:val="11"/>
                <w:color w:val="auto"/>
              </w:rPr>
              <w:t>Title of each class</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Trading Symbol(s)</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02" w:lineRule="exact"/>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25"/>
        </w:trPr>
        <w:tc>
          <w:tcPr>
            <w:tcW w:w="4060" w:type="dxa"/>
            <w:vAlign w:val="bottom"/>
            <w:tcBorders>
              <w:left w:val="single" w:sz="8" w:color="auto"/>
              <w:bottom w:val="single" w:sz="8" w:color="auto"/>
            </w:tcBorders>
          </w:tcPr>
          <w:p>
            <w:pPr>
              <w:jc w:val="center"/>
              <w:ind w:left="364"/>
              <w:spacing w:after="0" w:line="125"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LRMR</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25" w:lineRule="exact"/>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08"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9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7, 2024, there were 63,802,017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Statements made in this Quarterly Report on Form 10-Q that are not statements of historical or current facts are “forward-looking statements” within the meaning of the Private Securities Litigation Reform Act of 1995, as amended.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54" w:lineRule="exact"/>
        <w:rPr>
          <w:sz w:val="20"/>
          <w:szCs w:val="20"/>
          <w:color w:val="auto"/>
        </w:rPr>
      </w:pPr>
    </w:p>
    <w:p>
      <w:pPr>
        <w:ind w:left="102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U.S. Food and Drug Administration (“FDA”), European Medicines Agency ("EMA") and other comparable regulatory authorities for marketing approval for nomlabofusp (nomlabofusp is the International Nonproprietary Name and the United States Adopted Name for CTI-1601 ) or any other product candidates that we may develop in the future and unexpected costs that may result therefrom;</w:t>
      </w:r>
    </w:p>
    <w:p>
      <w:pPr>
        <w:spacing w:after="0" w:line="75"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execute our ongoing open label extension study (“OLE”), including the timing of site initiations and rate of patient enrollment, and our ability to pursue dose escalation;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including potential delays in the commencement, enrollment and completion of clinical trials, the timing of a potential Biologics License Application (“BLA”) submission for accelerated approval, including our ability to supply to the FDA all required data for the FDA to review and accept an accelerated application, or any other product candidates that we may develop in the future;</w:t>
      </w:r>
    </w:p>
    <w:p>
      <w:pPr>
        <w:spacing w:after="0" w:line="7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candidates we may develop in the future, and the indication and labeling under any such approval;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recent and future financings,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candidates we may develop in the future in light of inherent risks and difficulties involved in successfully bringing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candidates to market and the risk that the product candidates, if approved, will not achieve broad market acceptance;</w:t>
      </w:r>
    </w:p>
    <w:p>
      <w:pPr>
        <w:spacing w:after="0" w:line="117" w:lineRule="exact"/>
        <w:rPr>
          <w:sz w:val="20"/>
          <w:szCs w:val="20"/>
          <w:color w:val="auto"/>
        </w:rPr>
      </w:pPr>
    </w:p>
    <w:p>
      <w:pPr>
        <w:ind w:left="1020" w:right="3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candidates that we may develop in the future, the rate and degree of market acceptance of nomlabofusp or any other product candidate, if approved, that we may develop in the future and our ability to serve those markets;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competing therapies and products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("CROs"), consultants, and third-party suppliers, manufacturers, distributors, and logistics providers;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53"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w:t>
      </w:r>
    </w:p>
    <w:p>
      <w:pPr>
        <w:spacing w:after="0" w:line="75"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14, 2024.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gridSpan w:val="11"/>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5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120" w:type="dxa"/>
            <w:vAlign w:val="bottom"/>
            <w:tcBorders>
              <w:top w:val="single" w:sz="8" w:color="0000FF"/>
            </w:tcBorders>
            <w:gridSpan w:val="5"/>
          </w:tcPr>
          <w:p>
            <w:pPr>
              <w:spacing w:after="0"/>
              <w:rPr>
                <w:sz w:val="24"/>
                <w:szCs w:val="24"/>
                <w:color w:val="auto"/>
              </w:rPr>
            </w:pPr>
          </w:p>
        </w:tc>
        <w:tc>
          <w:tcPr>
            <w:tcW w:w="354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months ended March 31, 2024 and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2023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2024 and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0000EE"/>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66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885"/>
        </w:trPr>
        <w:tc>
          <w:tcPr>
            <w:tcW w:w="2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320" w:type="dxa"/>
            <w:vAlign w:val="bottom"/>
            <w:gridSpan w:val="11"/>
          </w:tcPr>
          <w:p>
            <w:pPr>
              <w:jc w:val="center"/>
              <w:ind w:left="4150"/>
              <w:spacing w:after="0"/>
              <w:rPr>
                <w:sz w:val="20"/>
                <w:szCs w:val="20"/>
                <w:color w:val="auto"/>
              </w:rPr>
            </w:pPr>
            <w:r>
              <w:rPr>
                <w:rFonts w:ascii="Times New Roman" w:cs="Times New Roman" w:eastAsia="Times New Roman" w:hAnsi="Times New Roman"/>
                <w:sz w:val="18"/>
                <w:szCs w:val="18"/>
                <w:color w:val="auto"/>
                <w:w w:val="88"/>
              </w:rPr>
              <w:t>2</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110,125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117,171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230,953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248,205</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95,935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per share; 5,000,000 shares authorized</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as of March 31, 2024 and December 31, 2023; no shares issued and</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2024 and December 31, 2023</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per share; 115,000,000 shares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as of March 31, 2024 and December 31, 2023;</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63,800,017 and 43,909,069 shares issued and outstanding as of</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434,013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270,150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(203,208 )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(188,554 )</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230,844</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100" w:type="dxa"/>
            <w:vAlign w:val="bottom"/>
            <w:tcBorders>
              <w:top w:val="single" w:sz="8" w:color="CFF0FC"/>
            </w:tcBorders>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248,205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95,935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-4499610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-4499610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-3565525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-2605405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-2287905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(16,734 )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(7,637 )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20"/>
                <w:szCs w:val="20"/>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(14,654 )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(6,526 )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(0.15 )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53,553,707</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43,897,603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(14,654 )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(6,526 )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(106 )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(14,760 )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(6,495 )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-1996440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-1353820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-1336675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-976630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1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w:t>
            </w: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43,909,069</w:t>
            </w:r>
          </w:p>
        </w:tc>
        <w:tc>
          <w:tcPr>
            <w:tcW w:w="104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270,150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(188,554 )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19,736,842</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153,750</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(106 )</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(14,654 )</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(14,654 )</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March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63,800,017</w:t>
            </w:r>
          </w:p>
        </w:tc>
        <w:tc>
          <w:tcPr>
            <w:tcW w:w="24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434,013</w:t>
            </w:r>
          </w:p>
        </w:tc>
        <w:tc>
          <w:tcPr>
            <w:tcW w:w="22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(203,208 )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1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w:t>
            </w: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43,269,200</w:t>
            </w:r>
          </w:p>
        </w:tc>
        <w:tc>
          <w:tcPr>
            <w:tcW w:w="104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262,496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(151,605 )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(6,526 )</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(6,526 )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March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43,269,200</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264,329</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(158,131 )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106,241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-1679575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-1679575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-1679575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-1679575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-1679575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-8255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3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(14,654 )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(6,526 )</w:t>
            </w: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(583 )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(616 )</w:t>
            </w:r>
          </w:p>
        </w:tc>
      </w:tr>
      <w:tr>
        <w:trPr>
          <w:trHeight w:val="241"/>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(272 )</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(991 )</w:t>
            </w: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(1,682 )</w:t>
            </w: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(10,411 )</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(7,551 )</w:t>
            </w:r>
          </w:p>
        </w:tc>
      </w:tr>
      <w:tr>
        <w:trPr>
          <w:trHeight w:val="239"/>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(84,864 )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and sales of marketable securities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92,250</w:t>
            </w:r>
          </w:p>
        </w:tc>
        <w:tc>
          <w:tcPr>
            <w:tcW w:w="100" w:type="dxa"/>
            <w:vAlign w:val="bottom"/>
          </w:tcPr>
          <w:p>
            <w:pPr>
              <w:spacing w:after="0"/>
              <w:rPr>
                <w:sz w:val="20"/>
                <w:szCs w:val="20"/>
                <w:color w:val="auto"/>
              </w:rPr>
            </w:pPr>
          </w:p>
        </w:tc>
      </w:tr>
      <w:tr>
        <w:trPr>
          <w:trHeight w:val="237"/>
        </w:trPr>
        <w:tc>
          <w:tcPr>
            <w:tcW w:w="8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(68,364 )</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92,250</w:t>
            </w: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41"/>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equity securities, net of issuance costs</w:t>
            </w: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162,151</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162,151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2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83,376</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84,699</w:t>
            </w: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28,164</w:t>
            </w:r>
          </w:p>
        </w:tc>
        <w:tc>
          <w:tcPr>
            <w:tcW w:w="100" w:type="dxa"/>
            <w:vAlign w:val="bottom"/>
          </w:tcPr>
          <w:p>
            <w:pPr>
              <w:spacing w:after="0"/>
              <w:rPr>
                <w:sz w:val="20"/>
                <w:szCs w:val="20"/>
                <w:color w:val="auto"/>
              </w:rPr>
            </w:pPr>
          </w:p>
        </w:tc>
      </w:tr>
      <w:tr>
        <w:trPr>
          <w:trHeight w:val="236"/>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111,464</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Offering costs included in accounts payable and accrued expense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-1910715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-1276350</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-959485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-316230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2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(nomlabofusp is the International Nonproprietary Name and the United States Adopted Name for CTI-1601 ),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p>
    <w:p>
      <w:pPr>
        <w:spacing w:after="0" w:line="6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has completed two phase 1 studies of nomlabofusp, a Phase 2 dose exploration study, and recently initiated an open label extension study (“OLE”) in patients with FA.</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May 2021, after reporting positive top-line data from the Company’s Phase 1 FA program, the U.S. Food and Drug Administration (“FDA”) placed a clinical hold on the Company’s nomlabofusp clinical program after the Company notified the FDA of mortalities at the highest dose levels of a 26-week non-human primate toxicology study that was designed to support extended dosing of patients with nomlabofusp. In August 2022, the Company submitted a complete response to the clinical hold following a Type C Meeting with the FDA, and proposed as nomlabofusp's next clinical trial a Phase 2, four-week, dose exploration study in FA patients starting at the lower dose levels tested in the Company’s Phase 1 multiple-ascending dose clinical trial. In September 2022, the FDA lifted its full clinical hold on the nomlabofusp program and imposed a partial clinical hold.</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May 2023, the Company announced top-line data from its completed 25 mg cohort of a Phase 2, four-week, dose exploration trial of nomlabofusp in patients with FA and provided a complete response to the FDA in June 2023, which included unblinded safety, pharmacokinetic ("PK"), and pharmacodynamic ("PD") data from the Phase 2 trial’s completed 25 mg cohort.</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June 2023, the Company met with the FDA. Following that meeting, the Company submitted a complete response to the FDA’s partial clinical hold that included unblinded safety, PK and frataxin data from the Phase 2 trial’s completed 25 mg cohort.</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July 2023, following the FDA’s review of the Company's complete response to the partial clinical hold, the FDA cleared initiation of a second cohort at 50 mg of our four-week, placebo-controlled, Phase 2 dose exploration trial and initiation of an OLE study with daily dosing of 25 mg.</w:t>
      </w:r>
    </w:p>
    <w:p>
      <w:pPr>
        <w:spacing w:after="0" w:line="5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February 2024, the Company reported positive top-line data and successful completion of their four-week, placebo-controlled Phase 2 dose exploration study of nomlabofusp in participants with FA. Nomlabofusp was generally well tolerated throughout the four-week treatment periods, had a predictable pharmacokinetic profile and let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The initiation of additional U.S. clinical trials evaluating nomlabofusp are contingent on FDA review of data under the partial clinical hold.</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January 2024, the Company initiated the OLE trial, discussed above, evaluating daily subcutaneous injections of 25 mg of nomlabofusp self-administered or administered by a caregiver, with the first patient dosed in March 2024. Additional patients continue to be enrolled and dosed and additional clinical sites added. Participants who completed treatment in the Phase 2 dose exploration study, or who previously completed a prior clinical trial of nomlabofusp, are potentially eligible to screen for the OLE study. The OLE study will evaluate the safety and tolerability, pharmacokinetics, and frataxin levels in peripheral tissues as well as other exploratory pharmacodynamic markers (lipid profiles and gene expression data) following long-term subcutaneous administration of nomlabofusp. Dose escalation in the OLE study is contingent on the FDA’s review of data from the 50 mg cohort of the Phase 2 study and available data from the OLE study, due to the continued partial clinical hold. Interim data is expected in the fourth quarter of 2024. In addition, clinical assessments collected during the study will be compared to data from a matched control arm derived from participants in the Friedreich’s Ataxia Clinical Outcome Measures Study (FACOMS) database.</w:t>
      </w:r>
    </w:p>
    <w:p>
      <w:pPr>
        <w:spacing w:after="0" w:line="80"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The Company is subject to risks and uncertainties common to pre-commercial companies in the biotechnology industry, including, but not limited to, development and commercialization by competitors of new technological innovations, dependence on key personnel, protection of proprietary technology, compliance with governmental regulations, failure to secure regulatory approval for its drug candidates or any other product candidates and the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 w:name="page10"/>
    <w:bookmarkEnd w:id="9"/>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ability to secure additional capital to fund its operations. Product candidates under development will require extensive non-clinical and clinical testing and regulatory approval prior to commercialization. These efforts require significant amounts of additional capital, adequate personnel, infrastructure and extensive compliance-reporting capabilities. Even if the Company's drug development efforts are successful, it is uncertain when, if ever, it will realize significant revenue from product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Generally Accepted Accounting Principles ("GAAP").</w:t>
      </w:r>
    </w:p>
    <w:p>
      <w:pPr>
        <w:spacing w:after="0" w:line="68"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was derived from the Company’s audited financial statements but does not include all disclosures required by GAAP. The accompanying unaudited condensed consolidated financial statements as of March 31, 2024 and for the three months ended March 31, 2024 and 2023,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2023 included in the Company’s Annual Report on Form 10-K filed with the SEC on March 14, 2024.</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condensed consolidated financial position as of March 31, 2024, condensed consolidated results of operations for the three months ended March 31, 2024 and condensed consolidated statement of cash flows for the three months ended March 31, 2024 have been made. The results of operations for the three months ended March 31, 2024 are not necessarily indicative of the results of operations that may be expected for the year ending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presented on the basis that it will continue as a going concern, which contemplates the realization of assets and satisfaction of liabilities in the normal course of business.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incurred significant recurring operating losses and negative cash flows from operations. The Company has incurred net losses of $14.7 million and $6.5 million for the three months ended March 31, 2024 and 2023, respectively. In addition, as of March 31, 2024, the Company had an accumulated deficit of $203.2 million. The Company expects to continue to generate operating losses for the foreseeable future. As of March 31, 2024, the Company had approximately $239.0 million of cash, cash equivalents and marketable securities available for use to fund its operations and capital requirements.</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has funded its operations to date primarily with proceeds from sales of common stock and proceeds from the sale of prefunded warrants for the purchase of common stock, the acquisition in 2020 of cash, cash equivalents and marketable securities upon the merger with Zafgen, Inc. ("Zafgen") and, prior to the 2020 merger with Zafgen, capital contributions from Chondrial Holdings, LLC.</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completed an underwritten public offering in which the Company issued and sold 19,736,842 shares of its common stock at a public offering price of $8.74 per share. The Company received net proceeds of approximately $161.8 million after deducting underwriting discounts, commissions and other offering expenses.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condensed consolidated financial statements are issued. As of the issuance date of these condensed consolidated financial statements, the Company expects its cash, cash equivalents and marketable securities, including its net proceeds from the February 2024 public offering, will be sufficient to fund its forecasted operating expenses and capital expenditure requirements into 2026. If the timing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8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of the Company's clinical assumptions are delayed or if there are other forecasted assumption changes that negatively impact its operating plan, the Company would reduce expenditures in order to further extend cash resources.</w:t>
      </w:r>
    </w:p>
    <w:p>
      <w:pPr>
        <w:spacing w:after="0" w:line="54"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 public or private equity offerings, debt or royalty financings, collaborations and licensing arrangements, strategic partnerships with pharmaceutical and/or larger biotechnology companies,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spacing w:after="0" w:line="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pre commercialization efforts and/or commercial operations, which could adversely affect its business prospects, or the Company may be unable to continue operations.</w:t>
      </w:r>
    </w:p>
    <w:p>
      <w:pPr>
        <w:spacing w:after="0" w:line="176"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Significant estimates and assumptions reflected in these condensed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Costs associated with internal research and development and external research and development services, including drug development, clinical studies and non-clinical studies, are expensed as incurred. Research and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key service providers.</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Upfront payments, milestone payments and annual maintenance fees under license agreements are currently expensed in the period in which they are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 average number of common shares outstanding for the period. Prior to August 11, 2023, basic shares outstanding includes the weighted average effect of the Company’s prefunded warrants issued in June 2020, the exercise of which requires little or no consideration for the delivery of shares of common stock. These prefunded warrants were exercised on August 11, 2023 and the Company received cash proceeds of less than $0.1 million. Accordingly, the 628,403 shares were issued upon the exercise of these warrants and are included in issued and outstanding common stock.</w:t>
      </w:r>
    </w:p>
    <w:p>
      <w:pPr>
        <w:spacing w:after="0" w:line="75"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including potentially dilutive common stock equivalents assuming the dilutive effect of outstanding stock options, outstanding restricted stock units, and unvested restricted common shares, as determined using the treasury stock method. For periods in which the Company has reported net losses (all periods since inception), diluted net loss per common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attributable to common stockholders is the same as basic net loss per common share attributable to common stockholders, since dilutive common stock equivalents are not assumed to have been issued if their effect is antidilutive.</w:t>
      </w:r>
    </w:p>
    <w:p>
      <w:pPr>
        <w:spacing w:after="0" w:line="54"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Company excluded 6,555,145 and 4,974,521 common stock equivalents outstanding as of March 31, 2024 and 2023, respectively, from the computation of diluted net loss per share for the three months ended March 31, 2024 and 2023 because they had an anti-dilutive impact due to the net loss incurred for the periods presented.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condensed consolidated results of operations, cash flows or financial position.</w:t>
      </w:r>
    </w:p>
    <w:p>
      <w:pPr>
        <w:spacing w:after="0" w:line="6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as of March 31, 2024 and December 31, 2023 are measured in accordance with the standards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p>
    <w:p>
      <w:pPr>
        <w:sectPr>
          <w:pgSz w:w="11900" w:h="16838" w:orient="portrait"/>
          <w:cols w:equalWidth="0" w:num="1">
            <w:col w:w="11240"/>
          </w:cols>
          <w:pgMar w:left="320" w:top="1440" w:right="339" w:bottom="1440" w:gutter="0" w:footer="0" w:header="0"/>
        </w:sect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Level –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to the valuation methodology are quoted prices (unadjusted) for identical assets or liabilities in active markets.</w:t>
      </w:r>
    </w:p>
    <w:p>
      <w:pPr>
        <w:spacing w:after="0" w:line="156" w:lineRule="exact"/>
        <w:rPr>
          <w:sz w:val="20"/>
          <w:szCs w:val="20"/>
          <w:color w:val="auto"/>
        </w:rPr>
      </w:pPr>
    </w:p>
    <w:p>
      <w:pPr>
        <w:sectPr>
          <w:pgSz w:w="11900" w:h="16838" w:orient="portrait"/>
          <w:cols w:equalWidth="0" w:num="2">
            <w:col w:w="700" w:space="640"/>
            <w:col w:w="99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 2</w:t>
      </w:r>
    </w:p>
    <w:p>
      <w:pPr>
        <w:spacing w:after="0" w:line="20" w:lineRule="exact"/>
        <w:rPr>
          <w:sz w:val="20"/>
          <w:szCs w:val="20"/>
          <w:color w:val="auto"/>
        </w:rPr>
      </w:pPr>
      <w:r>
        <w:rPr>
          <w:sz w:val="20"/>
          <w:szCs w:val="20"/>
          <w:color w:val="auto"/>
        </w:rPr>
        <w:br w:type="column"/>
      </w:r>
    </w:p>
    <w:p>
      <w:pPr>
        <w:ind w:right="740"/>
        <w:spacing w:after="0" w:line="282" w:lineRule="auto"/>
        <w:rPr>
          <w:sz w:val="20"/>
          <w:szCs w:val="20"/>
          <w:color w:val="auto"/>
        </w:rPr>
      </w:pP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81" w:lineRule="exact"/>
        <w:rPr>
          <w:sz w:val="20"/>
          <w:szCs w:val="20"/>
          <w:color w:val="auto"/>
        </w:rPr>
      </w:pPr>
    </w:p>
    <w:p>
      <w:pPr>
        <w:sectPr>
          <w:pgSz w:w="11900" w:h="16838" w:orient="portrait"/>
          <w:cols w:equalWidth="0" w:num="2">
            <w:col w:w="700" w:space="640"/>
            <w:col w:w="99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Inputs to the valuation methodology are unobservable and significant to the fair value measurement.</w:t>
      </w:r>
    </w:p>
    <w:p>
      <w:pPr>
        <w:spacing w:after="0" w:line="142" w:lineRule="exact"/>
        <w:rPr>
          <w:sz w:val="20"/>
          <w:szCs w:val="20"/>
          <w:color w:val="auto"/>
        </w:rPr>
      </w:pPr>
    </w:p>
    <w:p>
      <w:pPr>
        <w:sectPr>
          <w:pgSz w:w="11900" w:h="16838" w:orient="portrait"/>
          <w:cols w:equalWidth="0" w:num="2">
            <w:col w:w="700" w:space="640"/>
            <w:col w:w="9900"/>
          </w:cols>
          <w:pgMar w:left="320" w:top="1440" w:right="339" w:bottom="1440" w:gutter="0" w:footer="0" w:header="0"/>
          <w:type w:val="continuous"/>
        </w:sect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cash equivalents, marketable securities, accounts payable and accrued liabilities. For accounts payable and accrued liabilities, the carrying amounts of these financial instruments as of March 31, 2024 and December 31, 2023 were considered representative of their fair values due to their short term to maturity.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securities as of March 31, 2024 and December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69,905</w:t>
            </w:r>
          </w:p>
        </w:tc>
        <w:tc>
          <w:tcPr>
            <w:tcW w:w="4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69,905</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Treasury Bills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109,718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109,718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Treasury Bills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79,835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79,835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128,882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105,824</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238,600</w:t>
            </w: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132,776</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4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Treasury Bills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84,742</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42,035</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42,707</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-3218180</wp:posOffset>
            </wp:positionV>
            <wp:extent cx="102235"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-3218180</wp:posOffset>
            </wp:positionV>
            <wp:extent cx="9398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-3218180</wp:posOffset>
            </wp:positionV>
            <wp:extent cx="93980"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-3218180</wp:posOffset>
            </wp:positionV>
            <wp:extent cx="93980" cy="196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-2099310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-2099310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-2099310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-1306195</wp:posOffset>
            </wp:positionV>
            <wp:extent cx="102235" cy="19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-1306195</wp:posOffset>
            </wp:positionV>
            <wp:extent cx="93980"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-1306195</wp:posOffset>
            </wp:positionV>
            <wp:extent cx="93980" cy="196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-1306195</wp:posOffset>
            </wp:positionV>
            <wp:extent cx="9398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-350520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-350520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-350520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accrued interest receivable related to the Company’s investments was $1.1 million and $0.3 million as of March 31, 2024 and December 31, 2023, respectively, and is included in prepaid expenses and other current assets on the condensed consolidated balance sheet.</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bills, which are valued based on quoted market prices in active markets with no valuation adjustment, as Level 1 assets within the fair value hierarchy.</w:t>
      </w:r>
    </w:p>
    <w:p>
      <w:pPr>
        <w:spacing w:after="0" w:line="54" w:lineRule="exact"/>
        <w:rPr>
          <w:sz w:val="20"/>
          <w:szCs w:val="20"/>
          <w:color w:val="auto"/>
        </w:rPr>
      </w:pPr>
    </w:p>
    <w:p>
      <w:pPr>
        <w:jc w:val="both"/>
        <w:ind w:right="380"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7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March 31, 2024 and December 31, 2023, no allowances for credit losses for the Company’s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investments were recorded. During the three months ended March 31, 2024 and 2023, the Company did not recognize any impairment losses related to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as of March 31, 2024 and December 31,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4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23,061</w:t>
            </w:r>
          </w:p>
        </w:tc>
        <w:tc>
          <w:tcPr>
            <w:tcW w:w="1180" w:type="dxa"/>
            <w:vAlign w:val="bottom"/>
            <w:gridSpan w:val="3"/>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128,907</w:t>
            </w:r>
          </w:p>
        </w:tc>
        <w:tc>
          <w:tcPr>
            <w:tcW w:w="260" w:type="dxa"/>
            <w:vAlign w:val="bottom"/>
            <w:gridSpan w:val="2"/>
          </w:tcPr>
          <w:p>
            <w:pPr>
              <w:spacing w:after="0"/>
              <w:rPr>
                <w:sz w:val="20"/>
                <w:szCs w:val="20"/>
                <w:color w:val="auto"/>
              </w:rPr>
            </w:pP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1180" w:type="dxa"/>
            <w:vAlign w:val="bottom"/>
            <w:gridSpan w:val="3"/>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59,960</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81</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-1302385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-1302385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-1302385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marketable securities held as of March 31, 2024 or December 31, 2023, had remaining maturities greater than two years.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and December 31, 2023, the Company held no investments that have been in a continuous loss position for 12 months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w:t>
      </w:r>
    </w:p>
    <w:p>
      <w:pPr>
        <w:spacing w:after="0" w:line="31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14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1,786</w:t>
            </w:r>
          </w:p>
        </w:tc>
        <w:tc>
          <w:tcPr>
            <w:tcW w:w="60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1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3,657</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net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940" w:type="dxa"/>
            <w:vAlign w:val="bottom"/>
          </w:tcPr>
          <w:p>
            <w:pPr>
              <w:spacing w:after="0"/>
              <w:rPr>
                <w:sz w:val="16"/>
                <w:szCs w:val="16"/>
                <w:color w:val="auto"/>
              </w:rPr>
            </w:pPr>
          </w:p>
        </w:tc>
        <w:tc>
          <w:tcPr>
            <w:tcW w:w="4300" w:type="dxa"/>
            <w:vAlign w:val="bottom"/>
          </w:tcPr>
          <w:p>
            <w:pPr>
              <w:jc w:val="center"/>
              <w:ind w:left="2453"/>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39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4"/>
                <w:szCs w:val="14"/>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300" w:type="dxa"/>
            <w:vAlign w:val="bottom"/>
            <w:shd w:val="clear" w:color="auto" w:fill="CFF0FC"/>
          </w:tcPr>
          <w:p>
            <w:pPr>
              <w:jc w:val="center"/>
              <w:ind w:left="2453"/>
              <w:spacing w:after="0"/>
              <w:rPr>
                <w:sz w:val="20"/>
                <w:szCs w:val="20"/>
                <w:color w:val="auto"/>
              </w:rPr>
            </w:pPr>
            <w:r>
              <w:rPr>
                <w:rFonts w:ascii="Times New Roman" w:cs="Times New Roman" w:eastAsia="Times New Roman" w:hAnsi="Times New Roman"/>
                <w:sz w:val="18"/>
                <w:szCs w:val="18"/>
                <w:color w:val="auto"/>
              </w:rPr>
              <w:t>5 years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4300" w:type="dxa"/>
            <w:vAlign w:val="bottom"/>
          </w:tcPr>
          <w:p>
            <w:pPr>
              <w:jc w:val="center"/>
              <w:ind w:left="2453"/>
              <w:spacing w:after="0"/>
              <w:rPr>
                <w:sz w:val="20"/>
                <w:szCs w:val="20"/>
                <w:color w:val="auto"/>
              </w:rPr>
            </w:pPr>
            <w:r>
              <w:rPr>
                <w:rFonts w:ascii="Times New Roman" w:cs="Times New Roman" w:eastAsia="Times New Roman" w:hAnsi="Times New Roman"/>
                <w:sz w:val="18"/>
                <w:szCs w:val="18"/>
                <w:color w:val="auto"/>
              </w:rPr>
              <w:t>5 years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300" w:type="dxa"/>
            <w:vAlign w:val="bottom"/>
            <w:shd w:val="clear" w:color="auto" w:fill="CFF0FC"/>
          </w:tcPr>
          <w:p>
            <w:pPr>
              <w:jc w:val="center"/>
              <w:ind w:left="2453"/>
              <w:spacing w:after="0"/>
              <w:rPr>
                <w:sz w:val="20"/>
                <w:szCs w:val="20"/>
                <w:color w:val="auto"/>
              </w:rPr>
            </w:pPr>
            <w:r>
              <w:rPr>
                <w:rFonts w:ascii="Times New Roman" w:cs="Times New Roman" w:eastAsia="Times New Roman" w:hAnsi="Times New Roman"/>
                <w:sz w:val="18"/>
                <w:szCs w:val="18"/>
                <w:color w:val="auto"/>
              </w:rPr>
              <w:t>7 years</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300" w:type="dxa"/>
            <w:vAlign w:val="bottom"/>
          </w:tcPr>
          <w:p>
            <w:pPr>
              <w:jc w:val="center"/>
              <w:ind w:left="2453"/>
              <w:spacing w:after="0"/>
              <w:rPr>
                <w:sz w:val="20"/>
                <w:szCs w:val="20"/>
                <w:color w:val="auto"/>
              </w:rPr>
            </w:pPr>
            <w:r>
              <w:rPr>
                <w:rFonts w:ascii="Times New Roman" w:cs="Times New Roman" w:eastAsia="Times New Roman" w:hAnsi="Times New Roman"/>
                <w:sz w:val="18"/>
                <w:szCs w:val="18"/>
                <w:color w:val="auto"/>
                <w:w w:val="97"/>
              </w:rPr>
              <w:t>lease term</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r>
      <w:tr>
        <w:trPr>
          <w:trHeight w:val="236"/>
        </w:trPr>
        <w:tc>
          <w:tcPr>
            <w:tcW w:w="3940" w:type="dxa"/>
            <w:vAlign w:val="bottom"/>
            <w:shd w:val="clear" w:color="auto" w:fill="CFF0FC"/>
          </w:tcPr>
          <w:p>
            <w:pPr>
              <w:spacing w:after="0"/>
              <w:rPr>
                <w:sz w:val="20"/>
                <w:szCs w:val="20"/>
                <w:color w:val="auto"/>
              </w:rPr>
            </w:pPr>
          </w:p>
        </w:tc>
        <w:tc>
          <w:tcPr>
            <w:tcW w:w="4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FF0FC"/>
          </w:tcPr>
          <w:p>
            <w:pPr>
              <w:spacing w:after="0"/>
              <w:rPr>
                <w:sz w:val="20"/>
                <w:szCs w:val="20"/>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(1,305 )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(1,225 )</w:t>
            </w:r>
          </w:p>
        </w:tc>
      </w:tr>
      <w:tr>
        <w:trPr>
          <w:trHeight w:val="277"/>
        </w:trPr>
        <w:tc>
          <w:tcPr>
            <w:tcW w:w="3940" w:type="dxa"/>
            <w:vAlign w:val="bottom"/>
            <w:tcBorders>
              <w:bottom w:val="single" w:sz="8" w:color="CFF0FC"/>
            </w:tcBorders>
            <w:shd w:val="clear" w:color="auto" w:fill="CFF0FC"/>
          </w:tcPr>
          <w:p>
            <w:pPr>
              <w:spacing w:after="0"/>
              <w:rPr>
                <w:sz w:val="24"/>
                <w:szCs w:val="24"/>
                <w:color w:val="auto"/>
              </w:rPr>
            </w:pPr>
          </w:p>
        </w:tc>
        <w:tc>
          <w:tcPr>
            <w:tcW w:w="4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49"/>
        </w:trPr>
        <w:tc>
          <w:tcPr>
            <w:tcW w:w="3940" w:type="dxa"/>
            <w:vAlign w:val="bottom"/>
          </w:tcPr>
          <w:p>
            <w:pPr>
              <w:spacing w:after="0"/>
              <w:rPr>
                <w:sz w:val="24"/>
                <w:szCs w:val="24"/>
                <w:color w:val="auto"/>
              </w:rPr>
            </w:pPr>
          </w:p>
        </w:tc>
        <w:tc>
          <w:tcPr>
            <w:tcW w:w="4300" w:type="dxa"/>
            <w:vAlign w:val="bottom"/>
          </w:tcPr>
          <w:p>
            <w:pPr>
              <w:jc w:val="right"/>
              <w:ind w:right="2433"/>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-1070610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-1053465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52" w:gutter="0" w:footer="0" w:header="0"/>
        </w:sectPr>
      </w:pPr>
    </w:p>
    <w:bookmarkStart w:id="15" w:name="page16"/>
    <w:bookmarkEnd w:id="15"/>
    <w:p>
      <w:pPr>
        <w:spacing w:after="0" w:line="9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was $0.1 million for each of the three months ended March 31, 2024 and 2023. In addition, for the three months ended March 31, 2024 and 2023, there was less than $0.1 million of depreciation related to sublet assets recorded as other expense.</w:t>
      </w:r>
    </w:p>
    <w:p>
      <w:pPr>
        <w:spacing w:after="0" w:line="185"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were exercisable at an exercise price of $0.01 and were exercisable indefinitely. In August 2023, the 628,403 shares of prefunded warrants were exercised and the Company received cash proceeds of six thousand two hundred and eighty-four dollars.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w:t>
      </w:r>
    </w:p>
    <w:p>
      <w:pPr>
        <w:spacing w:after="0" w:line="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2024,the Company’s Ninth Amended and Restated Certificate of Incorporation, as amended, authorized the Company to issue up to 115,000,000 shares of common stock, par value $0.001 per share, of which 63,800,017 shares were issued and outstanding, and up to 5,000,000 shares of undesignated preferred stock, par value $0.001 per share,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8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completed an underwritten public offering in which the Company issued and sold 19,736,842 shares of its common stock at a public offering price of $8.74 per share. The Company received net proceeds of approximately $161.8 million after deducting underwriting discounts, commissions and other offering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November 2022, the Company entered into a Sales Agreement (the "2022 ATM Agreement") with a Guggenheim Securities, LLC as a sales agent in connection with the establishment of an “at-the-market” offering program under which the Company could sell up to an aggregate of $50.0 million of shares of common stock (the “2022 ATM Shares”) from time to time. In February 2024, in connection with the underwritten public offering described above, the Company terminated the 2022 ATM Agreement. No ATM Shares were ever sold pursuant to the 2022 ATM Agreement.</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 sales agreement (the "ATM Agreement") with a Guggenheim Securities, LLC in connection with the establishment of an “at-the-market” offering program under which the Company could sell up to an aggregate of $100.0 million of shares of common stock (the “ATM Shares”) from time to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Board adopted the 2020 Equity Incentive Plan (the "2020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permitted by the 2020 Plan, the Company added 1,756,363 and 1,730,768 shares available for grant to the 2020 Plan on January 1, 2024 and January 1, 2023, respectively. As of March 31, 2024, 1,222,219 shares of common stock were available for grant under the 2020 Plan.</w:t>
      </w:r>
    </w:p>
    <w:p>
      <w:pPr>
        <w:spacing w:after="0" w:line="54" w:lineRule="exact"/>
        <w:rPr>
          <w:sz w:val="20"/>
          <w:szCs w:val="20"/>
          <w:color w:val="auto"/>
        </w:rPr>
      </w:pPr>
    </w:p>
    <w:p>
      <w:pPr>
        <w:ind w:right="180" w:firstLine="554"/>
        <w:spacing w:after="0" w:line="282" w:lineRule="auto"/>
        <w:rPr>
          <w:sz w:val="20"/>
          <w:szCs w:val="20"/>
          <w:color w:val="auto"/>
        </w:rPr>
      </w:pPr>
      <w:r>
        <w:rPr>
          <w:rFonts w:ascii="Times New Roman" w:cs="Times New Roman" w:eastAsia="Times New Roman" w:hAnsi="Times New Roman"/>
          <w:sz w:val="18"/>
          <w:szCs w:val="18"/>
          <w:color w:val="auto"/>
        </w:rPr>
        <w:t>During the twelve months ended December 31, 2023, options to purchase 224,437 shares issued under the Prior Plans were cancelled and became available for grant under the 2020 Plan. No such options were cancelled in the three months ended March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7"/>
        </w:trPr>
        <w:tc>
          <w:tcPr>
            <w:tcW w:w="36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580" w:type="dxa"/>
            <w:vAlign w:val="bottom"/>
            <w:gridSpan w:val="2"/>
            <w:shd w:val="clear" w:color="auto" w:fill="CFF0FC"/>
          </w:tcPr>
          <w:p>
            <w:pPr>
              <w:jc w:val="center"/>
              <w:ind w:left="5490"/>
              <w:spacing w:after="0"/>
              <w:rPr>
                <w:sz w:val="20"/>
                <w:szCs w:val="20"/>
                <w:color w:val="auto"/>
              </w:rPr>
            </w:pPr>
            <w:r>
              <w:rPr>
                <w:rFonts w:ascii="Times New Roman" w:cs="Times New Roman" w:eastAsia="Times New Roman" w:hAnsi="Times New Roman"/>
                <w:sz w:val="18"/>
                <w:szCs w:val="18"/>
                <w:color w:val="auto"/>
              </w:rPr>
              <w:t>4.06%</w:t>
            </w:r>
          </w:p>
        </w:tc>
      </w:tr>
      <w:tr>
        <w:trPr>
          <w:trHeight w:val="23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758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rPr>
              <w:t>6.25</w:t>
            </w:r>
          </w:p>
        </w:tc>
      </w:tr>
      <w:tr>
        <w:trPr>
          <w:trHeight w:val="24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580" w:type="dxa"/>
            <w:vAlign w:val="bottom"/>
            <w:gridSpan w:val="2"/>
            <w:shd w:val="clear" w:color="auto" w:fill="CFF0FC"/>
          </w:tcPr>
          <w:p>
            <w:pPr>
              <w:jc w:val="center"/>
              <w:ind w:left="5490"/>
              <w:spacing w:after="0"/>
              <w:rPr>
                <w:sz w:val="20"/>
                <w:szCs w:val="20"/>
                <w:color w:val="auto"/>
              </w:rPr>
            </w:pPr>
            <w:r>
              <w:rPr>
                <w:rFonts w:ascii="Times New Roman" w:cs="Times New Roman" w:eastAsia="Times New Roman" w:hAnsi="Times New Roman"/>
                <w:sz w:val="18"/>
                <w:szCs w:val="18"/>
                <w:color w:val="auto"/>
                <w:w w:val="96"/>
              </w:rPr>
              <w:t>96%</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7580" w:type="dxa"/>
            <w:vAlign w:val="bottom"/>
            <w:gridSpan w:val="2"/>
          </w:tcPr>
          <w:p>
            <w:pPr>
              <w:jc w:val="center"/>
              <w:ind w:left="5490"/>
              <w:spacing w:after="0"/>
              <w:rPr>
                <w:sz w:val="20"/>
                <w:szCs w:val="20"/>
                <w:color w:val="auto"/>
              </w:rPr>
            </w:pPr>
            <w:r>
              <w:rPr>
                <w:rFonts w:ascii="Times New Roman" w:cs="Times New Roman" w:eastAsia="Times New Roman" w:hAnsi="Times New Roman"/>
                <w:sz w:val="18"/>
                <w:szCs w:val="18"/>
                <w:color w:val="auto"/>
              </w:rPr>
              <w:t>0.00%</w:t>
            </w:r>
          </w:p>
        </w:tc>
      </w:tr>
      <w:tr>
        <w:trPr>
          <w:trHeight w:val="873"/>
        </w:trPr>
        <w:tc>
          <w:tcPr>
            <w:tcW w:w="3660" w:type="dxa"/>
            <w:vAlign w:val="bottom"/>
          </w:tcPr>
          <w:p>
            <w:pPr>
              <w:spacing w:after="0"/>
              <w:rPr>
                <w:sz w:val="24"/>
                <w:szCs w:val="24"/>
                <w:color w:val="auto"/>
              </w:rPr>
            </w:pPr>
          </w:p>
        </w:tc>
        <w:tc>
          <w:tcPr>
            <w:tcW w:w="558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rPr>
              <w:t>15</w:t>
            </w:r>
          </w:p>
        </w:tc>
        <w:tc>
          <w:tcPr>
            <w:tcW w:w="200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three months ended March 31, 2024 (amounts in millions, except for share, contractual term, and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5"/>
        </w:trPr>
        <w:tc>
          <w:tcPr>
            <w:tcW w:w="57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Value (a)</w:t>
            </w: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4,273,502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1,580,377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(356 )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 forfeited/expired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March 31,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5,848,523</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as of March 31,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2,419,698</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expected to vest as of March 31,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5,848,523</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-385445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-368300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1260" w:right="140" w:hanging="503"/>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March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Grants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options to purchase 1,580,377 shares of common stock to employees under the 2020 Plan. The options have an exercise price equal to the closing stock price as of the grant date, and vest over four years, with 25% vesting on the first anniversary of the grant and the remainder vesting in equal monthly installments thereafter. The weighted-average grant date fair value of options granted under the 2020 Plan during the three months ended March 31, 2024 was $3.52.</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related to unvested stock options granted under the 2020 Plan was $12.5 million, which is expected to be recognized over a weighted average period of 2.57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 Grant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inducement awards granted in the three months ended March 31, 2024.</w:t>
      </w:r>
    </w:p>
    <w:p>
      <w:pPr>
        <w:spacing w:after="0" w:line="117"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related to unvested inducement options granted was $1.0 million, which is expected to be recognized over a weighted average period of 3.03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RSUs were granted under the 2020 Plan to certain of the Company's employees in order to maintain retention of key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an RSU award is based on the Company's stock price on the date of grant. The shares underlying the RSUs are not issued until the RSUs vest.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Activity with respect to the Company's RSUs during the three months ended March 31, 2024 was as follows (in millions, except share, contractual term, and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5"/>
        </w:trPr>
        <w:tc>
          <w:tcPr>
            <w:tcW w:w="57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9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Value (a)</w:t>
            </w: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(153,750 )</w:t>
            </w:r>
          </w:p>
        </w:tc>
        <w:tc>
          <w:tcPr>
            <w:tcW w:w="16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23"/>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March 31, 2024</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706,622</w:t>
            </w: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FF0FC"/>
            </w:tcBorders>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expected to vest as of March 31,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706,622</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-385445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-368300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Grants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245,372 shares of RSUs to employees under the 2020 Plan. The RSUs vest annually over four years and have a weighted-average grant date fair value of $4.21 per unit.</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for RSUs was $3.1 million, which is expected to be recognized over a weighted-average period of 3.14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condensed consolidated statements of operations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30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nomlabofusp. Both agreements continue from their effective date through the last to date of expiration of the licensed patents, unless earlier terminated by either party in accordance with their terms.</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which commenced with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68"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 October 2022, the Company initiated dosing of a Phase 2 study. Pursuant to the terms of both the WFUHS License and the IU License, the company recognized milestone expense of $0.3 million within research and development expenses.</w:t>
      </w:r>
    </w:p>
    <w:p>
      <w:pPr>
        <w:spacing w:after="0" w:line="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Both agreements continue from their effective date through the last date of expiration of the licensed patents, unless earlier terminated by either party in accordance with their terms.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 Cynwyd Office Space</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w:t>
      </w:r>
    </w:p>
    <w:p>
      <w:pPr>
        <w:spacing w:after="0" w:line="68" w:lineRule="exact"/>
        <w:rPr>
          <w:sz w:val="20"/>
          <w:szCs w:val="20"/>
          <w:color w:val="auto"/>
        </w:rPr>
      </w:pPr>
    </w:p>
    <w:p>
      <w:pPr>
        <w:ind w:right="640" w:firstLine="509"/>
        <w:spacing w:after="0" w:line="312" w:lineRule="auto"/>
        <w:rPr>
          <w:sz w:val="20"/>
          <w:szCs w:val="20"/>
          <w:color w:val="auto"/>
        </w:rPr>
      </w:pPr>
      <w:r>
        <w:rPr>
          <w:rFonts w:ascii="Times New Roman" w:cs="Times New Roman" w:eastAsia="Times New Roman" w:hAnsi="Times New Roman"/>
          <w:sz w:val="17"/>
          <w:szCs w:val="17"/>
          <w:color w:val="auto"/>
        </w:rPr>
        <w:t>On March 9, 2023, the Company executed a lease extension agreement on its original 4,642 square footage of office space in Bala Cynwyd, Pennsylvania (which was set to expire in August 2023) and agreed to lease an additional 3,462 square feet of office space from the same landlord.</w:t>
      </w:r>
    </w:p>
    <w:p>
      <w:pPr>
        <w:spacing w:after="0" w:line="3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lease extension on the original 4,642 square footage commenced on September 1, 2023 and the Company recorded a right of use asset and lease liability of $0.5 million as of that date.</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new lease on 3,462 additional square footage commenced on October 1, 2023 and the Company recorded a right of use asset and lease liability of $0.3 million as of that date.</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right of use assets and lease liabilities with both these leases are reflected in the financial statements for three months ended March 31, 2024 as are the right of use asset and lease liability of the Company's Boston office space discussed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Boston Office Lease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2020 merger with Zafgen described in footnote 1, on May 28, 2020,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"Impairment Testing: Long-Lived Assets Classified as Held and Used," and determined there was no impairment.</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 Space</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In January 2023, the Company executed an extension of this lease for an additional year, expiring on December 31, 2023. The Company has determined this lease extension qualifies as a short-term lease and have applied the accounting policy election to not record the related right-of-use asset and lease liabilities.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October 16, 2023, the Company entered into an operating lease for lab space in King of Prussia, Pennsylvania for a period of four years. Due to required tenant improvements to be completed by the landlord, the Company did not take immediate possession of the leased property and the lease term is expected to commence in the second quarter of 2024. The Company will not record a right of use asset or lease liability until the lease commencement date.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Expense</w:t>
      </w:r>
    </w:p>
    <w:p>
      <w:pPr>
        <w:spacing w:after="0" w:line="119" w:lineRule="exact"/>
        <w:rPr>
          <w:sz w:val="20"/>
          <w:szCs w:val="20"/>
          <w:color w:val="auto"/>
        </w:rPr>
      </w:pPr>
    </w:p>
    <w:p>
      <w:pPr>
        <w:jc w:val="both"/>
        <w:ind w:right="160" w:firstLine="509"/>
        <w:spacing w:after="0" w:line="289" w:lineRule="auto"/>
        <w:rPr>
          <w:sz w:val="20"/>
          <w:szCs w:val="20"/>
          <w:color w:val="auto"/>
        </w:rPr>
      </w:pPr>
      <w:r>
        <w:rPr>
          <w:rFonts w:ascii="Times New Roman" w:cs="Times New Roman" w:eastAsia="Times New Roman" w:hAnsi="Times New Roman"/>
          <w:sz w:val="17"/>
          <w:szCs w:val="17"/>
          <w:color w:val="auto"/>
        </w:rPr>
        <w:t>Expense arising from operating leases was $0.1 million during each of the three months ended March 31, 2024 and 2023. For operating leases, the weighted-average remaining lease term for leases at March 31, 2024 and December 31, 2023 was 5.2 and 5.5 years, respectively. For operating leases, the weighted average discount rate for leases at March 31, 2024 and December 31, 2023 was 11.0%. The Company has not entered into any financing leases.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due under these lease agreements as of March 31, 2024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7"/>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3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Nine months ending December 31, 2024</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FF0FC"/>
          </w:tcPr>
          <w:p>
            <w:pPr>
              <w:spacing w:after="0"/>
              <w:rPr>
                <w:sz w:val="20"/>
                <w:szCs w:val="20"/>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3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FF0FC"/>
          </w:tcPr>
          <w:p>
            <w:pPr>
              <w:spacing w:after="0"/>
              <w:rPr>
                <w:sz w:val="21"/>
                <w:szCs w:val="21"/>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3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FF0FC"/>
          </w:tcPr>
          <w:p>
            <w:pPr>
              <w:spacing w:after="0"/>
              <w:rPr>
                <w:sz w:val="21"/>
                <w:szCs w:val="21"/>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0"/>
                <w:szCs w:val="20"/>
                <w:color w:val="auto"/>
              </w:rPr>
            </w:pPr>
          </w:p>
        </w:tc>
      </w:tr>
      <w:tr>
        <w:trPr>
          <w:trHeight w:val="241"/>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00" w:type="dxa"/>
            <w:vAlign w:val="bottom"/>
            <w:shd w:val="clear" w:color="auto" w:fill="CFF0FC"/>
          </w:tcPr>
          <w:p>
            <w:pPr>
              <w:spacing w:after="0"/>
              <w:rPr>
                <w:sz w:val="20"/>
                <w:szCs w:val="20"/>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(1,635 )</w:t>
            </w:r>
          </w:p>
        </w:tc>
      </w:tr>
      <w:tr>
        <w:trPr>
          <w:trHeight w:val="276"/>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420" w:firstLine="135"/>
        <w:spacing w:after="0" w:line="282" w:lineRule="auto"/>
        <w:rPr>
          <w:sz w:val="20"/>
          <w:szCs w:val="20"/>
          <w:color w:val="auto"/>
        </w:rPr>
      </w:pPr>
      <w:r>
        <w:rPr>
          <w:rFonts w:ascii="Times New Roman" w:cs="Times New Roman" w:eastAsia="Times New Roman" w:hAnsi="Times New Roman"/>
          <w:sz w:val="18"/>
          <w:szCs w:val="18"/>
          <w:color w:val="auto"/>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2023 included in our Annual Report on Form 10-K filed with the Securities and Exchange Commission (“SEC”) on March 14, 2024 (the "2023 Annual Report").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2023 Annual Report, in addition to the "Risk Factors" and “Cautionary Note Regarding Forward-Looking Statements” sections of this Quarterly Report for a discussion of important factors that could cause actual results to differ materially from the results described in or implied by the forward-looking statements contained in the following discussion and analysis.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("CPP") technology platform. Our lead product candidate, nomlabofusp (nomlabofusp is the International Nonproprietary Name and the United States Adopted Name for CTI-1601), is a subcutaneously administered, recombinant fusion protein intended to deliver tissue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increase FXN levels in patients with FA.</w:t>
      </w:r>
    </w:p>
    <w:p>
      <w:pPr>
        <w:spacing w:after="0" w:line="7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Nomlabofusp Program Update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have completed two Phase 1 clinical trials, a Phase 2 dose exploration trial, and recently initiated an open label extension study (“OLE”) in patients with FA.</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May 2021, after reporting positive top-line data from our Phase 1 FA program, the U.S. Food and Drug Administration (“FDA”) placed a clinical hold on the our nomlabofusp clinical program after we notified the FDA of mortalities at the highest dose levels of a 26-week non-human primate toxicology study that was designed to support extended dosing of patients with nomlabofusp. In August 2022, we submitted a complete response to the clinical hold following a Type C Meeting with the FDA, and proposed as nomlabofusp's next clinical trial a Phase 2, four-week, dose exploration study in FA patients starting at the lower dose levels tested in our Phase 1 multiple-ascending dose clinical trial. In September 2022, the FDA lifted its full clinical hold on the nomlabofusp program and imposed a partial clinical hold.</w:t>
      </w:r>
    </w:p>
    <w:p>
      <w:pPr>
        <w:spacing w:after="0" w:line="79"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In May 2023, we announced top-line data from its completed 25 mg cohort of a Phase 2, four-week, dose exploration trial of nomlabofusp in patients with FA and provided a complete response to the FDA in June 2023, which included unblinded safety, pharmacokinetic ("PK"), and pharmacodynamic ("PD") data from the Phase 2 trial’s completed 25 mg cohort.</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June 2023, we met with the FDA. Following that meeting, we submitted a complete response to the FDA’s partial clinical hold that included unblinded safety, PK and frataxin data from the Phase 2 trial’s completed 25 mg cohort.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8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July 2023, following the FDA’s review of our complete response to the partial clinical hold, the FDA cleared initiation of a second cohort at 50 mg of our four-week, placebo-controlled, Phase 2 dose exploration trial and initiation of an OLE study with daily dosing of 25 mg.</w:t>
      </w:r>
    </w:p>
    <w:p>
      <w:pPr>
        <w:spacing w:after="0" w:line="5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February 2024, we reported positive top-line data and successful completion of their four-week, placebo-controlled Phase 2 dose exploration study of nomlabofusp in participants with FA. Nomlabofusp was generally well tolerated throughout the four-week treatment periods, had a predictable pharmacokinetic profile and let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The initiation of additional U.S. clinical trials evaluating nomlabofusp are contingent on FDA review of data under the partial clinical hold.</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January 2024, we initiated the OLE trial, discussed above, evaluating daily subcutaneous injections of 25 mg of nomlabofusp self-administered or administered by a caregiver, with the first patient dosed in March 2024. Additional patients continue to be enrolled and dosed and additional clinical sites added. Participants who completed treatment in the Phase 2 dose exploration study, or who previously completed a prior clinical trial of nomlabofusp, are potentially eligible to screen for the OLE study. The OLE study will evaluate the safety and tolerability, pharmacokinetics, and frataxin levels in peripheral tissues as well as other exploratory pharmacodynamic markers (lipid profiles and gene expression data) following long-term subcutaneous administration of nomlabofusp. Dose escalation in the OLE study is contingent on the FDA’s review of data from the 50 mg cohort of the Phase 2 study and available data from the OLE study, due to the continued partial clinical hold. Interim data is expected in the fourth quarter of 2024. In addition, clinical assessments collected during the study will be compared to data from a matched control arm derived from participants in the Friedreich’s Ataxia Clinical Outcome Measures Study (FACOMS) database.</w:t>
      </w:r>
    </w:p>
    <w:p>
      <w:pPr>
        <w:spacing w:after="0" w:line="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Recently, we had discussions with the FDA regarding the use of tissue FXN levels as a novel surrogate endpoint. The FDA has acknowledged that frataxin deficiency appears to be critical to the pathogenic mechanism of FA, and that there continues to be an unmet need for treatments for FA patients that address the underlying disease pathophysiology. We intend to pursue an accelerated approval using FXN levels, supportive PD and clinical information, and safety data from the OLE study, along with additional non-clinical pharmacology information needed to support the novel surrogate endpoint approach. We are beginning to plan for a confirmatory study and are targeting a BLA submission in the second half of 2025.</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Nomlabofusp has been granted Orphan Drug (U.S. and Europe), Rare Pediatric Disease (U.S.), Fast Track (U.S.), and PRIME (Europe) designations for FA. We have also begun to engage with regulators and investigators outside the U.S. as we prepare to expand our clinical program to additional geographies. With approximately 75% of individuals with FA living outside the U.S., establishing global clinical trial capabilities is important for addressing the pressing unmet needs of the FA community.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 including Recent Material Financings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we completed an underwritten public offering in which we issued and sold 19,736,842 shares of our common stock at a public offering price of $8.74 per share. We received net proceeds of approximately $161.8 million after deducting underwriting discounts, commissions and other offering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our condensed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condensed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increase in the foreseeable future as we pursue clinical development of nomlabofusp and/or any other product candidates we develop.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 Expense</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measure all stock-based awards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Prior to May 28, 2020, we were a private company and lacked company-specific historical and implied volatility information for our common stock. Prior to January 1, 2023, the Company estimated its expected common stock price volatility solely based on the historical volatility of publicly traded peer companies with comparable characteristics including enterprise value, risk profiles and position within the industry. Beginning on January 1, 2023, the Company began blending its historical data starting in June 2020 (following its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68" w:lineRule="exact"/>
        <w:rPr>
          <w:sz w:val="20"/>
          <w:szCs w:val="20"/>
          <w:color w:val="auto"/>
        </w:rPr>
      </w:pPr>
    </w:p>
    <w:p>
      <w:pPr>
        <w:ind w:right="220" w:firstLine="509"/>
        <w:spacing w:after="0" w:line="313" w:lineRule="auto"/>
        <w:rPr>
          <w:sz w:val="20"/>
          <w:szCs w:val="20"/>
          <w:color w:val="auto"/>
        </w:rPr>
      </w:pPr>
      <w:r>
        <w:rPr>
          <w:rFonts w:ascii="Times New Roman" w:cs="Times New Roman" w:eastAsia="Times New Roman" w:hAnsi="Times New Roman"/>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activities, and general and administrative costs.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54" w:lineRule="exact"/>
        <w:rPr>
          <w:sz w:val="20"/>
          <w:szCs w:val="20"/>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non-clinical studies and clinical trial activities;</w:t>
      </w:r>
    </w:p>
    <w:p>
      <w:pPr>
        <w:spacing w:after="0" w:line="117" w:lineRule="exact"/>
        <w:rPr>
          <w:rFonts w:ascii="Times New Roman" w:cs="Times New Roman" w:eastAsia="Times New Roman" w:hAnsi="Times New Roman"/>
          <w:sz w:val="18"/>
          <w:szCs w:val="18"/>
          <w:color w:val="auto"/>
        </w:rPr>
      </w:pPr>
    </w:p>
    <w:p>
      <w:pPr>
        <w:ind w:left="900" w:right="180" w:hanging="518"/>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costs, including salaries, benefits and stock-based compensation expenses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 and vendors;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agreements;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clinical and commercial development of nomlabofusp, or any other product candidates we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spacing w:after="0" w:line="72" w:lineRule="exact"/>
        <w:rPr>
          <w:sz w:val="20"/>
          <w:szCs w:val="20"/>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the FDA or other regulatory authorities on our clinical trial design and timing;</w:t>
      </w:r>
    </w:p>
    <w:p>
      <w:pPr>
        <w:spacing w:after="0" w:line="117" w:lineRule="exact"/>
        <w:rPr>
          <w:rFonts w:ascii="Times New Roman" w:cs="Times New Roman" w:eastAsia="Times New Roman" w:hAnsi="Times New Roman"/>
          <w:sz w:val="18"/>
          <w:szCs w:val="18"/>
          <w:color w:val="auto"/>
        </w:rPr>
      </w:pPr>
    </w:p>
    <w:p>
      <w:pPr>
        <w:ind w:left="900" w:right="40" w:hanging="518"/>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6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research and development personnel.</w:t>
      </w:r>
    </w:p>
    <w:p>
      <w:pPr>
        <w:spacing w:after="0" w:line="11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w:t>
      </w:r>
    </w:p>
    <w:p>
      <w:pPr>
        <w:spacing w:after="0" w:line="34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55"/>
              <w:spacing w:after="0" w:line="158"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3"/>
                <w:szCs w:val="13"/>
                <w:color w:val="auto"/>
              </w:rPr>
            </w:pPr>
          </w:p>
        </w:tc>
      </w:tr>
      <w:tr>
        <w:trPr>
          <w:trHeight w:val="187"/>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69"/>
        </w:trPr>
        <w:tc>
          <w:tcPr>
            <w:tcW w:w="59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0"/>
                <w:szCs w:val="20"/>
                <w:color w:val="auto"/>
              </w:rPr>
            </w:pPr>
          </w:p>
        </w:tc>
      </w:tr>
      <w:tr>
        <w:trPr>
          <w:trHeight w:val="237"/>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(16,734 )</w:t>
            </w: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(7,637 )</w:t>
            </w:r>
          </w:p>
        </w:tc>
        <w:tc>
          <w:tcPr>
            <w:tcW w:w="2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(9,097 )</w:t>
            </w:r>
          </w:p>
        </w:tc>
      </w:tr>
      <w:tr>
        <w:trPr>
          <w:trHeight w:val="243"/>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(14,654 )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(6,526 )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(8,128 )</w:t>
            </w:r>
          </w:p>
        </w:tc>
      </w:tr>
      <w:tr>
        <w:trPr>
          <w:trHeight w:val="20"/>
        </w:trPr>
        <w:tc>
          <w:tcPr>
            <w:tcW w:w="5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-505460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-505460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2024 increased $8.4 million compared to the three months ended March 31, 2023. The increase in research and development expenses was primarily driven by an increase of $5.7 million in nomlabofusp manufacturing costs, an increase of $1.0 million in clinical costs primarily associated with the OLE study which began dosing patients in the first quarter of 2024, an increase of $1.0 million in personnel expense due to increased headcount, an increase of $0.3 million in consulting fees and an increase of $0.2 million in stock compensation expense associated with grants made in the first quarter of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2024 increased $0.7 million compared to the three months ended March 31, 2023. The increase in general and administrative expenses was primarily driven by an increase of $0.2 million in personnel expense, an increase of $0.2 million in legal fees, an increase of $0.1 million in stock compensation expense associated with grants made in the first quarter of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was $2.1 million income in the first quarter of 2024 compared to $1.1 million income in the first quarter of 2023. The first quarter of 2024 primarily relates to interest income which increased as compared to the first quarter of 2023 due to a higher investment base and higher interest rates on that base.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nomlabofusp, building our intellectual property portfolio, developing third-party manufacturing capabilities, business planning, capital raising, and providing general and administrative support for such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34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9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(10,411 )</w:t>
            </w: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(7,551 )</w:t>
            </w: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20"/>
                <w:szCs w:val="20"/>
                <w:color w:val="auto"/>
              </w:rPr>
            </w:pPr>
          </w:p>
        </w:tc>
        <w:tc>
          <w:tcPr>
            <w:tcW w:w="13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(68,364 )</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92,250</w:t>
            </w:r>
          </w:p>
        </w:tc>
        <w:tc>
          <w:tcPr>
            <w:tcW w:w="100" w:type="dxa"/>
            <w:vAlign w:val="bottom"/>
          </w:tcPr>
          <w:p>
            <w:pPr>
              <w:spacing w:after="0"/>
              <w:rPr>
                <w:sz w:val="20"/>
                <w:szCs w:val="20"/>
                <w:color w:val="auto"/>
              </w:rPr>
            </w:pPr>
          </w:p>
        </w:tc>
      </w:tr>
      <w:tr>
        <w:trPr>
          <w:trHeight w:val="24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162,151</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83,376</w:t>
            </w:r>
          </w:p>
        </w:tc>
        <w:tc>
          <w:tcPr>
            <w:tcW w:w="22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84,699</w:t>
            </w:r>
          </w:p>
        </w:tc>
        <w:tc>
          <w:tcPr>
            <w:tcW w:w="100" w:type="dxa"/>
            <w:vAlign w:val="bottom"/>
            <w:tcBorders>
              <w:top w:val="single" w:sz="8" w:color="CFF0FC"/>
            </w:tcBorders>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used $10.4 million of cash, resulting from our net loss of $14.7 million, adjusted for noncash expenses of $1.6 million and changes in our operating assets and liabilities resulting in a source of cash of $2.7 million. Our net loss was primarily attributed to research and development activities related to our nomlabofusp program and our general and administrative expenses as described above. Noncash expenses are primarily stock-based compensation expenses. The change in operating assets and liabilities was primarily due to an increase in accounts payable and accrued expenses.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2023, operating activities used $7.6 million of cash, resulting from our net loss of $6.5 million, adjusted for noncash expenses of $1.3 million and changes in our operating assets and liabilities resulting in a source of cash of $2.3 million. Our net loss was primarily attributed to research and development activities related to our nomlabofusp program and our general and administrative expenses as described above. Noncash expenses are primarily stock-based compensation expenses. The change in operating assets and liabilities was primarily due to a decrease in accounts payable and accrued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investing activities used $68.4 million of cash to purchase $84.9 million of marketable securities, partially offset by $16.5 million of cash provided by maturities of marketable securities.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2023, investing activities provided $92.3 million of cash from maturities of marketable securities.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financing activities provided $162.2 million of cash flows primarily from an offering of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2023, there were no financing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yet commercialized any products and do not expect to generate revenue from the commercial sale of any products for several years,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all.</w:t>
      </w:r>
    </w:p>
    <w:p>
      <w:pPr>
        <w:spacing w:after="0" w:line="9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to date incurred net losses. We incurred net losses of approximately $14.7 million and $6.5 million for the three months ended March 31, 2024 and 2023, respectively. As of March 31, 2024, we had an accumulated deficit of $203.2 million and cash and cash equivalents of $239.0 million, excluding restricted cash of $1.3 million.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Losses have resulted principally from costs incurred in connection with research and development activities, and general and administrative costs associated with the development of nomlabofusp and our operations. We expect to incur significant expenses and operating losses for the foreseeable future as we expect to continue to incur expenses in connection with our ongoing activities, if and as we:</w:t>
      </w:r>
    </w:p>
    <w:p>
      <w:pPr>
        <w:spacing w:after="0" w:line="68" w:lineRule="exact"/>
        <w:rPr>
          <w:sz w:val="20"/>
          <w:szCs w:val="20"/>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nomlabofusp through additional clinical trials, including related manufacturing costs;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identify additional indications for our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nomlabofusp and other potential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117" w:lineRule="exact"/>
        <w:rPr>
          <w:rFonts w:ascii="Times New Roman" w:cs="Times New Roman" w:eastAsia="Times New Roman" w:hAnsi="Times New Roman"/>
          <w:sz w:val="18"/>
          <w:szCs w:val="18"/>
          <w:color w:val="auto"/>
        </w:rPr>
      </w:pPr>
    </w:p>
    <w:p>
      <w:pPr>
        <w:ind w:left="900" w:right="94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commercial and management systems and personnel, including personnel to support our clinical development and future commercialization efforts and our operations as a public company.</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February 2024, we completed an underwritten public offering in which we issued and sold 19,736,842 shares of our common stock and received net proceeds of approximately $161.8 million after deducting underwriting discounts, commissions and other offering expenses. We anticipate that our current cash, cash equivalents and marketable securities will fund operations into 2026.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debt/royalty financings, collaborations, strategic alliances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health crises on the global financial markets may reduce our ability to access capital, which could negatively affect our liquidity and ability to continue as a going concern.</w:t>
      </w:r>
    </w:p>
    <w:p>
      <w:pPr>
        <w:spacing w:after="0" w:line="8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and/or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Please read Note 2 to our condensed consolidated financial statements included in Part I of Item 1 of this Quarterly Report on Form 10-Q for a description of recent accounting pronouncements applicable to our business, if 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(the "Exchange Act") and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With respect to the quarter ended March 31, 2024,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March 31, 2024 which have materially affected, or are reasonably likely to materially affect, our internal control over financial reporting.</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claims in legal proceedings arising in the normal course of business. To our knowledge, during the three months ended March 31, 2024, there were no, and as of the date of this Quarterly Report, there are no, threatened or pending legal actions that could reasonably be expected to have a material adverse effect on our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described in our 2023 Annual Report under the caption “Item 1A. Risk Factors.” The risks described in our 2023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“At-the-Market” Offering Agreement</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May 9, 2024, we entered into a Sales Agreement with Guggenheim Securities, LLC as sales agent (the “Agent”), in connection with the establishment of an “at-the-market” offering program under which we may sell shares of our common stock (the “ATM Shares”) from time to time through the Agent (the “ATM Agreement”).</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ATM Agreement, we will set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pursuant to the ATM Agreement may be made in transactions that are deemed to be “at-the-market offerings” as defined in Rule 415 under the Securities Act of 1933, as amended. We will pay the Agent a commission of up to 3.0% of the gross proceeds of any ATM Shares sold through the Agent under the ATM Agreement and have agreed to reimburse the Agent for certain specified expenses. The ATM Agreement contains customary representations, warranties and agreements by us, indemnification obligations of us and the Agent, other obligations of the parties and termination provisions. We have no obligation to sell any of the ATM Shares, and may at any time suspend offers under the ATM Agreement.</w:t>
      </w:r>
    </w:p>
    <w:p>
      <w:pPr>
        <w:spacing w:after="0" w:line="84"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The ATM Shares will be offered and sold pursuant to our Registration Statement on Form S-3 filed by the Company on May 9, 2024 (the “Registration Statement”) and the sales agreement prospectus that forms a part of such Registration Statement, following such time, if ever, as the Registration Statement is declared effective by the Securities and Exchange Commission.</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ATM Agreement is not complete and is qualified in its entirety by reference to the ATM Agreement, a copy of which is filed as exhibit 10.1 to this Quarterly Report.</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This Quarterly Report shall not constitute an offer to sell or the solicitation of an offer to buy nor shall there be any sale of the ATM Shares in any state in which such offer, solicitation or sale would be unlawful prior to registration or qualification under the securities laws of any such state.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or officers (as defined in Rule 16a-1(f) under the Exchange Act) adopted or terminated a “Rule 10b5-1 trading arrangement” or “non-Rule 10b5-1 trading arrangement” (as each term is defined in Item 408(a) of Regulation 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60" w:type="dxa"/>
            <w:vAlign w:val="bottom"/>
            <w:gridSpan w:val="8"/>
          </w:tcPr>
          <w:p>
            <w:pPr>
              <w:ind w:left="34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7"/>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7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Sales Agreement, dated as of May 9, 2024, by and between the Company and Guggenheim Securities, LLC.</w:t>
            </w:r>
          </w:p>
        </w:tc>
        <w:tc>
          <w:tcPr>
            <w:tcW w:w="20" w:type="dxa"/>
            <w:vAlign w:val="bottom"/>
            <w:tcBorders>
              <w:bottom w:val="single" w:sz="8" w:color="0000EE"/>
            </w:tcBorders>
          </w:tcPr>
          <w:p>
            <w:pPr>
              <w:spacing w:after="0"/>
              <w:rPr>
                <w:sz w:val="24"/>
                <w:szCs w:val="24"/>
                <w:color w:val="auto"/>
              </w:rPr>
            </w:pPr>
          </w:p>
        </w:tc>
        <w:tc>
          <w:tcPr>
            <w:tcW w:w="1840" w:type="dxa"/>
            <w:vAlign w:val="bottom"/>
            <w:gridSpan w:val="4"/>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of the Securities Exchange Act of 1934, as</w:t>
            </w:r>
          </w:p>
        </w:tc>
        <w:tc>
          <w:tcPr>
            <w:tcW w:w="120" w:type="dxa"/>
            <w:vAlign w:val="bottom"/>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w:t>
            </w:r>
          </w:p>
        </w:tc>
        <w:tc>
          <w:tcPr>
            <w:tcW w:w="10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EE"/>
            </w:tcBorders>
            <w:shd w:val="clear" w:color="auto" w:fill="0000FF"/>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r>
      <w:tr>
        <w:trPr>
          <w:trHeight w:val="34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 re</w:t>
            </w:r>
          </w:p>
        </w:tc>
      </w:tr>
      <w:tr>
        <w:trPr>
          <w:trHeight w:val="234"/>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9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103" w:lineRule="exact"/>
        <w:rPr>
          <w:sz w:val="20"/>
          <w:szCs w:val="20"/>
          <w:color w:val="auto"/>
        </w:rPr>
      </w:pPr>
    </w:p>
    <w:p>
      <w:pPr>
        <w:ind w:left="1420" w:hanging="1230"/>
        <w:spacing w:after="0"/>
        <w:tabs>
          <w:tab w:leader="none" w:pos="1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3" w:right="4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LARIMAR THERAPEUTICS, INC.</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5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89"/>
        </w:trPr>
        <w:tc>
          <w:tcPr>
            <w:tcW w:w="3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16"/>
        </w:trPr>
        <w:tc>
          <w:tcPr>
            <w:tcW w:w="3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3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4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2024</w:t>
            </w:r>
          </w:p>
        </w:tc>
        <w:tc>
          <w:tcPr>
            <w:tcW w:w="25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211"/>
        </w:trPr>
        <w:tc>
          <w:tcPr>
            <w:tcW w:w="3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Michael Celano</w:t>
            </w:r>
          </w:p>
        </w:tc>
      </w:tr>
    </w:tbl>
    <w:p>
      <w:pPr>
        <w:ind w:left="5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LARIMAR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SALES AGREEMENT</w:t>
      </w:r>
    </w:p>
    <w:p>
      <w:pPr>
        <w:spacing w:after="0" w:line="21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2"/>
          <w:szCs w:val="22"/>
          <w:color w:val="auto"/>
        </w:rPr>
        <w:t>May 9, 2024</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Guggenheim Securities, LLC</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330 Madison Avenue</w:t>
      </w:r>
    </w:p>
    <w:p>
      <w:pPr>
        <w:ind w:left="3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0" w:lineRule="exact"/>
        <w:rPr>
          <w:sz w:val="20"/>
          <w:szCs w:val="20"/>
          <w:color w:val="auto"/>
        </w:rPr>
      </w:pPr>
    </w:p>
    <w:p>
      <w:pPr>
        <w:ind w:left="300" w:right="459" w:firstLine="648"/>
        <w:spacing w:after="0" w:line="235" w:lineRule="auto"/>
        <w:rPr>
          <w:sz w:val="20"/>
          <w:szCs w:val="20"/>
          <w:color w:val="auto"/>
        </w:rPr>
      </w:pPr>
      <w:r>
        <w:rPr>
          <w:rFonts w:ascii="Times New Roman" w:cs="Times New Roman" w:eastAsia="Times New Roman" w:hAnsi="Times New Roman"/>
          <w:sz w:val="22"/>
          <w:szCs w:val="22"/>
          <w:color w:val="auto"/>
        </w:rPr>
        <w:t xml:space="preserve">As further set forth in this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xml:space="preserve">), Larimar Therapeutics,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proposes to issue and sell from time to time through Guggenheim Securities, LLC (the </w:t>
      </w:r>
      <w:r>
        <w:rPr>
          <w:rFonts w:ascii="Times New Roman" w:cs="Times New Roman" w:eastAsia="Times New Roman" w:hAnsi="Times New Roman"/>
          <w:sz w:val="22"/>
          <w:szCs w:val="22"/>
          <w:b w:val="1"/>
          <w:bCs w:val="1"/>
          <w:i w:val="1"/>
          <w:iCs w:val="1"/>
          <w:color w:val="auto"/>
        </w:rPr>
        <w:t>“Agent”</w:t>
      </w:r>
      <w:r>
        <w:rPr>
          <w:rFonts w:ascii="Times New Roman" w:cs="Times New Roman" w:eastAsia="Times New Roman" w:hAnsi="Times New Roman"/>
          <w:sz w:val="22"/>
          <w:szCs w:val="22"/>
          <w:color w:val="auto"/>
        </w:rPr>
        <w:t xml:space="preserve">), as sales agent, shares of the Company’s common stock, par value $0.001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and such shares of Common Stock to be sold pursuant to this Agreement,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on terms set forth herein. Notwithstanding anything to the contrary contained herein, the parties hereto agree that compliance with the limitation set forth in Section 2 of this Agreement on the number of shares of Shares issued and sold under this Agreement shall be the sole responsibility of the Company, and the Agent shall have no obligation in connection with such compliance.</w:t>
      </w:r>
    </w:p>
    <w:p>
      <w:pPr>
        <w:spacing w:after="0" w:line="180" w:lineRule="exact"/>
        <w:rPr>
          <w:sz w:val="20"/>
          <w:szCs w:val="20"/>
          <w:color w:val="auto"/>
        </w:rPr>
      </w:pPr>
    </w:p>
    <w:p>
      <w:pPr>
        <w:ind w:left="300" w:right="559" w:firstLine="648"/>
        <w:spacing w:after="0" w:line="258" w:lineRule="auto"/>
        <w:rPr>
          <w:sz w:val="20"/>
          <w:szCs w:val="20"/>
          <w:color w:val="auto"/>
        </w:rPr>
      </w:pPr>
      <w:r>
        <w:rPr>
          <w:rFonts w:ascii="Times New Roman" w:cs="Times New Roman" w:eastAsia="Times New Roman" w:hAnsi="Times New Roman"/>
          <w:sz w:val="22"/>
          <w:szCs w:val="22"/>
          <w:color w:val="auto"/>
        </w:rPr>
        <w:t>The Company hereby confirms its agreement with the Agent with respect to the sale of the Shares.</w:t>
      </w:r>
    </w:p>
    <w:p>
      <w:pPr>
        <w:spacing w:after="0" w:line="152" w:lineRule="exact"/>
        <w:rPr>
          <w:sz w:val="20"/>
          <w:szCs w:val="20"/>
          <w:color w:val="auto"/>
        </w:rPr>
      </w:pPr>
    </w:p>
    <w:p>
      <w:pPr>
        <w:ind w:left="1180" w:hanging="240"/>
        <w:spacing w:after="0"/>
        <w:tabs>
          <w:tab w:leader="none" w:pos="1180" w:val="left"/>
        </w:tabs>
        <w:numPr>
          <w:ilvl w:val="0"/>
          <w:numId w:val="1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Representations and Warranties of the Company.</w:t>
      </w:r>
    </w:p>
    <w:p>
      <w:pPr>
        <w:spacing w:after="0" w:line="212" w:lineRule="exact"/>
        <w:rPr>
          <w:rFonts w:ascii="Times New Roman" w:cs="Times New Roman" w:eastAsia="Times New Roman" w:hAnsi="Times New Roman"/>
          <w:sz w:val="22"/>
          <w:szCs w:val="22"/>
          <w:b w:val="1"/>
          <w:bCs w:val="1"/>
          <w:i w:val="1"/>
          <w:iCs w:val="1"/>
          <w:color w:val="auto"/>
        </w:rPr>
      </w:pPr>
    </w:p>
    <w:p>
      <w:pPr>
        <w:ind w:left="300" w:right="339" w:firstLine="1288"/>
        <w:spacing w:after="0" w:line="236" w:lineRule="auto"/>
        <w:tabs>
          <w:tab w:leader="none" w:pos="206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to, and agrees with, the Agent that, unless such representation or warranty specifies otherwise, as of the date of this Agreement, each Representation Date (as defined in Section 3(o) below), each date on which a Placement Notice (as defined in Section 2(a)(i) below) is given (each, a “</w:t>
      </w:r>
      <w:r>
        <w:rPr>
          <w:rFonts w:ascii="Times New Roman" w:cs="Times New Roman" w:eastAsia="Times New Roman" w:hAnsi="Times New Roman"/>
          <w:sz w:val="22"/>
          <w:szCs w:val="22"/>
          <w:b w:val="1"/>
          <w:bCs w:val="1"/>
          <w:i w:val="1"/>
          <w:iCs w:val="1"/>
          <w:color w:val="auto"/>
        </w:rPr>
        <w:t>Notice Date</w:t>
      </w:r>
      <w:r>
        <w:rPr>
          <w:rFonts w:ascii="Times New Roman" w:cs="Times New Roman" w:eastAsia="Times New Roman" w:hAnsi="Times New Roman"/>
          <w:sz w:val="22"/>
          <w:szCs w:val="22"/>
          <w:color w:val="auto"/>
        </w:rPr>
        <w:t>”), each date on which Shares are sold hereunder (each, an “</w:t>
      </w:r>
      <w:r>
        <w:rPr>
          <w:rFonts w:ascii="Times New Roman" w:cs="Times New Roman" w:eastAsia="Times New Roman" w:hAnsi="Times New Roman"/>
          <w:sz w:val="22"/>
          <w:szCs w:val="22"/>
          <w:b w:val="1"/>
          <w:bCs w:val="1"/>
          <w:i w:val="1"/>
          <w:iCs w:val="1"/>
          <w:color w:val="auto"/>
        </w:rPr>
        <w:t>Applicable Time</w:t>
      </w:r>
      <w:r>
        <w:rPr>
          <w:rFonts w:ascii="Times New Roman" w:cs="Times New Roman" w:eastAsia="Times New Roman" w:hAnsi="Times New Roman"/>
          <w:sz w:val="22"/>
          <w:szCs w:val="22"/>
          <w:color w:val="auto"/>
        </w:rPr>
        <w:t>”), and each Settlement Date (as defined in Section 2(a)(vii) below) as follows:</w:t>
      </w:r>
    </w:p>
    <w:p>
      <w:pPr>
        <w:spacing w:after="0" w:line="177" w:lineRule="exact"/>
        <w:rPr>
          <w:rFonts w:ascii="Times New Roman" w:cs="Times New Roman" w:eastAsia="Times New Roman" w:hAnsi="Times New Roman"/>
          <w:sz w:val="22"/>
          <w:szCs w:val="22"/>
          <w:color w:val="auto"/>
        </w:rPr>
      </w:pPr>
    </w:p>
    <w:p>
      <w:pPr>
        <w:ind w:left="300" w:right="319" w:firstLine="1936"/>
        <w:spacing w:after="0" w:line="245" w:lineRule="auto"/>
        <w:tabs>
          <w:tab w:leader="none" w:pos="2503"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Registration Statement and Prospectus</w:t>
      </w:r>
      <w:r>
        <w:rPr>
          <w:rFonts w:ascii="Times New Roman" w:cs="Times New Roman" w:eastAsia="Times New Roman" w:hAnsi="Times New Roman"/>
          <w:sz w:val="21"/>
          <w:szCs w:val="21"/>
          <w:color w:val="auto"/>
        </w:rPr>
        <w:t>. The Company will file,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accordance with the provisions of the Securities Act of 1933, as amended, and the rules and regulations thereunder (collectively, the </w:t>
      </w:r>
      <w:r>
        <w:rPr>
          <w:rFonts w:ascii="Times New Roman" w:cs="Times New Roman" w:eastAsia="Times New Roman" w:hAnsi="Times New Roman"/>
          <w:sz w:val="21"/>
          <w:szCs w:val="21"/>
          <w:b w:val="1"/>
          <w:bCs w:val="1"/>
          <w:i w:val="1"/>
          <w:iCs w:val="1"/>
          <w:color w:val="auto"/>
        </w:rPr>
        <w:t>“Securities Act”</w:t>
      </w:r>
      <w:r>
        <w:rPr>
          <w:rFonts w:ascii="Times New Roman" w:cs="Times New Roman" w:eastAsia="Times New Roman" w:hAnsi="Times New Roman"/>
          <w:sz w:val="21"/>
          <w:szCs w:val="21"/>
          <w:color w:val="auto"/>
        </w:rPr>
        <w:t xml:space="preserve">), with the Securities and Exchange Commission (the </w:t>
      </w:r>
      <w:r>
        <w:rPr>
          <w:rFonts w:ascii="Times New Roman" w:cs="Times New Roman" w:eastAsia="Times New Roman" w:hAnsi="Times New Roman"/>
          <w:sz w:val="21"/>
          <w:szCs w:val="21"/>
          <w:b w:val="1"/>
          <w:bCs w:val="1"/>
          <w:i w:val="1"/>
          <w:iCs w:val="1"/>
          <w:color w:val="auto"/>
        </w:rPr>
        <w:t>“Commission”</w:t>
      </w:r>
      <w:r>
        <w:rPr>
          <w:rFonts w:ascii="Times New Roman" w:cs="Times New Roman" w:eastAsia="Times New Roman" w:hAnsi="Times New Roman"/>
          <w:sz w:val="21"/>
          <w:szCs w:val="21"/>
          <w:color w:val="auto"/>
        </w:rPr>
        <w:t xml:space="preserve">) one or more registration statements on Form S-3,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xml:space="preserve">). The Company has prepared or will prepare a prospectus included as part of such registration statement or a prospectus supplement to be filed with the Commission together with the prospectus included as part of such registration statement, in each case specifically relating to the Shares (the </w:t>
      </w:r>
      <w:r>
        <w:rPr>
          <w:rFonts w:ascii="Times New Roman" w:cs="Times New Roman" w:eastAsia="Times New Roman" w:hAnsi="Times New Roman"/>
          <w:sz w:val="21"/>
          <w:szCs w:val="21"/>
          <w:b w:val="1"/>
          <w:bCs w:val="1"/>
          <w:i w:val="1"/>
          <w:iCs w:val="1"/>
          <w:color w:val="auto"/>
        </w:rPr>
        <w:t>“Sales Prospectus”</w:t>
      </w:r>
      <w:r>
        <w:rPr>
          <w:rFonts w:ascii="Times New Roman" w:cs="Times New Roman" w:eastAsia="Times New Roman" w:hAnsi="Times New Roman"/>
          <w:sz w:val="21"/>
          <w:szCs w:val="21"/>
          <w:color w:val="auto"/>
        </w:rPr>
        <w:t>). The Company has furnished to the Agent, for use by the Agent, copies of the Sales Prospectus included as part of such registration statement or filed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1007110</wp:posOffset>
            </wp:positionV>
            <wp:extent cx="537464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ind w:left="300" w:right="319"/>
        <w:spacing w:after="0" w:line="231" w:lineRule="auto"/>
        <w:rPr>
          <w:sz w:val="20"/>
          <w:szCs w:val="20"/>
          <w:color w:val="auto"/>
        </w:rPr>
      </w:pPr>
      <w:r>
        <w:rPr>
          <w:rFonts w:ascii="Times New Roman" w:cs="Times New Roman" w:eastAsia="Times New Roman" w:hAnsi="Times New Roman"/>
          <w:sz w:val="22"/>
          <w:szCs w:val="22"/>
          <w:color w:val="auto"/>
        </w:rPr>
        <w:t xml:space="preserve">the Commission, as supplemented by any prospectus supplement, relating to the Shares. The Company may file one or more additional registration statements from time to time that will contain a base prospectus and related prospectus or prospectus supplement, if applicable (which shall be a Sales Prospectus), with respect to the Shares. Except where the context otherwise requires, each such registration statement,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under the Securities Act, is herein called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xml:space="preserve"> The Sales Prospectus, including all documents incorporated therein by reference, included in the Registration Statement, as it may be supplemented by any prospectus supplement, in the form in which the Sales Prospectus, as supplemented by any prospectus supplement, if applicable, has most recently been filed by the Company with the Commission pursuant to Rule 424(b) under the Securities Act, together with any “</w:t>
      </w:r>
      <w:r>
        <w:rPr>
          <w:rFonts w:ascii="Times New Roman" w:cs="Times New Roman" w:eastAsia="Times New Roman" w:hAnsi="Times New Roman"/>
          <w:sz w:val="22"/>
          <w:szCs w:val="22"/>
          <w:b w:val="1"/>
          <w:bCs w:val="1"/>
          <w:i w:val="1"/>
          <w:iCs w:val="1"/>
          <w:color w:val="auto"/>
        </w:rPr>
        <w:t>issuer free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writing prospectus</w:t>
      </w:r>
      <w:r>
        <w:rPr>
          <w:rFonts w:ascii="Times New Roman" w:cs="Times New Roman" w:eastAsia="Times New Roman" w:hAnsi="Times New Roman"/>
          <w:sz w:val="22"/>
          <w:szCs w:val="22"/>
          <w:color w:val="auto"/>
        </w:rPr>
        <w:t>,” as defined in Rule 433 under the Securities Act (</w:t>
      </w:r>
      <w:r>
        <w:rPr>
          <w:rFonts w:ascii="Times New Roman" w:cs="Times New Roman" w:eastAsia="Times New Roman" w:hAnsi="Times New Roman"/>
          <w:sz w:val="22"/>
          <w:szCs w:val="22"/>
          <w:b w:val="1"/>
          <w:bCs w:val="1"/>
          <w:i w:val="1"/>
          <w:iCs w:val="1"/>
          <w:color w:val="auto"/>
        </w:rPr>
        <w:t>“Rule 433”</w:t>
      </w:r>
      <w:r>
        <w:rPr>
          <w:rFonts w:ascii="Times New Roman" w:cs="Times New Roman" w:eastAsia="Times New Roman" w:hAnsi="Times New Roman"/>
          <w:sz w:val="22"/>
          <w:szCs w:val="22"/>
          <w:color w:val="auto"/>
        </w:rPr>
        <w:t>), relating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the Shares, if any,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color w:val="auto"/>
        </w:rPr>
        <w:t xml:space="preserve">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the Electronic Data Gathering Analysis and Retrieval System (“</w:t>
      </w:r>
      <w:r>
        <w:rPr>
          <w:rFonts w:ascii="Times New Roman" w:cs="Times New Roman" w:eastAsia="Times New Roman" w:hAnsi="Times New Roman"/>
          <w:sz w:val="22"/>
          <w:szCs w:val="22"/>
          <w:b w:val="1"/>
          <w:bCs w:val="1"/>
          <w:i w:val="1"/>
          <w:iCs w:val="1"/>
          <w:color w:val="auto"/>
        </w:rPr>
        <w:t>EDGAR”</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ind w:left="300" w:right="299" w:firstLine="1944"/>
        <w:spacing w:after="0" w:line="234"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i w:val="1"/>
          <w:iCs w:val="1"/>
          <w:color w:val="auto"/>
        </w:rPr>
        <w:t>Continuing Effectiveness of Registration Statement</w:t>
      </w:r>
      <w:r>
        <w:rPr>
          <w:rFonts w:ascii="Times New Roman" w:cs="Times New Roman" w:eastAsia="Times New Roman" w:hAnsi="Times New Roman"/>
          <w:sz w:val="22"/>
          <w:szCs w:val="22"/>
          <w:color w:val="auto"/>
        </w:rPr>
        <w:t>. The Registration Statement and any Rule 462(b) Registration Statement will have been declared effective by the Commission under the Securities Act. The Company will have complied, to the Commission’s satisfaction, with all requests of the Commission for additional or supplemental information. No stop order suspending the effectiveness of the Registration Statement or any Rule 462(b) Registration Statement shall be in effect and no proceedings for such purpose shall have been instituted, be pending or, to the knowledge of the Company, be contemplated or threatened by the Commission. The Company meets the requirements for use of Form S-3 under the Securities Act. The sale of the Shares hereunder meets the requirements of General Instruction I.B.1. or I.B.6 of Form S-3.</w:t>
      </w:r>
    </w:p>
    <w:p>
      <w:pPr>
        <w:spacing w:after="0" w:line="179" w:lineRule="exact"/>
        <w:rPr>
          <w:sz w:val="20"/>
          <w:szCs w:val="20"/>
          <w:color w:val="auto"/>
        </w:rPr>
      </w:pPr>
    </w:p>
    <w:p>
      <w:pPr>
        <w:ind w:left="300" w:right="319" w:firstLine="1944"/>
        <w:spacing w:after="0" w:line="248" w:lineRule="auto"/>
        <w:rPr>
          <w:sz w:val="20"/>
          <w:szCs w:val="20"/>
          <w:color w:val="auto"/>
        </w:rPr>
      </w:pPr>
      <w:r>
        <w:rPr>
          <w:rFonts w:ascii="Times New Roman" w:cs="Times New Roman" w:eastAsia="Times New Roman" w:hAnsi="Times New Roman"/>
          <w:sz w:val="21"/>
          <w:szCs w:val="21"/>
          <w:color w:val="auto"/>
        </w:rPr>
        <w:t>(iii)</w:t>
      </w:r>
      <w:r>
        <w:rPr>
          <w:rFonts w:ascii="Times New Roman" w:cs="Times New Roman" w:eastAsia="Times New Roman" w:hAnsi="Times New Roman"/>
          <w:sz w:val="21"/>
          <w:szCs w:val="21"/>
          <w:i w:val="1"/>
          <w:iCs w:val="1"/>
          <w:color w:val="auto"/>
        </w:rPr>
        <w:t>No Material Misstatements or Omissions</w:t>
      </w:r>
      <w:r>
        <w:rPr>
          <w:rFonts w:ascii="Times New Roman" w:cs="Times New Roman" w:eastAsia="Times New Roman" w:hAnsi="Times New Roman"/>
          <w:sz w:val="21"/>
          <w:szCs w:val="21"/>
          <w:color w:val="auto"/>
        </w:rPr>
        <w:t>. The Prospectus when filed, and as amended or supplemented, if applicable, will comply in all material respects with the Securities Act. Each of the Registration Statement, any Rule 462(b) Registration Statement, the Prospectus and any post-effective amendments or supplements thereto, at the time it becomes effective or its date, as applicable, and as of each Settlement Date (as defined in Section 2(a)(vii) below), complied in all material respects with the Securities Act, and as of each effective date and each Settlement Date, will not contain any untrue statement of a material fact or omit to state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5" w:name="page36"/>
    <w:bookmarkEnd w:id="35"/>
    <w:p>
      <w:pPr>
        <w:ind w:left="300" w:right="299"/>
        <w:spacing w:after="0" w:line="233" w:lineRule="auto"/>
        <w:rPr>
          <w:sz w:val="20"/>
          <w:szCs w:val="20"/>
          <w:color w:val="auto"/>
        </w:rPr>
      </w:pPr>
      <w:r>
        <w:rPr>
          <w:rFonts w:ascii="Times New Roman" w:cs="Times New Roman" w:eastAsia="Times New Roman" w:hAnsi="Times New Roman"/>
          <w:sz w:val="22"/>
          <w:szCs w:val="22"/>
          <w:color w:val="auto"/>
        </w:rPr>
        <w:t>a material fact required to be stated therein or necessary to make the statements therein not misleading. The Prospectus, as amended or supplemented, as of its date, and, as of each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There are no contracts or other documents required to be described in the Prospectus or to be filed as exhibits to the Registration Statement which have not been described or filed as required.</w:t>
      </w:r>
    </w:p>
    <w:p>
      <w:pPr>
        <w:spacing w:after="0" w:line="181" w:lineRule="exact"/>
        <w:rPr>
          <w:sz w:val="20"/>
          <w:szCs w:val="20"/>
          <w:color w:val="auto"/>
        </w:rPr>
      </w:pPr>
    </w:p>
    <w:p>
      <w:pPr>
        <w:ind w:left="300" w:right="399" w:firstLine="1944"/>
        <w:spacing w:after="0" w:line="250" w:lineRule="auto"/>
        <w:rPr>
          <w:sz w:val="20"/>
          <w:szCs w:val="20"/>
          <w:color w:val="auto"/>
        </w:rPr>
      </w:pPr>
      <w:r>
        <w:rPr>
          <w:rFonts w:ascii="Times New Roman" w:cs="Times New Roman" w:eastAsia="Times New Roman" w:hAnsi="Times New Roman"/>
          <w:sz w:val="21"/>
          <w:szCs w:val="21"/>
          <w:color w:val="auto"/>
        </w:rPr>
        <w:t>(iv)</w:t>
      </w:r>
      <w:r>
        <w:rPr>
          <w:rFonts w:ascii="Times New Roman" w:cs="Times New Roman" w:eastAsia="Times New Roman" w:hAnsi="Times New Roman"/>
          <w:sz w:val="21"/>
          <w:szCs w:val="21"/>
          <w:i w:val="1"/>
          <w:iCs w:val="1"/>
          <w:color w:val="auto"/>
        </w:rPr>
        <w:t>Eligible Issuer</w:t>
      </w:r>
      <w:r>
        <w:rPr>
          <w:rFonts w:ascii="Times New Roman" w:cs="Times New Roman" w:eastAsia="Times New Roman" w:hAnsi="Times New Roman"/>
          <w:sz w:val="21"/>
          <w:szCs w:val="21"/>
          <w:color w:val="auto"/>
        </w:rPr>
        <w:t>. The Company is not an “ineligible issuer” (as defined in Rule 405 under the Securities Act) as of the eligibility determination date for purposes of Rules 164 and 433 under the Securities Act with respect to the offering of the Shares contemplated by the Registration Statement; the parties hereto agree and understand that the content of any and all “road shows” (as defined in Rule 433 under the Securities Act) related to the offering of the Shares contemplated hereby is solely the property of the Company.</w:t>
      </w:r>
    </w:p>
    <w:p>
      <w:pPr>
        <w:spacing w:after="0" w:line="16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(v)Reserved.</w:t>
      </w:r>
    </w:p>
    <w:p>
      <w:pPr>
        <w:spacing w:after="0" w:line="202" w:lineRule="exact"/>
        <w:rPr>
          <w:sz w:val="20"/>
          <w:szCs w:val="20"/>
          <w:color w:val="auto"/>
        </w:rPr>
      </w:pPr>
    </w:p>
    <w:p>
      <w:pPr>
        <w:ind w:left="300" w:right="359" w:firstLine="1944"/>
        <w:spacing w:after="0" w:line="232" w:lineRule="auto"/>
        <w:rPr>
          <w:sz w:val="20"/>
          <w:szCs w:val="20"/>
          <w:color w:val="auto"/>
        </w:rPr>
      </w:pPr>
      <w:r>
        <w:rPr>
          <w:rFonts w:ascii="Times New Roman" w:cs="Times New Roman" w:eastAsia="Times New Roman" w:hAnsi="Times New Roman"/>
          <w:sz w:val="22"/>
          <w:szCs w:val="22"/>
          <w:color w:val="auto"/>
        </w:rPr>
        <w:t>(vi)</w:t>
      </w:r>
      <w:r>
        <w:rPr>
          <w:rFonts w:ascii="Times New Roman" w:cs="Times New Roman" w:eastAsia="Times New Roman" w:hAnsi="Times New Roman"/>
          <w:sz w:val="22"/>
          <w:szCs w:val="22"/>
          <w:i w:val="1"/>
          <w:iCs w:val="1"/>
          <w:color w:val="auto"/>
        </w:rPr>
        <w:t>Financial Statements</w:t>
      </w:r>
      <w:r>
        <w:rPr>
          <w:rFonts w:ascii="Times New Roman" w:cs="Times New Roman" w:eastAsia="Times New Roman" w:hAnsi="Times New Roman"/>
          <w:sz w:val="22"/>
          <w:szCs w:val="22"/>
          <w:color w:val="auto"/>
        </w:rPr>
        <w:t>. The historical financial statements (including the related notes and supporting schedules) to be included or incorporated by reference, in the Registration Statement, and the Prospectus comply as to form in all material respects with the requirements of Regulation S-X under the Securities Act (</w:t>
      </w:r>
      <w:r>
        <w:rPr>
          <w:rFonts w:ascii="Times New Roman" w:cs="Times New Roman" w:eastAsia="Times New Roman" w:hAnsi="Times New Roman"/>
          <w:sz w:val="22"/>
          <w:szCs w:val="22"/>
          <w:b w:val="1"/>
          <w:bCs w:val="1"/>
          <w:i w:val="1"/>
          <w:iCs w:val="1"/>
          <w:color w:val="auto"/>
        </w:rPr>
        <w:t>“Regulation S-X”</w:t>
      </w:r>
      <w:r>
        <w:rPr>
          <w:rFonts w:ascii="Times New Roman" w:cs="Times New Roman" w:eastAsia="Times New Roman" w:hAnsi="Times New Roman"/>
          <w:sz w:val="22"/>
          <w:szCs w:val="22"/>
          <w:color w:val="auto"/>
        </w:rPr>
        <w:t>) and present fairly in all material respects the financial condition, results of operations and cash flows of the entities purported to be shown thereby at the dates and for the periods indicated and have been prepared in conformity with generally accepted accounting principles in the United States applied on a consistent basis throughout the periods involved (except (i) as may be otherwise indicated in such financial statements or the notes thereto, or (ii) in the case of unaudited interim statements, to the extent they may exclude footnotes and are subject to normal and recurring year-end adjustments that are not reasonably expected to be material in amount). All disclosures contained in the Registration Statement and Prospectus regarding “non-GAAP financial measures” (as such term is defined by the rules and regulations of the Commission) comply with Regulation G of the Exchange Act and Item 10 of Regulation S-K of the Act, to the extent applicable. There are no financial statements (historical or pro forma) that are required to be included in the Registration Statement or the Prospectus that are not so included as required. The interactive data in eXtensible Business Reporting Language (</w:t>
      </w:r>
      <w:r>
        <w:rPr>
          <w:rFonts w:ascii="Times New Roman" w:cs="Times New Roman" w:eastAsia="Times New Roman" w:hAnsi="Times New Roman"/>
          <w:sz w:val="22"/>
          <w:szCs w:val="22"/>
          <w:b w:val="1"/>
          <w:bCs w:val="1"/>
          <w:i w:val="1"/>
          <w:iCs w:val="1"/>
          <w:color w:val="auto"/>
        </w:rPr>
        <w:t>“XBRL”</w:t>
      </w:r>
      <w:r>
        <w:rPr>
          <w:rFonts w:ascii="Times New Roman" w:cs="Times New Roman" w:eastAsia="Times New Roman" w:hAnsi="Times New Roman"/>
          <w:sz w:val="22"/>
          <w:szCs w:val="22"/>
          <w:color w:val="auto"/>
        </w:rPr>
        <w:t>) included or incorporated by reference in the Registration Statement and the Prospectus fairly present the information called for in all material respects and have been prepared in accordance with the Commission’s rules and guidelines applicable thereto.</w:t>
      </w:r>
    </w:p>
    <w:p>
      <w:pPr>
        <w:spacing w:after="0" w:line="185" w:lineRule="exact"/>
        <w:rPr>
          <w:sz w:val="20"/>
          <w:szCs w:val="20"/>
          <w:color w:val="auto"/>
        </w:rPr>
      </w:pPr>
    </w:p>
    <w:p>
      <w:pPr>
        <w:ind w:left="300" w:right="359" w:firstLine="1944"/>
        <w:spacing w:after="0" w:line="241"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22"/>
          <w:szCs w:val="22"/>
          <w:i w:val="1"/>
          <w:iCs w:val="1"/>
          <w:color w:val="auto"/>
        </w:rPr>
        <w:t>No Off-Balance Sheet Transactions</w:t>
      </w:r>
      <w:r>
        <w:rPr>
          <w:rFonts w:ascii="Times New Roman" w:cs="Times New Roman" w:eastAsia="Times New Roman" w:hAnsi="Times New Roman"/>
          <w:sz w:val="22"/>
          <w:szCs w:val="22"/>
          <w:color w:val="auto"/>
        </w:rPr>
        <w:t>.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6" w:name="page37"/>
    <w:bookmarkEnd w:id="36"/>
    <w:p>
      <w:pPr>
        <w:ind w:left="300" w:right="61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Off-Balance Sheet Transaction”</w:t>
      </w:r>
      <w:r>
        <w:rPr>
          <w:rFonts w:ascii="Times New Roman" w:cs="Times New Roman" w:eastAsia="Times New Roman" w:hAnsi="Times New Roman"/>
          <w:sz w:val="22"/>
          <w:szCs w:val="22"/>
          <w:color w:val="auto"/>
        </w:rPr>
        <w:t>) that could reasonably be expected to affect materially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and are required to be described in the Prospectus, which have not been described as required.</w:t>
      </w:r>
    </w:p>
    <w:p>
      <w:pPr>
        <w:spacing w:after="0" w:line="177" w:lineRule="exact"/>
        <w:rPr>
          <w:sz w:val="20"/>
          <w:szCs w:val="20"/>
          <w:color w:val="auto"/>
        </w:rPr>
      </w:pPr>
    </w:p>
    <w:p>
      <w:pPr>
        <w:ind w:left="300" w:right="779" w:firstLine="1944"/>
        <w:spacing w:after="0" w:line="238" w:lineRule="auto"/>
        <w:rPr>
          <w:sz w:val="20"/>
          <w:szCs w:val="20"/>
          <w:color w:val="auto"/>
        </w:rPr>
      </w:pPr>
      <w:r>
        <w:rPr>
          <w:rFonts w:ascii="Times New Roman" w:cs="Times New Roman" w:eastAsia="Times New Roman" w:hAnsi="Times New Roman"/>
          <w:sz w:val="22"/>
          <w:szCs w:val="22"/>
          <w:color w:val="auto"/>
        </w:rPr>
        <w:t>(viii)</w:t>
      </w:r>
      <w:r>
        <w:rPr>
          <w:rFonts w:ascii="Times New Roman" w:cs="Times New Roman" w:eastAsia="Times New Roman" w:hAnsi="Times New Roman"/>
          <w:sz w:val="22"/>
          <w:szCs w:val="22"/>
          <w:i w:val="1"/>
          <w:iCs w:val="1"/>
          <w:color w:val="auto"/>
        </w:rPr>
        <w:t>Auditor Independence.</w:t>
      </w:r>
      <w:r>
        <w:rPr>
          <w:rFonts w:ascii="Times New Roman" w:cs="Times New Roman" w:eastAsia="Times New Roman" w:hAnsi="Times New Roman"/>
          <w:sz w:val="22"/>
          <w:szCs w:val="22"/>
          <w:color w:val="auto"/>
        </w:rPr>
        <w:t xml:space="preserve"> PricewaterhouseCoopers LLP, who have certified certain financial statements of the Company and its consolidated subsidiary (the </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whose report appears in the Registration Statement and the Prospectus,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independent public accountants as required by the Securities Act and the Public Accounting Oversight Board.</w:t>
      </w:r>
    </w:p>
    <w:p>
      <w:pPr>
        <w:spacing w:after="0" w:line="177" w:lineRule="exact"/>
        <w:rPr>
          <w:sz w:val="20"/>
          <w:szCs w:val="20"/>
          <w:color w:val="auto"/>
        </w:rPr>
      </w:pPr>
    </w:p>
    <w:p>
      <w:pPr>
        <w:ind w:left="300" w:right="299" w:firstLine="1944"/>
        <w:spacing w:after="0" w:line="232" w:lineRule="auto"/>
        <w:rPr>
          <w:sz w:val="20"/>
          <w:szCs w:val="20"/>
          <w:color w:val="auto"/>
        </w:rPr>
      </w:pPr>
      <w:r>
        <w:rPr>
          <w:rFonts w:ascii="Times New Roman" w:cs="Times New Roman" w:eastAsia="Times New Roman" w:hAnsi="Times New Roman"/>
          <w:sz w:val="22"/>
          <w:szCs w:val="22"/>
          <w:color w:val="auto"/>
        </w:rPr>
        <w:t>(ix)</w:t>
      </w:r>
      <w:r>
        <w:rPr>
          <w:rFonts w:ascii="Times New Roman" w:cs="Times New Roman" w:eastAsia="Times New Roman" w:hAnsi="Times New Roman"/>
          <w:sz w:val="22"/>
          <w:szCs w:val="22"/>
          <w:i w:val="1"/>
          <w:iCs w:val="1"/>
          <w:color w:val="auto"/>
        </w:rPr>
        <w:t>No Material Adverse Effect</w:t>
      </w:r>
      <w:r>
        <w:rPr>
          <w:rFonts w:ascii="Times New Roman" w:cs="Times New Roman" w:eastAsia="Times New Roman" w:hAnsi="Times New Roman"/>
          <w:sz w:val="22"/>
          <w:szCs w:val="22"/>
          <w:color w:val="auto"/>
        </w:rPr>
        <w:t xml:space="preserve">. The Company and its Subsidiary (as listed in </w:t>
      </w:r>
      <w:r>
        <w:rPr>
          <w:rFonts w:ascii="Times New Roman" w:cs="Times New Roman" w:eastAsia="Times New Roman" w:hAnsi="Times New Roman"/>
          <w:sz w:val="22"/>
          <w:szCs w:val="22"/>
          <w:u w:val="single" w:color="auto"/>
          <w:color w:val="auto"/>
        </w:rPr>
        <w:t>Schedule 4</w:t>
      </w:r>
      <w:r>
        <w:rPr>
          <w:rFonts w:ascii="Times New Roman" w:cs="Times New Roman" w:eastAsia="Times New Roman" w:hAnsi="Times New Roman"/>
          <w:sz w:val="22"/>
          <w:szCs w:val="22"/>
          <w:color w:val="auto"/>
        </w:rPr>
        <w:t xml:space="preserve"> hereto) have been duly organized, and are validly existing as a corporation and in good standing under the laws of their respective jurisdictions of organization. The Company and its Subsidiary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reasonably be expected to have a Material Adverse Effect. “</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xml:space="preserve">” shall mean any material adverse change or effect on or affecting (i) the business, earnings, assets, liabilities, prospects, condition (financial or otherwise), operations, general affairs, management, financial position, stockholders’ equity or results of operations of the Company and the Subsidiary taken as a whole, or (ii) the ability of the Company to perform its obligations under this Agreement, including this issuance and sale of the Shares, or to consummate the transactions contemplated by this Agreement. The Company does not own or control, directly or indirectly, any corporation, association or other entity other than the subsidiary listed in Exhibit 21.1 to the Company’s Annual Report on Form 10-K for the fiscal year ended December 31, 2023 except for subsidiaries that in the aggregate would not constitute a “significant subsidiary” (as defined in Rule 405 under the Securities Act). The Subsidiary is not a </w:t>
      </w:r>
      <w:r>
        <w:rPr>
          <w:rFonts w:ascii="Times New Roman" w:cs="Times New Roman" w:eastAsia="Times New Roman" w:hAnsi="Times New Roman"/>
          <w:sz w:val="22"/>
          <w:szCs w:val="22"/>
          <w:b w:val="1"/>
          <w:bCs w:val="1"/>
          <w:i w:val="1"/>
          <w:iCs w:val="1"/>
          <w:color w:val="auto"/>
        </w:rPr>
        <w:t>“significant subsidiary”</w:t>
      </w:r>
      <w:r>
        <w:rPr>
          <w:rFonts w:ascii="Times New Roman" w:cs="Times New Roman" w:eastAsia="Times New Roman" w:hAnsi="Times New Roman"/>
          <w:sz w:val="22"/>
          <w:szCs w:val="22"/>
          <w:color w:val="auto"/>
        </w:rPr>
        <w:t xml:space="preserve"> (as defined in Rule 405 under the Securities Act).</w:t>
      </w:r>
    </w:p>
    <w:p>
      <w:pPr>
        <w:spacing w:after="0" w:line="182" w:lineRule="exact"/>
        <w:rPr>
          <w:sz w:val="20"/>
          <w:szCs w:val="20"/>
          <w:color w:val="auto"/>
        </w:rPr>
      </w:pPr>
    </w:p>
    <w:p>
      <w:pPr>
        <w:ind w:left="300" w:right="299" w:firstLine="1944"/>
        <w:spacing w:after="0" w:line="245" w:lineRule="auto"/>
        <w:rPr>
          <w:sz w:val="20"/>
          <w:szCs w:val="20"/>
          <w:color w:val="auto"/>
        </w:rPr>
      </w:pPr>
      <w:r>
        <w:rPr>
          <w:rFonts w:ascii="Times New Roman" w:cs="Times New Roman" w:eastAsia="Times New Roman" w:hAnsi="Times New Roman"/>
          <w:sz w:val="21"/>
          <w:szCs w:val="21"/>
          <w:color w:val="auto"/>
        </w:rPr>
        <w:t>(x)</w:t>
      </w:r>
      <w:r>
        <w:rPr>
          <w:rFonts w:ascii="Times New Roman" w:cs="Times New Roman" w:eastAsia="Times New Roman" w:hAnsi="Times New Roman"/>
          <w:sz w:val="21"/>
          <w:szCs w:val="21"/>
          <w:i w:val="1"/>
          <w:iCs w:val="1"/>
          <w:color w:val="auto"/>
        </w:rPr>
        <w:t>Capitalization</w:t>
      </w:r>
      <w:r>
        <w:rPr>
          <w:rFonts w:ascii="Times New Roman" w:cs="Times New Roman" w:eastAsia="Times New Roman" w:hAnsi="Times New Roman"/>
          <w:sz w:val="21"/>
          <w:szCs w:val="21"/>
          <w:color w:val="auto"/>
        </w:rPr>
        <w:t>. The Company has an authorized capitalization as set forth in each of the Registration Statement and the Prospectus, and all of the issued shares of the Company have been duly authorized and validly issued, are fully paid and non-assessable, conform in all material respects to the description thereof contained in the Registration Statement and the Prospectus and were not issued in violation of any preemptive right, resale right, right of first refusal or similar right. All of the Company’s options, warrants and other rights to purchase or exchange any securities for shares of the Company’s capital stock have been duly authorized and validly issued, and conform in all material respects to the description thereof contained in the Registration Statement and the Prospectus. All of the issued shares of capital stock or other ownership interest of the Company’s subsidiary have been duly authorized and validly issued, are fully paid and non-assessable and are owned directly or indirectly by the Company, free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2" w:right="1440" w:bottom="1440" w:gutter="0" w:footer="0" w:header="0"/>
        </w:sectPr>
      </w:pPr>
    </w:p>
    <w:bookmarkStart w:id="37" w:name="page38"/>
    <w:bookmarkEnd w:id="37"/>
    <w:p>
      <w:pPr>
        <w:ind w:left="300" w:right="359"/>
        <w:spacing w:after="0" w:line="244" w:lineRule="auto"/>
        <w:rPr>
          <w:sz w:val="20"/>
          <w:szCs w:val="20"/>
          <w:color w:val="auto"/>
        </w:rPr>
      </w:pPr>
      <w:r>
        <w:rPr>
          <w:rFonts w:ascii="Times New Roman" w:cs="Times New Roman" w:eastAsia="Times New Roman" w:hAnsi="Times New Roman"/>
          <w:sz w:val="22"/>
          <w:szCs w:val="22"/>
          <w:color w:val="auto"/>
        </w:rPr>
        <w:t>clear of all liens, encumbrances, equities or claims, except for such liens, encumbrances, equities or claims as would not, individually or in the aggregate, reasonably be expected to have a Material Adverse Effect.</w:t>
      </w:r>
    </w:p>
    <w:p>
      <w:pPr>
        <w:spacing w:after="0" w:line="169" w:lineRule="exact"/>
        <w:rPr>
          <w:sz w:val="20"/>
          <w:szCs w:val="20"/>
          <w:color w:val="auto"/>
        </w:rPr>
      </w:pPr>
    </w:p>
    <w:p>
      <w:pPr>
        <w:ind w:left="300" w:right="419" w:firstLine="1944"/>
        <w:spacing w:after="0" w:line="236" w:lineRule="auto"/>
        <w:rPr>
          <w:sz w:val="20"/>
          <w:szCs w:val="20"/>
          <w:color w:val="auto"/>
        </w:rPr>
      </w:pPr>
      <w:r>
        <w:rPr>
          <w:rFonts w:ascii="Times New Roman" w:cs="Times New Roman" w:eastAsia="Times New Roman" w:hAnsi="Times New Roman"/>
          <w:sz w:val="22"/>
          <w:szCs w:val="22"/>
          <w:color w:val="auto"/>
        </w:rPr>
        <w:t>(xi)</w:t>
      </w:r>
      <w:r>
        <w:rPr>
          <w:rFonts w:ascii="Times New Roman" w:cs="Times New Roman" w:eastAsia="Times New Roman" w:hAnsi="Times New Roman"/>
          <w:sz w:val="22"/>
          <w:szCs w:val="22"/>
          <w:i w:val="1"/>
          <w:iCs w:val="1"/>
          <w:color w:val="auto"/>
        </w:rPr>
        <w:t>Due Authorization, Valid Issuance and Non-Assessiblity of Shares</w:t>
      </w:r>
      <w:r>
        <w:rPr>
          <w:rFonts w:ascii="Times New Roman" w:cs="Times New Roman" w:eastAsia="Times New Roman" w:hAnsi="Times New Roman"/>
          <w:sz w:val="22"/>
          <w:szCs w:val="22"/>
          <w:color w:val="auto"/>
        </w:rPr>
        <w:t>. The Shares to be issued and sold by the Company to the Agent hereunder have been duly authorized and, upon payment and delivery in accordance with this Agreement, will be validly issued, fully paid and non-assessable, will conform in all material respects to the description thereof contained in the Registration Statement and the Prospectus, will be issued in compliance with federal and state securities laws and will be free of statutory and contractual preemptive rights, rights of first refusal and similar rights.</w:t>
      </w:r>
    </w:p>
    <w:p>
      <w:pPr>
        <w:spacing w:after="0" w:line="176" w:lineRule="exact"/>
        <w:rPr>
          <w:sz w:val="20"/>
          <w:szCs w:val="20"/>
          <w:color w:val="auto"/>
        </w:rPr>
      </w:pPr>
    </w:p>
    <w:p>
      <w:pPr>
        <w:ind w:left="300" w:right="379" w:firstLine="1944"/>
        <w:spacing w:after="0" w:line="241" w:lineRule="auto"/>
        <w:rPr>
          <w:sz w:val="20"/>
          <w:szCs w:val="20"/>
          <w:color w:val="auto"/>
        </w:rPr>
      </w:pPr>
      <w:r>
        <w:rPr>
          <w:rFonts w:ascii="Times New Roman" w:cs="Times New Roman" w:eastAsia="Times New Roman" w:hAnsi="Times New Roman"/>
          <w:sz w:val="22"/>
          <w:szCs w:val="22"/>
          <w:color w:val="auto"/>
        </w:rPr>
        <w:t>(xii)</w:t>
      </w:r>
      <w:r>
        <w:rPr>
          <w:rFonts w:ascii="Times New Roman" w:cs="Times New Roman" w:eastAsia="Times New Roman" w:hAnsi="Times New Roman"/>
          <w:sz w:val="22"/>
          <w:szCs w:val="22"/>
          <w:i w:val="1"/>
          <w:iCs w:val="1"/>
          <w:color w:val="auto"/>
        </w:rPr>
        <w:t>Authority to Enter into this Agreement</w:t>
      </w:r>
      <w:r>
        <w:rPr>
          <w:rFonts w:ascii="Times New Roman" w:cs="Times New Roman" w:eastAsia="Times New Roman" w:hAnsi="Times New Roman"/>
          <w:sz w:val="22"/>
          <w:szCs w:val="22"/>
          <w:color w:val="auto"/>
        </w:rPr>
        <w:t>. The Company has all requisite corporate power and authority to execute, deliver and perform its obligations under this Agreement. This Agreement has been duly and validly authorized, executed and delivered by the Company.</w:t>
      </w:r>
    </w:p>
    <w:p>
      <w:pPr>
        <w:spacing w:after="0" w:line="172" w:lineRule="exact"/>
        <w:rPr>
          <w:sz w:val="20"/>
          <w:szCs w:val="20"/>
          <w:color w:val="auto"/>
        </w:rPr>
      </w:pPr>
    </w:p>
    <w:p>
      <w:pPr>
        <w:ind w:left="300" w:right="399" w:firstLine="1944"/>
        <w:spacing w:after="0" w:line="248" w:lineRule="auto"/>
        <w:rPr>
          <w:sz w:val="20"/>
          <w:szCs w:val="20"/>
          <w:color w:val="auto"/>
        </w:rPr>
      </w:pPr>
      <w:r>
        <w:rPr>
          <w:rFonts w:ascii="Times New Roman" w:cs="Times New Roman" w:eastAsia="Times New Roman" w:hAnsi="Times New Roman"/>
          <w:sz w:val="21"/>
          <w:szCs w:val="21"/>
          <w:color w:val="auto"/>
        </w:rPr>
        <w:t>(xiii)</w:t>
      </w:r>
      <w:r>
        <w:rPr>
          <w:rFonts w:ascii="Times New Roman" w:cs="Times New Roman" w:eastAsia="Times New Roman" w:hAnsi="Times New Roman"/>
          <w:sz w:val="21"/>
          <w:szCs w:val="21"/>
          <w:i w:val="1"/>
          <w:iCs w:val="1"/>
          <w:color w:val="auto"/>
        </w:rPr>
        <w:t>Non-Contravention</w:t>
      </w:r>
      <w:r>
        <w:rPr>
          <w:rFonts w:ascii="Times New Roman" w:cs="Times New Roman" w:eastAsia="Times New Roman" w:hAnsi="Times New Roman"/>
          <w:sz w:val="21"/>
          <w:szCs w:val="21"/>
          <w:color w:val="auto"/>
        </w:rPr>
        <w:t>. The issue and sale of the Shares, the execution, delivery and performance of this Agreement by the Company, the consummation of the transactions contemplated hereby and the application of the proceeds from the sale of the Shares as described under “Use of Proceeds” in the Registration Statement and the Prospectus will not</w:t>
      </w:r>
    </w:p>
    <w:p>
      <w:pPr>
        <w:spacing w:after="0" w:line="2" w:lineRule="exact"/>
        <w:rPr>
          <w:sz w:val="20"/>
          <w:szCs w:val="20"/>
          <w:color w:val="auto"/>
        </w:rPr>
      </w:pPr>
    </w:p>
    <w:p>
      <w:pPr>
        <w:ind w:left="300" w:right="299" w:hanging="8"/>
        <w:spacing w:after="0" w:line="243" w:lineRule="auto"/>
        <w:tabs>
          <w:tab w:leader="none" w:pos="55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conflict with or result in a breach or violation of any of the terms or provisions of, impose any lien, charge or encumbrance upon any property or assets of the Company and its subsidiary, or constitute a default under, any indenture, mortgage, deed of trust, loan agreement, license, lease or other agreement or instrument to which the Company or its subsidiary is a party or by which the Company or its subsidiary is bound or to which any of the property or assets of the Company or its subsidiary is subject; (ii) result in any violation of the provisions of the certificate of incorporation or by-laws (or similar organizational documents) of the Company or its subsidiary; or (iii) result in any violation of any statute or any judgment, order, decree, rule or regulation of any court or governmental agency or body having jurisdiction over the Company or its subsidiary or any of their properties or assets, except, with respect to clauses (i) and (iii), for such conflicts, breaches, violations, liens, charges, encumbrances or defaults that would not, individually or in the aggregate, reasonably be expected to have a Material Adverse Effect.</w:t>
      </w:r>
    </w:p>
    <w:p>
      <w:pPr>
        <w:spacing w:after="0" w:line="170" w:lineRule="exact"/>
        <w:rPr>
          <w:sz w:val="20"/>
          <w:szCs w:val="20"/>
          <w:color w:val="auto"/>
        </w:rPr>
      </w:pPr>
    </w:p>
    <w:p>
      <w:pPr>
        <w:ind w:left="300" w:right="319" w:firstLine="1944"/>
        <w:spacing w:after="0" w:line="245" w:lineRule="auto"/>
        <w:rPr>
          <w:sz w:val="20"/>
          <w:szCs w:val="20"/>
          <w:color w:val="auto"/>
        </w:rPr>
      </w:pPr>
      <w:r>
        <w:rPr>
          <w:rFonts w:ascii="Times New Roman" w:cs="Times New Roman" w:eastAsia="Times New Roman" w:hAnsi="Times New Roman"/>
          <w:sz w:val="21"/>
          <w:szCs w:val="21"/>
          <w:color w:val="auto"/>
        </w:rPr>
        <w:t>(xiv)</w:t>
      </w:r>
      <w:r>
        <w:rPr>
          <w:rFonts w:ascii="Times New Roman" w:cs="Times New Roman" w:eastAsia="Times New Roman" w:hAnsi="Times New Roman"/>
          <w:sz w:val="21"/>
          <w:szCs w:val="21"/>
          <w:i w:val="1"/>
          <w:iCs w:val="1"/>
          <w:color w:val="auto"/>
        </w:rPr>
        <w:t>No Consent or Approval Required</w:t>
      </w:r>
      <w:r>
        <w:rPr>
          <w:rFonts w:ascii="Times New Roman" w:cs="Times New Roman" w:eastAsia="Times New Roman" w:hAnsi="Times New Roman"/>
          <w:sz w:val="21"/>
          <w:szCs w:val="21"/>
          <w:color w:val="auto"/>
        </w:rPr>
        <w:t xml:space="preserve">. No consent, approval, authorization or order of, or filing, registration or qualification with, any court or governmental agency or body having jurisdiction over the Company or its subsidiary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Registration Statement and the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Times New Roman" w:cs="Times New Roman" w:eastAsia="Times New Roman" w:hAnsi="Times New Roman"/>
          <w:sz w:val="21"/>
          <w:szCs w:val="21"/>
          <w:b w:val="1"/>
          <w:bCs w:val="1"/>
          <w:i w:val="1"/>
          <w:iCs w:val="1"/>
          <w:color w:val="auto"/>
        </w:rPr>
        <w:t>“FINRA”</w:t>
      </w:r>
      <w:r>
        <w:rPr>
          <w:rFonts w:ascii="Times New Roman" w:cs="Times New Roman" w:eastAsia="Times New Roman" w:hAnsi="Times New Roman"/>
          <w:sz w:val="21"/>
          <w:szCs w:val="21"/>
          <w:color w:val="auto"/>
        </w:rPr>
        <w:t xml:space="preserve">) in connection with the sale of the Shares by the Agent; and (iii) the inclusion of the Shares on the Nasdaq Global Market (the </w:t>
      </w:r>
      <w:r>
        <w:rPr>
          <w:rFonts w:ascii="Times New Roman" w:cs="Times New Roman" w:eastAsia="Times New Roman" w:hAnsi="Times New Roman"/>
          <w:sz w:val="21"/>
          <w:szCs w:val="21"/>
          <w:b w:val="1"/>
          <w:bCs w:val="1"/>
          <w:i w:val="1"/>
          <w:iCs w:val="1"/>
          <w:color w:val="auto"/>
        </w:rPr>
        <w:t>“Exchange”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8" w:name="page39"/>
    <w:bookmarkEnd w:id="38"/>
    <w:p>
      <w:pPr>
        <w:ind w:left="300" w:right="299" w:firstLine="1944"/>
        <w:spacing w:after="0" w:line="243" w:lineRule="auto"/>
        <w:rPr>
          <w:sz w:val="20"/>
          <w:szCs w:val="20"/>
          <w:color w:val="auto"/>
        </w:rPr>
      </w:pPr>
      <w:r>
        <w:rPr>
          <w:rFonts w:ascii="Times New Roman" w:cs="Times New Roman" w:eastAsia="Times New Roman" w:hAnsi="Times New Roman"/>
          <w:sz w:val="21"/>
          <w:szCs w:val="21"/>
          <w:color w:val="auto"/>
        </w:rPr>
        <w:t>(xv)</w:t>
      </w:r>
      <w:r>
        <w:rPr>
          <w:rFonts w:ascii="Times New Roman" w:cs="Times New Roman" w:eastAsia="Times New Roman" w:hAnsi="Times New Roman"/>
          <w:sz w:val="21"/>
          <w:szCs w:val="21"/>
          <w:i w:val="1"/>
          <w:iCs w:val="1"/>
          <w:color w:val="auto"/>
        </w:rPr>
        <w:t>Internal Controls</w:t>
      </w:r>
      <w:r>
        <w:rPr>
          <w:rFonts w:ascii="Times New Roman" w:cs="Times New Roman" w:eastAsia="Times New Roman" w:hAnsi="Times New Roman"/>
          <w:sz w:val="21"/>
          <w:szCs w:val="21"/>
          <w:color w:val="auto"/>
        </w:rPr>
        <w:t>. The Company and its subsidiary maintain a system of “internal controls over financial reporting” (as defined in Rule 13a-15(f) of the Exchange Act) designed to 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generally accepted accounting principles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 the information called for in all material respects and are prepared in accordance with the Commission’s rules and guidelines applicable thereto. Except as disclosed in the Registration Statement or the Prospectus, as of the date of the most recent balance sheet of the Company and its consolidated subsidiary audited by PricewaterhouseCoopers LLP, there were no “material weaknesses” (as defined by the Public Company Accounting Oversight Board) in the Company’s internal controls over financial reporting, or any fraud, whether or not material, that involves management or other employees of the Company and its subsidiary who have a significant role in the Company’s internal controls; and since the end of the latest audited fiscal year,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Exchange rules (“</w:t>
      </w:r>
      <w:r>
        <w:rPr>
          <w:rFonts w:ascii="Times New Roman" w:cs="Times New Roman" w:eastAsia="Times New Roman" w:hAnsi="Times New Roman"/>
          <w:sz w:val="21"/>
          <w:szCs w:val="21"/>
          <w:b w:val="1"/>
          <w:bCs w:val="1"/>
          <w:i w:val="1"/>
          <w:iCs w:val="1"/>
          <w:color w:val="auto"/>
        </w:rPr>
        <w:t>Exchange Rules</w:t>
      </w:r>
      <w:r>
        <w:rPr>
          <w:rFonts w:ascii="Times New Roman" w:cs="Times New Roman" w:eastAsia="Times New Roman" w:hAnsi="Times New Roman"/>
          <w:sz w:val="21"/>
          <w:szCs w:val="21"/>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200" w:lineRule="exact"/>
        <w:rPr>
          <w:sz w:val="20"/>
          <w:szCs w:val="20"/>
          <w:color w:val="auto"/>
        </w:rPr>
      </w:pPr>
    </w:p>
    <w:p>
      <w:pPr>
        <w:spacing w:after="0" w:line="215" w:lineRule="exact"/>
        <w:rPr>
          <w:sz w:val="20"/>
          <w:szCs w:val="20"/>
          <w:color w:val="auto"/>
        </w:rPr>
      </w:pPr>
    </w:p>
    <w:p>
      <w:pPr>
        <w:ind w:left="300" w:right="439" w:firstLine="1944"/>
        <w:spacing w:after="0" w:line="234" w:lineRule="auto"/>
        <w:rPr>
          <w:sz w:val="20"/>
          <w:szCs w:val="20"/>
          <w:color w:val="auto"/>
        </w:rPr>
      </w:pPr>
      <w:r>
        <w:rPr>
          <w:rFonts w:ascii="Times New Roman" w:cs="Times New Roman" w:eastAsia="Times New Roman" w:hAnsi="Times New Roman"/>
          <w:sz w:val="22"/>
          <w:szCs w:val="22"/>
          <w:color w:val="auto"/>
        </w:rPr>
        <w:t>(xvi)</w:t>
      </w:r>
      <w:r>
        <w:rPr>
          <w:rFonts w:ascii="Times New Roman" w:cs="Times New Roman" w:eastAsia="Times New Roman" w:hAnsi="Times New Roman"/>
          <w:sz w:val="22"/>
          <w:szCs w:val="22"/>
          <w:i w:val="1"/>
          <w:iCs w:val="1"/>
          <w:color w:val="auto"/>
        </w:rPr>
        <w:t>Disclosure Controls</w:t>
      </w:r>
      <w:r>
        <w:rPr>
          <w:rFonts w:ascii="Times New Roman" w:cs="Times New Roman" w:eastAsia="Times New Roman" w:hAnsi="Times New Roman"/>
          <w:sz w:val="22"/>
          <w:szCs w:val="22"/>
          <w:color w:val="auto"/>
        </w:rPr>
        <w:t>. Except as disclosed in the Registration Statement or the Prospectus, the Company and its subsidiary maintain “disclosure controls and procedures” (as defined in Rule 13a-15(e) of the Exchange Act) that comply with the requirements of the Exchange Act and that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subsidiary have carried out evaluations of the effectiveness of their disclosure controls and procedures as required by Rule 13a-15 of the Exchange Act.</w:t>
      </w:r>
    </w:p>
    <w:p>
      <w:pPr>
        <w:spacing w:after="0" w:line="176" w:lineRule="exact"/>
        <w:rPr>
          <w:sz w:val="20"/>
          <w:szCs w:val="20"/>
          <w:color w:val="auto"/>
        </w:rPr>
      </w:pPr>
    </w:p>
    <w:p>
      <w:pPr>
        <w:ind w:left="300" w:right="459" w:firstLine="1944"/>
        <w:spacing w:after="0" w:line="256" w:lineRule="auto"/>
        <w:rPr>
          <w:sz w:val="20"/>
          <w:szCs w:val="20"/>
          <w:color w:val="auto"/>
        </w:rPr>
      </w:pPr>
      <w:r>
        <w:rPr>
          <w:rFonts w:ascii="Times New Roman" w:cs="Times New Roman" w:eastAsia="Times New Roman" w:hAnsi="Times New Roman"/>
          <w:sz w:val="21"/>
          <w:szCs w:val="21"/>
          <w:color w:val="auto"/>
        </w:rPr>
        <w:t>(xvii)</w:t>
      </w:r>
      <w:r>
        <w:rPr>
          <w:rFonts w:ascii="Times New Roman" w:cs="Times New Roman" w:eastAsia="Times New Roman" w:hAnsi="Times New Roman"/>
          <w:sz w:val="21"/>
          <w:szCs w:val="21"/>
          <w:i w:val="1"/>
          <w:iCs w:val="1"/>
          <w:color w:val="auto"/>
        </w:rPr>
        <w:t>Critical Accounting Policies</w:t>
      </w:r>
      <w:r>
        <w:rPr>
          <w:rFonts w:ascii="Times New Roman" w:cs="Times New Roman" w:eastAsia="Times New Roman" w:hAnsi="Times New Roman"/>
          <w:sz w:val="21"/>
          <w:szCs w:val="21"/>
          <w:color w:val="auto"/>
        </w:rPr>
        <w:t>. The section entitled “Critical Accounting Policies and Significant Judgments and Estimates” incorporated by reference in the Registration Statement and the Prospectus accurately describes in all material respects (i) the accounting policies that the Company believes are the most important in the portrayal of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9" w:name="page40"/>
    <w:bookmarkEnd w:id="39"/>
    <w:p>
      <w:pPr>
        <w:ind w:left="300" w:right="319"/>
        <w:spacing w:after="0" w:line="238" w:lineRule="auto"/>
        <w:rPr>
          <w:sz w:val="20"/>
          <w:szCs w:val="20"/>
          <w:color w:val="auto"/>
        </w:rPr>
      </w:pPr>
      <w:r>
        <w:rPr>
          <w:rFonts w:ascii="Times New Roman" w:cs="Times New Roman" w:eastAsia="Times New Roman" w:hAnsi="Times New Roman"/>
          <w:sz w:val="22"/>
          <w:szCs w:val="22"/>
          <w:color w:val="auto"/>
        </w:rPr>
        <w:t>Company’s financial condition and results of operations and that require management’s most difficult, subjective or complex judgments (“</w:t>
      </w:r>
      <w:r>
        <w:rPr>
          <w:rFonts w:ascii="Times New Roman" w:cs="Times New Roman" w:eastAsia="Times New Roman" w:hAnsi="Times New Roman"/>
          <w:sz w:val="22"/>
          <w:szCs w:val="22"/>
          <w:b w:val="1"/>
          <w:bCs w:val="1"/>
          <w:i w:val="1"/>
          <w:iCs w:val="1"/>
          <w:color w:val="auto"/>
        </w:rPr>
        <w:t>Critical Accounting Policies</w:t>
      </w:r>
      <w:r>
        <w:rPr>
          <w:rFonts w:ascii="Times New Roman" w:cs="Times New Roman" w:eastAsia="Times New Roman" w:hAnsi="Times New Roman"/>
          <w:sz w:val="22"/>
          <w:szCs w:val="22"/>
          <w:color w:val="auto"/>
        </w:rPr>
        <w:t>”); (ii) the judgments and uncertainties affecting the application of Critical Accounting Policies; and (iii) the likelihood that materially different amounts would be reported under different conditions or using different assumptions, and an explanation thereof.</w:t>
      </w:r>
    </w:p>
    <w:p>
      <w:pPr>
        <w:spacing w:after="0" w:line="173" w:lineRule="exact"/>
        <w:rPr>
          <w:sz w:val="20"/>
          <w:szCs w:val="20"/>
          <w:color w:val="auto"/>
        </w:rPr>
      </w:pPr>
    </w:p>
    <w:p>
      <w:pPr>
        <w:ind w:left="300" w:right="319" w:firstLine="1944"/>
        <w:spacing w:after="0" w:line="252" w:lineRule="auto"/>
        <w:rPr>
          <w:sz w:val="20"/>
          <w:szCs w:val="20"/>
          <w:color w:val="auto"/>
        </w:rPr>
      </w:pPr>
      <w:r>
        <w:rPr>
          <w:rFonts w:ascii="Times New Roman" w:cs="Times New Roman" w:eastAsia="Times New Roman" w:hAnsi="Times New Roman"/>
          <w:sz w:val="21"/>
          <w:szCs w:val="21"/>
          <w:color w:val="auto"/>
        </w:rPr>
        <w:t>(xviii)</w:t>
      </w:r>
      <w:r>
        <w:rPr>
          <w:rFonts w:ascii="Times New Roman" w:cs="Times New Roman" w:eastAsia="Times New Roman" w:hAnsi="Times New Roman"/>
          <w:sz w:val="21"/>
          <w:szCs w:val="21"/>
          <w:i w:val="1"/>
          <w:iCs w:val="1"/>
          <w:color w:val="auto"/>
        </w:rPr>
        <w:t>Sarbanes-Oxley Compliance</w:t>
      </w:r>
      <w:r>
        <w:rPr>
          <w:rFonts w:ascii="Times New Roman" w:cs="Times New Roman" w:eastAsia="Times New Roman" w:hAnsi="Times New Roman"/>
          <w:sz w:val="21"/>
          <w:szCs w:val="21"/>
          <w:color w:val="auto"/>
        </w:rPr>
        <w:t>. There is and has been no failure on the part of the Company or, to the knowledge of the Company, any of the Company’s directors or officers, in their capacities as such, to comply with any provision of the Sarbanes-Oxley Act of 2002 and the rules and regulations promulgated in connection therewith that are applicable to the Company or its directors or officers in their capacities as directors or officers of the Company.</w:t>
      </w:r>
    </w:p>
    <w:p>
      <w:pPr>
        <w:spacing w:after="0" w:line="163" w:lineRule="exact"/>
        <w:rPr>
          <w:sz w:val="20"/>
          <w:szCs w:val="20"/>
          <w:color w:val="auto"/>
        </w:rPr>
      </w:pPr>
    </w:p>
    <w:p>
      <w:pPr>
        <w:ind w:left="300" w:right="319" w:firstLine="1944"/>
        <w:spacing w:after="0" w:line="244" w:lineRule="auto"/>
        <w:rPr>
          <w:sz w:val="20"/>
          <w:szCs w:val="20"/>
          <w:color w:val="auto"/>
        </w:rPr>
      </w:pPr>
      <w:r>
        <w:rPr>
          <w:rFonts w:ascii="Times New Roman" w:cs="Times New Roman" w:eastAsia="Times New Roman" w:hAnsi="Times New Roman"/>
          <w:sz w:val="21"/>
          <w:szCs w:val="21"/>
          <w:color w:val="auto"/>
        </w:rPr>
        <w:t>(xix)</w:t>
      </w:r>
      <w:r>
        <w:rPr>
          <w:rFonts w:ascii="Times New Roman" w:cs="Times New Roman" w:eastAsia="Times New Roman" w:hAnsi="Times New Roman"/>
          <w:sz w:val="21"/>
          <w:szCs w:val="21"/>
          <w:i w:val="1"/>
          <w:iCs w:val="1"/>
          <w:color w:val="auto"/>
        </w:rPr>
        <w:t>Exceptions</w:t>
      </w:r>
      <w:r>
        <w:rPr>
          <w:rFonts w:ascii="Times New Roman" w:cs="Times New Roman" w:eastAsia="Times New Roman" w:hAnsi="Times New Roman"/>
          <w:sz w:val="21"/>
          <w:szCs w:val="21"/>
          <w:color w:val="auto"/>
        </w:rPr>
        <w:t xml:space="preserve">. Except as would not, in the aggregate, reasonably be expected to have a Material Adverse Effect, since the date of the latest audited financial statements included in the Registration Statement and the Prospectus, and, except as disclosed in the Registration Statement and the Prospectus, neither the Company nor its subsidiary has (i) sustained any loss or interference with its business from fire, explosion, flood or other calamity, whether or not covered by insurance, or from any labor dispute or court or governmental action, order or decree, (ii) issued or granted any securities (other than pursuant to employee benefit plans, qualified stock option plans or other equity compensation plans or arrangements existing on the date hereof and disclosed in the Registration Statement and the Prospectus (the </w:t>
      </w:r>
      <w:r>
        <w:rPr>
          <w:rFonts w:ascii="Times New Roman" w:cs="Times New Roman" w:eastAsia="Times New Roman" w:hAnsi="Times New Roman"/>
          <w:sz w:val="21"/>
          <w:szCs w:val="21"/>
          <w:b w:val="1"/>
          <w:bCs w:val="1"/>
          <w:i w:val="1"/>
          <w:iCs w:val="1"/>
          <w:color w:val="auto"/>
        </w:rPr>
        <w:t>“Specified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Equity Plans”</w:t>
      </w:r>
      <w:r>
        <w:rPr>
          <w:rFonts w:ascii="Times New Roman" w:cs="Times New Roman" w:eastAsia="Times New Roman" w:hAnsi="Times New Roman"/>
          <w:sz w:val="21"/>
          <w:szCs w:val="21"/>
          <w:color w:val="auto"/>
        </w:rPr>
        <w:t>)), (iii) incurred any material liability or obligation, direct or contingent, other than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liabilities and obligations that were incurred in the ordinary course of business, (iv) entered into any material transaction not in the ordinary course of business, or (v) declared or paid any dividend on its share capital; and since such date, except as disclosed in the Registration Statement and the Prospectus, there has not been any change in the share capital, long-term debt, net current assets or short-term debt of the Company or its subsidiary or any adverse change, or any development involving a prospective adverse change, in or affecting the condition (financial or otherwise), results of operations, shareholders’ equity, properties, management, business or prospects of the Company and its subsidiary taken as a whole.</w:t>
      </w:r>
    </w:p>
    <w:p>
      <w:pPr>
        <w:spacing w:after="0" w:line="171" w:lineRule="exact"/>
        <w:rPr>
          <w:sz w:val="20"/>
          <w:szCs w:val="20"/>
          <w:color w:val="auto"/>
        </w:rPr>
      </w:pPr>
    </w:p>
    <w:p>
      <w:pPr>
        <w:ind w:left="300" w:right="359" w:firstLine="1944"/>
        <w:spacing w:after="0" w:line="234" w:lineRule="auto"/>
        <w:rPr>
          <w:sz w:val="20"/>
          <w:szCs w:val="20"/>
          <w:color w:val="auto"/>
        </w:rPr>
      </w:pPr>
      <w:r>
        <w:rPr>
          <w:rFonts w:ascii="Times New Roman" w:cs="Times New Roman" w:eastAsia="Times New Roman" w:hAnsi="Times New Roman"/>
          <w:sz w:val="22"/>
          <w:szCs w:val="22"/>
          <w:color w:val="auto"/>
        </w:rPr>
        <w:t>(xx)</w:t>
      </w:r>
      <w:r>
        <w:rPr>
          <w:rFonts w:ascii="Times New Roman" w:cs="Times New Roman" w:eastAsia="Times New Roman" w:hAnsi="Times New Roman"/>
          <w:sz w:val="22"/>
          <w:szCs w:val="22"/>
          <w:i w:val="1"/>
          <w:iCs w:val="1"/>
          <w:color w:val="auto"/>
        </w:rPr>
        <w:t>Valid Title</w:t>
      </w:r>
      <w:r>
        <w:rPr>
          <w:rFonts w:ascii="Times New Roman" w:cs="Times New Roman" w:eastAsia="Times New Roman" w:hAnsi="Times New Roman"/>
          <w:sz w:val="22"/>
          <w:szCs w:val="22"/>
          <w:color w:val="auto"/>
        </w:rPr>
        <w:t>. The Company and its subsidiary have good and marketable title in fee simple to all real property and good and marketable title to all personal property owned by them, that are material to the business of the Company, in each case free and clear of all liens, encumbrances and defects, except such liens, encumbrances and defects as do not materially affect the value of such property and do not materially interfere with the use made and proposed to be made of such property by the Company and its subsidiary. All assets held under lease by the Company and its subsidiary, that are material to the business of the Company, are held by them under valid, subsisting and enforceable leases, with such exceptions as do not materially interfere with the use made and proposed to be made of such assets by the Company and its subsidiary.</w:t>
      </w:r>
    </w:p>
    <w:p>
      <w:pPr>
        <w:spacing w:after="0" w:line="179" w:lineRule="exact"/>
        <w:rPr>
          <w:sz w:val="20"/>
          <w:szCs w:val="20"/>
          <w:color w:val="auto"/>
        </w:rPr>
      </w:pPr>
    </w:p>
    <w:p>
      <w:pPr>
        <w:ind w:left="300" w:right="299" w:firstLine="1944"/>
        <w:spacing w:after="0" w:line="241" w:lineRule="auto"/>
        <w:rPr>
          <w:sz w:val="20"/>
          <w:szCs w:val="20"/>
          <w:color w:val="auto"/>
        </w:rPr>
      </w:pPr>
      <w:r>
        <w:rPr>
          <w:rFonts w:ascii="Times New Roman" w:cs="Times New Roman" w:eastAsia="Times New Roman" w:hAnsi="Times New Roman"/>
          <w:sz w:val="22"/>
          <w:szCs w:val="22"/>
          <w:color w:val="auto"/>
        </w:rPr>
        <w:t>(xxi)</w:t>
      </w: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The Company and its subsidiary owns, possesses, or can acquire on reasonable terms, all Intellectual Property necessary for the conduct of the Company’s and its subsidiary’s business as now conducted or as proposed to be conducted, as described in the Registration Statement and the Prospectus. Furthermore, (A) to</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0" w:name="page41"/>
    <w:bookmarkEnd w:id="40"/>
    <w:p>
      <w:pPr>
        <w:ind w:left="300" w:right="299"/>
        <w:spacing w:after="0" w:line="242" w:lineRule="auto"/>
        <w:rPr>
          <w:sz w:val="20"/>
          <w:szCs w:val="20"/>
          <w:color w:val="auto"/>
        </w:rPr>
      </w:pPr>
      <w:r>
        <w:rPr>
          <w:rFonts w:ascii="Times New Roman" w:cs="Times New Roman" w:eastAsia="Times New Roman" w:hAnsi="Times New Roman"/>
          <w:sz w:val="21"/>
          <w:szCs w:val="21"/>
          <w:color w:val="auto"/>
        </w:rPr>
        <w:t>the knowledge of the Company, there is no infringement, misappropriation or violation by third parties of any such Intellectual Property; (B) there is no pending or, to the knowledge of the Company, threatened, action, suit, proceeding or claim by others challenging the Company’s or its subsidiary’s rights in or to any such Intellectual Property, and the Company is unaware of any facts which would form a reasonable basis for any such claim; (C) the Intellectual Property owned by the Company and its subsidiary, and to the knowledge of the Company, the Intellectual Property licensed to the Company and its subsidiary, in each case that is necessary for the conduct of the Company’s and its subsidiary’s business as now conducted or as proposed to be conducted, has not been adjudged invalid or unenforceable, in whole or in part, and there is no pending or, to the knowledge of the Company, threatened action, suit, proceeding or claim by others challenging the validity or scope of any such Intellectual Property and the Company is unaware of any facts which would form a reasonable basis for any such claim; (D) there is no pending or, to the knowledge of the Company, threatened action, suit, proceeding or claim by others that the Company or its subsidiary infringes, misappropriates or otherwise violates any Intellectual Property or other proprietary rights of others, and neither the Company nor its subsidiary has received any written notice of such claim and the Company is unaware of any other fact which would form a reasonable basis for any such claim; (E) to the Company’s knowledge, no employee of the Company or its subsidiary is in or has ever been in material violation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nor its subsidiary or actions undertaken by the employee while employed with the Company or its subsidiary; (F) with respect to the Intellectual Property that is necessary for the conduct of the Company’s and its subsidiary’s business as now conducted or as proposed to be conducted, there is no prior art or public or commercial activity of which the Company is aware that may render any patent included with respect to such Intellectual Property invalid or that would preclude the issuance of any patent on any patent application included in such Intellectual Property, which has not been disclosed to the U.S. Patent and Trademark Office or the relevant foreign patent authority, as the case may be; (G) to the Company’s knowledge, the issued patents included in the Intellectual Property that is necessary for the conduct of the Company’s and its subsidiary’s business as now conducted or as proposed to be conducted are valid and enforceable and the Company is unaware of any facts that would preclude the issuance of a valid and enforceable patent on any pending patent application included in such Intellectual Property; (H) with respect to the Intellectual Property that is necessary for the conduct of the Company’s and its subsidiary’s business as now conducted or proposed to be conducted and that is owned or purported to be owned by the Company, the Company has taken reasonable steps necessary to secure the interests of the Company in such Intellectual Property from all employees, consultants, agents or contractors that developed (in whole or in part) such Intellectual Property; (I) no government funding, facilities or resources of a university, college, other educational institution or research center was used in the development of any Intellectual Property necessary for the conduct of the Company’s and its subsidiary’s business as now conducted or proposed to be conducted and that is owned or purported to be owned by the Company that would confer upon any governmental agency or body, university, college, other educational institution or research center any claim or right in or to any such Intellectual Property; and (J) to the Company’s knowledge, none of the technology employed by the Company has been obtained or is being used by the Company in violation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1" w:name="page42"/>
    <w:bookmarkEnd w:id="41"/>
    <w:p>
      <w:pPr>
        <w:ind w:left="300" w:right="319"/>
        <w:spacing w:after="0" w:line="241" w:lineRule="auto"/>
        <w:rPr>
          <w:sz w:val="20"/>
          <w:szCs w:val="20"/>
          <w:color w:val="auto"/>
        </w:rPr>
      </w:pPr>
      <w:r>
        <w:rPr>
          <w:rFonts w:ascii="Times New Roman" w:cs="Times New Roman" w:eastAsia="Times New Roman" w:hAnsi="Times New Roman"/>
          <w:sz w:val="22"/>
          <w:szCs w:val="22"/>
          <w:color w:val="auto"/>
        </w:rPr>
        <w:t>the rights of any entity. “</w:t>
      </w:r>
      <w:r>
        <w:rPr>
          <w:rFonts w:ascii="Times New Roman" w:cs="Times New Roman" w:eastAsia="Times New Roman" w:hAnsi="Times New Roman"/>
          <w:sz w:val="22"/>
          <w:szCs w:val="22"/>
          <w:b w:val="1"/>
          <w:bCs w:val="1"/>
          <w:i w:val="1"/>
          <w:iCs w:val="1"/>
          <w:color w:val="auto"/>
        </w:rPr>
        <w:t>Intellectual Property</w:t>
      </w:r>
      <w:r>
        <w:rPr>
          <w:rFonts w:ascii="Times New Roman" w:cs="Times New Roman" w:eastAsia="Times New Roman" w:hAnsi="Times New Roman"/>
          <w:sz w:val="22"/>
          <w:szCs w:val="22"/>
          <w:color w:val="auto"/>
        </w:rPr>
        <w:t>” shall mean all patents, patent applications, trade and service marks, trade and service mark registrations, trade names, copyrights, licenses, inventions, trade secrets, domain names, technology, know-how and other intellectual property in the United States and foreign jurisdictions.</w:t>
      </w:r>
    </w:p>
    <w:p>
      <w:pPr>
        <w:spacing w:after="0" w:line="174" w:lineRule="exact"/>
        <w:rPr>
          <w:sz w:val="20"/>
          <w:szCs w:val="20"/>
          <w:color w:val="auto"/>
        </w:rPr>
      </w:pPr>
    </w:p>
    <w:p>
      <w:pPr>
        <w:ind w:left="300" w:right="319" w:firstLine="1944"/>
        <w:spacing w:after="0" w:line="245" w:lineRule="auto"/>
        <w:rPr>
          <w:sz w:val="20"/>
          <w:szCs w:val="20"/>
          <w:color w:val="auto"/>
        </w:rPr>
      </w:pPr>
      <w:r>
        <w:rPr>
          <w:rFonts w:ascii="Times New Roman" w:cs="Times New Roman" w:eastAsia="Times New Roman" w:hAnsi="Times New Roman"/>
          <w:sz w:val="21"/>
          <w:szCs w:val="21"/>
          <w:color w:val="auto"/>
        </w:rPr>
        <w:t>(xxii)</w:t>
      </w:r>
      <w:r>
        <w:rPr>
          <w:rFonts w:ascii="Times New Roman" w:cs="Times New Roman" w:eastAsia="Times New Roman" w:hAnsi="Times New Roman"/>
          <w:sz w:val="21"/>
          <w:szCs w:val="21"/>
          <w:i w:val="1"/>
          <w:iCs w:val="1"/>
          <w:color w:val="auto"/>
        </w:rPr>
        <w:t>Health Care Authorizations</w:t>
      </w:r>
      <w:r>
        <w:rPr>
          <w:rFonts w:ascii="Times New Roman" w:cs="Times New Roman" w:eastAsia="Times New Roman" w:hAnsi="Times New Roman"/>
          <w:sz w:val="21"/>
          <w:szCs w:val="21"/>
          <w:color w:val="auto"/>
        </w:rPr>
        <w:t>. The Company has submitted and possesses, or qualifies for applicable exemptions to, such valid and current registrations, listings, approvals, clearances, licenses, certificates, authorizations or permits and supplements or amendments thereto issued or required by the appropriate state, federal or foreign regulatory agencies or bodies necessary to conduct their business (“</w:t>
      </w:r>
      <w:r>
        <w:rPr>
          <w:rFonts w:ascii="Times New Roman" w:cs="Times New Roman" w:eastAsia="Times New Roman" w:hAnsi="Times New Roman"/>
          <w:sz w:val="21"/>
          <w:szCs w:val="21"/>
          <w:b w:val="1"/>
          <w:bCs w:val="1"/>
          <w:i w:val="1"/>
          <w:iCs w:val="1"/>
          <w:color w:val="auto"/>
        </w:rPr>
        <w:t>Permits</w:t>
      </w:r>
      <w:r>
        <w:rPr>
          <w:rFonts w:ascii="Times New Roman" w:cs="Times New Roman" w:eastAsia="Times New Roman" w:hAnsi="Times New Roman"/>
          <w:sz w:val="21"/>
          <w:szCs w:val="21"/>
          <w:color w:val="auto"/>
        </w:rPr>
        <w:t>”), including, without limitation, all such Permits required by the U.S. Food and Drug Administration (the “</w:t>
      </w:r>
      <w:r>
        <w:rPr>
          <w:rFonts w:ascii="Times New Roman" w:cs="Times New Roman" w:eastAsia="Times New Roman" w:hAnsi="Times New Roman"/>
          <w:sz w:val="21"/>
          <w:szCs w:val="21"/>
          <w:b w:val="1"/>
          <w:bCs w:val="1"/>
          <w:i w:val="1"/>
          <w:iCs w:val="1"/>
          <w:color w:val="auto"/>
        </w:rPr>
        <w:t>FDA</w:t>
      </w:r>
      <w:r>
        <w:rPr>
          <w:rFonts w:ascii="Times New Roman" w:cs="Times New Roman" w:eastAsia="Times New Roman" w:hAnsi="Times New Roman"/>
          <w:sz w:val="21"/>
          <w:szCs w:val="21"/>
          <w:color w:val="auto"/>
        </w:rPr>
        <w:t>”), the U.S. Department of Health and Human Services (“</w:t>
      </w:r>
      <w:r>
        <w:rPr>
          <w:rFonts w:ascii="Times New Roman" w:cs="Times New Roman" w:eastAsia="Times New Roman" w:hAnsi="Times New Roman"/>
          <w:sz w:val="21"/>
          <w:szCs w:val="21"/>
          <w:b w:val="1"/>
          <w:bCs w:val="1"/>
          <w:i w:val="1"/>
          <w:iCs w:val="1"/>
          <w:color w:val="auto"/>
        </w:rPr>
        <w:t>HHS</w:t>
      </w:r>
      <w:r>
        <w:rPr>
          <w:rFonts w:ascii="Times New Roman" w:cs="Times New Roman" w:eastAsia="Times New Roman" w:hAnsi="Times New Roman"/>
          <w:sz w:val="21"/>
          <w:szCs w:val="21"/>
          <w:color w:val="auto"/>
        </w:rPr>
        <w:t>”), the U.S. Centers for Medicare &amp; Medicaid Services (“</w:t>
      </w:r>
      <w:r>
        <w:rPr>
          <w:rFonts w:ascii="Times New Roman" w:cs="Times New Roman" w:eastAsia="Times New Roman" w:hAnsi="Times New Roman"/>
          <w:sz w:val="21"/>
          <w:szCs w:val="21"/>
          <w:b w:val="1"/>
          <w:bCs w:val="1"/>
          <w:i w:val="1"/>
          <w:iCs w:val="1"/>
          <w:color w:val="auto"/>
        </w:rPr>
        <w:t>CMS</w:t>
      </w:r>
      <w:r>
        <w:rPr>
          <w:rFonts w:ascii="Times New Roman" w:cs="Times New Roman" w:eastAsia="Times New Roman" w:hAnsi="Times New Roman"/>
          <w:sz w:val="21"/>
          <w:szCs w:val="21"/>
          <w:color w:val="auto"/>
        </w:rPr>
        <w:t>”), the European Medicines Agency (“</w:t>
      </w:r>
      <w:r>
        <w:rPr>
          <w:rFonts w:ascii="Times New Roman" w:cs="Times New Roman" w:eastAsia="Times New Roman" w:hAnsi="Times New Roman"/>
          <w:sz w:val="21"/>
          <w:szCs w:val="21"/>
          <w:b w:val="1"/>
          <w:bCs w:val="1"/>
          <w:i w:val="1"/>
          <w:iCs w:val="1"/>
          <w:color w:val="auto"/>
        </w:rPr>
        <w:t>EMA</w:t>
      </w:r>
      <w:r>
        <w:rPr>
          <w:rFonts w:ascii="Times New Roman" w:cs="Times New Roman" w:eastAsia="Times New Roman" w:hAnsi="Times New Roman"/>
          <w:sz w:val="21"/>
          <w:szCs w:val="21"/>
          <w:color w:val="auto"/>
        </w:rPr>
        <w:t>”), Health Canada or any other comparable state, federal or foreign agencies or bodies to which it is subject, and the Company has not received any notice of proceedings relating to the revocation or modification of, or non-compliance with, any such Permit, except for such Permits, the lack of which would not, individually or in the aggregate, reasonably be expected to result in a Material Adverse Effect.</w:t>
      </w:r>
    </w:p>
    <w:p>
      <w:pPr>
        <w:spacing w:after="0" w:line="174" w:lineRule="exact"/>
        <w:rPr>
          <w:sz w:val="20"/>
          <w:szCs w:val="20"/>
          <w:color w:val="auto"/>
        </w:rPr>
      </w:pPr>
    </w:p>
    <w:p>
      <w:pPr>
        <w:ind w:left="300" w:right="339" w:firstLine="1944"/>
        <w:spacing w:after="0" w:line="243" w:lineRule="auto"/>
        <w:rPr>
          <w:sz w:val="20"/>
          <w:szCs w:val="20"/>
          <w:color w:val="auto"/>
        </w:rPr>
      </w:pPr>
      <w:r>
        <w:rPr>
          <w:rFonts w:ascii="Times New Roman" w:cs="Times New Roman" w:eastAsia="Times New Roman" w:hAnsi="Times New Roman"/>
          <w:sz w:val="21"/>
          <w:szCs w:val="21"/>
          <w:color w:val="auto"/>
        </w:rPr>
        <w:t>(xxiii)</w:t>
      </w:r>
      <w:r>
        <w:rPr>
          <w:rFonts w:ascii="Times New Roman" w:cs="Times New Roman" w:eastAsia="Times New Roman" w:hAnsi="Times New Roman"/>
          <w:sz w:val="21"/>
          <w:szCs w:val="21"/>
          <w:i w:val="1"/>
          <w:iCs w:val="1"/>
          <w:color w:val="auto"/>
        </w:rPr>
        <w:t>Compliance with Health Care Laws</w:t>
      </w:r>
      <w:r>
        <w:rPr>
          <w:rFonts w:ascii="Times New Roman" w:cs="Times New Roman" w:eastAsia="Times New Roman" w:hAnsi="Times New Roman"/>
          <w:sz w:val="21"/>
          <w:szCs w:val="21"/>
          <w:color w:val="auto"/>
        </w:rPr>
        <w:t>. The Company and, to the Company’s knowledge, its directors, employees and agents (while acting in such capacity) are and at all times have been in material compliance with, all health care laws applicable to the Company, or any of its products or activities, including, but not limited to, the federal Anti-Kickback Statute (42 U.S.C. Section 1320a-7b(b)), the Anti-Inducement Law (42 U.S.C. Section 1320a-7a(a)(5)), the civil False Claims Act (31 U.S.C. Section 3729 et seq.), the administrative False Claims Law (42 U.S.C. Section 1320a-7b(a)), the Stark law (42 U.S.C. Section 1395nn), the Health Insurance Portability and Accountability Act of 1996 (42 U.S.C. Section 1320d et seq.) as amended by the Health Information Technology for Economic and Clinical Health Act (42 U.S.C. Section 17921 et seq.), the exclusion laws (42 U.S.C. Section 1320a-7), the Federal Food, Drug, and Cosmetic Act (21 U.S.C. Section 301 et seq.), the Controlled Substances Act (21 U.S.C. Section 801 et seq.), the Public Health Service Act (42 U.S.C. Section 201 et seq.), the Clinical Laboratory Improvement Amendments of 1988 (42 U.S.C. Section 263a), Medicare (Title XVIII of the Social Security Act), Medicaid (Title XIX of the Social Security Act), and the Patient Protection and Affordable Care Act of 2010, as amended by the Health Care and Education Reconciliation Act of 2010, the regulations promulgated pursuant to such laws, and any other state, federal or foreign law, accreditation standards, regulation, memorandum, opinion letter, or other issuance which imposes legally binding requirements on manufacturing, development, testing, labeling, advertising, marketing, promotion, distribution, reporting, kickbacks, patient or program charges, recordkeeping, claims process,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clinical laboratory or diagnostics products or services (collectively, “</w:t>
      </w:r>
      <w:r>
        <w:rPr>
          <w:rFonts w:ascii="Times New Roman" w:cs="Times New Roman" w:eastAsia="Times New Roman" w:hAnsi="Times New Roman"/>
          <w:sz w:val="21"/>
          <w:szCs w:val="21"/>
          <w:b w:val="1"/>
          <w:bCs w:val="1"/>
          <w:i w:val="1"/>
          <w:iCs w:val="1"/>
          <w:color w:val="auto"/>
        </w:rPr>
        <w:t>Health Care Laws</w:t>
      </w:r>
      <w:r>
        <w:rPr>
          <w:rFonts w:ascii="Times New Roman" w:cs="Times New Roman" w:eastAsia="Times New Roman" w:hAnsi="Times New Roman"/>
          <w:sz w:val="21"/>
          <w:szCs w:val="21"/>
          <w:color w:val="auto"/>
        </w:rPr>
        <w:t>”). The Company has not received any notification, correspondence or any other written or oral communication, including notification of any pending or threatened claim, suit, proceeding, hearing, enforcement, investigation, arbitration or other action from any governmental authority, including, without limitation, the FDA, the EMA, Health Canada, the U.S. Federal Trade Commission, the U.S. Drug Enforcement Administration (“</w:t>
      </w:r>
      <w:r>
        <w:rPr>
          <w:rFonts w:ascii="Times New Roman" w:cs="Times New Roman" w:eastAsia="Times New Roman" w:hAnsi="Times New Roman"/>
          <w:sz w:val="21"/>
          <w:szCs w:val="21"/>
          <w:b w:val="1"/>
          <w:bCs w:val="1"/>
          <w:i w:val="1"/>
          <w:iCs w:val="1"/>
          <w:color w:val="auto"/>
        </w:rPr>
        <w:t>DEA</w:t>
      </w:r>
      <w:r>
        <w:rPr>
          <w:rFonts w:ascii="Times New Roman" w:cs="Times New Roman" w:eastAsia="Times New Roman" w:hAnsi="Times New Roman"/>
          <w:sz w:val="21"/>
          <w:szCs w:val="21"/>
          <w:color w:val="auto"/>
        </w:rPr>
        <w:t>”), CMS, HHS’s Office of</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2" w:right="1440" w:bottom="1440" w:gutter="0" w:footer="0" w:header="0"/>
        </w:sectPr>
      </w:pPr>
    </w:p>
    <w:bookmarkStart w:id="42" w:name="page43"/>
    <w:bookmarkEnd w:id="42"/>
    <w:p>
      <w:pPr>
        <w:ind w:left="300" w:right="339"/>
        <w:spacing w:after="0" w:line="235" w:lineRule="auto"/>
        <w:rPr>
          <w:sz w:val="20"/>
          <w:szCs w:val="20"/>
          <w:color w:val="auto"/>
        </w:rPr>
      </w:pPr>
      <w:r>
        <w:rPr>
          <w:rFonts w:ascii="Times New Roman" w:cs="Times New Roman" w:eastAsia="Times New Roman" w:hAnsi="Times New Roman"/>
          <w:sz w:val="22"/>
          <w:szCs w:val="22"/>
          <w:color w:val="auto"/>
        </w:rPr>
        <w:t>Inspector General, the U.S. Department of Justice and state Attorneys General or similar agencies of potential or actual non-compliance by, or liability of, the Company under any Health Care Laws, except, with respect to any of the foregoing, such as would not, individually or in the aggregate, result in a Material Adverse Effect. To the Company’s knowledge, there are no facts or circumstances that would reasonably be expected to give rise to material liability of the Company under any Health Care Laws. The statements with respect to Health Care Laws and the Company’s compliance therewith included in the Registration Statement and in the Prospectus fairly summarize the matters therein described.</w:t>
      </w:r>
    </w:p>
    <w:p>
      <w:pPr>
        <w:spacing w:after="0" w:line="174" w:lineRule="exact"/>
        <w:rPr>
          <w:sz w:val="20"/>
          <w:szCs w:val="20"/>
          <w:color w:val="auto"/>
        </w:rPr>
      </w:pPr>
    </w:p>
    <w:p>
      <w:pPr>
        <w:ind w:left="300" w:right="339" w:firstLine="1944"/>
        <w:spacing w:after="0" w:line="243" w:lineRule="auto"/>
        <w:rPr>
          <w:sz w:val="20"/>
          <w:szCs w:val="20"/>
          <w:color w:val="auto"/>
        </w:rPr>
      </w:pPr>
      <w:r>
        <w:rPr>
          <w:rFonts w:ascii="Times New Roman" w:cs="Times New Roman" w:eastAsia="Times New Roman" w:hAnsi="Times New Roman"/>
          <w:sz w:val="21"/>
          <w:szCs w:val="21"/>
          <w:color w:val="auto"/>
        </w:rPr>
        <w:t>(xxiv)</w:t>
      </w:r>
      <w:r>
        <w:rPr>
          <w:rFonts w:ascii="Times New Roman" w:cs="Times New Roman" w:eastAsia="Times New Roman" w:hAnsi="Times New Roman"/>
          <w:sz w:val="21"/>
          <w:szCs w:val="21"/>
          <w:i w:val="1"/>
          <w:iCs w:val="1"/>
          <w:color w:val="auto"/>
        </w:rPr>
        <w:t>Clinical Trials</w:t>
      </w:r>
      <w:r>
        <w:rPr>
          <w:rFonts w:ascii="Times New Roman" w:cs="Times New Roman" w:eastAsia="Times New Roman" w:hAnsi="Times New Roman"/>
          <w:sz w:val="21"/>
          <w:szCs w:val="21"/>
          <w:color w:val="auto"/>
        </w:rPr>
        <w:t>. The studies, tests and preclinical and clinical trials conducted by or on behalf of, or sponsored by, the Company, or in which the Company has participated, that are described in the Registration Statement or the Prospectus, or the results of which are referred to in the Registration Statement or the Prospectus, were and, if still pending, are being conducted in all material respects in accordance with protocols, procedures and controls pursuant to, where applicable, accepted professional and scientific standards for products or product candidates comparable to those being developed by the Company and all applicable statutes, rules and regulations of the FDA, the EMA, Health Canada and other comparable regulatory agencies outside of the U.S. to which they are subject, including, without limitation, 21 C.F.R. Parts 50, 54, 56, 58, 312, and 812; the descriptions of the results of such studies, tests and trials contained in the Registration Statement or the Prospectus do not contain any misstatement of a material fact or omit a material fact necessary to make such statements not misleading; the Company has no knowledge of any studies, tests or trials not described in the Registration Statement or the Prospectus the results of which reasonably call into question in any material respect the results of the studies, tests and trials described in the Registration Statement or Prospectus; and the Company has not received any notices or other correspondence from the FDA, EMA, Health Canada or any other foreign, state or local governmental body exercising comparable authority or any Institutional Review Board or comparable authority requiring or threatening the termination, suspension or material modification of any studies, tests or preclinical or clinical trials conducted by or on behalf of, or sponsored by, the Company or in which the Company has participated, and, to the Company’s knowledge, there are no reasonable grounds for the same. Except as disclosed in the Registration Statement and the Prospectus, there has not been any violation of law or regulation by the Company in its respective product development efforts, submissions or reports to any regulatory authority that could reasonably be expected to require investigation, corrective action or enforcement action.</w:t>
      </w:r>
    </w:p>
    <w:p>
      <w:pPr>
        <w:spacing w:after="0" w:line="178" w:lineRule="exact"/>
        <w:rPr>
          <w:sz w:val="20"/>
          <w:szCs w:val="20"/>
          <w:color w:val="auto"/>
        </w:rPr>
      </w:pPr>
    </w:p>
    <w:p>
      <w:pPr>
        <w:ind w:left="300" w:right="639" w:firstLine="1944"/>
        <w:spacing w:after="0" w:line="241" w:lineRule="auto"/>
        <w:rPr>
          <w:sz w:val="20"/>
          <w:szCs w:val="20"/>
          <w:color w:val="auto"/>
        </w:rPr>
      </w:pPr>
      <w:r>
        <w:rPr>
          <w:rFonts w:ascii="Times New Roman" w:cs="Times New Roman" w:eastAsia="Times New Roman" w:hAnsi="Times New Roman"/>
          <w:sz w:val="22"/>
          <w:szCs w:val="22"/>
          <w:color w:val="auto"/>
        </w:rPr>
        <w:t>(xxv)</w:t>
      </w:r>
      <w:r>
        <w:rPr>
          <w:rFonts w:ascii="Times New Roman" w:cs="Times New Roman" w:eastAsia="Times New Roman" w:hAnsi="Times New Roman"/>
          <w:sz w:val="22"/>
          <w:szCs w:val="22"/>
          <w:i w:val="1"/>
          <w:iCs w:val="1"/>
          <w:color w:val="auto"/>
        </w:rPr>
        <w:t>Absence of Settlement Agreements or Undertakings</w:t>
      </w:r>
      <w:r>
        <w:rPr>
          <w:rFonts w:ascii="Times New Roman" w:cs="Times New Roman" w:eastAsia="Times New Roman" w:hAnsi="Times New Roman"/>
          <w:sz w:val="22"/>
          <w:szCs w:val="22"/>
          <w:color w:val="auto"/>
        </w:rPr>
        <w:t>. Except as disclosed in the Registration Statement and the Prospectus, the Company is not a party to any corporate integrity agreements, monitoring agreements, consent decrees, settlement orders, or similar agreements with or imposed by any governmental authority.</w:t>
      </w:r>
    </w:p>
    <w:p>
      <w:pPr>
        <w:spacing w:after="0" w:line="172" w:lineRule="exact"/>
        <w:rPr>
          <w:sz w:val="20"/>
          <w:szCs w:val="20"/>
          <w:color w:val="auto"/>
        </w:rPr>
      </w:pPr>
    </w:p>
    <w:p>
      <w:pPr>
        <w:ind w:left="300" w:right="439" w:firstLine="1944"/>
        <w:spacing w:after="0" w:line="236" w:lineRule="auto"/>
        <w:rPr>
          <w:sz w:val="20"/>
          <w:szCs w:val="20"/>
          <w:color w:val="auto"/>
        </w:rPr>
      </w:pPr>
      <w:r>
        <w:rPr>
          <w:rFonts w:ascii="Times New Roman" w:cs="Times New Roman" w:eastAsia="Times New Roman" w:hAnsi="Times New Roman"/>
          <w:sz w:val="22"/>
          <w:szCs w:val="22"/>
          <w:color w:val="auto"/>
        </w:rPr>
        <w:t>(xxvi)</w:t>
      </w:r>
      <w:r>
        <w:rPr>
          <w:rFonts w:ascii="Times New Roman" w:cs="Times New Roman" w:eastAsia="Times New Roman" w:hAnsi="Times New Roman"/>
          <w:sz w:val="22"/>
          <w:szCs w:val="22"/>
          <w:i w:val="1"/>
          <w:iCs w:val="1"/>
          <w:color w:val="auto"/>
        </w:rPr>
        <w:t>Absence of Legal or Governmental Proceedings</w:t>
      </w:r>
      <w:r>
        <w:rPr>
          <w:rFonts w:ascii="Times New Roman" w:cs="Times New Roman" w:eastAsia="Times New Roman" w:hAnsi="Times New Roman"/>
          <w:sz w:val="22"/>
          <w:szCs w:val="22"/>
          <w:color w:val="auto"/>
        </w:rPr>
        <w:t>. Except as disclosed in the Registration Statement and the Prospectus, there are no legal or governmental proceedings pending to which the Company or its subsidiary is a party or of which any property or assets of the Company or its subsidiary is the subject that, if determined adversely to the Company, would, in the aggregate, reasonably be expected to have a Material Adverse Effect; and to the Company’s knowledge, no such proceedings are threatened in writing by governmental authorities or others.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3" w:name="page44"/>
    <w:bookmarkEnd w:id="43"/>
    <w:p>
      <w:pPr>
        <w:ind w:left="300" w:right="359" w:firstLine="1944"/>
        <w:spacing w:after="0" w:line="235" w:lineRule="auto"/>
        <w:rPr>
          <w:sz w:val="20"/>
          <w:szCs w:val="20"/>
          <w:color w:val="auto"/>
        </w:rPr>
      </w:pPr>
      <w:r>
        <w:rPr>
          <w:rFonts w:ascii="Times New Roman" w:cs="Times New Roman" w:eastAsia="Times New Roman" w:hAnsi="Times New Roman"/>
          <w:sz w:val="22"/>
          <w:szCs w:val="22"/>
          <w:color w:val="auto"/>
        </w:rPr>
        <w:t>(xxvii)</w:t>
      </w:r>
      <w:r>
        <w:rPr>
          <w:rFonts w:ascii="Times New Roman" w:cs="Times New Roman" w:eastAsia="Times New Roman" w:hAnsi="Times New Roman"/>
          <w:sz w:val="22"/>
          <w:szCs w:val="22"/>
          <w:i w:val="1"/>
          <w:iCs w:val="1"/>
          <w:color w:val="auto"/>
        </w:rPr>
        <w:t>Material Contracts</w:t>
      </w:r>
      <w:r>
        <w:rPr>
          <w:rFonts w:ascii="Times New Roman" w:cs="Times New Roman" w:eastAsia="Times New Roman" w:hAnsi="Times New Roman"/>
          <w:sz w:val="22"/>
          <w:szCs w:val="22"/>
          <w:color w:val="auto"/>
        </w:rPr>
        <w:t>. There are no contracts or other documents required to be described in the Registration Statement or filed as exhibits to the Registration Statement that are not described and filed as required. The statements made in the Registration Statement and Prospectus, insofar as they purport to constitute summaries of the terms of the contracts and other documents described and filed, constitute accurate summaries of the terms of such contracts and documents in all material respects. Except as disclosed in the Registration Statement and the Prospectus, neither the Company nor its subsidiary has knowledge that any other party to any such contract or other document has any intention not to render full performance as contemplated by the terms thereof.</w:t>
      </w:r>
    </w:p>
    <w:p>
      <w:pPr>
        <w:spacing w:after="0" w:line="174" w:lineRule="exact"/>
        <w:rPr>
          <w:sz w:val="20"/>
          <w:szCs w:val="20"/>
          <w:color w:val="auto"/>
        </w:rPr>
      </w:pPr>
    </w:p>
    <w:p>
      <w:pPr>
        <w:ind w:left="300" w:right="379" w:firstLine="1944"/>
        <w:spacing w:after="0" w:line="233" w:lineRule="auto"/>
        <w:rPr>
          <w:sz w:val="20"/>
          <w:szCs w:val="20"/>
          <w:color w:val="auto"/>
        </w:rPr>
      </w:pPr>
      <w:r>
        <w:rPr>
          <w:rFonts w:ascii="Times New Roman" w:cs="Times New Roman" w:eastAsia="Times New Roman" w:hAnsi="Times New Roman"/>
          <w:sz w:val="22"/>
          <w:szCs w:val="22"/>
          <w:color w:val="auto"/>
        </w:rPr>
        <w:t>(xxviii)</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The Company and its subsidiary maintain insurance from insurers of recognized financial responsibility in such amounts and covering such risks is commercially reasonable in accordance with customary practices for companies engaged in similar businesses and similar industries for the conduct of their respective businesses and the value of their respective properties and as is customary for companies engaged in similar businesses in similar industries. All policies of insurance of the Company and its subsidiary are in full force and effect; the Company and its subsidiary are in compliance with the terms of such policies in all material respects; neither the Company nor its subsidiary has received notice from any insurer or agent of such insurer that capital improvements or other expenditures are required or necessary to be made in order to continue such insurance; there are no material claims by the Company or its subsidiary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74" w:lineRule="exact"/>
        <w:rPr>
          <w:sz w:val="20"/>
          <w:szCs w:val="20"/>
          <w:color w:val="auto"/>
        </w:rPr>
      </w:pPr>
    </w:p>
    <w:p>
      <w:pPr>
        <w:ind w:left="300" w:right="439" w:firstLine="1944"/>
        <w:spacing w:after="0" w:line="241" w:lineRule="auto"/>
        <w:rPr>
          <w:sz w:val="20"/>
          <w:szCs w:val="20"/>
          <w:color w:val="auto"/>
        </w:rPr>
      </w:pPr>
      <w:r>
        <w:rPr>
          <w:rFonts w:ascii="Times New Roman" w:cs="Times New Roman" w:eastAsia="Times New Roman" w:hAnsi="Times New Roman"/>
          <w:sz w:val="22"/>
          <w:szCs w:val="22"/>
          <w:color w:val="auto"/>
        </w:rPr>
        <w:t>(xxix)</w:t>
      </w:r>
      <w:r>
        <w:rPr>
          <w:rFonts w:ascii="Times New Roman" w:cs="Times New Roman" w:eastAsia="Times New Roman" w:hAnsi="Times New Roman"/>
          <w:sz w:val="22"/>
          <w:szCs w:val="22"/>
          <w:i w:val="1"/>
          <w:iCs w:val="1"/>
          <w:color w:val="auto"/>
        </w:rPr>
        <w:t>Related Party Disclosure</w:t>
      </w:r>
      <w:r>
        <w:rPr>
          <w:rFonts w:ascii="Times New Roman" w:cs="Times New Roman" w:eastAsia="Times New Roman" w:hAnsi="Times New Roman"/>
          <w:sz w:val="22"/>
          <w:szCs w:val="22"/>
          <w:color w:val="auto"/>
        </w:rPr>
        <w:t>. No relationship, direct or indirect, exists between or among the Company, on the one hand, and the directors, officers, shareholders, customers or suppliers of the Company, on the other hand, that is required to be described in the Registration Statement or the Prospectus which is not so described.</w:t>
      </w:r>
    </w:p>
    <w:p>
      <w:pPr>
        <w:spacing w:after="0" w:line="172" w:lineRule="exact"/>
        <w:rPr>
          <w:sz w:val="20"/>
          <w:szCs w:val="20"/>
          <w:color w:val="auto"/>
        </w:rPr>
      </w:pPr>
    </w:p>
    <w:p>
      <w:pPr>
        <w:jc w:val="both"/>
        <w:ind w:left="300" w:right="839" w:firstLine="1944"/>
        <w:spacing w:after="0" w:line="263" w:lineRule="auto"/>
        <w:rPr>
          <w:sz w:val="20"/>
          <w:szCs w:val="20"/>
          <w:color w:val="auto"/>
        </w:rPr>
      </w:pPr>
      <w:r>
        <w:rPr>
          <w:rFonts w:ascii="Times New Roman" w:cs="Times New Roman" w:eastAsia="Times New Roman" w:hAnsi="Times New Roman"/>
          <w:sz w:val="21"/>
          <w:szCs w:val="21"/>
          <w:color w:val="auto"/>
        </w:rPr>
        <w:t>(xxx)</w:t>
      </w:r>
      <w:r>
        <w:rPr>
          <w:rFonts w:ascii="Times New Roman" w:cs="Times New Roman" w:eastAsia="Times New Roman" w:hAnsi="Times New Roman"/>
          <w:sz w:val="21"/>
          <w:szCs w:val="21"/>
          <w:i w:val="1"/>
          <w:iCs w:val="1"/>
          <w:color w:val="auto"/>
        </w:rPr>
        <w:t>No Labor Dispute</w:t>
      </w:r>
      <w:r>
        <w:rPr>
          <w:rFonts w:ascii="Times New Roman" w:cs="Times New Roman" w:eastAsia="Times New Roman" w:hAnsi="Times New Roman"/>
          <w:sz w:val="21"/>
          <w:szCs w:val="21"/>
          <w:color w:val="auto"/>
        </w:rPr>
        <w:t>. No labor disturbance by or dispute with the employees of the Company or its subsidiary exists or, to the knowledge of the Company, is imminent that could reasonably be expected to have a Material Adverse Effect.</w:t>
      </w:r>
    </w:p>
    <w:p>
      <w:pPr>
        <w:spacing w:after="0" w:line="151" w:lineRule="exact"/>
        <w:rPr>
          <w:sz w:val="20"/>
          <w:szCs w:val="20"/>
          <w:color w:val="auto"/>
        </w:rPr>
      </w:pPr>
    </w:p>
    <w:p>
      <w:pPr>
        <w:ind w:left="300" w:right="379" w:firstLine="1944"/>
        <w:spacing w:after="0" w:line="245" w:lineRule="auto"/>
        <w:rPr>
          <w:sz w:val="20"/>
          <w:szCs w:val="20"/>
          <w:color w:val="auto"/>
        </w:rPr>
      </w:pPr>
      <w:r>
        <w:rPr>
          <w:rFonts w:ascii="Times New Roman" w:cs="Times New Roman" w:eastAsia="Times New Roman" w:hAnsi="Times New Roman"/>
          <w:sz w:val="21"/>
          <w:szCs w:val="21"/>
          <w:color w:val="auto"/>
        </w:rPr>
        <w:t>(xxxi)</w:t>
      </w:r>
      <w:r>
        <w:rPr>
          <w:rFonts w:ascii="Times New Roman" w:cs="Times New Roman" w:eastAsia="Times New Roman" w:hAnsi="Times New Roman"/>
          <w:sz w:val="21"/>
          <w:szCs w:val="21"/>
          <w:i w:val="1"/>
          <w:iCs w:val="1"/>
          <w:color w:val="auto"/>
        </w:rPr>
        <w:t>No Violation or Default</w:t>
      </w:r>
      <w:r>
        <w:rPr>
          <w:rFonts w:ascii="Times New Roman" w:cs="Times New Roman" w:eastAsia="Times New Roman" w:hAnsi="Times New Roman"/>
          <w:sz w:val="21"/>
          <w:szCs w:val="21"/>
          <w:color w:val="auto"/>
        </w:rPr>
        <w:t>. Except as disclosed in the Registration Statement and the Prospectus, neither the Company nor its subsidiary (i) is in violation of its certificate of incorporation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44" w:name="page45"/>
    <w:bookmarkEnd w:id="44"/>
    <w:p>
      <w:pPr>
        <w:ind w:left="300" w:right="379"/>
        <w:spacing w:after="0" w:line="244" w:lineRule="auto"/>
        <w:rPr>
          <w:sz w:val="20"/>
          <w:szCs w:val="20"/>
          <w:color w:val="auto"/>
        </w:rPr>
      </w:pPr>
      <w:r>
        <w:rPr>
          <w:rFonts w:ascii="Times New Roman" w:cs="Times New Roman" w:eastAsia="Times New Roman" w:hAnsi="Times New Roman"/>
          <w:sz w:val="22"/>
          <w:szCs w:val="22"/>
          <w:color w:val="auto"/>
        </w:rPr>
        <w:t>business, except in the case of clauses (ii) and (iii), to the extent any such conflict, breach, violation or default would not, individually or in the aggregate, reasonably be expected to have a Material Adverse Effect.</w:t>
      </w:r>
    </w:p>
    <w:p>
      <w:pPr>
        <w:spacing w:after="0" w:line="169" w:lineRule="exact"/>
        <w:rPr>
          <w:sz w:val="20"/>
          <w:szCs w:val="20"/>
          <w:color w:val="auto"/>
        </w:rPr>
      </w:pPr>
    </w:p>
    <w:p>
      <w:pPr>
        <w:ind w:left="300" w:right="379" w:firstLine="1944"/>
        <w:spacing w:after="0" w:line="232" w:lineRule="auto"/>
        <w:rPr>
          <w:sz w:val="20"/>
          <w:szCs w:val="20"/>
          <w:color w:val="auto"/>
        </w:rPr>
      </w:pPr>
      <w:r>
        <w:rPr>
          <w:rFonts w:ascii="Times New Roman" w:cs="Times New Roman" w:eastAsia="Times New Roman" w:hAnsi="Times New Roman"/>
          <w:sz w:val="22"/>
          <w:szCs w:val="22"/>
          <w:color w:val="auto"/>
        </w:rPr>
        <w:t>(xxxii)</w:t>
      </w:r>
      <w:r>
        <w:rPr>
          <w:rFonts w:ascii="Times New Roman" w:cs="Times New Roman" w:eastAsia="Times New Roman" w:hAnsi="Times New Roman"/>
          <w:sz w:val="22"/>
          <w:szCs w:val="22"/>
          <w:i w:val="1"/>
          <w:iCs w:val="1"/>
          <w:color w:val="auto"/>
        </w:rPr>
        <w:t>Environmental Laws</w:t>
      </w:r>
      <w:r>
        <w:rPr>
          <w:rFonts w:ascii="Times New Roman" w:cs="Times New Roman" w:eastAsia="Times New Roman" w:hAnsi="Times New Roman"/>
          <w:sz w:val="22"/>
          <w:szCs w:val="22"/>
          <w:color w:val="auto"/>
        </w:rPr>
        <w:t>. Except as disclosed in the Registration Statement and the Prospectus, the Company and its subsidiary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Times New Roman" w:cs="Times New Roman" w:eastAsia="Times New Roman" w:hAnsi="Times New Roman"/>
          <w:sz w:val="22"/>
          <w:szCs w:val="22"/>
          <w:b w:val="1"/>
          <w:bCs w:val="1"/>
          <w:i w:val="1"/>
          <w:iCs w:val="1"/>
          <w:color w:val="auto"/>
        </w:rPr>
        <w:t>“Environmental Laws”</w:t>
      </w:r>
      <w:r>
        <w:rPr>
          <w:rFonts w:ascii="Times New Roman" w:cs="Times New Roman" w:eastAsia="Times New Roman" w:hAnsi="Times New Roman"/>
          <w:sz w:val="22"/>
          <w:szCs w:val="22"/>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in the case of clauses (i) and (ii), to the extent any such non-compliance, violation, liability or other obligation would not, individually or in the aggregate, reasonably be expected to have a Material Adverse Effect. Except as described in the Registration Statement and the Prospectus, (x) there are no proceedings that are pending, or to the Company’s knowledge, threatened, against the Company or its subsidiary under Environmental Laws in which a governmental authority is also a party, other than such proceedings regarding which it is reasonably believed no monetary sanctions of $100,000 or more will be imposed, (y) the Company and its subsidiary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and (z) none of the Company and its subsidiary anticipates material capital expenditures relating to Environmental Laws.</w:t>
      </w:r>
    </w:p>
    <w:p>
      <w:pPr>
        <w:spacing w:after="0" w:line="174" w:lineRule="exact"/>
        <w:rPr>
          <w:sz w:val="20"/>
          <w:szCs w:val="20"/>
          <w:color w:val="auto"/>
        </w:rPr>
      </w:pPr>
    </w:p>
    <w:p>
      <w:pPr>
        <w:ind w:left="300" w:right="299" w:firstLine="1944"/>
        <w:spacing w:after="0" w:line="235" w:lineRule="auto"/>
        <w:rPr>
          <w:sz w:val="20"/>
          <w:szCs w:val="20"/>
          <w:color w:val="auto"/>
        </w:rPr>
      </w:pPr>
      <w:r>
        <w:rPr>
          <w:rFonts w:ascii="Times New Roman" w:cs="Times New Roman" w:eastAsia="Times New Roman" w:hAnsi="Times New Roman"/>
          <w:sz w:val="22"/>
          <w:szCs w:val="22"/>
          <w:color w:val="auto"/>
        </w:rPr>
        <w:t>(xxxiii)</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The Company and its subsidiary have filed all federal, state, local and foreign tax returns required to be filed through the date hereof, subject to permitted extensions, and have paid all taxes due except where the failure to file or pay would not, individually or in the aggregate, reasonably be expected to have a Material Adverse Effect, and no tax deficiency has been determined adversely to the Company or its subsidiary, nor does the Company have any knowledge of any tax deficiencies that have been, or would reasonably be expected to be asserted against the Company, that would, in the aggregate, reasonably be expected to have a Material Adverse Effect.</w:t>
      </w:r>
    </w:p>
    <w:p>
      <w:pPr>
        <w:spacing w:after="0" w:line="17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(xxxiv)</w:t>
      </w:r>
      <w:r>
        <w:rPr>
          <w:rFonts w:ascii="Times New Roman" w:cs="Times New Roman" w:eastAsia="Times New Roman" w:hAnsi="Times New Roman"/>
          <w:sz w:val="22"/>
          <w:szCs w:val="22"/>
          <w:i w:val="1"/>
          <w:iCs w:val="1"/>
          <w:color w:val="auto"/>
        </w:rPr>
        <w:t>ERISA Compliance</w:t>
      </w:r>
      <w:r>
        <w:rPr>
          <w:rFonts w:ascii="Times New Roman" w:cs="Times New Roman" w:eastAsia="Times New Roman" w:hAnsi="Times New Roman"/>
          <w:sz w:val="22"/>
          <w:szCs w:val="22"/>
          <w:color w:val="auto"/>
        </w:rPr>
        <w:t>. (i) Each “employee benefit plan” (within the</w:t>
      </w: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meaning of Section 3(3) of the Employee Retirement Security Act of 1974, as amended</w:t>
      </w:r>
    </w:p>
    <w:p>
      <w:pPr>
        <w:ind w:left="300"/>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for which the Company or any member of its “Controlled Group” (defined as any</w:t>
      </w:r>
    </w:p>
    <w:p>
      <w:pPr>
        <w:ind w:left="300"/>
        <w:spacing w:after="0" w:line="231" w:lineRule="auto"/>
        <w:rPr>
          <w:sz w:val="20"/>
          <w:szCs w:val="20"/>
          <w:color w:val="auto"/>
        </w:rPr>
      </w:pPr>
      <w:r>
        <w:rPr>
          <w:rFonts w:ascii="Times New Roman" w:cs="Times New Roman" w:eastAsia="Times New Roman" w:hAnsi="Times New Roman"/>
          <w:sz w:val="22"/>
          <w:szCs w:val="22"/>
          <w:color w:val="auto"/>
        </w:rPr>
        <w:t>organization which is a member of a controlled group of corporations within the meaning of</w:t>
      </w:r>
    </w:p>
    <w:p>
      <w:pPr>
        <w:ind w:left="300"/>
        <w:spacing w:after="0" w:line="230" w:lineRule="auto"/>
        <w:rPr>
          <w:sz w:val="20"/>
          <w:szCs w:val="20"/>
          <w:color w:val="auto"/>
        </w:rPr>
      </w:pPr>
      <w:r>
        <w:rPr>
          <w:rFonts w:ascii="Times New Roman" w:cs="Times New Roman" w:eastAsia="Times New Roman" w:hAnsi="Times New Roman"/>
          <w:sz w:val="22"/>
          <w:szCs w:val="22"/>
          <w:color w:val="auto"/>
        </w:rPr>
        <w:t xml:space="preserve">Section 414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would have any</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liability (each a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has been maintained in compliance in all material respects with its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5" w:name="page46"/>
    <w:bookmarkEnd w:id="45"/>
    <w:p>
      <w:pPr>
        <w:ind w:left="300" w:right="319"/>
        <w:spacing w:after="0" w:line="245" w:lineRule="auto"/>
        <w:rPr>
          <w:sz w:val="20"/>
          <w:szCs w:val="20"/>
          <w:color w:val="auto"/>
        </w:rPr>
      </w:pPr>
      <w:r>
        <w:rPr>
          <w:rFonts w:ascii="Times New Roman" w:cs="Times New Roman" w:eastAsia="Times New Roman" w:hAnsi="Times New Roman"/>
          <w:sz w:val="21"/>
          <w:szCs w:val="21"/>
          <w:color w:val="auto"/>
        </w:rPr>
        <w:t>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that would result in a material loss to the Company,</w:t>
      </w:r>
    </w:p>
    <w:p>
      <w:pPr>
        <w:spacing w:after="0" w:line="3" w:lineRule="exact"/>
        <w:rPr>
          <w:sz w:val="20"/>
          <w:szCs w:val="20"/>
          <w:color w:val="auto"/>
        </w:rPr>
      </w:pPr>
    </w:p>
    <w:p>
      <w:pPr>
        <w:ind w:left="300" w:right="479" w:hanging="8"/>
        <w:spacing w:after="0" w:line="231" w:lineRule="auto"/>
        <w:tabs>
          <w:tab w:leader="none" w:pos="64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“accumulated funding deficiency” (within the meaning of Section 302 of ERISA or Section 412 of the Code), whether or not waived, has occurred or is reasonably expected to occur, (C) the fair market value of the assets under each Plan that is required to be funded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to the Company’s knowledge, whether by action or by failure to act, which would cause the loss of such qualification.</w:t>
      </w:r>
    </w:p>
    <w:p>
      <w:pPr>
        <w:spacing w:after="0" w:line="182" w:lineRule="exact"/>
        <w:rPr>
          <w:sz w:val="20"/>
          <w:szCs w:val="20"/>
          <w:color w:val="auto"/>
        </w:rPr>
      </w:pPr>
    </w:p>
    <w:p>
      <w:pPr>
        <w:ind w:left="300" w:right="399" w:firstLine="1944"/>
        <w:spacing w:after="0" w:line="238" w:lineRule="auto"/>
        <w:rPr>
          <w:sz w:val="20"/>
          <w:szCs w:val="20"/>
          <w:color w:val="auto"/>
        </w:rPr>
      </w:pPr>
      <w:r>
        <w:rPr>
          <w:rFonts w:ascii="Times New Roman" w:cs="Times New Roman" w:eastAsia="Times New Roman" w:hAnsi="Times New Roman"/>
          <w:sz w:val="22"/>
          <w:szCs w:val="22"/>
          <w:color w:val="auto"/>
        </w:rPr>
        <w:t>(xxxv)</w:t>
      </w:r>
      <w:r>
        <w:rPr>
          <w:rFonts w:ascii="Times New Roman" w:cs="Times New Roman" w:eastAsia="Times New Roman" w:hAnsi="Times New Roman"/>
          <w:sz w:val="22"/>
          <w:szCs w:val="22"/>
          <w:i w:val="1"/>
          <w:iCs w:val="1"/>
          <w:color w:val="auto"/>
        </w:rPr>
        <w:t>Accuracy of Statistical and Market Data</w:t>
      </w:r>
      <w:r>
        <w:rPr>
          <w:rFonts w:ascii="Times New Roman" w:cs="Times New Roman" w:eastAsia="Times New Roman" w:hAnsi="Times New Roman"/>
          <w:sz w:val="22"/>
          <w:szCs w:val="22"/>
          <w:color w:val="auto"/>
        </w:rPr>
        <w:t>. The statistical and market-related data included in the Registration Statement and the Prospectus and the consolidated financial statements of the Company and its subsidiary included or incorporated by reference in the Registration Statement and the Prospectus are based on or derived from sources that the Company believes to be reliable in all material respects.</w:t>
      </w:r>
    </w:p>
    <w:p>
      <w:pPr>
        <w:spacing w:after="0" w:line="177" w:lineRule="exact"/>
        <w:rPr>
          <w:sz w:val="20"/>
          <w:szCs w:val="20"/>
          <w:color w:val="auto"/>
        </w:rPr>
      </w:pPr>
    </w:p>
    <w:p>
      <w:pPr>
        <w:ind w:left="300" w:right="659" w:firstLine="1944"/>
        <w:spacing w:after="0" w:line="247" w:lineRule="auto"/>
        <w:rPr>
          <w:sz w:val="20"/>
          <w:szCs w:val="20"/>
          <w:color w:val="auto"/>
        </w:rPr>
      </w:pPr>
      <w:r>
        <w:rPr>
          <w:rFonts w:ascii="Times New Roman" w:cs="Times New Roman" w:eastAsia="Times New Roman" w:hAnsi="Times New Roman"/>
          <w:sz w:val="21"/>
          <w:szCs w:val="21"/>
          <w:color w:val="auto"/>
        </w:rPr>
        <w:t>(xxxvi)</w:t>
      </w:r>
      <w:r>
        <w:rPr>
          <w:rFonts w:ascii="Times New Roman" w:cs="Times New Roman" w:eastAsia="Times New Roman" w:hAnsi="Times New Roman"/>
          <w:sz w:val="21"/>
          <w:szCs w:val="21"/>
          <w:i w:val="1"/>
          <w:iCs w:val="1"/>
          <w:color w:val="auto"/>
        </w:rPr>
        <w:t>Not an Investment Company</w:t>
      </w:r>
      <w:r>
        <w:rPr>
          <w:rFonts w:ascii="Times New Roman" w:cs="Times New Roman" w:eastAsia="Times New Roman" w:hAnsi="Times New Roman"/>
          <w:sz w:val="21"/>
          <w:szCs w:val="21"/>
          <w:color w:val="auto"/>
        </w:rPr>
        <w:t xml:space="preserve">. Neither the Company nor its subsidiary is, and as of the applicable Settlement Date and, after giving effect to the offer and sale of the Shares and the application of the proceeds therefrom as described under “Use of Proceeds” in the Registration Statement and the Prospectus, none of them will be, (i) an “investment company” or a company “controlled” by an “investment company” within the meaning of the Investment Company Act of 1940, as amended (the </w:t>
      </w:r>
      <w:r>
        <w:rPr>
          <w:rFonts w:ascii="Times New Roman" w:cs="Times New Roman" w:eastAsia="Times New Roman" w:hAnsi="Times New Roman"/>
          <w:sz w:val="21"/>
          <w:szCs w:val="21"/>
          <w:b w:val="1"/>
          <w:bCs w:val="1"/>
          <w:i w:val="1"/>
          <w:iCs w:val="1"/>
          <w:color w:val="auto"/>
        </w:rPr>
        <w:t>“Investment 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Act”</w:t>
      </w:r>
      <w:r>
        <w:rPr>
          <w:rFonts w:ascii="Times New Roman" w:cs="Times New Roman" w:eastAsia="Times New Roman" w:hAnsi="Times New Roman"/>
          <w:sz w:val="21"/>
          <w:szCs w:val="21"/>
          <w:color w:val="auto"/>
        </w:rPr>
        <w:t>), and the rules and regulations of the Commission thereunder, or (ii) a “business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development company” (as defined in Section 2(a)(48) of the Investment Company Act).</w:t>
      </w:r>
    </w:p>
    <w:p>
      <w:pPr>
        <w:spacing w:after="0" w:line="172" w:lineRule="exact"/>
        <w:rPr>
          <w:sz w:val="20"/>
          <w:szCs w:val="20"/>
          <w:color w:val="auto"/>
        </w:rPr>
      </w:pPr>
    </w:p>
    <w:p>
      <w:pPr>
        <w:ind w:left="300" w:right="479" w:firstLine="1944"/>
        <w:spacing w:after="0" w:line="237" w:lineRule="auto"/>
        <w:rPr>
          <w:sz w:val="20"/>
          <w:szCs w:val="20"/>
          <w:color w:val="auto"/>
        </w:rPr>
      </w:pPr>
      <w:r>
        <w:rPr>
          <w:rFonts w:ascii="Times New Roman" w:cs="Times New Roman" w:eastAsia="Times New Roman" w:hAnsi="Times New Roman"/>
          <w:sz w:val="22"/>
          <w:szCs w:val="22"/>
          <w:color w:val="auto"/>
        </w:rPr>
        <w:t>(xxxvii)</w:t>
      </w:r>
      <w:r>
        <w:rPr>
          <w:rFonts w:ascii="Times New Roman" w:cs="Times New Roman" w:eastAsia="Times New Roman" w:hAnsi="Times New Roman"/>
          <w:sz w:val="22"/>
          <w:szCs w:val="22"/>
          <w:i w:val="1"/>
          <w:iCs w:val="1"/>
          <w:color w:val="auto"/>
        </w:rPr>
        <w:t>Accuracy of Certain Summaries and Statements</w:t>
      </w:r>
      <w:r>
        <w:rPr>
          <w:rFonts w:ascii="Times New Roman" w:cs="Times New Roman" w:eastAsia="Times New Roman" w:hAnsi="Times New Roman"/>
          <w:sz w:val="22"/>
          <w:szCs w:val="22"/>
          <w:color w:val="auto"/>
        </w:rPr>
        <w:t>. The statements set forth or incorporated by reference, as applicable, in each of the Registration Statement and the Prospectus under the captions “Description of Capital Stock,” “Legal Proceedings” and “Certain Relationships and Related Transactions, and Director Independence”, insofar as they purport to summarize the provisions of the laws and documents referred to therein, are accurate summaries in all material respects.</w:t>
      </w:r>
    </w:p>
    <w:p>
      <w:pPr>
        <w:spacing w:after="0" w:line="175" w:lineRule="exact"/>
        <w:rPr>
          <w:sz w:val="20"/>
          <w:szCs w:val="20"/>
          <w:color w:val="auto"/>
        </w:rPr>
      </w:pPr>
    </w:p>
    <w:p>
      <w:pPr>
        <w:ind w:left="300" w:right="439" w:firstLine="1944"/>
        <w:spacing w:after="0" w:line="252" w:lineRule="auto"/>
        <w:rPr>
          <w:sz w:val="20"/>
          <w:szCs w:val="20"/>
          <w:color w:val="auto"/>
        </w:rPr>
      </w:pPr>
      <w:r>
        <w:rPr>
          <w:rFonts w:ascii="Times New Roman" w:cs="Times New Roman" w:eastAsia="Times New Roman" w:hAnsi="Times New Roman"/>
          <w:sz w:val="21"/>
          <w:szCs w:val="21"/>
          <w:color w:val="auto"/>
        </w:rPr>
        <w:t>(xxxviii)</w:t>
      </w:r>
      <w:r>
        <w:rPr>
          <w:rFonts w:ascii="Times New Roman" w:cs="Times New Roman" w:eastAsia="Times New Roman" w:hAnsi="Times New Roman"/>
          <w:sz w:val="21"/>
          <w:szCs w:val="21"/>
          <w:i w:val="1"/>
          <w:iCs w:val="1"/>
          <w:color w:val="auto"/>
        </w:rPr>
        <w:t>Registration Rights</w:t>
      </w:r>
      <w:r>
        <w:rPr>
          <w:rFonts w:ascii="Times New Roman" w:cs="Times New Roman" w:eastAsia="Times New Roman" w:hAnsi="Times New Roman"/>
          <w:sz w:val="21"/>
          <w:szCs w:val="21"/>
          <w:color w:val="auto"/>
        </w:rPr>
        <w:t>. Except as disclosed in the Registration Statement and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There are no contracts, agreements or understandings to</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6" w:name="page47"/>
    <w:bookmarkEnd w:id="46"/>
    <w:p>
      <w:pPr>
        <w:ind w:left="300" w:right="899"/>
        <w:spacing w:after="0" w:line="258" w:lineRule="auto"/>
        <w:rPr>
          <w:sz w:val="20"/>
          <w:szCs w:val="20"/>
          <w:color w:val="auto"/>
        </w:rPr>
      </w:pPr>
      <w:r>
        <w:rPr>
          <w:rFonts w:ascii="Times New Roman" w:cs="Times New Roman" w:eastAsia="Times New Roman" w:hAnsi="Times New Roman"/>
          <w:sz w:val="22"/>
          <w:szCs w:val="22"/>
          <w:color w:val="auto"/>
        </w:rPr>
        <w:t>require the Company to include any such securities in the securities proposed to be offered pursuant to this Agreement, except as have been waived.</w:t>
      </w:r>
    </w:p>
    <w:p>
      <w:pPr>
        <w:spacing w:after="0" w:line="154" w:lineRule="exact"/>
        <w:rPr>
          <w:sz w:val="20"/>
          <w:szCs w:val="20"/>
          <w:color w:val="auto"/>
        </w:rPr>
      </w:pPr>
    </w:p>
    <w:p>
      <w:pPr>
        <w:ind w:left="300" w:right="459" w:firstLine="1944"/>
        <w:spacing w:after="0" w:line="256" w:lineRule="auto"/>
        <w:rPr>
          <w:sz w:val="20"/>
          <w:szCs w:val="20"/>
          <w:color w:val="auto"/>
        </w:rPr>
      </w:pPr>
      <w:r>
        <w:rPr>
          <w:rFonts w:ascii="Times New Roman" w:cs="Times New Roman" w:eastAsia="Times New Roman" w:hAnsi="Times New Roman"/>
          <w:sz w:val="21"/>
          <w:szCs w:val="21"/>
          <w:color w:val="auto"/>
        </w:rPr>
        <w:t>(xxxix)</w:t>
      </w:r>
      <w:r>
        <w:rPr>
          <w:rFonts w:ascii="Times New Roman" w:cs="Times New Roman" w:eastAsia="Times New Roman" w:hAnsi="Times New Roman"/>
          <w:sz w:val="21"/>
          <w:szCs w:val="21"/>
          <w:i w:val="1"/>
          <w:iCs w:val="1"/>
          <w:color w:val="auto"/>
        </w:rPr>
        <w:t>No Other Brokers</w:t>
      </w:r>
      <w:r>
        <w:rPr>
          <w:rFonts w:ascii="Times New Roman" w:cs="Times New Roman" w:eastAsia="Times New Roman" w:hAnsi="Times New Roman"/>
          <w:sz w:val="21"/>
          <w:szCs w:val="21"/>
          <w:color w:val="auto"/>
        </w:rPr>
        <w:t>. Neither the Company nor its subsidiary is a party to any contract, agreement or understanding with any person (other than this Agreement) that would give rise to a valid claim against any of them or the Agent for a brokerage commission, finder’s fee or like payment in connection with the offering and sale of the Shares.</w:t>
      </w:r>
    </w:p>
    <w:p>
      <w:pPr>
        <w:spacing w:after="0" w:line="158" w:lineRule="exact"/>
        <w:rPr>
          <w:sz w:val="20"/>
          <w:szCs w:val="20"/>
          <w:color w:val="auto"/>
        </w:rPr>
      </w:pPr>
    </w:p>
    <w:p>
      <w:pPr>
        <w:ind w:left="300" w:right="659" w:firstLine="1944"/>
        <w:spacing w:after="0" w:line="246" w:lineRule="auto"/>
        <w:rPr>
          <w:sz w:val="20"/>
          <w:szCs w:val="20"/>
          <w:color w:val="auto"/>
        </w:rPr>
      </w:pPr>
      <w:r>
        <w:rPr>
          <w:rFonts w:ascii="Times New Roman" w:cs="Times New Roman" w:eastAsia="Times New Roman" w:hAnsi="Times New Roman"/>
          <w:sz w:val="22"/>
          <w:szCs w:val="22"/>
          <w:color w:val="auto"/>
        </w:rPr>
        <w:t>(xl)</w:t>
      </w:r>
      <w:r>
        <w:rPr>
          <w:rFonts w:ascii="Times New Roman" w:cs="Times New Roman" w:eastAsia="Times New Roman" w:hAnsi="Times New Roman"/>
          <w:sz w:val="22"/>
          <w:szCs w:val="22"/>
          <w:i w:val="1"/>
          <w:iCs w:val="1"/>
          <w:color w:val="auto"/>
        </w:rPr>
        <w:t>No Integration</w:t>
      </w:r>
      <w:r>
        <w:rPr>
          <w:rFonts w:ascii="Times New Roman" w:cs="Times New Roman" w:eastAsia="Times New Roman" w:hAnsi="Times New Roman"/>
          <w:sz w:val="22"/>
          <w:szCs w:val="22"/>
          <w:color w:val="auto"/>
        </w:rPr>
        <w:t>. The Company has not sold or issued any securities that would be integrated with the offering of the Shares contemplated by this Agreement pursuant to the Securities Act or the interpretations thereof by the Commission.</w:t>
      </w:r>
    </w:p>
    <w:p>
      <w:pPr>
        <w:spacing w:after="0" w:line="167" w:lineRule="exact"/>
        <w:rPr>
          <w:sz w:val="20"/>
          <w:szCs w:val="20"/>
          <w:color w:val="auto"/>
        </w:rPr>
      </w:pPr>
    </w:p>
    <w:p>
      <w:pPr>
        <w:ind w:left="300" w:right="559" w:firstLine="1944"/>
        <w:spacing w:after="0" w:line="241" w:lineRule="auto"/>
        <w:rPr>
          <w:sz w:val="20"/>
          <w:szCs w:val="20"/>
          <w:color w:val="auto"/>
        </w:rPr>
      </w:pPr>
      <w:r>
        <w:rPr>
          <w:rFonts w:ascii="Times New Roman" w:cs="Times New Roman" w:eastAsia="Times New Roman" w:hAnsi="Times New Roman"/>
          <w:sz w:val="22"/>
          <w:szCs w:val="22"/>
          <w:color w:val="auto"/>
        </w:rPr>
        <w:t>(xli)</w:t>
      </w:r>
      <w:r>
        <w:rPr>
          <w:rFonts w:ascii="Times New Roman" w:cs="Times New Roman" w:eastAsia="Times New Roman" w:hAnsi="Times New Roman"/>
          <w:sz w:val="22"/>
          <w:szCs w:val="22"/>
          <w:i w:val="1"/>
          <w:iCs w:val="1"/>
          <w:color w:val="auto"/>
        </w:rPr>
        <w:t>Absence of Stabilization or Manipulation</w:t>
      </w:r>
      <w:r>
        <w:rPr>
          <w:rFonts w:ascii="Times New Roman" w:cs="Times New Roman" w:eastAsia="Times New Roman" w:hAnsi="Times New Roman"/>
          <w:sz w:val="22"/>
          <w:szCs w:val="22"/>
          <w:color w:val="auto"/>
        </w:rPr>
        <w:t>. 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172" w:lineRule="exact"/>
        <w:rPr>
          <w:sz w:val="20"/>
          <w:szCs w:val="20"/>
          <w:color w:val="auto"/>
        </w:rPr>
      </w:pPr>
    </w:p>
    <w:p>
      <w:pPr>
        <w:ind w:left="300" w:right="379" w:firstLine="1944"/>
        <w:spacing w:after="0" w:line="250" w:lineRule="auto"/>
        <w:rPr>
          <w:sz w:val="20"/>
          <w:szCs w:val="20"/>
          <w:color w:val="auto"/>
        </w:rPr>
      </w:pPr>
      <w:r>
        <w:rPr>
          <w:rFonts w:ascii="Times New Roman" w:cs="Times New Roman" w:eastAsia="Times New Roman" w:hAnsi="Times New Roman"/>
          <w:sz w:val="21"/>
          <w:szCs w:val="21"/>
          <w:color w:val="auto"/>
        </w:rPr>
        <w:t>(xlii)</w:t>
      </w:r>
      <w:r>
        <w:rPr>
          <w:rFonts w:ascii="Times New Roman" w:cs="Times New Roman" w:eastAsia="Times New Roman" w:hAnsi="Times New Roman"/>
          <w:sz w:val="21"/>
          <w:szCs w:val="21"/>
          <w:i w:val="1"/>
          <w:iCs w:val="1"/>
          <w:color w:val="auto"/>
        </w:rPr>
        <w:t>Exchange Act Registration and Listing of the Common Stock</w:t>
      </w:r>
      <w:r>
        <w:rPr>
          <w:rFonts w:ascii="Times New Roman" w:cs="Times New Roman" w:eastAsia="Times New Roman" w:hAnsi="Times New Roman"/>
          <w:sz w:val="21"/>
          <w:szCs w:val="21"/>
          <w:color w:val="auto"/>
        </w:rPr>
        <w:t>. The shares of Common Stock are registered pursuant to Section 12(b) of the Exchange Act and listed on the Exchange; the Company has taken no action designed to, or reasonably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w:t>
      </w:r>
    </w:p>
    <w:p>
      <w:pPr>
        <w:spacing w:after="0" w:line="165" w:lineRule="exact"/>
        <w:rPr>
          <w:sz w:val="20"/>
          <w:szCs w:val="20"/>
          <w:color w:val="auto"/>
        </w:rPr>
      </w:pPr>
    </w:p>
    <w:p>
      <w:pPr>
        <w:ind w:left="300" w:right="479" w:firstLine="1944"/>
        <w:spacing w:after="0" w:line="241" w:lineRule="auto"/>
        <w:rPr>
          <w:sz w:val="20"/>
          <w:szCs w:val="20"/>
          <w:color w:val="auto"/>
        </w:rPr>
      </w:pPr>
      <w:r>
        <w:rPr>
          <w:rFonts w:ascii="Times New Roman" w:cs="Times New Roman" w:eastAsia="Times New Roman" w:hAnsi="Times New Roman"/>
          <w:sz w:val="22"/>
          <w:szCs w:val="22"/>
          <w:color w:val="auto"/>
        </w:rPr>
        <w:t>(xliii)</w:t>
      </w:r>
      <w:r>
        <w:rPr>
          <w:rFonts w:ascii="Times New Roman" w:cs="Times New Roman" w:eastAsia="Times New Roman" w:hAnsi="Times New Roman"/>
          <w:sz w:val="22"/>
          <w:szCs w:val="22"/>
          <w:i w:val="1"/>
          <w:iCs w:val="1"/>
          <w:color w:val="auto"/>
        </w:rPr>
        <w:t>Offering Material</w:t>
      </w:r>
      <w:r>
        <w:rPr>
          <w:rFonts w:ascii="Times New Roman" w:cs="Times New Roman" w:eastAsia="Times New Roman" w:hAnsi="Times New Roman"/>
          <w:sz w:val="22"/>
          <w:szCs w:val="22"/>
          <w:color w:val="auto"/>
        </w:rPr>
        <w:t>. The Company has not distributed and prior to any Settlement Date, will not distribute any offering material in connection with any Placement (as defined in Section 2(a)(i) below), other than the Prospectus and any Permitted Free Writing Prospectus to which the Agent has consented.</w:t>
      </w:r>
    </w:p>
    <w:p>
      <w:pPr>
        <w:spacing w:after="0" w:line="172" w:lineRule="exact"/>
        <w:rPr>
          <w:sz w:val="20"/>
          <w:szCs w:val="20"/>
          <w:color w:val="auto"/>
        </w:rPr>
      </w:pPr>
    </w:p>
    <w:p>
      <w:pPr>
        <w:ind w:left="300" w:right="419" w:firstLine="1944"/>
        <w:spacing w:after="0" w:line="237" w:lineRule="auto"/>
        <w:rPr>
          <w:sz w:val="20"/>
          <w:szCs w:val="20"/>
          <w:color w:val="auto"/>
        </w:rPr>
      </w:pPr>
      <w:r>
        <w:rPr>
          <w:rFonts w:ascii="Times New Roman" w:cs="Times New Roman" w:eastAsia="Times New Roman" w:hAnsi="Times New Roman"/>
          <w:sz w:val="22"/>
          <w:szCs w:val="22"/>
          <w:color w:val="auto"/>
        </w:rPr>
        <w:t>(xliv)</w:t>
      </w:r>
      <w:r>
        <w:rPr>
          <w:rFonts w:ascii="Times New Roman" w:cs="Times New Roman" w:eastAsia="Times New Roman" w:hAnsi="Times New Roman"/>
          <w:sz w:val="22"/>
          <w:szCs w:val="22"/>
          <w:i w:val="1"/>
          <w:iCs w:val="1"/>
          <w:color w:val="auto"/>
        </w:rPr>
        <w:t>Compliance with Labor Laws</w:t>
      </w:r>
      <w:r>
        <w:rPr>
          <w:rFonts w:ascii="Times New Roman" w:cs="Times New Roman" w:eastAsia="Times New Roman" w:hAnsi="Times New Roman"/>
          <w:sz w:val="22"/>
          <w:szCs w:val="22"/>
          <w:color w:val="auto"/>
        </w:rPr>
        <w:t>. Neither the Company nor any subsidiary is in violation of or has received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could reasonably be expected to have a Material Adverse Effect.</w:t>
      </w:r>
    </w:p>
    <w:p>
      <w:pPr>
        <w:spacing w:after="0" w:line="175" w:lineRule="exact"/>
        <w:rPr>
          <w:sz w:val="20"/>
          <w:szCs w:val="20"/>
          <w:color w:val="auto"/>
        </w:rPr>
      </w:pPr>
    </w:p>
    <w:p>
      <w:pPr>
        <w:ind w:left="300" w:right="359" w:firstLine="1944"/>
        <w:spacing w:after="0" w:line="245" w:lineRule="auto"/>
        <w:rPr>
          <w:sz w:val="20"/>
          <w:szCs w:val="20"/>
          <w:color w:val="auto"/>
        </w:rPr>
      </w:pPr>
      <w:r>
        <w:rPr>
          <w:rFonts w:ascii="Times New Roman" w:cs="Times New Roman" w:eastAsia="Times New Roman" w:hAnsi="Times New Roman"/>
          <w:sz w:val="21"/>
          <w:szCs w:val="21"/>
          <w:color w:val="auto"/>
        </w:rPr>
        <w:t>(xlv)</w:t>
      </w:r>
      <w:r>
        <w:rPr>
          <w:rFonts w:ascii="Times New Roman" w:cs="Times New Roman" w:eastAsia="Times New Roman" w:hAnsi="Times New Roman"/>
          <w:sz w:val="21"/>
          <w:szCs w:val="21"/>
          <w:i w:val="1"/>
          <w:iCs w:val="1"/>
          <w:color w:val="auto"/>
        </w:rPr>
        <w:t>No Unlawful Payments</w:t>
      </w:r>
      <w:r>
        <w:rPr>
          <w:rFonts w:ascii="Times New Roman" w:cs="Times New Roman" w:eastAsia="Times New Roman" w:hAnsi="Times New Roman"/>
          <w:sz w:val="21"/>
          <w:szCs w:val="21"/>
          <w:color w:val="auto"/>
        </w:rPr>
        <w:t>. Neither the Company nor its subsidiary, nor, to the knowledge of the Company, any director, officer, agent, employee or other person acting on behalf of the Company or its subsidiary,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U.S. Foreign Corrupt Practices Act of 1977, the Organization for Economic Co-operation and Development Convention on Bribery of Foreign Public Officials in International Business Transactions, and the rules and regulations thereunder and any other similar foreign or domestic law or regulation; or (iv) made any bribe, rebate, payoff, influence payment, kickback or other unlawful payment. The Company has instituted and maintains policies and procedures designed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7" w:name="page48"/>
    <w:bookmarkEnd w:id="47"/>
    <w:p>
      <w:pPr>
        <w:ind w:left="300" w:right="639"/>
        <w:spacing w:after="0" w:line="258" w:lineRule="auto"/>
        <w:rPr>
          <w:sz w:val="20"/>
          <w:szCs w:val="20"/>
          <w:color w:val="auto"/>
        </w:rPr>
      </w:pPr>
      <w:r>
        <w:rPr>
          <w:rFonts w:ascii="Times New Roman" w:cs="Times New Roman" w:eastAsia="Times New Roman" w:hAnsi="Times New Roman"/>
          <w:sz w:val="22"/>
          <w:szCs w:val="22"/>
          <w:color w:val="auto"/>
        </w:rPr>
        <w:t>to ensure continued compliance with the laws and regulations referenced in clause (iii) of this paragraph.</w:t>
      </w:r>
    </w:p>
    <w:p>
      <w:pPr>
        <w:spacing w:after="0" w:line="154" w:lineRule="exact"/>
        <w:rPr>
          <w:sz w:val="20"/>
          <w:szCs w:val="20"/>
          <w:color w:val="auto"/>
        </w:rPr>
      </w:pPr>
    </w:p>
    <w:p>
      <w:pPr>
        <w:ind w:left="300" w:right="339" w:firstLine="1944"/>
        <w:spacing w:after="0" w:line="234" w:lineRule="auto"/>
        <w:rPr>
          <w:sz w:val="20"/>
          <w:szCs w:val="20"/>
          <w:color w:val="auto"/>
        </w:rPr>
      </w:pPr>
      <w:r>
        <w:rPr>
          <w:rFonts w:ascii="Times New Roman" w:cs="Times New Roman" w:eastAsia="Times New Roman" w:hAnsi="Times New Roman"/>
          <w:sz w:val="22"/>
          <w:szCs w:val="22"/>
          <w:color w:val="auto"/>
        </w:rPr>
        <w:t>(xlvi)</w:t>
      </w:r>
      <w:r>
        <w:rPr>
          <w:rFonts w:ascii="Times New Roman" w:cs="Times New Roman" w:eastAsia="Times New Roman" w:hAnsi="Times New Roman"/>
          <w:sz w:val="22"/>
          <w:szCs w:val="22"/>
          <w:i w:val="1"/>
          <w:iCs w:val="1"/>
          <w:color w:val="auto"/>
        </w:rPr>
        <w:t>Anti-Money Laundering Compliance</w:t>
      </w:r>
      <w:r>
        <w:rPr>
          <w:rFonts w:ascii="Times New Roman" w:cs="Times New Roman" w:eastAsia="Times New Roman" w:hAnsi="Times New Roman"/>
          <w:sz w:val="22"/>
          <w:szCs w:val="22"/>
          <w:color w:val="auto"/>
        </w:rPr>
        <w:t xml:space="preserve">. The operations of the Company and its subsidiary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applicable related or similar rules, regulations or guidelines, issued, administered or enforced by any governmental agency (collectively, the </w:t>
      </w:r>
      <w:r>
        <w:rPr>
          <w:rFonts w:ascii="Times New Roman" w:cs="Times New Roman" w:eastAsia="Times New Roman" w:hAnsi="Times New Roman"/>
          <w:sz w:val="22"/>
          <w:szCs w:val="22"/>
          <w:b w:val="1"/>
          <w:bCs w:val="1"/>
          <w:i w:val="1"/>
          <w:iCs w:val="1"/>
          <w:color w:val="auto"/>
        </w:rPr>
        <w:t>“Money Laundering Laws”</w:t>
      </w:r>
      <w:r>
        <w:rPr>
          <w:rFonts w:ascii="Times New Roman" w:cs="Times New Roman" w:eastAsia="Times New Roman" w:hAnsi="Times New Roman"/>
          <w:sz w:val="22"/>
          <w:szCs w:val="22"/>
          <w:color w:val="auto"/>
        </w:rPr>
        <w:t>) and no action, suit or proceeding by or before any court or governmental agency, authority or body or any arbitrator involving the Company or its subsidiary with respect to the Money Laundering Laws is pending or, to the knowledge of the Company, threatened.</w:t>
      </w:r>
    </w:p>
    <w:p>
      <w:pPr>
        <w:spacing w:after="0" w:line="17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(xlvii)</w:t>
      </w:r>
      <w:r>
        <w:rPr>
          <w:rFonts w:ascii="Times New Roman" w:cs="Times New Roman" w:eastAsia="Times New Roman" w:hAnsi="Times New Roman"/>
          <w:sz w:val="22"/>
          <w:szCs w:val="22"/>
          <w:i w:val="1"/>
          <w:iCs w:val="1"/>
          <w:color w:val="auto"/>
        </w:rPr>
        <w:t>OFAC</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3380" w:hanging="496"/>
        <w:spacing w:after="0"/>
        <w:tabs>
          <w:tab w:leader="none" w:pos="33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its subsidiary, nor any or their</w:t>
      </w:r>
    </w:p>
    <w:p>
      <w:pPr>
        <w:spacing w:after="0" w:line="14" w:lineRule="exact"/>
        <w:rPr>
          <w:rFonts w:ascii="Times New Roman" w:cs="Times New Roman" w:eastAsia="Times New Roman" w:hAnsi="Times New Roman"/>
          <w:sz w:val="22"/>
          <w:szCs w:val="22"/>
          <w:color w:val="auto"/>
        </w:rPr>
      </w:pPr>
    </w:p>
    <w:p>
      <w:pPr>
        <w:ind w:left="300" w:right="49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officers or employees, nor, to the Company’s knowledge, any agent, affiliate or representative of the Company or its subsidiary, is an individual or entity that is, or is owned or controlled by an individual or entity that is:</w:t>
      </w:r>
    </w:p>
    <w:p>
      <w:pPr>
        <w:spacing w:after="0" w:line="177" w:lineRule="exact"/>
        <w:rPr>
          <w:rFonts w:ascii="Times New Roman" w:cs="Times New Roman" w:eastAsia="Times New Roman" w:hAnsi="Times New Roman"/>
          <w:sz w:val="22"/>
          <w:szCs w:val="22"/>
          <w:color w:val="auto"/>
        </w:rPr>
      </w:pPr>
    </w:p>
    <w:p>
      <w:pPr>
        <w:jc w:val="both"/>
        <w:ind w:left="300" w:right="339" w:firstLine="3232"/>
        <w:spacing w:after="0" w:line="239" w:lineRule="auto"/>
        <w:tabs>
          <w:tab w:leader="none" w:pos="382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of any sanctions administered or enforced by the U.S. Department of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nor</w:t>
      </w:r>
    </w:p>
    <w:p>
      <w:pPr>
        <w:spacing w:after="0" w:line="180" w:lineRule="exact"/>
        <w:rPr>
          <w:rFonts w:ascii="Times New Roman" w:cs="Times New Roman" w:eastAsia="Times New Roman" w:hAnsi="Times New Roman"/>
          <w:sz w:val="22"/>
          <w:szCs w:val="22"/>
          <w:color w:val="auto"/>
        </w:rPr>
      </w:pPr>
    </w:p>
    <w:p>
      <w:pPr>
        <w:jc w:val="both"/>
        <w:ind w:left="300" w:right="579" w:firstLine="3232"/>
        <w:spacing w:after="0" w:line="244" w:lineRule="auto"/>
        <w:tabs>
          <w:tab w:leader="none" w:pos="382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organized or resident in a country or territory that is the subject of Sanctions (including, without limitation, Cuba, Iran, North Korea, Sudan, Syria and the Crimea region of Ukraine claimed by Russia).</w:t>
      </w:r>
    </w:p>
    <w:p>
      <w:pPr>
        <w:spacing w:after="0" w:line="173" w:lineRule="exact"/>
        <w:rPr>
          <w:rFonts w:ascii="Times New Roman" w:cs="Times New Roman" w:eastAsia="Times New Roman" w:hAnsi="Times New Roman"/>
          <w:sz w:val="22"/>
          <w:szCs w:val="22"/>
          <w:color w:val="auto"/>
        </w:rPr>
      </w:pPr>
    </w:p>
    <w:p>
      <w:pPr>
        <w:ind w:left="3380" w:hanging="496"/>
        <w:spacing w:after="0"/>
        <w:tabs>
          <w:tab w:leader="none" w:pos="33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its subsidiary will, directly or</w:t>
      </w:r>
    </w:p>
    <w:p>
      <w:pPr>
        <w:spacing w:after="0" w:line="14" w:lineRule="exact"/>
        <w:rPr>
          <w:rFonts w:ascii="Times New Roman" w:cs="Times New Roman" w:eastAsia="Times New Roman" w:hAnsi="Times New Roman"/>
          <w:sz w:val="22"/>
          <w:szCs w:val="22"/>
          <w:color w:val="auto"/>
        </w:rPr>
      </w:pPr>
    </w:p>
    <w:p>
      <w:pPr>
        <w:ind w:left="300" w:right="45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indirectly, use the proceeds of the offering, or lend, contribute or otherwise make available such proceeds to any subsidiary, joint venture partner or other individual or entity:</w:t>
      </w:r>
    </w:p>
    <w:p>
      <w:pPr>
        <w:spacing w:after="0" w:line="178" w:lineRule="exact"/>
        <w:rPr>
          <w:rFonts w:ascii="Times New Roman" w:cs="Times New Roman" w:eastAsia="Times New Roman" w:hAnsi="Times New Roman"/>
          <w:sz w:val="22"/>
          <w:szCs w:val="22"/>
          <w:color w:val="auto"/>
        </w:rPr>
      </w:pPr>
    </w:p>
    <w:p>
      <w:pPr>
        <w:ind w:left="3820" w:hanging="288"/>
        <w:spacing w:after="0"/>
        <w:tabs>
          <w:tab w:leader="none" w:pos="382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fund or facilitate any activities or business of or with</w:t>
      </w:r>
    </w:p>
    <w:p>
      <w:pPr>
        <w:spacing w:after="0" w:line="25" w:lineRule="exact"/>
        <w:rPr>
          <w:rFonts w:ascii="Times New Roman" w:cs="Times New Roman" w:eastAsia="Times New Roman" w:hAnsi="Times New Roman"/>
          <w:sz w:val="21"/>
          <w:szCs w:val="21"/>
          <w:color w:val="auto"/>
        </w:rPr>
      </w:pPr>
    </w:p>
    <w:p>
      <w:pPr>
        <w:ind w:left="300" w:right="113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individual or entity or in any country or territory that, at the time of such funding or facilitation, is the subject of Sanctions; or</w:t>
      </w:r>
    </w:p>
    <w:p>
      <w:pPr>
        <w:spacing w:after="0" w:line="178" w:lineRule="exact"/>
        <w:rPr>
          <w:rFonts w:ascii="Times New Roman" w:cs="Times New Roman" w:eastAsia="Times New Roman" w:hAnsi="Times New Roman"/>
          <w:sz w:val="21"/>
          <w:szCs w:val="21"/>
          <w:color w:val="auto"/>
        </w:rPr>
      </w:pPr>
    </w:p>
    <w:p>
      <w:pPr>
        <w:ind w:left="300" w:right="739" w:firstLine="3232"/>
        <w:spacing w:after="0" w:line="244" w:lineRule="auto"/>
        <w:tabs>
          <w:tab w:leader="none" w:pos="382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manner that will result in a violation of Sanctions by any individual or entity (including any individual or entity participating in the offering, whether as underwriter, advisor, investor or otherwise).</w:t>
      </w:r>
    </w:p>
    <w:p>
      <w:pPr>
        <w:spacing w:after="0" w:line="173" w:lineRule="exact"/>
        <w:rPr>
          <w:rFonts w:ascii="Times New Roman" w:cs="Times New Roman" w:eastAsia="Times New Roman" w:hAnsi="Times New Roman"/>
          <w:sz w:val="22"/>
          <w:szCs w:val="22"/>
          <w:color w:val="auto"/>
        </w:rPr>
      </w:pPr>
    </w:p>
    <w:p>
      <w:pPr>
        <w:ind w:left="3380" w:hanging="496"/>
        <w:spacing w:after="0"/>
        <w:tabs>
          <w:tab w:leader="none" w:pos="33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past five years, neither the Company nor its</w:t>
      </w:r>
    </w:p>
    <w:p>
      <w:pPr>
        <w:spacing w:after="0" w:line="14" w:lineRule="exact"/>
        <w:rPr>
          <w:rFonts w:ascii="Times New Roman" w:cs="Times New Roman" w:eastAsia="Times New Roman" w:hAnsi="Times New Roman"/>
          <w:sz w:val="22"/>
          <w:szCs w:val="22"/>
          <w:color w:val="auto"/>
        </w:rPr>
      </w:pPr>
    </w:p>
    <w:p>
      <w:pPr>
        <w:jc w:val="both"/>
        <w:ind w:left="300" w:right="67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has knowingly engaged in, and is not now knowingly engaged in, any dealings or transactions with any individual or entity, or in any country or territory, that at the time of the dealing or transaction is or was the subject of Sanctions.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8" w:name="page49"/>
    <w:bookmarkEnd w:id="48"/>
    <w:p>
      <w:pPr>
        <w:ind w:left="300" w:right="519" w:firstLine="1944"/>
        <w:spacing w:after="0" w:line="238" w:lineRule="auto"/>
        <w:rPr>
          <w:sz w:val="20"/>
          <w:szCs w:val="20"/>
          <w:color w:val="auto"/>
        </w:rPr>
      </w:pPr>
      <w:r>
        <w:rPr>
          <w:rFonts w:ascii="Times New Roman" w:cs="Times New Roman" w:eastAsia="Times New Roman" w:hAnsi="Times New Roman"/>
          <w:sz w:val="22"/>
          <w:szCs w:val="22"/>
          <w:color w:val="auto"/>
        </w:rPr>
        <w:t>(xlviii)</w:t>
      </w:r>
      <w:r>
        <w:rPr>
          <w:rFonts w:ascii="Times New Roman" w:cs="Times New Roman" w:eastAsia="Times New Roman" w:hAnsi="Times New Roman"/>
          <w:sz w:val="22"/>
          <w:szCs w:val="22"/>
          <w:i w:val="1"/>
          <w:iCs w:val="1"/>
          <w:color w:val="auto"/>
        </w:rPr>
        <w:t>Not a Passive Foreign Investment Company</w:t>
      </w:r>
      <w:r>
        <w:rPr>
          <w:rFonts w:ascii="Times New Roman" w:cs="Times New Roman" w:eastAsia="Times New Roman" w:hAnsi="Times New Roman"/>
          <w:sz w:val="22"/>
          <w:szCs w:val="22"/>
          <w:color w:val="auto"/>
        </w:rPr>
        <w:t>. Subject to the qualifications and assumptions set forth in the Registration Statement, the Company is not, and upon the sale of the Shares contemplated by this Agreement does not expect to become, a “passive foreign investment company” (as defined in Section 1297 of the Code, and the regulations promulgated thereunder).</w:t>
      </w:r>
    </w:p>
    <w:p>
      <w:pPr>
        <w:spacing w:after="0" w:line="177" w:lineRule="exact"/>
        <w:rPr>
          <w:sz w:val="20"/>
          <w:szCs w:val="20"/>
          <w:color w:val="auto"/>
        </w:rPr>
      </w:pPr>
    </w:p>
    <w:p>
      <w:pPr>
        <w:ind w:left="300" w:right="359" w:firstLine="1944"/>
        <w:spacing w:after="0" w:line="241" w:lineRule="auto"/>
        <w:rPr>
          <w:sz w:val="20"/>
          <w:szCs w:val="20"/>
          <w:color w:val="auto"/>
        </w:rPr>
      </w:pPr>
      <w:r>
        <w:rPr>
          <w:rFonts w:ascii="Times New Roman" w:cs="Times New Roman" w:eastAsia="Times New Roman" w:hAnsi="Times New Roman"/>
          <w:sz w:val="22"/>
          <w:szCs w:val="22"/>
          <w:color w:val="auto"/>
        </w:rPr>
        <w:t>(xlix)</w:t>
      </w:r>
      <w:r>
        <w:rPr>
          <w:rFonts w:ascii="Times New Roman" w:cs="Times New Roman" w:eastAsia="Times New Roman" w:hAnsi="Times New Roman"/>
          <w:sz w:val="22"/>
          <w:szCs w:val="22"/>
          <w:i w:val="1"/>
          <w:iCs w:val="1"/>
          <w:color w:val="auto"/>
        </w:rPr>
        <w:t>No Taxes or Fees Due Upon Issuance</w:t>
      </w:r>
      <w:r>
        <w:rPr>
          <w:rFonts w:ascii="Times New Roman" w:cs="Times New Roman" w:eastAsia="Times New Roman" w:hAnsi="Times New Roman"/>
          <w:sz w:val="22"/>
          <w:szCs w:val="22"/>
          <w:color w:val="auto"/>
        </w:rPr>
        <w:t>. No stamp, issue, registration, documentary, transfer or other similar taxes and duties, including interest and penalties, are payable on or in connection with the issuance and sale of the Shares by the Company or the execution and delivery of this Agreement.</w:t>
      </w:r>
    </w:p>
    <w:p>
      <w:pPr>
        <w:spacing w:after="0" w:line="172" w:lineRule="exact"/>
        <w:rPr>
          <w:sz w:val="20"/>
          <w:szCs w:val="20"/>
          <w:color w:val="auto"/>
        </w:rPr>
      </w:pPr>
    </w:p>
    <w:p>
      <w:pPr>
        <w:ind w:left="300" w:right="359" w:firstLine="1936"/>
        <w:spacing w:after="0" w:line="238" w:lineRule="auto"/>
        <w:tabs>
          <w:tab w:leader="none" w:pos="250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Immunity</w:t>
      </w:r>
      <w:r>
        <w:rPr>
          <w:rFonts w:ascii="Times New Roman" w:cs="Times New Roman" w:eastAsia="Times New Roman" w:hAnsi="Times New Roman"/>
          <w:sz w:val="22"/>
          <w:szCs w:val="22"/>
          <w:color w:val="auto"/>
        </w:rPr>
        <w:t>. Neither the Company nor its subsidiary, nor any of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respective properties or assets, has any immunity from the jurisdiction of any court or from any legal process (whether through service or notice, attachment to prior judgment, attachment in aid of execution or otherwise) under the laws of any jurisdiction in which it is organized, headquartered or doing business.</w:t>
      </w:r>
    </w:p>
    <w:p>
      <w:pPr>
        <w:spacing w:after="0" w:line="177" w:lineRule="exact"/>
        <w:rPr>
          <w:sz w:val="20"/>
          <w:szCs w:val="20"/>
          <w:color w:val="auto"/>
        </w:rPr>
      </w:pPr>
    </w:p>
    <w:p>
      <w:pPr>
        <w:ind w:left="300" w:right="779" w:firstLine="1944"/>
        <w:spacing w:after="0" w:line="246" w:lineRule="auto"/>
        <w:rPr>
          <w:sz w:val="20"/>
          <w:szCs w:val="20"/>
          <w:color w:val="auto"/>
        </w:rPr>
      </w:pPr>
      <w:r>
        <w:rPr>
          <w:rFonts w:ascii="Times New Roman" w:cs="Times New Roman" w:eastAsia="Times New Roman" w:hAnsi="Times New Roman"/>
          <w:sz w:val="22"/>
          <w:szCs w:val="22"/>
          <w:color w:val="auto"/>
        </w:rPr>
        <w:t>(li)</w:t>
      </w:r>
      <w:r>
        <w:rPr>
          <w:rFonts w:ascii="Times New Roman" w:cs="Times New Roman" w:eastAsia="Times New Roman" w:hAnsi="Times New Roman"/>
          <w:sz w:val="22"/>
          <w:szCs w:val="22"/>
          <w:i w:val="1"/>
          <w:iCs w:val="1"/>
          <w:color w:val="auto"/>
        </w:rPr>
        <w:t>No Legal, Accounting or Tax Advice</w:t>
      </w:r>
      <w:r>
        <w:rPr>
          <w:rFonts w:ascii="Times New Roman" w:cs="Times New Roman" w:eastAsia="Times New Roman" w:hAnsi="Times New Roman"/>
          <w:sz w:val="22"/>
          <w:szCs w:val="22"/>
          <w:color w:val="auto"/>
        </w:rPr>
        <w:t>. The Company has not relied upon the Agent or legal counsel for the Agent for any legal, tax or accounting advice in connection with the offering and sale of the Shares.</w:t>
      </w:r>
    </w:p>
    <w:p>
      <w:pPr>
        <w:spacing w:after="0" w:line="167" w:lineRule="exact"/>
        <w:rPr>
          <w:sz w:val="20"/>
          <w:szCs w:val="20"/>
          <w:color w:val="auto"/>
        </w:rPr>
      </w:pPr>
    </w:p>
    <w:p>
      <w:pPr>
        <w:jc w:val="both"/>
        <w:ind w:left="300" w:right="339" w:firstLine="1944"/>
        <w:spacing w:after="0" w:line="241" w:lineRule="auto"/>
        <w:rPr>
          <w:sz w:val="20"/>
          <w:szCs w:val="20"/>
          <w:color w:val="auto"/>
        </w:rPr>
      </w:pPr>
      <w:r>
        <w:rPr>
          <w:rFonts w:ascii="Times New Roman" w:cs="Times New Roman" w:eastAsia="Times New Roman" w:hAnsi="Times New Roman"/>
          <w:sz w:val="22"/>
          <w:szCs w:val="22"/>
          <w:color w:val="auto"/>
        </w:rPr>
        <w:t>(lii)</w:t>
      </w:r>
      <w:r>
        <w:rPr>
          <w:rFonts w:ascii="Times New Roman" w:cs="Times New Roman" w:eastAsia="Times New Roman" w:hAnsi="Times New Roman"/>
          <w:sz w:val="22"/>
          <w:szCs w:val="22"/>
          <w:i w:val="1"/>
          <w:iCs w:val="1"/>
          <w:color w:val="auto"/>
        </w:rPr>
        <w:t>Certificate as Representation and Warranty</w:t>
      </w:r>
      <w:r>
        <w:rPr>
          <w:rFonts w:ascii="Times New Roman" w:cs="Times New Roman" w:eastAsia="Times New Roman" w:hAnsi="Times New Roman"/>
          <w:sz w:val="22"/>
          <w:szCs w:val="22"/>
          <w:color w:val="auto"/>
        </w:rPr>
        <w:t>. Any certificate signed by any officer of the Company and delivered to the Agent or the Agent’s counsel in connection with the offering of the Shares shall be deemed a representation and warranty by the Company to the Agent as to the matters covered thereby.</w:t>
      </w:r>
    </w:p>
    <w:p>
      <w:pPr>
        <w:spacing w:after="0" w:line="172" w:lineRule="exact"/>
        <w:rPr>
          <w:sz w:val="20"/>
          <w:szCs w:val="20"/>
          <w:color w:val="auto"/>
        </w:rPr>
      </w:pPr>
    </w:p>
    <w:p>
      <w:pPr>
        <w:ind w:left="300" w:right="319" w:firstLine="1944"/>
        <w:spacing w:after="0" w:line="243" w:lineRule="auto"/>
        <w:rPr>
          <w:sz w:val="20"/>
          <w:szCs w:val="20"/>
          <w:color w:val="auto"/>
        </w:rPr>
      </w:pPr>
      <w:r>
        <w:rPr>
          <w:rFonts w:ascii="Times New Roman" w:cs="Times New Roman" w:eastAsia="Times New Roman" w:hAnsi="Times New Roman"/>
          <w:sz w:val="21"/>
          <w:szCs w:val="21"/>
          <w:color w:val="auto"/>
        </w:rPr>
        <w:t>(liii)</w:t>
      </w:r>
      <w:r>
        <w:rPr>
          <w:rFonts w:ascii="Times New Roman" w:cs="Times New Roman" w:eastAsia="Times New Roman" w:hAnsi="Times New Roman"/>
          <w:sz w:val="21"/>
          <w:szCs w:val="21"/>
          <w:i w:val="1"/>
          <w:iCs w:val="1"/>
          <w:color w:val="auto"/>
        </w:rPr>
        <w:t>Cybersecurity.</w:t>
      </w:r>
      <w:r>
        <w:rPr>
          <w:rFonts w:ascii="Times New Roman" w:cs="Times New Roman" w:eastAsia="Times New Roman" w:hAnsi="Times New Roman"/>
          <w:sz w:val="21"/>
          <w:szCs w:val="21"/>
          <w:color w:val="auto"/>
        </w:rPr>
        <w:t xml:space="preserve"> The Company and its subsidiary’s information technology assets and equipment, computers, systems, networks, hardware, software, websites, applications, and databases (collectively, “</w:t>
      </w:r>
      <w:r>
        <w:rPr>
          <w:rFonts w:ascii="Times New Roman" w:cs="Times New Roman" w:eastAsia="Times New Roman" w:hAnsi="Times New Roman"/>
          <w:sz w:val="21"/>
          <w:szCs w:val="21"/>
          <w:b w:val="1"/>
          <w:bCs w:val="1"/>
          <w:i w:val="1"/>
          <w:iCs w:val="1"/>
          <w:color w:val="auto"/>
        </w:rPr>
        <w:t>IT Systems</w:t>
      </w:r>
      <w:r>
        <w:rPr>
          <w:rFonts w:ascii="Times New Roman" w:cs="Times New Roman" w:eastAsia="Times New Roman" w:hAnsi="Times New Roman"/>
          <w:sz w:val="21"/>
          <w:szCs w:val="21"/>
          <w:color w:val="auto"/>
        </w:rPr>
        <w:t>”) are adequate for, and operate and perform in all material respects as required in connection with the operation of the business of the Company and its subsidiary as currently conducted, free and clear of all material bugs, errors, defects, Trojan horses, time bombs, malware and other corruptants. The Company and its subsidiary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21"/>
          <w:szCs w:val="21"/>
          <w:b w:val="1"/>
          <w:bCs w:val="1"/>
          <w:i w:val="1"/>
          <w:iCs w:val="1"/>
          <w:color w:val="auto"/>
        </w:rPr>
        <w:t>Personal Data</w:t>
      </w:r>
      <w:r>
        <w:rPr>
          <w:rFonts w:ascii="Times New Roman" w:cs="Times New Roman" w:eastAsia="Times New Roman" w:hAnsi="Times New Roman"/>
          <w:sz w:val="21"/>
          <w:szCs w:val="21"/>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21"/>
          <w:szCs w:val="21"/>
          <w:b w:val="1"/>
          <w:bCs w:val="1"/>
          <w:i w:val="1"/>
          <w:iCs w:val="1"/>
          <w:color w:val="auto"/>
        </w:rPr>
        <w:t>HIPAA</w:t>
      </w:r>
      <w:r>
        <w:rPr>
          <w:rFonts w:ascii="Times New Roman" w:cs="Times New Roman" w:eastAsia="Times New Roman" w:hAnsi="Times New Roman"/>
          <w:sz w:val="21"/>
          <w:szCs w:val="21"/>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49" w:name="page50"/>
    <w:bookmarkEnd w:id="49"/>
    <w:p>
      <w:pPr>
        <w:ind w:left="300" w:right="499"/>
        <w:spacing w:after="0" w:line="235" w:lineRule="auto"/>
        <w:rPr>
          <w:sz w:val="20"/>
          <w:szCs w:val="20"/>
          <w:color w:val="auto"/>
        </w:rPr>
      </w:pPr>
      <w:r>
        <w:rPr>
          <w:rFonts w:ascii="Times New Roman" w:cs="Times New Roman" w:eastAsia="Times New Roman" w:hAnsi="Times New Roman"/>
          <w:sz w:val="22"/>
          <w:szCs w:val="22"/>
          <w:color w:val="auto"/>
        </w:rPr>
        <w:t>outages or unauthorized uses of or accesses to same, except for those that have been remedied without material cost or liability or the duty to notify any other person, nor any incidents under internal review or investigations relating to the same. The Company and its subsidiary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7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(liv)</w:t>
      </w:r>
      <w:r>
        <w:rPr>
          <w:rFonts w:ascii="Times New Roman" w:cs="Times New Roman" w:eastAsia="Times New Roman" w:hAnsi="Times New Roman"/>
          <w:sz w:val="22"/>
          <w:szCs w:val="22"/>
          <w:i w:val="1"/>
          <w:iCs w:val="1"/>
          <w:color w:val="auto"/>
        </w:rPr>
        <w:t>Compliance with Data Privacy Laws.</w:t>
      </w:r>
      <w:r>
        <w:rPr>
          <w:rFonts w:ascii="Times New Roman" w:cs="Times New Roman" w:eastAsia="Times New Roman" w:hAnsi="Times New Roman"/>
          <w:sz w:val="22"/>
          <w:szCs w:val="22"/>
          <w:color w:val="auto"/>
        </w:rPr>
        <w:t xml:space="preserve"> The Company and its</w:t>
      </w: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subsidiary are, and at all prior times were, in material compliance with all applicable state and</w:t>
      </w:r>
    </w:p>
    <w:p>
      <w:pPr>
        <w:ind w:left="300"/>
        <w:spacing w:after="0"/>
        <w:rPr>
          <w:sz w:val="20"/>
          <w:szCs w:val="20"/>
          <w:color w:val="auto"/>
        </w:rPr>
      </w:pPr>
      <w:r>
        <w:rPr>
          <w:rFonts w:ascii="Times New Roman" w:cs="Times New Roman" w:eastAsia="Times New Roman" w:hAnsi="Times New Roman"/>
          <w:sz w:val="21"/>
          <w:szCs w:val="21"/>
          <w:color w:val="auto"/>
        </w:rPr>
        <w:t>federal data privacy and security laws and regulations, including without limitation HIPAA, and</w:t>
      </w:r>
    </w:p>
    <w:p>
      <w:pPr>
        <w:ind w:left="300"/>
        <w:spacing w:after="0" w:line="231" w:lineRule="auto"/>
        <w:rPr>
          <w:sz w:val="20"/>
          <w:szCs w:val="20"/>
          <w:color w:val="auto"/>
        </w:rPr>
      </w:pPr>
      <w:r>
        <w:rPr>
          <w:rFonts w:ascii="Times New Roman" w:cs="Times New Roman" w:eastAsia="Times New Roman" w:hAnsi="Times New Roman"/>
          <w:sz w:val="22"/>
          <w:szCs w:val="22"/>
          <w:color w:val="auto"/>
        </w:rPr>
        <w:t>the Company and its subsidiary have taken commercially reasonable actions to prepare to</w:t>
      </w:r>
    </w:p>
    <w:p>
      <w:pPr>
        <w:ind w:left="300"/>
        <w:spacing w:after="0" w:line="231" w:lineRule="auto"/>
        <w:rPr>
          <w:sz w:val="20"/>
          <w:szCs w:val="20"/>
          <w:color w:val="auto"/>
        </w:rPr>
      </w:pPr>
      <w:r>
        <w:rPr>
          <w:rFonts w:ascii="Times New Roman" w:cs="Times New Roman" w:eastAsia="Times New Roman" w:hAnsi="Times New Roman"/>
          <w:sz w:val="22"/>
          <w:szCs w:val="22"/>
          <w:color w:val="auto"/>
        </w:rPr>
        <w:t>comply with, and since May 25, 2018, have been and currently are in compliance with, the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European Union General Data Protection Regulation (“</w:t>
      </w:r>
      <w:r>
        <w:rPr>
          <w:rFonts w:ascii="Times New Roman" w:cs="Times New Roman" w:eastAsia="Times New Roman" w:hAnsi="Times New Roman"/>
          <w:sz w:val="21"/>
          <w:szCs w:val="21"/>
          <w:b w:val="1"/>
          <w:bCs w:val="1"/>
          <w:i w:val="1"/>
          <w:iCs w:val="1"/>
          <w:color w:val="auto"/>
        </w:rPr>
        <w:t>GDPR</w:t>
      </w:r>
      <w:r>
        <w:rPr>
          <w:rFonts w:ascii="Times New Roman" w:cs="Times New Roman" w:eastAsia="Times New Roman" w:hAnsi="Times New Roman"/>
          <w:sz w:val="21"/>
          <w:szCs w:val="21"/>
          <w:color w:val="auto"/>
        </w:rPr>
        <w:t>”) (EU 2016/679) (collectively, the</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Privacy Laws</w:t>
      </w:r>
      <w:r>
        <w:rPr>
          <w:rFonts w:ascii="Times New Roman" w:cs="Times New Roman" w:eastAsia="Times New Roman" w:hAnsi="Times New Roman"/>
          <w:sz w:val="21"/>
          <w:szCs w:val="21"/>
          <w:color w:val="auto"/>
        </w:rPr>
        <w:t>”). To ensure compliance with the Privacy Laws, the Company and its subsidiary</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have in place, comply with, and take appropriate steps reasonably designed to ensure compliance</w:t>
      </w:r>
    </w:p>
    <w:p>
      <w:pPr>
        <w:ind w:left="300"/>
        <w:spacing w:after="0" w:line="231" w:lineRule="auto"/>
        <w:rPr>
          <w:sz w:val="20"/>
          <w:szCs w:val="20"/>
          <w:color w:val="auto"/>
        </w:rPr>
      </w:pPr>
      <w:r>
        <w:rPr>
          <w:rFonts w:ascii="Times New Roman" w:cs="Times New Roman" w:eastAsia="Times New Roman" w:hAnsi="Times New Roman"/>
          <w:sz w:val="22"/>
          <w:szCs w:val="22"/>
          <w:color w:val="auto"/>
        </w:rPr>
        <w:t>in all material respects with their policies and procedures relating to data privacy and security</w:t>
      </w:r>
    </w:p>
    <w:p>
      <w:pPr>
        <w:ind w:left="300"/>
        <w:spacing w:after="0" w:line="231" w:lineRule="auto"/>
        <w:rPr>
          <w:sz w:val="20"/>
          <w:szCs w:val="20"/>
          <w:color w:val="auto"/>
        </w:rPr>
      </w:pPr>
      <w:r>
        <w:rPr>
          <w:rFonts w:ascii="Times New Roman" w:cs="Times New Roman" w:eastAsia="Times New Roman" w:hAnsi="Times New Roman"/>
          <w:sz w:val="22"/>
          <w:szCs w:val="22"/>
          <w:color w:val="auto"/>
        </w:rPr>
        <w:t>and the collection, storage, use, disclosure, handling, and analysis of Personal Data (the</w:t>
      </w:r>
    </w:p>
    <w:p>
      <w:pPr>
        <w:ind w:left="300"/>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Policies</w:t>
      </w:r>
      <w:r>
        <w:rPr>
          <w:rFonts w:ascii="Times New Roman" w:cs="Times New Roman" w:eastAsia="Times New Roman" w:hAnsi="Times New Roman"/>
          <w:sz w:val="22"/>
          <w:szCs w:val="22"/>
          <w:color w:val="auto"/>
        </w:rPr>
        <w:t>”). The Company and its subsidiary have at all times made all disclosures to users or</w:t>
      </w:r>
    </w:p>
    <w:p>
      <w:pPr>
        <w:ind w:left="300"/>
        <w:spacing w:after="0" w:line="230" w:lineRule="auto"/>
        <w:rPr>
          <w:sz w:val="20"/>
          <w:szCs w:val="20"/>
          <w:color w:val="auto"/>
        </w:rPr>
      </w:pPr>
      <w:r>
        <w:rPr>
          <w:rFonts w:ascii="Times New Roman" w:cs="Times New Roman" w:eastAsia="Times New Roman" w:hAnsi="Times New Roman"/>
          <w:sz w:val="22"/>
          <w:szCs w:val="22"/>
          <w:color w:val="auto"/>
        </w:rPr>
        <w:t>customers required by applicable laws and regulatory rules or requirements, and none of such</w:t>
      </w:r>
    </w:p>
    <w:p>
      <w:pPr>
        <w:ind w:left="300"/>
        <w:spacing w:after="0" w:line="231" w:lineRule="auto"/>
        <w:rPr>
          <w:sz w:val="20"/>
          <w:szCs w:val="20"/>
          <w:color w:val="auto"/>
        </w:rPr>
      </w:pPr>
      <w:r>
        <w:rPr>
          <w:rFonts w:ascii="Times New Roman" w:cs="Times New Roman" w:eastAsia="Times New Roman" w:hAnsi="Times New Roman"/>
          <w:sz w:val="22"/>
          <w:szCs w:val="22"/>
          <w:color w:val="auto"/>
        </w:rPr>
        <w:t>disclosures made or contained in any Policy have, to the knowledge of the Company, been</w:t>
      </w:r>
    </w:p>
    <w:p>
      <w:pPr>
        <w:ind w:left="300"/>
        <w:spacing w:after="0" w:line="230" w:lineRule="auto"/>
        <w:rPr>
          <w:sz w:val="20"/>
          <w:szCs w:val="20"/>
          <w:color w:val="auto"/>
        </w:rPr>
      </w:pPr>
      <w:r>
        <w:rPr>
          <w:rFonts w:ascii="Times New Roman" w:cs="Times New Roman" w:eastAsia="Times New Roman" w:hAnsi="Times New Roman"/>
          <w:sz w:val="22"/>
          <w:szCs w:val="22"/>
          <w:color w:val="auto"/>
        </w:rPr>
        <w:t>inaccurate or in violation of any applicable laws and regulatory rules or requirements in any</w:t>
      </w:r>
    </w:p>
    <w:p>
      <w:pPr>
        <w:ind w:left="300"/>
        <w:spacing w:after="0" w:line="231" w:lineRule="auto"/>
        <w:rPr>
          <w:sz w:val="20"/>
          <w:szCs w:val="20"/>
          <w:color w:val="auto"/>
        </w:rPr>
      </w:pPr>
      <w:r>
        <w:rPr>
          <w:rFonts w:ascii="Times New Roman" w:cs="Times New Roman" w:eastAsia="Times New Roman" w:hAnsi="Times New Roman"/>
          <w:sz w:val="22"/>
          <w:szCs w:val="22"/>
          <w:color w:val="auto"/>
        </w:rPr>
        <w:t>material respect. The Company further certifies that neither it nor any subsidiary: (i) has</w:t>
      </w:r>
    </w:p>
    <w:p>
      <w:pPr>
        <w:ind w:left="300"/>
        <w:spacing w:after="0" w:line="230" w:lineRule="auto"/>
        <w:rPr>
          <w:sz w:val="20"/>
          <w:szCs w:val="20"/>
          <w:color w:val="auto"/>
        </w:rPr>
      </w:pPr>
      <w:r>
        <w:rPr>
          <w:rFonts w:ascii="Times New Roman" w:cs="Times New Roman" w:eastAsia="Times New Roman" w:hAnsi="Times New Roman"/>
          <w:sz w:val="22"/>
          <w:szCs w:val="22"/>
          <w:color w:val="auto"/>
        </w:rPr>
        <w:t>received notice of any actual or potential liability under or relating to, or actual or potential</w:t>
      </w:r>
    </w:p>
    <w:p>
      <w:pPr>
        <w:ind w:left="300"/>
        <w:spacing w:after="0" w:line="231" w:lineRule="auto"/>
        <w:rPr>
          <w:sz w:val="20"/>
          <w:szCs w:val="20"/>
          <w:color w:val="auto"/>
        </w:rPr>
      </w:pPr>
      <w:r>
        <w:rPr>
          <w:rFonts w:ascii="Times New Roman" w:cs="Times New Roman" w:eastAsia="Times New Roman" w:hAnsi="Times New Roman"/>
          <w:sz w:val="22"/>
          <w:szCs w:val="22"/>
          <w:color w:val="auto"/>
        </w:rPr>
        <w:t>violation of, any of the Privacy Laws, and has no knowledge of any event or condition that</w:t>
      </w:r>
    </w:p>
    <w:p>
      <w:pPr>
        <w:ind w:left="300"/>
        <w:spacing w:after="0"/>
        <w:rPr>
          <w:sz w:val="20"/>
          <w:szCs w:val="20"/>
          <w:color w:val="auto"/>
        </w:rPr>
      </w:pPr>
      <w:r>
        <w:rPr>
          <w:rFonts w:ascii="Times New Roman" w:cs="Times New Roman" w:eastAsia="Times New Roman" w:hAnsi="Times New Roman"/>
          <w:sz w:val="21"/>
          <w:szCs w:val="21"/>
          <w:color w:val="auto"/>
        </w:rPr>
        <w:t>would reasonably be expected to result in any such notice; (ii) is currently conducting or paying</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for, in whole or in part, any investigation, remediation, or other corrective action pursuant to any</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Privacy Law; or (iii) is a party to any order, decree, or agreement that imposes any obligation or</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liability under any Privacy Law.</w:t>
      </w:r>
    </w:p>
    <w:p>
      <w:pPr>
        <w:spacing w:after="0" w:line="178" w:lineRule="exact"/>
        <w:rPr>
          <w:sz w:val="20"/>
          <w:szCs w:val="20"/>
          <w:color w:val="auto"/>
        </w:rPr>
      </w:pPr>
    </w:p>
    <w:p>
      <w:pPr>
        <w:ind w:left="300" w:right="499" w:firstLine="1944"/>
        <w:spacing w:after="0" w:line="256" w:lineRule="auto"/>
        <w:rPr>
          <w:sz w:val="20"/>
          <w:szCs w:val="20"/>
          <w:color w:val="auto"/>
        </w:rPr>
      </w:pPr>
      <w:r>
        <w:rPr>
          <w:rFonts w:ascii="Times New Roman" w:cs="Times New Roman" w:eastAsia="Times New Roman" w:hAnsi="Times New Roman"/>
          <w:sz w:val="21"/>
          <w:szCs w:val="21"/>
          <w:color w:val="auto"/>
        </w:rPr>
        <w:t>(lv)</w:t>
      </w:r>
      <w:r>
        <w:rPr>
          <w:rFonts w:ascii="Times New Roman" w:cs="Times New Roman" w:eastAsia="Times New Roman" w:hAnsi="Times New Roman"/>
          <w:sz w:val="21"/>
          <w:szCs w:val="21"/>
          <w:i w:val="1"/>
          <w:iCs w:val="1"/>
          <w:color w:val="auto"/>
        </w:rPr>
        <w:t>eXtensible Business Reporting Language</w:t>
      </w:r>
      <w:r>
        <w:rPr>
          <w:rFonts w:ascii="Times New Roman" w:cs="Times New Roman" w:eastAsia="Times New Roman" w:hAnsi="Times New Roman"/>
          <w:sz w:val="21"/>
          <w:szCs w:val="21"/>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58" w:lineRule="exact"/>
        <w:rPr>
          <w:sz w:val="20"/>
          <w:szCs w:val="20"/>
          <w:color w:val="auto"/>
        </w:rPr>
      </w:pPr>
    </w:p>
    <w:p>
      <w:pPr>
        <w:ind w:left="300" w:right="319" w:firstLine="1944"/>
        <w:spacing w:after="0" w:line="234" w:lineRule="auto"/>
        <w:rPr>
          <w:sz w:val="20"/>
          <w:szCs w:val="20"/>
          <w:color w:val="auto"/>
        </w:rPr>
      </w:pPr>
      <w:r>
        <w:rPr>
          <w:rFonts w:ascii="Times New Roman" w:cs="Times New Roman" w:eastAsia="Times New Roman" w:hAnsi="Times New Roman"/>
          <w:sz w:val="22"/>
          <w:szCs w:val="22"/>
          <w:color w:val="auto"/>
        </w:rPr>
        <w:t>(lvi)</w:t>
      </w:r>
      <w:r>
        <w:rPr>
          <w:rFonts w:ascii="Times New Roman" w:cs="Times New Roman" w:eastAsia="Times New Roman" w:hAnsi="Times New Roman"/>
          <w:sz w:val="22"/>
          <w:szCs w:val="22"/>
          <w:i w:val="1"/>
          <w:iCs w:val="1"/>
          <w:color w:val="auto"/>
        </w:rPr>
        <w:t>No Shutdowns or Prohibitions</w:t>
      </w:r>
      <w:r>
        <w:rPr>
          <w:rFonts w:ascii="Times New Roman" w:cs="Times New Roman" w:eastAsia="Times New Roman" w:hAnsi="Times New Roman"/>
          <w:sz w:val="22"/>
          <w:szCs w:val="22"/>
          <w:color w:val="auto"/>
        </w:rPr>
        <w:t>. The Company has not had any product, clinical laboratory or manufacturing site (whether Company-owned or, to the Company’s knowledge, that of a third party manufacturer for the Company’s products) subject to a governmental authority (including FDA) shutdown or import or export prohibition, nor received any FDA Form 483 or other governmental authority notice of inspectional observations, “warning letters,” “untitled letters,” requests to make changes to the Company’s products, processes or operations, or similar correspondence or notice from the FDA or other governmental authority alleging or asserting material noncompliance with any applicable Health Care Laws. To the Company’s knowledge, neither the FDA nor any other governmental authority is considering such action.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0" w:name="page51"/>
    <w:bookmarkEnd w:id="50"/>
    <w:p>
      <w:pPr>
        <w:ind w:left="300" w:right="379" w:firstLine="1944"/>
        <w:spacing w:after="0" w:line="235" w:lineRule="auto"/>
        <w:rPr>
          <w:sz w:val="20"/>
          <w:szCs w:val="20"/>
          <w:color w:val="auto"/>
        </w:rPr>
      </w:pPr>
      <w:r>
        <w:rPr>
          <w:rFonts w:ascii="Times New Roman" w:cs="Times New Roman" w:eastAsia="Times New Roman" w:hAnsi="Times New Roman"/>
          <w:sz w:val="22"/>
          <w:szCs w:val="22"/>
          <w:color w:val="auto"/>
        </w:rPr>
        <w:t>(lvii)</w:t>
      </w:r>
      <w:r>
        <w:rPr>
          <w:rFonts w:ascii="Times New Roman" w:cs="Times New Roman" w:eastAsia="Times New Roman" w:hAnsi="Times New Roman"/>
          <w:sz w:val="22"/>
          <w:szCs w:val="22"/>
          <w:i w:val="1"/>
          <w:iCs w:val="1"/>
          <w:color w:val="auto"/>
        </w:rPr>
        <w:t>No Safety Notices</w:t>
      </w:r>
      <w:r>
        <w:rPr>
          <w:rFonts w:ascii="Times New Roman" w:cs="Times New Roman" w:eastAsia="Times New Roman" w:hAnsi="Times New Roman"/>
          <w:sz w:val="22"/>
          <w:szCs w:val="22"/>
          <w:color w:val="auto"/>
        </w:rPr>
        <w:t>. (i) Except as disclosed in the Registration Statement and the Prospectus, there have been no recalls, field notifications, field corrections, market withdrawals or replacements, warnings, “dear doctor” letters, investigator notices, safety alerts or other notice of action relating to an alleged lack of safety, efficacy, or regulatory compliance of the Company’s products (“Safety Notices”) and (ii) to the Company’s knowledge, there are no facts that would be reasonably likely to result in (x) a Safety Notice with respect to the Company’s products or services, (y) a change in labeling of any of the Company’s respective products or services, or (z) a termination or suspension of marketing or testing of any of the Company’s products or services.</w:t>
      </w:r>
    </w:p>
    <w:p>
      <w:pPr>
        <w:spacing w:after="0" w:line="172" w:lineRule="exact"/>
        <w:rPr>
          <w:sz w:val="20"/>
          <w:szCs w:val="20"/>
          <w:color w:val="auto"/>
        </w:rPr>
      </w:pPr>
    </w:p>
    <w:p>
      <w:pPr>
        <w:ind w:left="1180" w:hanging="240"/>
        <w:spacing w:after="0"/>
        <w:tabs>
          <w:tab w:leader="none" w:pos="1180" w:val="left"/>
        </w:tabs>
        <w:numPr>
          <w:ilvl w:val="1"/>
          <w:numId w:val="2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Purchase, Sale and Delivery of Shares.</w:t>
      </w:r>
    </w:p>
    <w:p>
      <w:pPr>
        <w:spacing w:after="0" w:line="208" w:lineRule="exact"/>
        <w:rPr>
          <w:rFonts w:ascii="Times New Roman" w:cs="Times New Roman" w:eastAsia="Times New Roman" w:hAnsi="Times New Roman"/>
          <w:sz w:val="22"/>
          <w:szCs w:val="22"/>
          <w:b w:val="1"/>
          <w:bCs w:val="1"/>
          <w:i w:val="1"/>
          <w:iCs w:val="1"/>
          <w:color w:val="auto"/>
        </w:rPr>
      </w:pPr>
    </w:p>
    <w:p>
      <w:pPr>
        <w:ind w:left="300" w:right="319" w:firstLine="1288"/>
        <w:spacing w:after="0" w:line="245" w:lineRule="auto"/>
        <w:tabs>
          <w:tab w:leader="none" w:pos="2062"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At-the-Market Sales. </w:t>
      </w:r>
      <w:r>
        <w:rPr>
          <w:rFonts w:ascii="Times New Roman" w:cs="Times New Roman" w:eastAsia="Times New Roman" w:hAnsi="Times New Roman"/>
          <w:sz w:val="21"/>
          <w:szCs w:val="21"/>
          <w:color w:val="auto"/>
        </w:rPr>
        <w:t>On the basis of the representations, warranties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agreements herein contained, but subject to the terms and conditions herein set forth, the Company agrees to issue and sell through the Agent as sales agent, and the Agent agrees to use its commercially reasonable efforts to sell for and on behalf of the Company, the Shares on the following terms and conditions;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obligation of the Agent to use such commercially reasonable efforts shall be subject to the continuing accuracy of the representations and warranties of the Company herein, the performance by the Company of its covenants and obligations hereunder and the continuing satisfaction of the additional conditions specified in Section 4 of this Agreement. The Company acknowledges and agrees that (i) there can be no assurance that the Agent will be successful in selling Shares, and (ii) the Agent will incur no liability or obligation to the Company or any other person or entity if it does not sell Shares for any reason other than a failure by the Agent to use its commercially reasonable efforts consistent with its normal trading and sales practices to sell such Shares as required under this Section 2.</w:t>
      </w:r>
    </w:p>
    <w:p>
      <w:pPr>
        <w:spacing w:after="0" w:line="174" w:lineRule="exact"/>
        <w:rPr>
          <w:rFonts w:ascii="Times New Roman" w:cs="Times New Roman" w:eastAsia="Times New Roman" w:hAnsi="Times New Roman"/>
          <w:sz w:val="21"/>
          <w:szCs w:val="21"/>
          <w:color w:val="auto"/>
        </w:rPr>
      </w:pPr>
    </w:p>
    <w:p>
      <w:pPr>
        <w:ind w:left="300" w:right="359" w:firstLine="1936"/>
        <w:spacing w:after="0" w:line="242" w:lineRule="auto"/>
        <w:tabs>
          <w:tab w:leader="none" w:pos="2503" w:val="left"/>
        </w:tabs>
        <w:numPr>
          <w:ilvl w:val="3"/>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time that the Company wishes to issue and sell the Shares hereunder (each, a </w:t>
      </w:r>
      <w:r>
        <w:rPr>
          <w:rFonts w:ascii="Times New Roman" w:cs="Times New Roman" w:eastAsia="Times New Roman" w:hAnsi="Times New Roman"/>
          <w:sz w:val="21"/>
          <w:szCs w:val="21"/>
          <w:b w:val="1"/>
          <w:bCs w:val="1"/>
          <w:i w:val="1"/>
          <w:iCs w:val="1"/>
          <w:color w:val="auto"/>
        </w:rPr>
        <w:t>“Placement”</w:t>
      </w:r>
      <w:r>
        <w:rPr>
          <w:rFonts w:ascii="Times New Roman" w:cs="Times New Roman" w:eastAsia="Times New Roman" w:hAnsi="Times New Roman"/>
          <w:sz w:val="21"/>
          <w:szCs w:val="21"/>
          <w:color w:val="auto"/>
        </w:rPr>
        <w:t xml:space="preserve">), it will notify the Agent by email notice (or other method mutually agreed to in writing by the parties) (a </w:t>
      </w:r>
      <w:r>
        <w:rPr>
          <w:rFonts w:ascii="Times New Roman" w:cs="Times New Roman" w:eastAsia="Times New Roman" w:hAnsi="Times New Roman"/>
          <w:sz w:val="21"/>
          <w:szCs w:val="21"/>
          <w:b w:val="1"/>
          <w:bCs w:val="1"/>
          <w:i w:val="1"/>
          <w:iCs w:val="1"/>
          <w:color w:val="auto"/>
        </w:rPr>
        <w:t>“Placement Notice”</w:t>
      </w:r>
      <w:r>
        <w:rPr>
          <w:rFonts w:ascii="Times New Roman" w:cs="Times New Roman" w:eastAsia="Times New Roman" w:hAnsi="Times New Roman"/>
          <w:sz w:val="21"/>
          <w:szCs w:val="21"/>
          <w:color w:val="auto"/>
        </w:rPr>
        <w:t xml:space="preserve">) containing the parameters in accordance with which it desires the Shares to be sold, which shall at a minimum include the number of shares of Shares to be issued, the time period during which sales are requested to be made, any limitation on the number of Shares that may be sold in any one Trading Day (as defined below) and any minimum price below which sales may not be made, a form of which containing such minimum sales parameters necessary is attached hereto as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The Placement Notice shall originate from any of the individuals from the Company set forth on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(with a copy to each of the other individuals from the Company listed on such schedule), and shall be addressed to each of the individuals from the Agent set forth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as such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may be amended from time to time. The Placement Notice shall be effective upon receipt by the Agent unless and until (i) in accordance with the notice requirements set forth in Section 2(a)(iii) of this Agreement, the Agent declines to accept the terms contained therein for any reason, in its sole discretion, (ii) the entire amount of the Shares subject to the Placement Notice or set forth on the Sales Prospectus have been sold, (iii) the Company suspends or terminates the Placement Notice in accordance with the notice requirements set forth in Section 2(a)(iii) below, (iv) the Company issues a subsequent Placement Notice with parameters superseding those on the earlier dated Placement Notice, or</w:t>
      </w:r>
    </w:p>
    <w:p>
      <w:pPr>
        <w:spacing w:after="0" w:line="14" w:lineRule="exact"/>
        <w:rPr>
          <w:rFonts w:ascii="Times New Roman" w:cs="Times New Roman" w:eastAsia="Times New Roman" w:hAnsi="Times New Roman"/>
          <w:sz w:val="21"/>
          <w:szCs w:val="21"/>
          <w:color w:val="auto"/>
        </w:rPr>
      </w:pPr>
    </w:p>
    <w:p>
      <w:pPr>
        <w:jc w:val="both"/>
        <w:ind w:left="300" w:right="519" w:hanging="8"/>
        <w:spacing w:after="0" w:line="258" w:lineRule="auto"/>
        <w:tabs>
          <w:tab w:leader="none" w:pos="60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has been terminated under the provisions of Section 7. The amount of any commission or other compensation to be paid by the Company to the Agent in connection with</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51" w:name="page52"/>
    <w:bookmarkEnd w:id="51"/>
    <w:p>
      <w:pPr>
        <w:ind w:left="300" w:right="359"/>
        <w:spacing w:after="0" w:line="246" w:lineRule="auto"/>
        <w:rPr>
          <w:sz w:val="20"/>
          <w:szCs w:val="20"/>
          <w:color w:val="auto"/>
        </w:rPr>
      </w:pPr>
      <w:r>
        <w:rPr>
          <w:rFonts w:ascii="Times New Roman" w:cs="Times New Roman" w:eastAsia="Times New Roman" w:hAnsi="Times New Roman"/>
          <w:sz w:val="21"/>
          <w:szCs w:val="21"/>
          <w:color w:val="auto"/>
        </w:rPr>
        <w:t xml:space="preserve">the sale of the Shares shall be calculated in accordance with the terms set forth in Section 2(a)(v) below. It is expressly acknowledged and agreed that neither the Company nor the Agent will have any obligation whatsoever with respect to a Placement or any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the Placement Notice, the terms of the Placement Notice will control. For the purposes hereof, </w:t>
      </w:r>
      <w:r>
        <w:rPr>
          <w:rFonts w:ascii="Times New Roman" w:cs="Times New Roman" w:eastAsia="Times New Roman" w:hAnsi="Times New Roman"/>
          <w:sz w:val="21"/>
          <w:szCs w:val="21"/>
          <w:b w:val="1"/>
          <w:bCs w:val="1"/>
          <w:i w:val="1"/>
          <w:iCs w:val="1"/>
          <w:color w:val="auto"/>
        </w:rPr>
        <w:t>“Trading Day”</w:t>
      </w:r>
      <w:r>
        <w:rPr>
          <w:rFonts w:ascii="Times New Roman" w:cs="Times New Roman" w:eastAsia="Times New Roman" w:hAnsi="Times New Roman"/>
          <w:sz w:val="21"/>
          <w:szCs w:val="21"/>
          <w:color w:val="auto"/>
        </w:rPr>
        <w:t xml:space="preserve"> means any day on which the Company’s Common Stock is purchased and sold on the principal market on which the Common Stock is listed or quoted.</w:t>
      </w:r>
    </w:p>
    <w:p>
      <w:pPr>
        <w:spacing w:after="0" w:line="175" w:lineRule="exact"/>
        <w:rPr>
          <w:sz w:val="20"/>
          <w:szCs w:val="20"/>
          <w:color w:val="auto"/>
        </w:rPr>
      </w:pPr>
    </w:p>
    <w:p>
      <w:pPr>
        <w:ind w:left="300" w:right="419" w:firstLine="1944"/>
        <w:spacing w:after="0" w:line="236" w:lineRule="auto"/>
        <w:rPr>
          <w:sz w:val="20"/>
          <w:szCs w:val="20"/>
          <w:color w:val="auto"/>
        </w:rPr>
      </w:pPr>
      <w:r>
        <w:rPr>
          <w:rFonts w:ascii="Times New Roman" w:cs="Times New Roman" w:eastAsia="Times New Roman" w:hAnsi="Times New Roman"/>
          <w:sz w:val="22"/>
          <w:szCs w:val="22"/>
          <w:color w:val="auto"/>
        </w:rPr>
        <w:t>(ii)The Shares are to be sold by the Agent on a daily basis or otherwise as shall be agreed to by the Company and the Agent on any day that is a Trading Day for the Exchange (other than a day on which the Exchange is scheduled to close prior to its regular weekday closing time). The gross sales price of the Shares sold under this Section 2(a) shall be the market price for the Company’s Common Stock sold by the Agent under this Section 2(a) at the time of such sale.</w:t>
      </w:r>
    </w:p>
    <w:p>
      <w:pPr>
        <w:spacing w:after="0" w:line="181" w:lineRule="exact"/>
        <w:rPr>
          <w:sz w:val="20"/>
          <w:szCs w:val="20"/>
          <w:color w:val="auto"/>
        </w:rPr>
      </w:pPr>
    </w:p>
    <w:p>
      <w:pPr>
        <w:ind w:left="300" w:right="339" w:firstLine="1944"/>
        <w:spacing w:after="0" w:line="244" w:lineRule="auto"/>
        <w:rPr>
          <w:sz w:val="20"/>
          <w:szCs w:val="20"/>
          <w:color w:val="auto"/>
        </w:rPr>
      </w:pPr>
      <w:r>
        <w:rPr>
          <w:rFonts w:ascii="Times New Roman" w:cs="Times New Roman" w:eastAsia="Times New Roman" w:hAnsi="Times New Roman"/>
          <w:sz w:val="21"/>
          <w:szCs w:val="21"/>
          <w:color w:val="auto"/>
        </w:rPr>
        <w:t xml:space="preserve">(iii)Notwithstanding the foregoing, the Company may instruct the Agent by telephone (confirmed promptly by email) not to sell the Shares if such sales cannot be effected at or above the price designated by the Company in any such instruction. Furthermore, the Company shall not authorize the issuance and sale of, and the Agent shall not be obligated to use its commercially reasonable efforts to sell, any Share at a price lower than the minimum price therefor designated from time to time by the Company’s board of directors and notified to the Agent in writing. In addition, the Company or the Agent may, upon notice to the other party hereto by telephone (confirmed promptly by email), suspend the offering of the Shares, whereupon the Agent shall so suspend the offering of Shares until further notice is provided to the other party to the contrary;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such suspension or termination shall not affect or impair the parties’ respective obligations with respect to the Shares sold hereunder prior to the giving of such notice. Notwithstanding any other provision of this Agreement, during any period in which the Company is in possession of material non-public information, the Company and the Agent agree that (i) no sale of Shares will take place, (ii) the Company shall not request the sale of any Shares, and (iii) the Agent shall not be obligated to sell or offer to sell any Shares.</w:t>
      </w:r>
    </w:p>
    <w:p>
      <w:pPr>
        <w:spacing w:after="0" w:line="178" w:lineRule="exact"/>
        <w:rPr>
          <w:sz w:val="20"/>
          <w:szCs w:val="20"/>
          <w:color w:val="auto"/>
        </w:rPr>
      </w:pPr>
    </w:p>
    <w:p>
      <w:pPr>
        <w:ind w:left="300" w:right="459" w:firstLine="1944"/>
        <w:spacing w:after="0" w:line="235" w:lineRule="auto"/>
        <w:rPr>
          <w:sz w:val="20"/>
          <w:szCs w:val="20"/>
          <w:color w:val="auto"/>
        </w:rPr>
      </w:pPr>
      <w:r>
        <w:rPr>
          <w:rFonts w:ascii="Times New Roman" w:cs="Times New Roman" w:eastAsia="Times New Roman" w:hAnsi="Times New Roman"/>
          <w:sz w:val="22"/>
          <w:szCs w:val="22"/>
          <w:color w:val="auto"/>
        </w:rPr>
        <w:t>(iv)Subject to the terms of the Placement Notice, the Agent may sell the Shares by any method permitted by law deemed to be an “at the market offering” as defined in Rule 415(a)(4) under the Securities Act, including sales made directly on or through the Exchange. Subject to the terms of any Placement Notice, the Agent may also sell Shares in negotiated transactions at market prices prevailing at the time of sale or at prices related to such prevailing market prices and/or any other method permitted by law, subject to the prior written consent of the Company.</w:t>
      </w:r>
    </w:p>
    <w:p>
      <w:pPr>
        <w:spacing w:after="0" w:line="183" w:lineRule="exact"/>
        <w:rPr>
          <w:sz w:val="20"/>
          <w:szCs w:val="20"/>
          <w:color w:val="auto"/>
        </w:rPr>
      </w:pPr>
    </w:p>
    <w:p>
      <w:pPr>
        <w:ind w:left="300" w:right="439" w:firstLine="1944"/>
        <w:spacing w:after="0" w:line="249" w:lineRule="auto"/>
        <w:rPr>
          <w:sz w:val="20"/>
          <w:szCs w:val="20"/>
          <w:color w:val="auto"/>
        </w:rPr>
      </w:pPr>
      <w:r>
        <w:rPr>
          <w:rFonts w:ascii="Times New Roman" w:cs="Times New Roman" w:eastAsia="Times New Roman" w:hAnsi="Times New Roman"/>
          <w:sz w:val="21"/>
          <w:szCs w:val="21"/>
          <w:color w:val="auto"/>
        </w:rPr>
        <w:t xml:space="preserve">(v)The compensation to the Agent for sales of the Shares, as an agent of the Company, shall be up to 3.0% of the gross sales price of the Shares sold pursuant to this Section 2(a), payable in cash (the </w:t>
      </w:r>
      <w:r>
        <w:rPr>
          <w:rFonts w:ascii="Times New Roman" w:cs="Times New Roman" w:eastAsia="Times New Roman" w:hAnsi="Times New Roman"/>
          <w:sz w:val="21"/>
          <w:szCs w:val="21"/>
          <w:b w:val="1"/>
          <w:bCs w:val="1"/>
          <w:i w:val="1"/>
          <w:iCs w:val="1"/>
          <w:color w:val="auto"/>
        </w:rPr>
        <w:t>“Sales Commission”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the combined Sales Commission and reimbursement of the Agent for its out-of-pocket expenses pursuant to Section 3(g), including the reasonable and documented fees and disbursements of the Agent’s counsel, shall not exceed 8.0% of the gross sales price of the Shares. The remaining proceeds, after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2" w:name="page53"/>
    <w:bookmarkEnd w:id="52"/>
    <w:p>
      <w:pPr>
        <w:ind w:left="300" w:right="659"/>
        <w:spacing w:after="0" w:line="239" w:lineRule="auto"/>
        <w:rPr>
          <w:sz w:val="20"/>
          <w:szCs w:val="20"/>
          <w:color w:val="auto"/>
        </w:rPr>
      </w:pPr>
      <w:r>
        <w:rPr>
          <w:rFonts w:ascii="Times New Roman" w:cs="Times New Roman" w:eastAsia="Times New Roman" w:hAnsi="Times New Roman"/>
          <w:sz w:val="22"/>
          <w:szCs w:val="22"/>
          <w:color w:val="auto"/>
        </w:rPr>
        <w:t>further deduction for any transaction fees imposed by any governmental or self-regulatory organization in respect of such sales, and reimbursement of expenses that the Agent may be entitled to pursuant to Section 3(g), shall constitute the net proceeds to the Company for such Shares (the “</w:t>
      </w:r>
      <w:r>
        <w:rPr>
          <w:rFonts w:ascii="Times New Roman" w:cs="Times New Roman" w:eastAsia="Times New Roman" w:hAnsi="Times New Roman"/>
          <w:sz w:val="22"/>
          <w:szCs w:val="22"/>
          <w:b w:val="1"/>
          <w:bCs w:val="1"/>
          <w:i w:val="1"/>
          <w:iCs w:val="1"/>
          <w:color w:val="auto"/>
        </w:rPr>
        <w:t>Net Proceeds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300" w:right="339" w:firstLine="1944"/>
        <w:spacing w:after="0" w:line="236" w:lineRule="auto"/>
        <w:rPr>
          <w:sz w:val="20"/>
          <w:szCs w:val="20"/>
          <w:color w:val="auto"/>
        </w:rPr>
      </w:pPr>
      <w:r>
        <w:rPr>
          <w:rFonts w:ascii="Times New Roman" w:cs="Times New Roman" w:eastAsia="Times New Roman" w:hAnsi="Times New Roman"/>
          <w:sz w:val="22"/>
          <w:szCs w:val="22"/>
          <w:color w:val="auto"/>
        </w:rPr>
        <w:t xml:space="preserve">(vi)The Agent will provide written confirmation to the Company (including by email correspondence to each of the individuals of the Company set forth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no later than the opening of the Trading Day immediately following the Trading Day on which it has made sales of Shares hereunder, setting forth the number of Shares sold on such day, the volume-weighted average price of the Shares sold, and the Net Proceeds payable to the Company.</w:t>
      </w:r>
    </w:p>
    <w:p>
      <w:pPr>
        <w:spacing w:after="0" w:line="181" w:lineRule="exact"/>
        <w:rPr>
          <w:sz w:val="20"/>
          <w:szCs w:val="20"/>
          <w:color w:val="auto"/>
        </w:rPr>
      </w:pPr>
    </w:p>
    <w:p>
      <w:pPr>
        <w:ind w:left="300" w:right="299" w:firstLine="1944"/>
        <w:spacing w:after="0" w:line="243" w:lineRule="auto"/>
        <w:rPr>
          <w:sz w:val="20"/>
          <w:szCs w:val="20"/>
          <w:color w:val="auto"/>
        </w:rPr>
      </w:pPr>
      <w:r>
        <w:rPr>
          <w:rFonts w:ascii="Times New Roman" w:cs="Times New Roman" w:eastAsia="Times New Roman" w:hAnsi="Times New Roman"/>
          <w:sz w:val="21"/>
          <w:szCs w:val="21"/>
          <w:color w:val="auto"/>
        </w:rPr>
        <w:t>(vii)All Shares sold pursuant to this Section 2(a) will be delivered by the Company to the Agent for the account of the Agent, against payment of the Net Proceeds therefor, by wire transfer of same-day funds payable to the order of the Company at the offices of Guggenheim Securities, LLC, 330 Madison Avenue, New York, NY 10017, fax no. 212-658-9689, or such other location as may be mutually acceptable, at 9:00 a.m. New York City time on the second full business day following the date on which such Shares are sold, or at such other time and date as the Agent and the Company determine pursuant to Rule 15c6-1(a) under the Exchange Act, each such time and date of delivery being herein referred to as a “</w:t>
      </w:r>
      <w:r>
        <w:rPr>
          <w:rFonts w:ascii="Times New Roman" w:cs="Times New Roman" w:eastAsia="Times New Roman" w:hAnsi="Times New Roman"/>
          <w:sz w:val="21"/>
          <w:szCs w:val="21"/>
          <w:b w:val="1"/>
          <w:bCs w:val="1"/>
          <w:i w:val="1"/>
          <w:iCs w:val="1"/>
          <w:color w:val="auto"/>
        </w:rPr>
        <w:t>Settlement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Date</w:t>
      </w:r>
      <w:r>
        <w:rPr>
          <w:rFonts w:ascii="Times New Roman" w:cs="Times New Roman" w:eastAsia="Times New Roman" w:hAnsi="Times New Roman"/>
          <w:sz w:val="21"/>
          <w:szCs w:val="21"/>
          <w:color w:val="auto"/>
        </w:rPr>
        <w:t>.” If the Agent so elects, delivery of the Shares may be made by credit through full fast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transfer to an account or accounts at The Depository Trust Company designated by the Agent. On each Settlement Date, the Agent will deliver the Net Proceeds in same day funds to an account designated by the Company on, or prior to, such Settlement Date. The Company agrees that if the Company, or its transfer agent (if applicable), defaults in its obligation to timely deliver duly authorized Shares on a Settlement Date, the Company agrees that in addition to and in no way limiting the rights and obligations set forth in Section 5 hereto, it will (i) hold the Agent harmless against any loss, claim, damage, or expense (including reasonable legal fees and expenses), as incurred, arising out of or in connection with such default by the Company, (ii) reimburse the Agent for any losses incurred by the Agent attributable, directly or indirectly, to such default and (iii) pay to the Agent any commission or other compensation to which the Agent would otherwise have been entitled absent such default.</w:t>
      </w:r>
    </w:p>
    <w:p>
      <w:pPr>
        <w:spacing w:after="0" w:line="200" w:lineRule="exact"/>
        <w:rPr>
          <w:sz w:val="20"/>
          <w:szCs w:val="20"/>
          <w:color w:val="auto"/>
        </w:rPr>
      </w:pPr>
    </w:p>
    <w:p>
      <w:pPr>
        <w:spacing w:after="0" w:line="226" w:lineRule="exact"/>
        <w:rPr>
          <w:sz w:val="20"/>
          <w:szCs w:val="20"/>
          <w:color w:val="auto"/>
        </w:rPr>
      </w:pPr>
    </w:p>
    <w:p>
      <w:pPr>
        <w:ind w:left="300" w:right="299" w:firstLine="1288"/>
        <w:spacing w:after="0" w:line="234" w:lineRule="auto"/>
        <w:tabs>
          <w:tab w:leader="none" w:pos="206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Maximum Amount</w:t>
      </w:r>
      <w:r>
        <w:rPr>
          <w:rFonts w:ascii="Times New Roman" w:cs="Times New Roman" w:eastAsia="Times New Roman" w:hAnsi="Times New Roman"/>
          <w:sz w:val="22"/>
          <w:szCs w:val="22"/>
          <w:color w:val="auto"/>
        </w:rPr>
        <w:t>. Under no circumstances shall the aggregate number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aggregate value of the Shares sold pursuant to this Agreement exceed: (i) the aggregate number and aggregate dollar amount of shares of Common Stock available for issuance under the currently effective Registration Statement, (ii) the aggregate number of authorized but unissued shares of Common Stock that are available for issuance under the Company’s certificate of incorporation or certificate of designation, (iii) the aggregate dollar amount of shares of Common Stock permitted to be sold under the Company’s effective Registration Statement (including any limit set forth in General Instruction I.B.6 thereof, if applicable) or (iv) the aggregate number or aggregate dollar amount of shares of Common Stock for which the Company has filed any Sales Prospectus in connection with the Shares (the lesser of (i), (ii), (iii) and (iv),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Maximum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Amount</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300" w:right="599" w:firstLine="1288"/>
        <w:spacing w:after="0" w:line="262" w:lineRule="auto"/>
        <w:tabs>
          <w:tab w:leader="none" w:pos="206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Association or Partnership</w:t>
      </w:r>
      <w:r>
        <w:rPr>
          <w:rFonts w:ascii="Times New Roman" w:cs="Times New Roman" w:eastAsia="Times New Roman" w:hAnsi="Times New Roman"/>
          <w:sz w:val="22"/>
          <w:szCs w:val="22"/>
          <w:color w:val="auto"/>
        </w:rPr>
        <w:t>. Nothing herein contained shall constitute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Agent as an unincorporated association or partner with the Company.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3" w:name="page54"/>
    <w:bookmarkEnd w:id="53"/>
    <w:p>
      <w:pPr>
        <w:ind w:left="300" w:right="399" w:firstLine="1288"/>
        <w:spacing w:after="0" w:line="246" w:lineRule="auto"/>
        <w:tabs>
          <w:tab w:leader="none" w:pos="206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Duration</w:t>
      </w:r>
      <w:r>
        <w:rPr>
          <w:rFonts w:ascii="Times New Roman" w:cs="Times New Roman" w:eastAsia="Times New Roman" w:hAnsi="Times New Roman"/>
          <w:sz w:val="22"/>
          <w:szCs w:val="22"/>
          <w:color w:val="auto"/>
        </w:rPr>
        <w:t>. Under no circumstances shall any Shares be sold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after the date which is three years after the Registration Statement is first declared effective by the Commission.</w:t>
      </w:r>
    </w:p>
    <w:p>
      <w:pPr>
        <w:spacing w:after="0" w:line="167" w:lineRule="exact"/>
        <w:rPr>
          <w:rFonts w:ascii="Times New Roman" w:cs="Times New Roman" w:eastAsia="Times New Roman" w:hAnsi="Times New Roman"/>
          <w:sz w:val="22"/>
          <w:szCs w:val="22"/>
          <w:color w:val="auto"/>
        </w:rPr>
      </w:pPr>
    </w:p>
    <w:p>
      <w:pPr>
        <w:ind w:left="300" w:right="299" w:firstLine="1288"/>
        <w:spacing w:after="0" w:line="234" w:lineRule="auto"/>
        <w:tabs>
          <w:tab w:leader="none" w:pos="206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Market Transactions by Agent</w:t>
      </w:r>
      <w:r>
        <w:rPr>
          <w:rFonts w:ascii="Times New Roman" w:cs="Times New Roman" w:eastAsia="Times New Roman" w:hAnsi="Times New Roman"/>
          <w:sz w:val="22"/>
          <w:szCs w:val="22"/>
          <w:color w:val="auto"/>
        </w:rPr>
        <w:t>. The Company acknowledges and agrees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Agent has informed the Company that the Agent may, to the extent permitted under the Securities Act, the Exchange Act and this Agreement, purchase and sell shares of Common Stock for its own account while this Agreement is in effect,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(i) no sale for its own account shall take place while a Placement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 The Company consents to the Agent trading in the Common Stock for the account of any of its clients at the same time as sales of the Shares occur pursuant to this Agreement.</w:t>
      </w:r>
    </w:p>
    <w:p>
      <w:pPr>
        <w:spacing w:after="0" w:line="177" w:lineRule="exact"/>
        <w:rPr>
          <w:rFonts w:ascii="Times New Roman" w:cs="Times New Roman" w:eastAsia="Times New Roman" w:hAnsi="Times New Roman"/>
          <w:sz w:val="22"/>
          <w:szCs w:val="22"/>
          <w:color w:val="auto"/>
        </w:rPr>
      </w:pPr>
    </w:p>
    <w:p>
      <w:pPr>
        <w:ind w:left="1180" w:hanging="240"/>
        <w:spacing w:after="0"/>
        <w:tabs>
          <w:tab w:leader="none" w:pos="1180" w:val="left"/>
        </w:tabs>
        <w:numPr>
          <w:ilvl w:val="0"/>
          <w:numId w:val="2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Covenants of the Company. The Company covenants and agrees with the Agent as</w:t>
      </w:r>
    </w:p>
    <w:p>
      <w:pPr>
        <w:spacing w:after="0" w:line="20" w:lineRule="exact"/>
        <w:rPr>
          <w:rFonts w:ascii="Times New Roman" w:cs="Times New Roman" w:eastAsia="Times New Roman" w:hAnsi="Times New Roman"/>
          <w:sz w:val="22"/>
          <w:szCs w:val="22"/>
          <w:b w:val="1"/>
          <w:bCs w:val="1"/>
          <w:i w:val="1"/>
          <w:iCs w:val="1"/>
          <w:color w:val="auto"/>
        </w:rPr>
      </w:pPr>
    </w:p>
    <w:p>
      <w:pPr>
        <w:ind w:left="300"/>
        <w:spacing w:after="0"/>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follows:</w:t>
      </w:r>
    </w:p>
    <w:p>
      <w:pPr>
        <w:spacing w:after="0" w:line="178" w:lineRule="exact"/>
        <w:rPr>
          <w:rFonts w:ascii="Times New Roman" w:cs="Times New Roman" w:eastAsia="Times New Roman" w:hAnsi="Times New Roman"/>
          <w:sz w:val="22"/>
          <w:szCs w:val="22"/>
          <w:b w:val="1"/>
          <w:bCs w:val="1"/>
          <w:i w:val="1"/>
          <w:iCs w:val="1"/>
          <w:color w:val="auto"/>
        </w:rPr>
      </w:pPr>
    </w:p>
    <w:p>
      <w:pPr>
        <w:ind w:left="300" w:right="319" w:firstLine="1288"/>
        <w:spacing w:after="0" w:line="243" w:lineRule="auto"/>
        <w:tabs>
          <w:tab w:leader="none" w:pos="2062"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Amendments to Registration Statement and Prospectus</w:t>
      </w:r>
      <w:r>
        <w:rPr>
          <w:rFonts w:ascii="Times New Roman" w:cs="Times New Roman" w:eastAsia="Times New Roman" w:hAnsi="Times New Roman"/>
          <w:sz w:val="21"/>
          <w:szCs w:val="21"/>
          <w:color w:val="auto"/>
        </w:rPr>
        <w:t>. After the date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this Agreement and during any period in which a Prospectus relating to any Shares is required to be delivered by the Agent under the Securities Act (including in circumstances where such requirement may be satisfied pursuant to Rule 172 under the Securities Act), the Company agrees that it will: (i) notify the Agent promptly of the time when any subsequent amendment to the Registration Statement, other than documents incorporated by reference or amendments not related to the Shares, has been filed with the Commission and/or has become effective or any subsequent supplement to the Prospectus related to the Shares has been filed and of any request by the Commission for any amendment or supplement to the Registration Statement (insofar as it relates to the transactions contemplated hereby) or Prospectus or for additional information; (ii) prepare and file with the Commission, promptly upon the Agent’s request, any amendments or supplements to the Registration Statement or Prospectus that, in the Agent’s reasonable opinion, may be necessary or advisable in connection with the sale of the Shares by the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failure of the Agent to make such request shall not relieve the Company of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obligation or liability hereunder, or affect the Agent’s right to rely on the representations and warranties made by the Company in this Agreement); (iii) not file any amendment or supplement to the Registration Statement or Prospectus, other than documents incorporated by reference, relating to the Shares or a security convertible into the Shares unless a copy thereof has been submitted to the Agent within a reasonable period of time before the filing and the Agent has not reasonably objected thereto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the failure of the Agent to make such objection shall not relieve the Company of any obligation or liability hereunder, or affect the Agent’s right to rely on the representations and warranties made by the Company in this Agreement), (B) the Company has no obligation to provide the Agent any advance copy of such filing or to provide the Agent an opportunity to object to such filing if the filing does not name the Agent or does not relate to a Placement or other transaction contemplated hereunder, and (C) the only remedy that the Agent shall have with respect to the failure by the Company to provide the Agent with such copy or the filing of such amendment or supplement despite the Agent’s objection shall be to cease making sales under this Agreement; (iv) not file any new Registration Statement or new Prospectus relating to the Shares or a security convertible into the Shares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54" w:name="page55"/>
    <w:bookmarkEnd w:id="54"/>
    <w:p>
      <w:pPr>
        <w:ind w:left="300" w:right="359"/>
        <w:spacing w:after="0" w:line="249" w:lineRule="auto"/>
        <w:rPr>
          <w:sz w:val="20"/>
          <w:szCs w:val="20"/>
          <w:color w:val="auto"/>
        </w:rPr>
      </w:pPr>
      <w:r>
        <w:rPr>
          <w:rFonts w:ascii="Times New Roman" w:cs="Times New Roman" w:eastAsia="Times New Roman" w:hAnsi="Times New Roman"/>
          <w:sz w:val="21"/>
          <w:szCs w:val="21"/>
          <w:color w:val="auto"/>
        </w:rPr>
        <w:t>without the prior written consent of the Agent; (v) furnish to the Agent at the time of filing thereof a copy of any document that upon filing is deemed to be incorporated by reference into the Registration Statement or Prospectus, except for those documents available via EDGAR; and</w:t>
      </w:r>
    </w:p>
    <w:p>
      <w:pPr>
        <w:spacing w:after="0" w:line="1" w:lineRule="exact"/>
        <w:rPr>
          <w:sz w:val="20"/>
          <w:szCs w:val="20"/>
          <w:color w:val="auto"/>
        </w:rPr>
      </w:pPr>
    </w:p>
    <w:p>
      <w:pPr>
        <w:ind w:left="300" w:right="319" w:hanging="8"/>
        <w:spacing w:after="0" w:line="235" w:lineRule="auto"/>
        <w:tabs>
          <w:tab w:leader="none" w:pos="66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each amendment or supplement to the Prospectus, other than documents incorporated by reference, to be filed with the Commission as required pursuant to the applicable paragraph of Rule 424(b) of the Securities Act.</w:t>
      </w:r>
    </w:p>
    <w:p>
      <w:pPr>
        <w:spacing w:after="0" w:line="173" w:lineRule="exact"/>
        <w:rPr>
          <w:rFonts w:ascii="Times New Roman" w:cs="Times New Roman" w:eastAsia="Times New Roman" w:hAnsi="Times New Roman"/>
          <w:sz w:val="22"/>
          <w:szCs w:val="22"/>
          <w:color w:val="auto"/>
        </w:rPr>
      </w:pPr>
    </w:p>
    <w:p>
      <w:pPr>
        <w:ind w:left="300" w:right="319" w:firstLine="1288"/>
        <w:spacing w:after="0" w:line="236" w:lineRule="auto"/>
        <w:tabs>
          <w:tab w:leader="none" w:pos="206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Stop Order</w:t>
      </w:r>
      <w:r>
        <w:rPr>
          <w:rFonts w:ascii="Times New Roman" w:cs="Times New Roman" w:eastAsia="Times New Roman" w:hAnsi="Times New Roman"/>
          <w:sz w:val="22"/>
          <w:szCs w:val="22"/>
          <w:color w:val="auto"/>
        </w:rPr>
        <w:t>. The Company will advise the Agent, promptly after it receives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or obtains knowledge thereof, of the issuance or threatened issuance by the Commission of any stop order suspending the effectiveness of the Registration Statement, of the suspension of the qualification of the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75" w:lineRule="exact"/>
        <w:rPr>
          <w:rFonts w:ascii="Times New Roman" w:cs="Times New Roman" w:eastAsia="Times New Roman" w:hAnsi="Times New Roman"/>
          <w:sz w:val="22"/>
          <w:szCs w:val="22"/>
          <w:color w:val="auto"/>
        </w:rPr>
      </w:pPr>
    </w:p>
    <w:p>
      <w:pPr>
        <w:ind w:left="300" w:right="299" w:firstLine="1288"/>
        <w:spacing w:after="0" w:line="232" w:lineRule="auto"/>
        <w:tabs>
          <w:tab w:leader="none" w:pos="206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Continuing Amendments</w:t>
      </w:r>
      <w:r>
        <w:rPr>
          <w:rFonts w:ascii="Times New Roman" w:cs="Times New Roman" w:eastAsia="Times New Roman" w:hAnsi="Times New Roman"/>
          <w:sz w:val="22"/>
          <w:szCs w:val="22"/>
          <w:color w:val="auto"/>
        </w:rPr>
        <w:t>. During any period in which a Prospectus relating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Shares is required to be delivered by the Agent under the Securities Act with respect to any Placement or pending sale of the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Shares during such period and the Company will promptly amend or supplement the Registration Statement or Prospectus (at the expense of the Company) so as to correct such statement or omission or effect such compliance.</w:t>
      </w:r>
    </w:p>
    <w:p>
      <w:pPr>
        <w:spacing w:after="0" w:line="189" w:lineRule="exact"/>
        <w:rPr>
          <w:rFonts w:ascii="Times New Roman" w:cs="Times New Roman" w:eastAsia="Times New Roman" w:hAnsi="Times New Roman"/>
          <w:sz w:val="22"/>
          <w:szCs w:val="22"/>
          <w:color w:val="auto"/>
        </w:rPr>
      </w:pPr>
    </w:p>
    <w:p>
      <w:pPr>
        <w:ind w:left="300" w:right="339" w:firstLine="1288"/>
        <w:spacing w:after="0" w:line="247" w:lineRule="auto"/>
        <w:tabs>
          <w:tab w:leader="none" w:pos="2062"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Qualification of the Shares</w:t>
      </w:r>
      <w:r>
        <w:rPr>
          <w:rFonts w:ascii="Times New Roman" w:cs="Times New Roman" w:eastAsia="Times New Roman" w:hAnsi="Times New Roman"/>
          <w:sz w:val="21"/>
          <w:szCs w:val="21"/>
          <w:color w:val="auto"/>
        </w:rPr>
        <w:t>. The Company shall take or cause to be taken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necessary action to qualify the Shares for sale under the securities laws of such jurisdictions as the Agent reasonably designates and to continue such qualifications in effect so long as required for the distribution of the Shares, except that the Company shall not be required in connection therewith to qualify as a foreign corporation or to execute a general consent to service of process in any state. The Company shall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171" w:lineRule="exact"/>
        <w:rPr>
          <w:rFonts w:ascii="Times New Roman" w:cs="Times New Roman" w:eastAsia="Times New Roman" w:hAnsi="Times New Roman"/>
          <w:sz w:val="21"/>
          <w:szCs w:val="21"/>
          <w:color w:val="auto"/>
        </w:rPr>
      </w:pPr>
    </w:p>
    <w:p>
      <w:pPr>
        <w:ind w:left="300" w:right="479" w:firstLine="1288"/>
        <w:spacing w:after="0" w:line="256" w:lineRule="auto"/>
        <w:tabs>
          <w:tab w:leader="none" w:pos="2062"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Copies of Registration Statement and Prospectus</w:t>
      </w:r>
      <w:r>
        <w:rPr>
          <w:rFonts w:ascii="Times New Roman" w:cs="Times New Roman" w:eastAsia="Times New Roman" w:hAnsi="Times New Roman"/>
          <w:sz w:val="21"/>
          <w:szCs w:val="21"/>
          <w:color w:val="auto"/>
        </w:rPr>
        <w:t>. The Company will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furnish to the Agent and counsel for the Agent copies of the Registration Statement (which will include three complete manually signed copies of the Registration Statement and all consents and exhibits filed therewith), the Prospectus and all amendments and supplements to such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5" w:name="page56"/>
    <w:bookmarkEnd w:id="55"/>
    <w:p>
      <w:pPr>
        <w:jc w:val="both"/>
        <w:ind w:left="300" w:right="479"/>
        <w:spacing w:after="0" w:line="244" w:lineRule="auto"/>
        <w:rPr>
          <w:sz w:val="20"/>
          <w:szCs w:val="20"/>
          <w:color w:val="auto"/>
        </w:rPr>
      </w:pPr>
      <w:r>
        <w:rPr>
          <w:rFonts w:ascii="Times New Roman" w:cs="Times New Roman" w:eastAsia="Times New Roman" w:hAnsi="Times New Roman"/>
          <w:sz w:val="22"/>
          <w:szCs w:val="22"/>
          <w:color w:val="auto"/>
        </w:rPr>
        <w:t>documents, in each case as soon as available and in such quantities as the Agent may from time to time reasonably request; provided, however, that the Company’s obligations to provide such copies shall not apply to any filing available via EDGAR.</w:t>
      </w:r>
    </w:p>
    <w:p>
      <w:pPr>
        <w:spacing w:after="0" w:line="169" w:lineRule="exact"/>
        <w:rPr>
          <w:sz w:val="20"/>
          <w:szCs w:val="20"/>
          <w:color w:val="auto"/>
        </w:rPr>
      </w:pPr>
    </w:p>
    <w:p>
      <w:pPr>
        <w:ind w:left="300" w:right="379" w:firstLine="1288"/>
        <w:spacing w:after="0" w:line="241" w:lineRule="auto"/>
        <w:tabs>
          <w:tab w:leader="none" w:pos="206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11(a)</w:t>
      </w:r>
      <w:r>
        <w:rPr>
          <w:rFonts w:ascii="Times New Roman" w:cs="Times New Roman" w:eastAsia="Times New Roman" w:hAnsi="Times New Roman"/>
          <w:sz w:val="22"/>
          <w:szCs w:val="22"/>
          <w:color w:val="auto"/>
        </w:rPr>
        <w:t>. The Company will make generally available to its security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holders as soon as practicable an earnings statement (which need not be audited) covering a 12-month period that shall satisfy the provisions of Section 11(a) of the Securities Act and Rule 158 promulgated thereunder.</w:t>
      </w:r>
    </w:p>
    <w:p>
      <w:pPr>
        <w:spacing w:after="0" w:line="171" w:lineRule="exact"/>
        <w:rPr>
          <w:rFonts w:ascii="Times New Roman" w:cs="Times New Roman" w:eastAsia="Times New Roman" w:hAnsi="Times New Roman"/>
          <w:sz w:val="22"/>
          <w:szCs w:val="22"/>
          <w:color w:val="auto"/>
        </w:rPr>
      </w:pPr>
    </w:p>
    <w:p>
      <w:pPr>
        <w:ind w:left="300" w:right="359" w:firstLine="1288"/>
        <w:spacing w:after="0" w:line="248" w:lineRule="auto"/>
        <w:tabs>
          <w:tab w:leader="none" w:pos="2062"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Expenses</w:t>
      </w:r>
      <w:r>
        <w:rPr>
          <w:rFonts w:ascii="Times New Roman" w:cs="Times New Roman" w:eastAsia="Times New Roman" w:hAnsi="Times New Roman"/>
          <w:sz w:val="21"/>
          <w:szCs w:val="21"/>
          <w:color w:val="auto"/>
        </w:rPr>
        <w:t>. The Company, whether or not the transactions contemplated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hereunder are consummated or this Agreement is terminated, will pay or cause to be paid (i) all expenses (including stock or transfer taxes and stamp or similar duties allocated to the respective transferees) incurred in connection with the registration, issue, sale and delivery of the Shares,</w:t>
      </w:r>
    </w:p>
    <w:p>
      <w:pPr>
        <w:spacing w:after="0" w:line="1" w:lineRule="exact"/>
        <w:rPr>
          <w:rFonts w:ascii="Times New Roman" w:cs="Times New Roman" w:eastAsia="Times New Roman" w:hAnsi="Times New Roman"/>
          <w:sz w:val="21"/>
          <w:szCs w:val="21"/>
          <w:color w:val="auto"/>
        </w:rPr>
      </w:pPr>
    </w:p>
    <w:p>
      <w:pPr>
        <w:ind w:left="300" w:right="319" w:hanging="8"/>
        <w:spacing w:after="0" w:line="242" w:lineRule="auto"/>
        <w:tabs>
          <w:tab w:leader="none" w:pos="61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Shares, the Prospectus and any amendment thereof or supplement thereto, and the producing, word-processing, printing, delivery, and shipping of this Agreement and other transaction documents or closing documents, including Blue Sky Memoranda (covering the states and other applicable jurisdictions) and including the cost to furnish copies of each thereof to the Agent, (iii) all filing fees, (iv) all fees and disbursements of the Agent’s counsel incurred in connection with the qualification of the Shares for offering and sale by the Agent or by dealers under the securities or blue sky laws of the states and other jurisdictions which the Agent shall designate, (v) the fees and expenses of any transfer agent or registrar, (vi) the filing fees and reasonable, actual and documented fees and disbursements of the Agent’s counsel incident to any required review and approval by FINRA of the terms of the sale of the Shares, (vii) listing fees, if any, (viii) the cost and expenses of the Company relating to investor presentations or any “roadshow” undertaken in connection with marketing of the Shares, and (ix) all other costs and expenses incident to the performance of its obligations hereunder that are not otherwise specifically provided for herein. In addition to (iv) and (vi) above, the Company shall reimburse the Agent for the out-of-pocket reasonable and documented expenses, including reasonable fees and disbursements of the Agent’s counsel (actually incurred in an amount which, taken together with the fees and disbursements of Agent’s counsel incurred pursuant to (iv) and (vi) above do not exceed $50,000).</w:t>
      </w:r>
    </w:p>
    <w:p>
      <w:pPr>
        <w:spacing w:after="0" w:line="177" w:lineRule="exact"/>
        <w:rPr>
          <w:rFonts w:ascii="Times New Roman" w:cs="Times New Roman" w:eastAsia="Times New Roman" w:hAnsi="Times New Roman"/>
          <w:sz w:val="21"/>
          <w:szCs w:val="21"/>
          <w:color w:val="auto"/>
        </w:rPr>
      </w:pPr>
    </w:p>
    <w:p>
      <w:pPr>
        <w:ind w:left="300" w:right="359" w:firstLine="1288"/>
        <w:spacing w:after="0" w:line="262" w:lineRule="auto"/>
        <w:tabs>
          <w:tab w:leader="none" w:pos="206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 The Company will apply the net proceeds from the sale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Shares in the manner disclosed in the Prospectus.</w:t>
      </w:r>
    </w:p>
    <w:p>
      <w:pPr>
        <w:spacing w:after="0" w:line="149" w:lineRule="exact"/>
        <w:rPr>
          <w:rFonts w:ascii="Times New Roman" w:cs="Times New Roman" w:eastAsia="Times New Roman" w:hAnsi="Times New Roman"/>
          <w:sz w:val="22"/>
          <w:szCs w:val="22"/>
          <w:color w:val="auto"/>
        </w:rPr>
      </w:pPr>
    </w:p>
    <w:p>
      <w:pPr>
        <w:ind w:left="300" w:right="339" w:firstLine="1288"/>
        <w:spacing w:after="0" w:line="235" w:lineRule="auto"/>
        <w:tabs>
          <w:tab w:leader="none" w:pos="2062"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Restrictions on Future Sales</w:t>
      </w:r>
      <w:r>
        <w:rPr>
          <w:rFonts w:ascii="Times New Roman" w:cs="Times New Roman" w:eastAsia="Times New Roman" w:hAnsi="Times New Roman"/>
          <w:sz w:val="22"/>
          <w:szCs w:val="22"/>
          <w:color w:val="auto"/>
        </w:rPr>
        <w:t>. During the period beginning on the third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Trading Day immediately prior to the date on which any Placement Notice is delivered to the Agent hereunder and ending on the third Trading Day immediately following the earlier of (x) the Settlement Date with respect to Shares sold pursuant to such Placement Notice and (y) the termination or suspension by the Company of such Placement Notice, the Company will not, without the prior written consent of the Agent, offer for sale, sell, contract to sell, pledge, grant any option for the sale of, enter into any transaction which is designed to, or might reasonably be expected to, result in the disposition of Common Stock (whether by actual disposition or effective economic disposition due to cash settlement or otherwise) by the Company or any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6" w:name="page57"/>
    <w:bookmarkEnd w:id="56"/>
    <w:p>
      <w:pPr>
        <w:ind w:left="300" w:right="379"/>
        <w:spacing w:after="0" w:line="243" w:lineRule="auto"/>
        <w:rPr>
          <w:sz w:val="20"/>
          <w:szCs w:val="20"/>
          <w:color w:val="auto"/>
        </w:rPr>
      </w:pPr>
      <w:r>
        <w:rPr>
          <w:rFonts w:ascii="Times New Roman" w:cs="Times New Roman" w:eastAsia="Times New Roman" w:hAnsi="Times New Roman"/>
          <w:sz w:val="21"/>
          <w:szCs w:val="21"/>
          <w:color w:val="auto"/>
        </w:rPr>
        <w:t>affiliate, or otherwise issue or dispose of, directly or indirectly (or publicly disclose the intention to make any such offer, sale, pledge, grant, issuance or other disposition), any Common Stock or any securities convertible into or exchangeable for, or any options or rights to purchase or acquire, Common Stock, or permit the registration under the Securities Act of any Common Stock, such securities, options or rights, except for: (i) the registration of the Shares and the sales through the Agent pursuant to this Agreement, (ii) sales of shares through any dividend reinvestment and stock purchase plan of the Company, (iii) sales of shares of restricted stock, restricted stock units and options granted pursuant to employee benefit plans existing as of the date hereof, and the Common Stock issuable upon the exercise of such outstanding options or vesting of such restricted stock units, (iv) grants made pursuant to Nasdaq Listing Rule 5635(c)</w:t>
      </w:r>
    </w:p>
    <w:p>
      <w:pPr>
        <w:spacing w:after="0" w:line="9" w:lineRule="exact"/>
        <w:rPr>
          <w:sz w:val="20"/>
          <w:szCs w:val="20"/>
          <w:color w:val="auto"/>
        </w:rPr>
      </w:pPr>
    </w:p>
    <w:p>
      <w:pPr>
        <w:ind w:left="300" w:right="659"/>
        <w:spacing w:after="0" w:line="234" w:lineRule="auto"/>
        <w:rPr>
          <w:sz w:val="20"/>
          <w:szCs w:val="20"/>
          <w:color w:val="auto"/>
        </w:rPr>
      </w:pPr>
      <w:r>
        <w:rPr>
          <w:rFonts w:ascii="Times New Roman" w:cs="Times New Roman" w:eastAsia="Times New Roman" w:hAnsi="Times New Roman"/>
          <w:sz w:val="22"/>
          <w:szCs w:val="22"/>
          <w:color w:val="auto"/>
        </w:rPr>
        <w:t>(4), (v) the issuance of shares pursuant to the exercise of warrants, options or other derivative securities, (vi) the filing of registration statements on Form S-8, and (vii) the filing of a registration statement pursuant to any registration rights granted prior to the date hereof as disclosed in the Registration Statement.</w:t>
      </w:r>
    </w:p>
    <w:p>
      <w:pPr>
        <w:spacing w:after="0" w:line="173" w:lineRule="exact"/>
        <w:rPr>
          <w:sz w:val="20"/>
          <w:szCs w:val="20"/>
          <w:color w:val="auto"/>
        </w:rPr>
      </w:pPr>
    </w:p>
    <w:p>
      <w:pPr>
        <w:ind w:left="300" w:right="319" w:firstLine="1288"/>
        <w:spacing w:after="0" w:line="248" w:lineRule="auto"/>
        <w:tabs>
          <w:tab w:leader="none" w:pos="2062"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Stabilization or Manipulation</w:t>
      </w:r>
      <w:r>
        <w:rPr>
          <w:rFonts w:ascii="Times New Roman" w:cs="Times New Roman" w:eastAsia="Times New Roman" w:hAnsi="Times New Roman"/>
          <w:sz w:val="21"/>
          <w:szCs w:val="21"/>
          <w:color w:val="auto"/>
        </w:rPr>
        <w:t>. The Company has not taken and will not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take, directly or indirectly, any action designed to, or which might reasonably be expected to cause or result in, or which constitutes: (i) the stabilization or manipulation of the price of the Common Stock or any other security of the Company to facilitate the sale or resale of the Shares,</w:t>
      </w:r>
    </w:p>
    <w:p>
      <w:pPr>
        <w:spacing w:after="0" w:line="1" w:lineRule="exact"/>
        <w:rPr>
          <w:rFonts w:ascii="Times New Roman" w:cs="Times New Roman" w:eastAsia="Times New Roman" w:hAnsi="Times New Roman"/>
          <w:sz w:val="21"/>
          <w:szCs w:val="21"/>
          <w:color w:val="auto"/>
        </w:rPr>
      </w:pPr>
    </w:p>
    <w:p>
      <w:pPr>
        <w:ind w:left="300" w:right="339" w:hanging="8"/>
        <w:spacing w:after="0" w:line="232" w:lineRule="auto"/>
        <w:tabs>
          <w:tab w:leader="none" w:pos="6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violation of Regulation M. The Company shall notify the Agent of any violation of Regulation M by the Company or its subsidiary or any of their respective officers or directors promptly after the Company has received notice or obtained knowledge of any such violation. The Company shall not invest in futures contracts, options on futures contracts or options on commodities, unless the Company is exempt from the registration requirements of the Commodity Exchange Act, as amended (the </w:t>
      </w:r>
      <w:r>
        <w:rPr>
          <w:rFonts w:ascii="Times New Roman" w:cs="Times New Roman" w:eastAsia="Times New Roman" w:hAnsi="Times New Roman"/>
          <w:sz w:val="22"/>
          <w:szCs w:val="22"/>
          <w:b w:val="1"/>
          <w:bCs w:val="1"/>
          <w:i w:val="1"/>
          <w:iCs w:val="1"/>
          <w:color w:val="auto"/>
        </w:rPr>
        <w:t>“Commodity Act”</w:t>
      </w:r>
      <w:r>
        <w:rPr>
          <w:rFonts w:ascii="Times New Roman" w:cs="Times New Roman" w:eastAsia="Times New Roman" w:hAnsi="Times New Roman"/>
          <w:sz w:val="22"/>
          <w:szCs w:val="22"/>
          <w:color w:val="auto"/>
        </w:rPr>
        <w:t>), or otherwise complies with the Commodity Act. The Company will not engage in any activities bearing on the Commodity Act, unless such activities are exempt from the Commodity Act or otherwise comply with the Commodity Act.</w:t>
      </w:r>
    </w:p>
    <w:p>
      <w:pPr>
        <w:spacing w:after="0" w:line="174" w:lineRule="exact"/>
        <w:rPr>
          <w:rFonts w:ascii="Times New Roman" w:cs="Times New Roman" w:eastAsia="Times New Roman" w:hAnsi="Times New Roman"/>
          <w:sz w:val="22"/>
          <w:szCs w:val="22"/>
          <w:color w:val="auto"/>
        </w:rPr>
      </w:pPr>
    </w:p>
    <w:p>
      <w:pPr>
        <w:ind w:left="300" w:right="379" w:firstLine="1288"/>
        <w:spacing w:after="0" w:line="241" w:lineRule="auto"/>
        <w:tabs>
          <w:tab w:leader="none" w:pos="206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Other Broker</w:t>
      </w:r>
      <w:r>
        <w:rPr>
          <w:rFonts w:ascii="Times New Roman" w:cs="Times New Roman" w:eastAsia="Times New Roman" w:hAnsi="Times New Roman"/>
          <w:sz w:val="22"/>
          <w:szCs w:val="22"/>
          <w:color w:val="auto"/>
        </w:rPr>
        <w:t>. Except as contemplated by this Agreement,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will not incur any liability for any finder’s or broker’s fee or agent’s commission in connection with the execution and delivery of this Agreement, or the consummation of the transactions contemplated hereby.</w:t>
      </w:r>
    </w:p>
    <w:p>
      <w:pPr>
        <w:spacing w:after="0" w:line="171" w:lineRule="exact"/>
        <w:rPr>
          <w:rFonts w:ascii="Times New Roman" w:cs="Times New Roman" w:eastAsia="Times New Roman" w:hAnsi="Times New Roman"/>
          <w:sz w:val="22"/>
          <w:szCs w:val="22"/>
          <w:color w:val="auto"/>
        </w:rPr>
      </w:pPr>
    </w:p>
    <w:p>
      <w:pPr>
        <w:jc w:val="both"/>
        <w:ind w:left="300" w:right="639" w:firstLine="1288"/>
        <w:spacing w:after="0" w:line="241" w:lineRule="auto"/>
        <w:tabs>
          <w:tab w:leader="none" w:pos="206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Timely Securities Act and Exchange Act Reports</w:t>
      </w:r>
      <w:r>
        <w:rPr>
          <w:rFonts w:ascii="Times New Roman" w:cs="Times New Roman" w:eastAsia="Times New Roman" w:hAnsi="Times New Roman"/>
          <w:sz w:val="22"/>
          <w:szCs w:val="22"/>
          <w:color w:val="auto"/>
        </w:rPr>
        <w:t>. During any prospectus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delivery period, the Company will use its commercially reasonable efforts to file on a timely basis with the Commission such periodic and special reports as required by the Securities Act and the Exchange Act.</w:t>
      </w:r>
    </w:p>
    <w:p>
      <w:pPr>
        <w:spacing w:after="0" w:line="171" w:lineRule="exact"/>
        <w:rPr>
          <w:rFonts w:ascii="Times New Roman" w:cs="Times New Roman" w:eastAsia="Times New Roman" w:hAnsi="Times New Roman"/>
          <w:sz w:val="22"/>
          <w:szCs w:val="22"/>
          <w:color w:val="auto"/>
        </w:rPr>
      </w:pPr>
    </w:p>
    <w:p>
      <w:pPr>
        <w:ind w:left="300" w:right="499" w:firstLine="1288"/>
        <w:spacing w:after="0" w:line="247" w:lineRule="auto"/>
        <w:tabs>
          <w:tab w:leader="none" w:pos="2062"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Internal Controls</w:t>
      </w:r>
      <w:r>
        <w:rPr>
          <w:rFonts w:ascii="Times New Roman" w:cs="Times New Roman" w:eastAsia="Times New Roman" w:hAnsi="Times New Roman"/>
          <w:sz w:val="21"/>
          <w:szCs w:val="21"/>
          <w:color w:val="auto"/>
        </w:rPr>
        <w:t>. The Company and its subsidiary will maintain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controls and other procedures, including without limitation, those required by Sections 302 and 906 of the Sarbanes-Oxley Act and the applicable regulations thereunder, that are designed to provide reasonable assurances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7" w:name="page58"/>
    <w:bookmarkEnd w:id="57"/>
    <w:p>
      <w:pPr>
        <w:ind w:left="300" w:right="319"/>
        <w:spacing w:after="0" w:line="238" w:lineRule="auto"/>
        <w:rPr>
          <w:sz w:val="20"/>
          <w:szCs w:val="20"/>
          <w:color w:val="auto"/>
        </w:rPr>
      </w:pPr>
      <w:r>
        <w:rPr>
          <w:rFonts w:ascii="Times New Roman" w:cs="Times New Roman" w:eastAsia="Times New Roman" w:hAnsi="Times New Roman"/>
          <w:sz w:val="22"/>
          <w:szCs w:val="22"/>
          <w:color w:val="auto"/>
        </w:rPr>
        <w:t>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including its subsidiary, is made known to them by others within those entities.</w:t>
      </w:r>
    </w:p>
    <w:p>
      <w:pPr>
        <w:spacing w:after="0" w:line="173" w:lineRule="exact"/>
        <w:rPr>
          <w:sz w:val="20"/>
          <w:szCs w:val="20"/>
          <w:color w:val="auto"/>
        </w:rPr>
      </w:pPr>
    </w:p>
    <w:p>
      <w:pPr>
        <w:ind w:left="300" w:right="319" w:firstLine="1288"/>
        <w:spacing w:after="0" w:line="245" w:lineRule="auto"/>
        <w:tabs>
          <w:tab w:leader="none" w:pos="2062"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Permitted Free Writing Prospectus</w:t>
      </w:r>
      <w:r>
        <w:rPr>
          <w:rFonts w:ascii="Times New Roman" w:cs="Times New Roman" w:eastAsia="Times New Roman" w:hAnsi="Times New Roman"/>
          <w:sz w:val="21"/>
          <w:szCs w:val="21"/>
          <w:color w:val="auto"/>
        </w:rPr>
        <w:t>. The Company represents and agrees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that, unless it obtains the prior written consent of the Agent, and the Agent severally represents and agrees that, unless it obtains the prior written consent of the Company, it has not made and will not make any offer relating to the Shares that would constitute an “issuer free writing prospectus,” as defined in Rule 433 under the Securities Act, or that would otherwise constitute a “free writing prospectus,” as defined in Rule 405 under the Securities Act, required to be filed with the Commission. Any such free writing prospectus consented to by the Company and the Agent is hereinafter referred to as a </w:t>
      </w:r>
      <w:r>
        <w:rPr>
          <w:rFonts w:ascii="Times New Roman" w:cs="Times New Roman" w:eastAsia="Times New Roman" w:hAnsi="Times New Roman"/>
          <w:sz w:val="21"/>
          <w:szCs w:val="21"/>
          <w:b w:val="1"/>
          <w:bCs w:val="1"/>
          <w:i w:val="1"/>
          <w:iCs w:val="1"/>
          <w:color w:val="auto"/>
        </w:rPr>
        <w:t>“Permitted Free Writing Prospectus.”</w:t>
      </w:r>
      <w:r>
        <w:rPr>
          <w:rFonts w:ascii="Times New Roman" w:cs="Times New Roman" w:eastAsia="Times New Roman" w:hAnsi="Times New Roman"/>
          <w:sz w:val="21"/>
          <w:szCs w:val="21"/>
          <w:color w:val="auto"/>
        </w:rPr>
        <w:t xml:space="preserve">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173" w:lineRule="exact"/>
        <w:rPr>
          <w:rFonts w:ascii="Times New Roman" w:cs="Times New Roman" w:eastAsia="Times New Roman" w:hAnsi="Times New Roman"/>
          <w:sz w:val="21"/>
          <w:szCs w:val="21"/>
          <w:color w:val="auto"/>
        </w:rPr>
      </w:pPr>
    </w:p>
    <w:p>
      <w:pPr>
        <w:jc w:val="both"/>
        <w:ind w:left="300" w:right="339" w:firstLine="1288"/>
        <w:spacing w:after="0" w:line="255" w:lineRule="auto"/>
        <w:tabs>
          <w:tab w:leader="none" w:pos="2062"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Representation Date and Opinions of Counsel</w:t>
      </w:r>
      <w:r>
        <w:rPr>
          <w:rFonts w:ascii="Times New Roman" w:cs="Times New Roman" w:eastAsia="Times New Roman" w:hAnsi="Times New Roman"/>
          <w:sz w:val="21"/>
          <w:szCs w:val="21"/>
          <w:color w:val="auto"/>
        </w:rPr>
        <w:t>. On or prior to the date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first Placement Notice, and thereafter during the term of this Agreement, each time the Company</w:t>
      </w:r>
    </w:p>
    <w:p>
      <w:pPr>
        <w:ind w:left="300" w:right="359" w:hanging="8"/>
        <w:spacing w:after="0" w:line="232" w:lineRule="auto"/>
        <w:tabs>
          <w:tab w:leader="none" w:pos="65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an amendment to the Registration Statement or Prospectus (other than relating solely to the offering of securities other than the Shares), (B) files an Annual Report on Form 10-K under the Exchange Act or files its Quarterly Reports on Form 10-Q under the Exchange Act; and (C) files a report on Form 8-K containing amended financial statements (other than an earnings release) under the Exchange Act, (each of the dates in (A), (B) and (C) are referred to herein as a “</w:t>
      </w:r>
      <w:r>
        <w:rPr>
          <w:rFonts w:ascii="Times New Roman" w:cs="Times New Roman" w:eastAsia="Times New Roman" w:hAnsi="Times New Roman"/>
          <w:sz w:val="22"/>
          <w:szCs w:val="22"/>
          <w:b w:val="1"/>
          <w:bCs w:val="1"/>
          <w:i w:val="1"/>
          <w:iCs w:val="1"/>
          <w:color w:val="auto"/>
        </w:rPr>
        <w:t>Representation Date</w:t>
      </w:r>
      <w:r>
        <w:rPr>
          <w:rFonts w:ascii="Times New Roman" w:cs="Times New Roman" w:eastAsia="Times New Roman" w:hAnsi="Times New Roman"/>
          <w:sz w:val="22"/>
          <w:szCs w:val="22"/>
          <w:color w:val="auto"/>
        </w:rPr>
        <w:t>”), the Company shall cause:</w:t>
      </w:r>
    </w:p>
    <w:p>
      <w:pPr>
        <w:spacing w:after="0" w:line="182" w:lineRule="exact"/>
        <w:rPr>
          <w:rFonts w:ascii="Times New Roman" w:cs="Times New Roman" w:eastAsia="Times New Roman" w:hAnsi="Times New Roman"/>
          <w:sz w:val="22"/>
          <w:szCs w:val="22"/>
          <w:color w:val="auto"/>
        </w:rPr>
      </w:pPr>
    </w:p>
    <w:p>
      <w:pPr>
        <w:ind w:left="300" w:right="419" w:firstLine="1936"/>
        <w:spacing w:after="0" w:line="236" w:lineRule="auto"/>
        <w:tabs>
          <w:tab w:leader="none" w:pos="2503"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Goodwin Procter LLP, counsel for the Company, to furnish to the Agent the opinion and negative assurance letter of such counsel, dated as of such date and addressed to the Agent, in form and substance reasonably satisfactory to the Agent; provided however, the opinion of such counsel shall be required only prior to the date of the first Placement Notice and only a negative assurance letter of such counsel shall be required for each Representation Date.</w:t>
      </w:r>
    </w:p>
    <w:p>
      <w:pPr>
        <w:spacing w:after="0" w:line="181" w:lineRule="exact"/>
        <w:rPr>
          <w:sz w:val="20"/>
          <w:szCs w:val="20"/>
          <w:color w:val="auto"/>
        </w:rPr>
      </w:pPr>
    </w:p>
    <w:p>
      <w:pPr>
        <w:ind w:left="300" w:right="459" w:firstLine="1944"/>
        <w:spacing w:after="0" w:line="239" w:lineRule="auto"/>
        <w:rPr>
          <w:sz w:val="20"/>
          <w:szCs w:val="20"/>
          <w:color w:val="auto"/>
        </w:rPr>
      </w:pPr>
      <w:r>
        <w:rPr>
          <w:rFonts w:ascii="Times New Roman" w:cs="Times New Roman" w:eastAsia="Times New Roman" w:hAnsi="Times New Roman"/>
          <w:sz w:val="22"/>
          <w:szCs w:val="22"/>
          <w:color w:val="auto"/>
        </w:rPr>
        <w:t>(ii)McCarter &amp; English, LLP, intellectual property and patent counsel for the Company, to furnish to the Agent the opinion of such counsel, dated as of such date and addressed to the Agent, in form and substance reasonably satisfactory to the Agent; provided however, the opinion of counsel shall only be required for the first Settlement Date.</w:t>
      </w:r>
    </w:p>
    <w:p>
      <w:pPr>
        <w:spacing w:after="0" w:line="180" w:lineRule="exact"/>
        <w:rPr>
          <w:sz w:val="20"/>
          <w:szCs w:val="20"/>
          <w:color w:val="auto"/>
        </w:rPr>
      </w:pPr>
    </w:p>
    <w:p>
      <w:pPr>
        <w:ind w:left="300" w:right="319" w:firstLine="648"/>
        <w:spacing w:after="0" w:line="248" w:lineRule="auto"/>
        <w:rPr>
          <w:sz w:val="20"/>
          <w:szCs w:val="20"/>
          <w:color w:val="auto"/>
        </w:rPr>
      </w:pPr>
      <w:r>
        <w:rPr>
          <w:rFonts w:ascii="Times New Roman" w:cs="Times New Roman" w:eastAsia="Times New Roman" w:hAnsi="Times New Roman"/>
          <w:sz w:val="21"/>
          <w:szCs w:val="21"/>
          <w:color w:val="auto"/>
        </w:rPr>
        <w:t>Notwithstanding the foregoing and Sections 3(p), 3(q) and 3(v) hereof, the requirement to provide counsel opinions, a comfort letter, certificates and documents under this Section 3 shall be waived for any Representation Date occurring at a time at which no Placement Notice is pending, which waiver shall continue until the date the Company delivers a Placement Notice to the Agent. Notwithstanding the foregoing, if the Company subsequently decides to sell Shares following a Representation Date when the Company relied on such waiver and did not provide the Agent with the opinions, comfort letter, certificates and documents under this Section 3, then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8" w:name="page59"/>
    <w:bookmarkEnd w:id="58"/>
    <w:p>
      <w:pPr>
        <w:ind w:left="300" w:right="339"/>
        <w:spacing w:after="0" w:line="239" w:lineRule="auto"/>
        <w:rPr>
          <w:sz w:val="20"/>
          <w:szCs w:val="20"/>
          <w:color w:val="auto"/>
        </w:rPr>
      </w:pPr>
      <w:r>
        <w:rPr>
          <w:rFonts w:ascii="Times New Roman" w:cs="Times New Roman" w:eastAsia="Times New Roman" w:hAnsi="Times New Roman"/>
          <w:sz w:val="22"/>
          <w:szCs w:val="22"/>
          <w:color w:val="auto"/>
        </w:rPr>
        <w:t>before the Agent sells any Shares pursuant to Section 2(a), the Company shall cause the opinions (including the opinion pursuant to Section 3(o) if not delivered on the date of the prior Form 10-K), comfort letter, certificates and documents that would be delivered on a Representation Date to be delivered.</w:t>
      </w:r>
    </w:p>
    <w:p>
      <w:pPr>
        <w:spacing w:after="0" w:line="176" w:lineRule="exact"/>
        <w:rPr>
          <w:sz w:val="20"/>
          <w:szCs w:val="20"/>
          <w:color w:val="auto"/>
        </w:rPr>
      </w:pPr>
    </w:p>
    <w:p>
      <w:pPr>
        <w:ind w:left="300" w:right="319" w:firstLine="1288"/>
        <w:spacing w:after="0" w:line="246" w:lineRule="auto"/>
        <w:tabs>
          <w:tab w:leader="none" w:pos="2062"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Representation Date and Comfort Letter</w:t>
      </w:r>
      <w:r>
        <w:rPr>
          <w:rFonts w:ascii="Times New Roman" w:cs="Times New Roman" w:eastAsia="Times New Roman" w:hAnsi="Times New Roman"/>
          <w:sz w:val="21"/>
          <w:szCs w:val="21"/>
          <w:color w:val="auto"/>
        </w:rPr>
        <w:t>. On or prior to the date of the first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Placement Notice and thereafter during the term of this Agreement, on each Representation Date to which a waiver does not apply, the Company shall cause PricewaterhouseCoopers LLP, or other independent accountants reasonably satisfactory to the Agent (the “</w:t>
      </w:r>
      <w:r>
        <w:rPr>
          <w:rFonts w:ascii="Times New Roman" w:cs="Times New Roman" w:eastAsia="Times New Roman" w:hAnsi="Times New Roman"/>
          <w:sz w:val="21"/>
          <w:szCs w:val="21"/>
          <w:b w:val="1"/>
          <w:bCs w:val="1"/>
          <w:i w:val="1"/>
          <w:iCs w:val="1"/>
          <w:color w:val="auto"/>
        </w:rPr>
        <w:t>Accountants</w:t>
      </w:r>
      <w:r>
        <w:rPr>
          <w:rFonts w:ascii="Times New Roman" w:cs="Times New Roman" w:eastAsia="Times New Roman" w:hAnsi="Times New Roman"/>
          <w:sz w:val="21"/>
          <w:szCs w:val="21"/>
          <w:color w:val="auto"/>
        </w:rPr>
        <w:t>”), to deliver to the Agent a letter, dated as of such date and addressed to the Agent, confirming that they are independent public accountants within the meaning of the Securities Act and are in compliance with the applicable requirements relating to the qualifications of accountants under Rule 2-01 of Regulation S-X of the Commission, and stating the conclusions and findings of said firm with respect to the financial information and other matters covered by its letter in form and substance satisfactory to the Agent of the same tenor as the first such letter received hereunder.</w:t>
      </w:r>
    </w:p>
    <w:p>
      <w:pPr>
        <w:spacing w:after="0" w:line="170" w:lineRule="exact"/>
        <w:rPr>
          <w:rFonts w:ascii="Times New Roman" w:cs="Times New Roman" w:eastAsia="Times New Roman" w:hAnsi="Times New Roman"/>
          <w:sz w:val="21"/>
          <w:szCs w:val="21"/>
          <w:color w:val="auto"/>
        </w:rPr>
      </w:pPr>
    </w:p>
    <w:p>
      <w:pPr>
        <w:ind w:left="300" w:right="319" w:firstLine="1288"/>
        <w:spacing w:after="0" w:line="237" w:lineRule="auto"/>
        <w:tabs>
          <w:tab w:leader="none" w:pos="206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 Date and Representation Certificate</w:t>
      </w:r>
      <w:r>
        <w:rPr>
          <w:rFonts w:ascii="Times New Roman" w:cs="Times New Roman" w:eastAsia="Times New Roman" w:hAnsi="Times New Roman"/>
          <w:sz w:val="22"/>
          <w:szCs w:val="22"/>
          <w:color w:val="auto"/>
        </w:rPr>
        <w:t>. On or prior to the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the First Placement Notice and thereafter during the term of this Agreement, on each Representation Date to which a waiver does not apply, the Company shall furnish to the Agent a certificate (the </w:t>
      </w:r>
      <w:r>
        <w:rPr>
          <w:rFonts w:ascii="Times New Roman" w:cs="Times New Roman" w:eastAsia="Times New Roman" w:hAnsi="Times New Roman"/>
          <w:sz w:val="22"/>
          <w:szCs w:val="22"/>
          <w:b w:val="1"/>
          <w:bCs w:val="1"/>
          <w:i w:val="1"/>
          <w:iCs w:val="1"/>
          <w:color w:val="auto"/>
        </w:rPr>
        <w:t>“Representation Certificate”</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hereto and dated as of such date, addressed to the Agent and signed by the chief executive officer and by the chief financial officer of the Company.</w:t>
      </w:r>
    </w:p>
    <w:p>
      <w:pPr>
        <w:spacing w:after="0" w:line="175" w:lineRule="exact"/>
        <w:rPr>
          <w:rFonts w:ascii="Times New Roman" w:cs="Times New Roman" w:eastAsia="Times New Roman" w:hAnsi="Times New Roman"/>
          <w:sz w:val="22"/>
          <w:szCs w:val="22"/>
          <w:color w:val="auto"/>
        </w:rPr>
      </w:pPr>
    </w:p>
    <w:p>
      <w:pPr>
        <w:ind w:left="300" w:right="339" w:firstLine="1288"/>
        <w:spacing w:after="0" w:line="238" w:lineRule="auto"/>
        <w:tabs>
          <w:tab w:leader="none" w:pos="206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Disclosure of Shares Sold</w:t>
      </w:r>
      <w:r>
        <w:rPr>
          <w:rFonts w:ascii="Times New Roman" w:cs="Times New Roman" w:eastAsia="Times New Roman" w:hAnsi="Times New Roman"/>
          <w:sz w:val="22"/>
          <w:szCs w:val="22"/>
          <w:color w:val="auto"/>
        </w:rPr>
        <w:t>. The Company shall disclose in its Quarterly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Reports on Form 10-Q and in its Annual Report on Form 10-K the number of the Shares sold through the Agent under this Agreement, the net proceeds to the Company and the compensation paid by the Company with respect to sales of the Shares pursuant to this Agreement during the relevant quarter.</w:t>
      </w:r>
    </w:p>
    <w:p>
      <w:pPr>
        <w:spacing w:after="0" w:line="176" w:lineRule="exact"/>
        <w:rPr>
          <w:rFonts w:ascii="Times New Roman" w:cs="Times New Roman" w:eastAsia="Times New Roman" w:hAnsi="Times New Roman"/>
          <w:sz w:val="22"/>
          <w:szCs w:val="22"/>
          <w:color w:val="auto"/>
        </w:rPr>
      </w:pPr>
    </w:p>
    <w:p>
      <w:pPr>
        <w:ind w:left="300" w:right="859" w:firstLine="1288"/>
        <w:spacing w:after="0" w:line="286" w:lineRule="auto"/>
        <w:tabs>
          <w:tab w:leader="none" w:pos="2062"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Continued Listing of Shares</w:t>
      </w:r>
      <w:r>
        <w:rPr>
          <w:rFonts w:ascii="Times New Roman" w:cs="Times New Roman" w:eastAsia="Times New Roman" w:hAnsi="Times New Roman"/>
          <w:sz w:val="21"/>
          <w:szCs w:val="21"/>
          <w:color w:val="auto"/>
        </w:rPr>
        <w:t>. The Company shall use its commercially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reasonable efforts to maintain the listing of the Common Stock on the Exchange.</w:t>
      </w:r>
    </w:p>
    <w:p>
      <w:pPr>
        <w:spacing w:after="0" w:line="126" w:lineRule="exact"/>
        <w:rPr>
          <w:rFonts w:ascii="Times New Roman" w:cs="Times New Roman" w:eastAsia="Times New Roman" w:hAnsi="Times New Roman"/>
          <w:sz w:val="21"/>
          <w:szCs w:val="21"/>
          <w:color w:val="auto"/>
        </w:rPr>
      </w:pPr>
    </w:p>
    <w:p>
      <w:pPr>
        <w:ind w:left="300" w:right="339" w:firstLine="1288"/>
        <w:spacing w:after="0" w:line="238" w:lineRule="auto"/>
        <w:tabs>
          <w:tab w:leader="none" w:pos="206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Changes</w:t>
      </w:r>
      <w:r>
        <w:rPr>
          <w:rFonts w:ascii="Times New Roman" w:cs="Times New Roman" w:eastAsia="Times New Roman" w:hAnsi="Times New Roman"/>
          <w:sz w:val="22"/>
          <w:szCs w:val="22"/>
          <w:color w:val="auto"/>
        </w:rPr>
        <w:t>. At any time during the term of this Agreement,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supplemented from time to time, the Company shall advise the Agent as soon as practicable after it shall have received notice or obtain knowledge thereof, of any information or fact that would alter or affect any opinion, certificate, letter and other document provided to the Agent pursuant to this Section 3.</w:t>
      </w:r>
    </w:p>
    <w:p>
      <w:pPr>
        <w:spacing w:after="0" w:line="176" w:lineRule="exact"/>
        <w:rPr>
          <w:rFonts w:ascii="Times New Roman" w:cs="Times New Roman" w:eastAsia="Times New Roman" w:hAnsi="Times New Roman"/>
          <w:sz w:val="22"/>
          <w:szCs w:val="22"/>
          <w:color w:val="auto"/>
        </w:rPr>
      </w:pPr>
    </w:p>
    <w:p>
      <w:pPr>
        <w:ind w:left="300" w:right="419" w:firstLine="1288"/>
        <w:spacing w:after="0" w:line="286" w:lineRule="auto"/>
        <w:tabs>
          <w:tab w:leader="none" w:pos="2062"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Maximum Amount</w:t>
      </w:r>
      <w:r>
        <w:rPr>
          <w:rFonts w:ascii="Times New Roman" w:cs="Times New Roman" w:eastAsia="Times New Roman" w:hAnsi="Times New Roman"/>
          <w:sz w:val="21"/>
          <w:szCs w:val="21"/>
          <w:color w:val="auto"/>
        </w:rPr>
        <w:t>. The Company will not instruct the Agent to sell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otherwise attempt to sell Shares pursuant to this Agreement in excess of the Maximum Amount.</w:t>
      </w:r>
    </w:p>
    <w:p>
      <w:pPr>
        <w:spacing w:after="0" w:line="124" w:lineRule="exact"/>
        <w:rPr>
          <w:rFonts w:ascii="Times New Roman" w:cs="Times New Roman" w:eastAsia="Times New Roman" w:hAnsi="Times New Roman"/>
          <w:sz w:val="21"/>
          <w:szCs w:val="21"/>
          <w:color w:val="auto"/>
        </w:rPr>
      </w:pPr>
    </w:p>
    <w:p>
      <w:pPr>
        <w:ind w:left="300" w:right="499" w:firstLine="640"/>
        <w:spacing w:after="0" w:line="237" w:lineRule="auto"/>
        <w:tabs>
          <w:tab w:leader="none" w:pos="1181" w:val="left"/>
        </w:tabs>
        <w:numPr>
          <w:ilvl w:val="0"/>
          <w:numId w:val="3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Conditions of Agent’s Obligations</w:t>
      </w:r>
      <w:r>
        <w:rPr>
          <w:rFonts w:ascii="Times New Roman" w:cs="Times New Roman" w:eastAsia="Times New Roman" w:hAnsi="Times New Roman"/>
          <w:sz w:val="22"/>
          <w:szCs w:val="22"/>
          <w:color w:val="auto"/>
        </w:rPr>
        <w:t>. The obligations of the Agent hereunder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subject to (i) the accuracy, as of the date of this Agreement, each Representation Date, each Notice Date, each Applicable Time, and each Settlement Date (in each case, as if made at such date) of and compliance with all representations, warranties and agreements of the Company contained herein, (ii) the performance by the Company of its obligations hereunder and (iii) the following additional conditions: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9" w:name="page60"/>
    <w:bookmarkEnd w:id="59"/>
    <w:p>
      <w:pPr>
        <w:ind w:left="300" w:right="319" w:firstLine="1288"/>
        <w:spacing w:after="0" w:line="233" w:lineRule="auto"/>
        <w:tabs>
          <w:tab w:leader="none" w:pos="206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Continuing Amendments; No Stop Order</w:t>
      </w:r>
      <w:r>
        <w:rPr>
          <w:rFonts w:ascii="Times New Roman" w:cs="Times New Roman" w:eastAsia="Times New Roman" w:hAnsi="Times New Roman"/>
          <w:sz w:val="22"/>
          <w:szCs w:val="22"/>
          <w:color w:val="auto"/>
        </w:rPr>
        <w:t>. If filing of the Prospectus,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 or supplement thereto, or any Permitted Free Writing Prospectus, is required under the Securities Act, the Company shall have filed the Prospectus (or such amendment or supplement) or such Permitted Free Writing Prospectus with the Commission in the manner and within the time period so required (without reliance on Rule 424(b)(8) or Rule 164(b) under the Securities Act); the Registration Statement shall be effective; no stop order suspending the effectiveness of the Registration Statement or any part thereof, any registration statement filed pursuant to Rule 462(b) under the Securities Act, or any amendment thereof, nor suspending or preventing the use of the Prospectus shall have been issued; no proceedings for the issuance of such an order shall have been initiated or threatened; and any request of the Commission for additional information (to be included in the Registration Statement, the Prospectus or otherwise) shall have been complied with to the Agent’s satisfaction.</w:t>
      </w:r>
    </w:p>
    <w:p>
      <w:pPr>
        <w:spacing w:after="0" w:line="184" w:lineRule="exact"/>
        <w:rPr>
          <w:rFonts w:ascii="Times New Roman" w:cs="Times New Roman" w:eastAsia="Times New Roman" w:hAnsi="Times New Roman"/>
          <w:sz w:val="22"/>
          <w:szCs w:val="22"/>
          <w:color w:val="auto"/>
        </w:rPr>
      </w:pPr>
    </w:p>
    <w:p>
      <w:pPr>
        <w:ind w:left="300" w:right="339" w:firstLine="1288"/>
        <w:spacing w:after="0" w:line="232" w:lineRule="auto"/>
        <w:tabs>
          <w:tab w:leader="none" w:pos="206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Absence of Certain Events</w:t>
      </w:r>
      <w:r>
        <w:rPr>
          <w:rFonts w:ascii="Times New Roman" w:cs="Times New Roman" w:eastAsia="Times New Roman" w:hAnsi="Times New Roman"/>
          <w:sz w:val="22"/>
          <w:szCs w:val="22"/>
          <w:color w:val="auto"/>
        </w:rPr>
        <w:t>. None of the following events shall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occurred and be continuing: (i) receipt by the Company or its subsidiary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5" w:lineRule="exact"/>
        <w:rPr>
          <w:rFonts w:ascii="Times New Roman" w:cs="Times New Roman" w:eastAsia="Times New Roman" w:hAnsi="Times New Roman"/>
          <w:sz w:val="22"/>
          <w:szCs w:val="22"/>
          <w:color w:val="auto"/>
        </w:rPr>
      </w:pPr>
    </w:p>
    <w:p>
      <w:pPr>
        <w:jc w:val="both"/>
        <w:ind w:left="300" w:right="499" w:firstLine="1288"/>
        <w:spacing w:after="0" w:line="238" w:lineRule="auto"/>
        <w:tabs>
          <w:tab w:leader="none" w:pos="206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Material Misstatement or Omission</w:t>
      </w:r>
      <w:r>
        <w:rPr>
          <w:rFonts w:ascii="Times New Roman" w:cs="Times New Roman" w:eastAsia="Times New Roman" w:hAnsi="Times New Roman"/>
          <w:sz w:val="22"/>
          <w:szCs w:val="22"/>
          <w:color w:val="auto"/>
        </w:rPr>
        <w:t>. The Agent shall not have advised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that the Registration Statement or the Prospectus, contains an untrue statement of fact which, in the Agent’s opinion, is material, or omits to state a fact which, in the Agent’s opinion, is material and is required to be stated therein or necessary to make the statements therein not misleading.</w:t>
      </w:r>
    </w:p>
    <w:p>
      <w:pPr>
        <w:spacing w:after="0" w:line="176" w:lineRule="exact"/>
        <w:rPr>
          <w:rFonts w:ascii="Times New Roman" w:cs="Times New Roman" w:eastAsia="Times New Roman" w:hAnsi="Times New Roman"/>
          <w:sz w:val="22"/>
          <w:szCs w:val="22"/>
          <w:color w:val="auto"/>
        </w:rPr>
      </w:pPr>
    </w:p>
    <w:p>
      <w:pPr>
        <w:ind w:left="300" w:right="319" w:firstLine="1288"/>
        <w:spacing w:after="0" w:line="248" w:lineRule="auto"/>
        <w:tabs>
          <w:tab w:leader="none" w:pos="206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Adverse Changes</w:t>
      </w:r>
      <w:r>
        <w:rPr>
          <w:rFonts w:ascii="Times New Roman" w:cs="Times New Roman" w:eastAsia="Times New Roman" w:hAnsi="Times New Roman"/>
          <w:sz w:val="21"/>
          <w:szCs w:val="21"/>
          <w:color w:val="auto"/>
        </w:rPr>
        <w:t>. Except as disclosed in the Prospectus, subsequent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respective dates as of which information is given in the Prospectus, neither the Company nor its subsidiary shall have incurred any material liabilities or obligations, direct or contingent, or entered into any material transactions, or declared or paid any dividends or made any distribution of any kind with respect to its capital stock; and there shall not have been any material change in the capital stock (other than a change in the number of outstanding shares of Common Stock due to the issuance of shares of Common Stock upon the exercise of outstanding</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60" w:name="page61"/>
    <w:bookmarkEnd w:id="60"/>
    <w:p>
      <w:pPr>
        <w:ind w:left="300" w:right="359"/>
        <w:spacing w:after="0" w:line="235" w:lineRule="auto"/>
        <w:rPr>
          <w:sz w:val="20"/>
          <w:szCs w:val="20"/>
          <w:color w:val="auto"/>
        </w:rPr>
      </w:pPr>
      <w:r>
        <w:rPr>
          <w:rFonts w:ascii="Times New Roman" w:cs="Times New Roman" w:eastAsia="Times New Roman" w:hAnsi="Times New Roman"/>
          <w:sz w:val="22"/>
          <w:szCs w:val="22"/>
          <w:color w:val="auto"/>
        </w:rPr>
        <w:t>options or warrants), or any material change in the short-term or long-term debt of the Company, or any issuance of options, warrants, convertible securities or other rights to purchase the capital stock of the Company or its subsidiary, or any development involving a prospective Material Adverse Effect (whether or not arising in the ordinary course of business), or any loss by strike, fire, flood, earthquake, accident or other calamity, whether or not covered by insurance, incurred by the Company or its subsidiary, the effect of which, in any such case described above, in the Agent’s judgment, makes it impractical or inadvisable to offer or deliver the Shares on the terms and in the manner contemplated in the Prospectus.</w:t>
      </w:r>
    </w:p>
    <w:p>
      <w:pPr>
        <w:spacing w:after="0" w:line="174" w:lineRule="exact"/>
        <w:rPr>
          <w:sz w:val="20"/>
          <w:szCs w:val="20"/>
          <w:color w:val="auto"/>
        </w:rPr>
      </w:pPr>
    </w:p>
    <w:p>
      <w:pPr>
        <w:ind w:left="300" w:right="419" w:firstLine="1288"/>
        <w:spacing w:after="0" w:line="237" w:lineRule="auto"/>
        <w:tabs>
          <w:tab w:leader="none" w:pos="206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Rating Downgrade</w:t>
      </w:r>
      <w:r>
        <w:rPr>
          <w:rFonts w:ascii="Times New Roman" w:cs="Times New Roman" w:eastAsia="Times New Roman" w:hAnsi="Times New Roman"/>
          <w:sz w:val="22"/>
          <w:szCs w:val="22"/>
          <w:color w:val="auto"/>
        </w:rPr>
        <w:t>. On or after each Applicable Time (i)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downgrading shall have occurred in the rating accorded any of the Company’s securities by any “nationally recognized statistical organization,” as that term is defined by the Commission for purposes of Rule 436(g)(2) under the Securities Act, and (ii) no such organization shall have publicly announced that it has under surveillance or review, with possible negative implications, its rating of any of the Company’s securities.</w:t>
      </w:r>
    </w:p>
    <w:p>
      <w:pPr>
        <w:spacing w:after="0" w:line="175" w:lineRule="exact"/>
        <w:rPr>
          <w:rFonts w:ascii="Times New Roman" w:cs="Times New Roman" w:eastAsia="Times New Roman" w:hAnsi="Times New Roman"/>
          <w:sz w:val="22"/>
          <w:szCs w:val="22"/>
          <w:color w:val="auto"/>
        </w:rPr>
      </w:pPr>
    </w:p>
    <w:p>
      <w:pPr>
        <w:ind w:left="300" w:right="439" w:firstLine="1288"/>
        <w:spacing w:after="0" w:line="262" w:lineRule="auto"/>
        <w:tabs>
          <w:tab w:leader="none" w:pos="206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Compliance with Certain Obligations</w:t>
      </w:r>
      <w:r>
        <w:rPr>
          <w:rFonts w:ascii="Times New Roman" w:cs="Times New Roman" w:eastAsia="Times New Roman" w:hAnsi="Times New Roman"/>
          <w:sz w:val="22"/>
          <w:szCs w:val="22"/>
          <w:color w:val="auto"/>
        </w:rPr>
        <w:t>. The Company shall have performed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of its obligations under Sections 3(o) – 3(q) and Section 3(v).</w:t>
      </w:r>
    </w:p>
    <w:p>
      <w:pPr>
        <w:spacing w:after="0" w:line="149" w:lineRule="exact"/>
        <w:rPr>
          <w:rFonts w:ascii="Times New Roman" w:cs="Times New Roman" w:eastAsia="Times New Roman" w:hAnsi="Times New Roman"/>
          <w:sz w:val="22"/>
          <w:szCs w:val="22"/>
          <w:color w:val="auto"/>
        </w:rPr>
      </w:pPr>
    </w:p>
    <w:p>
      <w:pPr>
        <w:ind w:left="300" w:right="399" w:firstLine="1288"/>
        <w:spacing w:after="0" w:line="235" w:lineRule="auto"/>
        <w:tabs>
          <w:tab w:leader="none" w:pos="206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Opinion of Agent Counsel</w:t>
      </w:r>
      <w:r>
        <w:rPr>
          <w:rFonts w:ascii="Times New Roman" w:cs="Times New Roman" w:eastAsia="Times New Roman" w:hAnsi="Times New Roman"/>
          <w:sz w:val="22"/>
          <w:szCs w:val="22"/>
          <w:color w:val="auto"/>
        </w:rPr>
        <w:t>. On each Representation Date to which a waiver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does not apply, there shall have been furnished to the Agent the opinion and negative assurance letter of Mintz, Levin, Cohn, Ferris, Glovsky and Popeo, P.C., counsel for the Agent, dated as of such Representation Date and addressed to the Agent, in a form reasonably satisfactory to the Agent, and such counsel shall have received such papers and information as they request to enable them to pass upon such matters; provided however, the opinion of Mintz, Levin, Cohn, Ferris, Glovsky and Popeo, P.C. shall only be required prior to the first Placement Notice, and thereafter, only a negative assurance letter of such counsel shall be required for each subsequent Representation Date.</w:t>
      </w:r>
    </w:p>
    <w:p>
      <w:pPr>
        <w:spacing w:after="0" w:line="173" w:lineRule="exact"/>
        <w:rPr>
          <w:rFonts w:ascii="Times New Roman" w:cs="Times New Roman" w:eastAsia="Times New Roman" w:hAnsi="Times New Roman"/>
          <w:sz w:val="22"/>
          <w:szCs w:val="22"/>
          <w:color w:val="auto"/>
        </w:rPr>
      </w:pPr>
    </w:p>
    <w:p>
      <w:pPr>
        <w:ind w:left="300" w:right="459" w:firstLine="1288"/>
        <w:spacing w:after="0" w:line="246" w:lineRule="auto"/>
        <w:tabs>
          <w:tab w:leader="none" w:pos="206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 Certificate</w:t>
      </w:r>
      <w:r>
        <w:rPr>
          <w:rFonts w:ascii="Times New Roman" w:cs="Times New Roman" w:eastAsia="Times New Roman" w:hAnsi="Times New Roman"/>
          <w:sz w:val="22"/>
          <w:szCs w:val="22"/>
          <w:color w:val="auto"/>
        </w:rPr>
        <w:t>. On or prior to the first Placement Notice,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Agent shall have received the Representation Certificate substantially in the form of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hereto.</w:t>
      </w:r>
    </w:p>
    <w:p>
      <w:pPr>
        <w:spacing w:after="0" w:line="167" w:lineRule="exact"/>
        <w:rPr>
          <w:rFonts w:ascii="Times New Roman" w:cs="Times New Roman" w:eastAsia="Times New Roman" w:hAnsi="Times New Roman"/>
          <w:sz w:val="22"/>
          <w:szCs w:val="22"/>
          <w:color w:val="auto"/>
        </w:rPr>
      </w:pPr>
    </w:p>
    <w:p>
      <w:pPr>
        <w:ind w:left="300" w:right="919" w:firstLine="1288"/>
        <w:spacing w:after="0" w:line="262" w:lineRule="auto"/>
        <w:tabs>
          <w:tab w:leader="none" w:pos="206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Objection by FINRA</w:t>
      </w:r>
      <w:r>
        <w:rPr>
          <w:rFonts w:ascii="Times New Roman" w:cs="Times New Roman" w:eastAsia="Times New Roman" w:hAnsi="Times New Roman"/>
          <w:sz w:val="22"/>
          <w:szCs w:val="22"/>
          <w:color w:val="auto"/>
        </w:rPr>
        <w:t>. FINRA shall have raised no objection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fairness and reasonableness of the compensation terms and arrangements.</w:t>
      </w:r>
    </w:p>
    <w:p>
      <w:pPr>
        <w:spacing w:after="0" w:line="149" w:lineRule="exact"/>
        <w:rPr>
          <w:rFonts w:ascii="Times New Roman" w:cs="Times New Roman" w:eastAsia="Times New Roman" w:hAnsi="Times New Roman"/>
          <w:sz w:val="22"/>
          <w:szCs w:val="22"/>
          <w:color w:val="auto"/>
        </w:rPr>
      </w:pPr>
    </w:p>
    <w:p>
      <w:pPr>
        <w:ind w:left="300" w:right="419" w:firstLine="1288"/>
        <w:spacing w:after="0" w:line="241" w:lineRule="auto"/>
        <w:tabs>
          <w:tab w:leader="none" w:pos="206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Timely Filing of Prospectus</w:t>
      </w:r>
      <w:r>
        <w:rPr>
          <w:rFonts w:ascii="Times New Roman" w:cs="Times New Roman" w:eastAsia="Times New Roman" w:hAnsi="Times New Roman"/>
          <w:sz w:val="22"/>
          <w:szCs w:val="22"/>
          <w:color w:val="auto"/>
        </w:rPr>
        <w:t>. All filings with the Commission required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 424 under the Securities Act to have been filed by the Settlement Date, as the case may be, shall have been made within the applicable time period prescribed for such filing by Rule 424 under the Securities Act.</w:t>
      </w:r>
    </w:p>
    <w:p>
      <w:pPr>
        <w:spacing w:after="0" w:line="171" w:lineRule="exact"/>
        <w:rPr>
          <w:rFonts w:ascii="Times New Roman" w:cs="Times New Roman" w:eastAsia="Times New Roman" w:hAnsi="Times New Roman"/>
          <w:sz w:val="22"/>
          <w:szCs w:val="22"/>
          <w:color w:val="auto"/>
        </w:rPr>
      </w:pPr>
    </w:p>
    <w:p>
      <w:pPr>
        <w:ind w:left="300" w:right="399" w:firstLine="1288"/>
        <w:spacing w:after="0" w:line="246" w:lineRule="auto"/>
        <w:tabs>
          <w:tab w:leader="none" w:pos="206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Additional Documents and Certificates</w:t>
      </w:r>
      <w:r>
        <w:rPr>
          <w:rFonts w:ascii="Times New Roman" w:cs="Times New Roman" w:eastAsia="Times New Roman" w:hAnsi="Times New Roman"/>
          <w:sz w:val="22"/>
          <w:szCs w:val="22"/>
          <w:color w:val="auto"/>
        </w:rPr>
        <w:t>. The Company shall have furnished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the Agent and the Agent’s counsel such additional documents, certificates and evidence as they may have reasonably requested.</w:t>
      </w:r>
    </w:p>
    <w:p>
      <w:pPr>
        <w:spacing w:after="0" w:line="171" w:lineRule="exact"/>
        <w:rPr>
          <w:sz w:val="20"/>
          <w:szCs w:val="20"/>
          <w:color w:val="auto"/>
        </w:rPr>
      </w:pPr>
    </w:p>
    <w:p>
      <w:pPr>
        <w:ind w:left="300" w:right="399" w:firstLine="648"/>
        <w:spacing w:after="0" w:line="261" w:lineRule="auto"/>
        <w:rPr>
          <w:sz w:val="20"/>
          <w:szCs w:val="20"/>
          <w:color w:val="auto"/>
        </w:rPr>
      </w:pPr>
      <w:r>
        <w:rPr>
          <w:rFonts w:ascii="Times New Roman" w:cs="Times New Roman" w:eastAsia="Times New Roman" w:hAnsi="Times New Roman"/>
          <w:sz w:val="21"/>
          <w:szCs w:val="21"/>
          <w:color w:val="auto"/>
        </w:rPr>
        <w:t>All opinions, certificates, letters and other documents described in this Section 4 will be in compliance with the provisions hereof only if they are reasonably satisfactory in form and substance to the Agent and the Agent’s counsel. The Company will furnish the Agent with such</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1" w:name="page62"/>
    <w:bookmarkEnd w:id="61"/>
    <w:p>
      <w:pPr>
        <w:ind w:left="300" w:right="559"/>
        <w:spacing w:after="0" w:line="258" w:lineRule="auto"/>
        <w:rPr>
          <w:sz w:val="20"/>
          <w:szCs w:val="20"/>
          <w:color w:val="auto"/>
        </w:rPr>
      </w:pPr>
      <w:r>
        <w:rPr>
          <w:rFonts w:ascii="Times New Roman" w:cs="Times New Roman" w:eastAsia="Times New Roman" w:hAnsi="Times New Roman"/>
          <w:sz w:val="22"/>
          <w:szCs w:val="22"/>
          <w:color w:val="auto"/>
        </w:rPr>
        <w:t>conformed copies of such opinions, certificates, letters and other documents as the Agent shall reasonably request.</w:t>
      </w:r>
    </w:p>
    <w:p>
      <w:pPr>
        <w:spacing w:after="0" w:line="152" w:lineRule="exact"/>
        <w:rPr>
          <w:sz w:val="20"/>
          <w:szCs w:val="20"/>
          <w:color w:val="auto"/>
        </w:rPr>
      </w:pPr>
    </w:p>
    <w:p>
      <w:pPr>
        <w:ind w:left="1180" w:hanging="240"/>
        <w:spacing w:after="0"/>
        <w:tabs>
          <w:tab w:leader="none" w:pos="1180" w:val="left"/>
        </w:tabs>
        <w:numPr>
          <w:ilvl w:val="0"/>
          <w:numId w:val="4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Indemnification and Contribution.</w:t>
      </w:r>
    </w:p>
    <w:p>
      <w:pPr>
        <w:spacing w:after="0" w:line="208" w:lineRule="exact"/>
        <w:rPr>
          <w:rFonts w:ascii="Times New Roman" w:cs="Times New Roman" w:eastAsia="Times New Roman" w:hAnsi="Times New Roman"/>
          <w:sz w:val="22"/>
          <w:szCs w:val="22"/>
          <w:b w:val="1"/>
          <w:bCs w:val="1"/>
          <w:i w:val="1"/>
          <w:iCs w:val="1"/>
          <w:color w:val="auto"/>
        </w:rPr>
      </w:pPr>
    </w:p>
    <w:p>
      <w:pPr>
        <w:ind w:left="300" w:right="519" w:firstLine="1288"/>
        <w:spacing w:after="0" w:line="248" w:lineRule="auto"/>
        <w:tabs>
          <w:tab w:leader="none" w:pos="2062"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Company Indemnification</w:t>
      </w:r>
      <w:r>
        <w:rPr>
          <w:rFonts w:ascii="Times New Roman" w:cs="Times New Roman" w:eastAsia="Times New Roman" w:hAnsi="Times New Roman"/>
          <w:sz w:val="21"/>
          <w:szCs w:val="21"/>
          <w:color w:val="auto"/>
        </w:rPr>
        <w:t>. The Company agrees to indemnify and hold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harmless the Agent, its affiliates, and their respective directors, officers, agents and employees, and each person, if any, who controls the Agent within the meaning of Section 15 of the Securities Act or Section 20 of the Exchange Act against any losses, claims, damages or liabilities, joint or several, to which the Agent may become subject, under the Securities Act or otherwise (including in settlement of any litigation), insofar as such losses, claims, damages or liabilities (or actions in respect thereof) arise out of or are based upon, in whole or in part:</w:t>
      </w:r>
    </w:p>
    <w:p>
      <w:pPr>
        <w:spacing w:after="0" w:line="174" w:lineRule="exact"/>
        <w:rPr>
          <w:rFonts w:ascii="Times New Roman" w:cs="Times New Roman" w:eastAsia="Times New Roman" w:hAnsi="Times New Roman"/>
          <w:sz w:val="21"/>
          <w:szCs w:val="21"/>
          <w:color w:val="auto"/>
        </w:rPr>
      </w:pPr>
    </w:p>
    <w:p>
      <w:pPr>
        <w:ind w:left="300" w:right="299" w:firstLine="1936"/>
        <w:spacing w:after="0" w:line="246" w:lineRule="auto"/>
        <w:tabs>
          <w:tab w:leader="none" w:pos="2503"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untrue statement or alleged untrue statement of a material fact contained in the Registration Statement, including the Rule 430B Information (as defined below) and at any subsequent time pursuant to Rules 430A and 430B promulgated under the Securities Act, and any other information deemed to be part of the Registration Statement at the time of effectiveness, and at any subsequent time pursuant to the Securities Act or the Exchange Act, and the Prospectus, or any amendment or supplement thereto (including any documents filed under the Exchange Act and deemed to be incorporated by reference into the Prospectus), any Permitted Free Writing Prospectus, or any roadshow as defined in Rule 433(h) under the Securities Act (a </w:t>
      </w:r>
      <w:r>
        <w:rPr>
          <w:rFonts w:ascii="Times New Roman" w:cs="Times New Roman" w:eastAsia="Times New Roman" w:hAnsi="Times New Roman"/>
          <w:sz w:val="21"/>
          <w:szCs w:val="21"/>
          <w:b w:val="1"/>
          <w:bCs w:val="1"/>
          <w:i w:val="1"/>
          <w:iCs w:val="1"/>
          <w:color w:val="auto"/>
        </w:rPr>
        <w:t>“road show”</w:t>
      </w:r>
      <w:r>
        <w:rPr>
          <w:rFonts w:ascii="Times New Roman" w:cs="Times New Roman" w:eastAsia="Times New Roman" w:hAnsi="Times New Roman"/>
          <w:sz w:val="21"/>
          <w:szCs w:val="21"/>
          <w:color w:val="auto"/>
        </w:rPr>
        <w:t>), or an omission or alleged omission to state therein a material fact required to be stated therein or necessary to make the statements therein not misleading,</w:t>
      </w:r>
    </w:p>
    <w:p>
      <w:pPr>
        <w:spacing w:after="0" w:line="17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(ii)any inaccuracy in the representations and warranties of the Company</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contained herein;</w:t>
      </w:r>
    </w:p>
    <w:p>
      <w:pPr>
        <w:spacing w:after="0" w:line="182" w:lineRule="exact"/>
        <w:rPr>
          <w:sz w:val="20"/>
          <w:szCs w:val="20"/>
          <w:color w:val="auto"/>
        </w:rPr>
      </w:pPr>
    </w:p>
    <w:p>
      <w:pPr>
        <w:ind w:left="300" w:right="519" w:firstLine="1944"/>
        <w:spacing w:after="0" w:line="244" w:lineRule="auto"/>
        <w:rPr>
          <w:sz w:val="20"/>
          <w:szCs w:val="20"/>
          <w:color w:val="auto"/>
        </w:rPr>
      </w:pPr>
      <w:r>
        <w:rPr>
          <w:rFonts w:ascii="Times New Roman" w:cs="Times New Roman" w:eastAsia="Times New Roman" w:hAnsi="Times New Roman"/>
          <w:sz w:val="22"/>
          <w:szCs w:val="22"/>
          <w:color w:val="auto"/>
        </w:rPr>
        <w:t>(iii)any investigation or proceeding by any governmental authority, commenced or threatened (whether or not the Agent is a target of or party to such investigation or proceeding); or</w:t>
      </w:r>
    </w:p>
    <w:p>
      <w:pPr>
        <w:spacing w:after="0" w:line="173" w:lineRule="exact"/>
        <w:rPr>
          <w:sz w:val="20"/>
          <w:szCs w:val="20"/>
          <w:color w:val="auto"/>
        </w:rPr>
      </w:pPr>
    </w:p>
    <w:p>
      <w:pPr>
        <w:ind w:left="300" w:right="919" w:firstLine="1944"/>
        <w:spacing w:after="0" w:line="258" w:lineRule="auto"/>
        <w:rPr>
          <w:sz w:val="20"/>
          <w:szCs w:val="20"/>
          <w:color w:val="auto"/>
        </w:rPr>
      </w:pPr>
      <w:r>
        <w:rPr>
          <w:rFonts w:ascii="Times New Roman" w:cs="Times New Roman" w:eastAsia="Times New Roman" w:hAnsi="Times New Roman"/>
          <w:sz w:val="22"/>
          <w:szCs w:val="22"/>
          <w:color w:val="auto"/>
        </w:rPr>
        <w:t>(iv)any failure of the Company to perform its respective obligations hereunder or under law;</w:t>
      </w:r>
    </w:p>
    <w:p>
      <w:pPr>
        <w:spacing w:after="0" w:line="158" w:lineRule="exact"/>
        <w:rPr>
          <w:sz w:val="20"/>
          <w:szCs w:val="20"/>
          <w:color w:val="auto"/>
        </w:rPr>
      </w:pPr>
    </w:p>
    <w:p>
      <w:pPr>
        <w:ind w:left="300" w:right="339"/>
        <w:spacing w:after="0" w:line="234" w:lineRule="auto"/>
        <w:rPr>
          <w:sz w:val="20"/>
          <w:szCs w:val="20"/>
          <w:color w:val="auto"/>
        </w:rPr>
      </w:pPr>
      <w:r>
        <w:rPr>
          <w:rFonts w:ascii="Times New Roman" w:cs="Times New Roman" w:eastAsia="Times New Roman" w:hAnsi="Times New Roman"/>
          <w:sz w:val="22"/>
          <w:szCs w:val="22"/>
          <w:color w:val="auto"/>
        </w:rPr>
        <w:t xml:space="preserve">and will reimburse the Agent for any legal or other expenses reasonably incurred by it in connection with investigating or defending against such loss, claim, damage, liability or action; </w:t>
      </w: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the Company shall not be liable in any such case of (i) through (iv)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extent that any such loss, claim, damage, liability or action arises out of or is based upon an untrue statement or alleged untrue statement or omission or alleged omission made in the Registration Statement, the Prospectus, or any such amendment or supplement, in reliance upon and in conformity with written information furnished to the Company by the Agent specifically for use in the preparation thereof. “</w:t>
      </w:r>
      <w:r>
        <w:rPr>
          <w:rFonts w:ascii="Times New Roman" w:cs="Times New Roman" w:eastAsia="Times New Roman" w:hAnsi="Times New Roman"/>
          <w:sz w:val="22"/>
          <w:szCs w:val="22"/>
          <w:b w:val="1"/>
          <w:bCs w:val="1"/>
          <w:i w:val="1"/>
          <w:iCs w:val="1"/>
          <w:color w:val="auto"/>
        </w:rPr>
        <w:t>Rule 430B Information</w:t>
      </w:r>
      <w:r>
        <w:rPr>
          <w:rFonts w:ascii="Times New Roman" w:cs="Times New Roman" w:eastAsia="Times New Roman" w:hAnsi="Times New Roman"/>
          <w:sz w:val="22"/>
          <w:szCs w:val="22"/>
          <w:color w:val="auto"/>
        </w:rPr>
        <w:t>,” as used herein, means information with respect to the Shares and the offering thereof permitted to be omitted from the Registration Statement when it becomes effective pursuant to Rule 430B.</w:t>
      </w:r>
    </w:p>
    <w:p>
      <w:pPr>
        <w:spacing w:after="0" w:line="179" w:lineRule="exact"/>
        <w:rPr>
          <w:sz w:val="20"/>
          <w:szCs w:val="20"/>
          <w:color w:val="auto"/>
        </w:rPr>
      </w:pPr>
    </w:p>
    <w:p>
      <w:pPr>
        <w:ind w:left="300" w:right="339" w:firstLine="648"/>
        <w:spacing w:after="0" w:line="244" w:lineRule="auto"/>
        <w:rPr>
          <w:sz w:val="20"/>
          <w:szCs w:val="20"/>
          <w:color w:val="auto"/>
        </w:rPr>
      </w:pPr>
      <w:r>
        <w:rPr>
          <w:rFonts w:ascii="Times New Roman" w:cs="Times New Roman" w:eastAsia="Times New Roman" w:hAnsi="Times New Roman"/>
          <w:sz w:val="22"/>
          <w:szCs w:val="22"/>
          <w:color w:val="auto"/>
        </w:rPr>
        <w:t>In addition to its other obligations under this Section 5(a), the Company agrees that, as an interim measure during the pendency of any claim, action, investigation, inquiry or other proceeding arising out of or based upon any statement or omission, or any alleged statement 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2" w:name="page63"/>
    <w:bookmarkEnd w:id="62"/>
    <w:p>
      <w:pPr>
        <w:ind w:left="300" w:right="399"/>
        <w:spacing w:after="0" w:line="234" w:lineRule="auto"/>
        <w:rPr>
          <w:sz w:val="20"/>
          <w:szCs w:val="20"/>
          <w:color w:val="auto"/>
        </w:rPr>
      </w:pPr>
      <w:r>
        <w:rPr>
          <w:rFonts w:ascii="Times New Roman" w:cs="Times New Roman" w:eastAsia="Times New Roman" w:hAnsi="Times New Roman"/>
          <w:sz w:val="22"/>
          <w:szCs w:val="22"/>
          <w:color w:val="auto"/>
        </w:rPr>
        <w:t>omission, described in this Section 5(a), it will reimburse the Agent on a monthly basis for all reasonable, actual and documented legal fees or other expenses incurred in connection with investigating or defending any such claim, action, investigation, inquiry or other proceeding, notwithstanding the absence of a judicial determination as to the propriety and enforceability of the Company’s obligation to reimburse the Agent for such expenses and the possibility that such payments might later be held to have been improper by a court of competent jurisdiction. Any such interim reimbursement payments which are not made to the Agent within 30 days of a request for reimbursement shall bear interest at the WSJ Prime Rate (as published from time to time by the Wall Street Journal).</w:t>
      </w:r>
    </w:p>
    <w:p>
      <w:pPr>
        <w:spacing w:after="0" w:line="179" w:lineRule="exact"/>
        <w:rPr>
          <w:sz w:val="20"/>
          <w:szCs w:val="20"/>
          <w:color w:val="auto"/>
        </w:rPr>
      </w:pPr>
    </w:p>
    <w:p>
      <w:pPr>
        <w:ind w:left="300" w:right="319" w:firstLine="1288"/>
        <w:spacing w:after="0" w:line="232" w:lineRule="auto"/>
        <w:tabs>
          <w:tab w:leader="none" w:pos="206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Agent Indemnification</w:t>
      </w:r>
      <w:r>
        <w:rPr>
          <w:rFonts w:ascii="Times New Roman" w:cs="Times New Roman" w:eastAsia="Times New Roman" w:hAnsi="Times New Roman"/>
          <w:sz w:val="22"/>
          <w:szCs w:val="22"/>
          <w:color w:val="auto"/>
        </w:rPr>
        <w:t>. The Agent will indemnify and hold harmless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against any losses, claims, damages or liabilities to which the Company may become subject, under the Securities Act or otherwise (including in settlement of any litigation, if such settlement is effected with the written consent of the Agent), but only insofar as such losses, claims, damages or liabilities (or actions in respect thereof) arise out of or are based upon an untrue statement or alleged untrue statement of a material fact contained in the Registration Statement, the Prospectus,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the Agent specifically for use in the preparation thereof, it being understood and agreed that the only information furnished by the Agent for use in the Registration Statement or the Prospectus consists of the statements set forth in the seventh and ninth paragraphs under the caption “Plan of Distribution” in the Prospectus, and will reimburse the Company for any legal or other expenses reasonably incurred by the Company in connection with investigating or defending against any such loss, claim, damage, liability or action.</w:t>
      </w:r>
    </w:p>
    <w:p>
      <w:pPr>
        <w:spacing w:after="0" w:line="189" w:lineRule="exact"/>
        <w:rPr>
          <w:rFonts w:ascii="Times New Roman" w:cs="Times New Roman" w:eastAsia="Times New Roman" w:hAnsi="Times New Roman"/>
          <w:sz w:val="22"/>
          <w:szCs w:val="22"/>
          <w:color w:val="auto"/>
        </w:rPr>
      </w:pPr>
    </w:p>
    <w:p>
      <w:pPr>
        <w:ind w:left="300" w:right="339" w:firstLine="1288"/>
        <w:spacing w:after="0" w:line="244" w:lineRule="auto"/>
        <w:tabs>
          <w:tab w:leader="none" w:pos="206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Notice and Procedures</w:t>
      </w:r>
      <w:r>
        <w:rPr>
          <w:rFonts w:ascii="Times New Roman" w:cs="Times New Roman" w:eastAsia="Times New Roman" w:hAnsi="Times New Roman"/>
          <w:sz w:val="21"/>
          <w:szCs w:val="21"/>
          <w:color w:val="auto"/>
        </w:rPr>
        <w:t>. Promptly after receipt by an indemnified party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in the sole judgment of the Agent, it is advisable for the Agent to be represented by separate counsel, the Agent shall have the right to employ a single counsel to represent the Agent, in which event the reasonable fees and expenses of such separate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3" w:name="page64"/>
    <w:bookmarkEnd w:id="63"/>
    <w:p>
      <w:pPr>
        <w:ind w:left="300" w:right="679"/>
        <w:spacing w:after="0" w:line="282" w:lineRule="auto"/>
        <w:rPr>
          <w:sz w:val="20"/>
          <w:szCs w:val="20"/>
          <w:color w:val="auto"/>
        </w:rPr>
      </w:pPr>
      <w:r>
        <w:rPr>
          <w:rFonts w:ascii="Times New Roman" w:cs="Times New Roman" w:eastAsia="Times New Roman" w:hAnsi="Times New Roman"/>
          <w:sz w:val="21"/>
          <w:szCs w:val="21"/>
          <w:color w:val="auto"/>
        </w:rPr>
        <w:t>counsel shall be borne by the indemnifying party or parties and reimbursed to the Agent as incurred (in accordance with the provisions of the second paragraph in subsection (a) above).</w:t>
      </w:r>
    </w:p>
    <w:p>
      <w:pPr>
        <w:spacing w:after="0" w:line="135" w:lineRule="exact"/>
        <w:rPr>
          <w:sz w:val="20"/>
          <w:szCs w:val="20"/>
          <w:color w:val="auto"/>
        </w:rPr>
      </w:pPr>
    </w:p>
    <w:p>
      <w:pPr>
        <w:ind w:left="300" w:right="319" w:firstLine="648"/>
        <w:spacing w:after="0" w:line="243" w:lineRule="auto"/>
        <w:rPr>
          <w:sz w:val="20"/>
          <w:szCs w:val="20"/>
          <w:color w:val="auto"/>
        </w:rPr>
      </w:pPr>
      <w:r>
        <w:rPr>
          <w:rFonts w:ascii="Times New Roman" w:cs="Times New Roman" w:eastAsia="Times New Roman" w:hAnsi="Times New Roman"/>
          <w:sz w:val="21"/>
          <w:szCs w:val="21"/>
          <w:color w:val="auto"/>
        </w:rPr>
        <w:t>The indemnifying party under this Section 5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this Section 5,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182" w:lineRule="exact"/>
        <w:rPr>
          <w:sz w:val="20"/>
          <w:szCs w:val="20"/>
          <w:color w:val="auto"/>
        </w:rPr>
      </w:pPr>
    </w:p>
    <w:p>
      <w:pPr>
        <w:ind w:left="300" w:right="319" w:firstLine="1288"/>
        <w:spacing w:after="0" w:line="243" w:lineRule="auto"/>
        <w:tabs>
          <w:tab w:leader="none" w:pos="206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Contribution; Limitations on Liability; Non-Exclusive Remedy</w:t>
      </w:r>
      <w:r>
        <w:rPr>
          <w:rFonts w:ascii="Times New Roman" w:cs="Times New Roman" w:eastAsia="Times New Roman" w:hAnsi="Times New Roman"/>
          <w:sz w:val="21"/>
          <w:szCs w:val="21"/>
          <w:color w:val="auto"/>
        </w:rPr>
        <w:t>. If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indemnification provided for in this Section 5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Agent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(before deducting expenses) from the sale of the Shares. The relative fault shall be determined by reference to, among other things, whether the untrue or alleged untrue statement of a material fact or the omission or alleged omission to state a material fact relates to information supplied by the Company or the Agent, the intent of the parties and their relative knowledge, access to information and opportunity to correct or prevent such untrue statement or omission. The Company and the Agent agree that it would not be just and equitable if contributions pursuant to this subsection (d) were to be determined by pro rata allocation or by any other method of allocation which does not take account of the equitable considerations referred to in this subsection (d). The amount paid or payable by an indemnified party as a result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4" w:name="page65"/>
    <w:bookmarkEnd w:id="64"/>
    <w:p>
      <w:pPr>
        <w:ind w:left="300" w:right="319"/>
        <w:spacing w:after="0" w:line="249" w:lineRule="auto"/>
        <w:rPr>
          <w:sz w:val="20"/>
          <w:szCs w:val="20"/>
          <w:color w:val="auto"/>
        </w:rPr>
      </w:pPr>
      <w:r>
        <w:rPr>
          <w:rFonts w:ascii="Times New Roman" w:cs="Times New Roman" w:eastAsia="Times New Roman" w:hAnsi="Times New Roman"/>
          <w:sz w:val="21"/>
          <w:szCs w:val="21"/>
          <w:color w:val="auto"/>
        </w:rPr>
        <w:t>of the losses, claims, damages or liabilities referred to in this subsection (d) shall be deemed to include any legal or other expenses reasonably incurred by such indemnified party in connection with investigating or defending against any action or claim which is the subject of this subsection</w:t>
      </w:r>
    </w:p>
    <w:p>
      <w:pPr>
        <w:spacing w:after="0" w:line="1" w:lineRule="exact"/>
        <w:rPr>
          <w:sz w:val="20"/>
          <w:szCs w:val="20"/>
          <w:color w:val="auto"/>
        </w:rPr>
      </w:pPr>
    </w:p>
    <w:p>
      <w:pPr>
        <w:ind w:left="300" w:right="619"/>
        <w:spacing w:after="0" w:line="233" w:lineRule="auto"/>
        <w:rPr>
          <w:sz w:val="20"/>
          <w:szCs w:val="20"/>
          <w:color w:val="auto"/>
        </w:rPr>
      </w:pPr>
      <w:r>
        <w:rPr>
          <w:rFonts w:ascii="Times New Roman" w:cs="Times New Roman" w:eastAsia="Times New Roman" w:hAnsi="Times New Roman"/>
          <w:sz w:val="22"/>
          <w:szCs w:val="22"/>
          <w:color w:val="auto"/>
        </w:rPr>
        <w:t>(d). Notwithstanding the provisions of this subsection (d), the Agent shall not be required to contribute any amount in excess of the commissions received by it under this Agreement. No person guilty of fraudulent misrepresentation (within the meaning of Section 11(f) of the Securities Act) shall be entitled to contribution from any person who was not guilty of such fraudulent misrepresentation.</w:t>
      </w:r>
    </w:p>
    <w:p>
      <w:pPr>
        <w:spacing w:after="0" w:line="173" w:lineRule="exact"/>
        <w:rPr>
          <w:sz w:val="20"/>
          <w:szCs w:val="20"/>
          <w:color w:val="auto"/>
        </w:rPr>
      </w:pPr>
    </w:p>
    <w:p>
      <w:pPr>
        <w:ind w:left="300" w:right="319" w:firstLine="640"/>
        <w:spacing w:after="0" w:line="236" w:lineRule="auto"/>
        <w:tabs>
          <w:tab w:leader="none" w:pos="1181" w:val="left"/>
        </w:tabs>
        <w:numPr>
          <w:ilvl w:val="0"/>
          <w:numId w:val="4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Representations and Agreements to Survive Delivery</w:t>
      </w:r>
      <w:r>
        <w:rPr>
          <w:rFonts w:ascii="Times New Roman" w:cs="Times New Roman" w:eastAsia="Times New Roman" w:hAnsi="Times New Roman"/>
          <w:sz w:val="22"/>
          <w:szCs w:val="22"/>
          <w:color w:val="auto"/>
        </w:rPr>
        <w:t>. All representations, warranties,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agreements of the Company herein or in certificates delivered pursuant hereto, including but not limited to the agreements of the Agent and the Company contained in Section 5 hereof, shall remain operative and in full force and effect regardless of any investigation made by or on behalf of the Agent or any controlling person thereof, or the Company or any of its officers, directors, or controlling persons, and shall survive delivery of, and payment for, the Shares to and by the Agent hereunder.</w:t>
      </w:r>
    </w:p>
    <w:p>
      <w:pPr>
        <w:spacing w:after="0" w:line="175" w:lineRule="exact"/>
        <w:rPr>
          <w:rFonts w:ascii="Times New Roman" w:cs="Times New Roman" w:eastAsia="Times New Roman" w:hAnsi="Times New Roman"/>
          <w:sz w:val="22"/>
          <w:szCs w:val="22"/>
          <w:b w:val="1"/>
          <w:bCs w:val="1"/>
          <w:i w:val="1"/>
          <w:iCs w:val="1"/>
          <w:color w:val="auto"/>
        </w:rPr>
      </w:pPr>
    </w:p>
    <w:p>
      <w:pPr>
        <w:ind w:left="1180" w:hanging="240"/>
        <w:spacing w:after="0"/>
        <w:tabs>
          <w:tab w:leader="none" w:pos="1180" w:val="left"/>
        </w:tabs>
        <w:numPr>
          <w:ilvl w:val="0"/>
          <w:numId w:val="4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Termination of this Agreement.</w:t>
      </w:r>
    </w:p>
    <w:p>
      <w:pPr>
        <w:spacing w:after="0" w:line="212" w:lineRule="exact"/>
        <w:rPr>
          <w:rFonts w:ascii="Times New Roman" w:cs="Times New Roman" w:eastAsia="Times New Roman" w:hAnsi="Times New Roman"/>
          <w:sz w:val="22"/>
          <w:szCs w:val="22"/>
          <w:b w:val="1"/>
          <w:bCs w:val="1"/>
          <w:i w:val="1"/>
          <w:iCs w:val="1"/>
          <w:color w:val="auto"/>
        </w:rPr>
      </w:pPr>
    </w:p>
    <w:p>
      <w:pPr>
        <w:ind w:left="300" w:right="359" w:firstLine="1288"/>
        <w:spacing w:after="0" w:line="235" w:lineRule="auto"/>
        <w:tabs>
          <w:tab w:leader="none" w:pos="206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by giving ten (10) days’ written notice as hereinafter specified, to terminate the provisions of this Agreement relating to the solicitation of offers to purchase the Shares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the termination and (ii) the provisions of Section 3(g), Section 5 and Section 6 of this Agreement shall remain in full force and effect notwithstanding such termination.</w:t>
      </w:r>
    </w:p>
    <w:p>
      <w:pPr>
        <w:spacing w:after="0" w:line="178" w:lineRule="exact"/>
        <w:rPr>
          <w:rFonts w:ascii="Times New Roman" w:cs="Times New Roman" w:eastAsia="Times New Roman" w:hAnsi="Times New Roman"/>
          <w:sz w:val="22"/>
          <w:szCs w:val="22"/>
          <w:color w:val="auto"/>
        </w:rPr>
      </w:pPr>
    </w:p>
    <w:p>
      <w:pPr>
        <w:ind w:left="300" w:right="479" w:firstLine="1288"/>
        <w:spacing w:after="0" w:line="236" w:lineRule="auto"/>
        <w:tabs>
          <w:tab w:leader="none" w:pos="206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 3(g), Section 5 and Section 6 of this Agreement shall remain in full force and effect notwithstanding such termination.</w:t>
      </w:r>
    </w:p>
    <w:p>
      <w:pPr>
        <w:spacing w:after="0" w:line="181" w:lineRule="exact"/>
        <w:rPr>
          <w:rFonts w:ascii="Times New Roman" w:cs="Times New Roman" w:eastAsia="Times New Roman" w:hAnsi="Times New Roman"/>
          <w:sz w:val="22"/>
          <w:szCs w:val="22"/>
          <w:color w:val="auto"/>
        </w:rPr>
      </w:pPr>
    </w:p>
    <w:p>
      <w:pPr>
        <w:ind w:left="300" w:right="539" w:firstLine="1288"/>
        <w:spacing w:after="0" w:line="238" w:lineRule="auto"/>
        <w:tabs>
          <w:tab w:leader="none" w:pos="206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earlier terminated pursuant to this Section 7, this Agreement shall automatically terminate upon issuance and sale of all of the Shares through the Agent on the terms and subject to the conditions set forth herein, except that the provisions of Section 3(g), Section 5 and Section 6 of this Agreement shall remain in full force and effect notwithstanding such termination.</w:t>
      </w:r>
    </w:p>
    <w:p>
      <w:pPr>
        <w:spacing w:after="0" w:line="176" w:lineRule="exact"/>
        <w:rPr>
          <w:rFonts w:ascii="Times New Roman" w:cs="Times New Roman" w:eastAsia="Times New Roman" w:hAnsi="Times New Roman"/>
          <w:sz w:val="22"/>
          <w:szCs w:val="22"/>
          <w:color w:val="auto"/>
        </w:rPr>
      </w:pPr>
    </w:p>
    <w:p>
      <w:pPr>
        <w:jc w:val="both"/>
        <w:ind w:left="300" w:right="459" w:firstLine="1288"/>
        <w:spacing w:after="0" w:line="239" w:lineRule="auto"/>
        <w:tabs>
          <w:tab w:leader="none" w:pos="206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remain in full force and effect unless terminated pursuant to Sections 7(a), (b) or (c) above or otherwise by mutual agreement of the parties; provided that any such termination by mutual agreement shall in all cases be deemed to provide that Section 3(g), Section 5 and Section 6 shall remain in full force and effect.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5" w:name="page66"/>
    <w:bookmarkEnd w:id="65"/>
    <w:p>
      <w:pPr>
        <w:jc w:val="both"/>
        <w:ind w:left="300" w:right="339" w:firstLine="1288"/>
        <w:spacing w:after="0" w:line="249" w:lineRule="auto"/>
        <w:tabs>
          <w:tab w:leader="none" w:pos="206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termination of this Agreement shall be effective on the date specified in such notice of termination; provided that such termination shall not be effective until the close of business on the date of receipt of such notice by the Agent or the Company, as the case may be.</w:t>
      </w:r>
    </w:p>
    <w:p>
      <w:pPr>
        <w:spacing w:after="0" w:line="1" w:lineRule="exact"/>
        <w:rPr>
          <w:rFonts w:ascii="Times New Roman" w:cs="Times New Roman" w:eastAsia="Times New Roman" w:hAnsi="Times New Roman"/>
          <w:sz w:val="21"/>
          <w:szCs w:val="21"/>
          <w:color w:val="auto"/>
        </w:rPr>
      </w:pPr>
    </w:p>
    <w:p>
      <w:pPr>
        <w:ind w:left="300" w:right="49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If such termination shall occur prior to the Settlement Date for any sale of the Shares, such sale shall settle in accordance with the provisions of Section 2(a)(vii) of this Agreement.</w:t>
      </w:r>
    </w:p>
    <w:p>
      <w:pPr>
        <w:spacing w:after="0" w:line="172" w:lineRule="exact"/>
        <w:rPr>
          <w:rFonts w:ascii="Times New Roman" w:cs="Times New Roman" w:eastAsia="Times New Roman" w:hAnsi="Times New Roman"/>
          <w:sz w:val="21"/>
          <w:szCs w:val="21"/>
          <w:color w:val="auto"/>
        </w:rPr>
      </w:pPr>
    </w:p>
    <w:p>
      <w:pPr>
        <w:ind w:left="300" w:right="399" w:firstLine="640"/>
        <w:spacing w:after="0" w:line="235" w:lineRule="auto"/>
        <w:tabs>
          <w:tab w:leader="none" w:pos="1181" w:val="left"/>
        </w:tabs>
        <w:numPr>
          <w:ilvl w:val="0"/>
          <w:numId w:val="4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 xml:space="preserve">Default by the Company. </w:t>
      </w:r>
      <w:r>
        <w:rPr>
          <w:rFonts w:ascii="Times New Roman" w:cs="Times New Roman" w:eastAsia="Times New Roman" w:hAnsi="Times New Roman"/>
          <w:sz w:val="22"/>
          <w:szCs w:val="22"/>
          <w:color w:val="auto"/>
        </w:rPr>
        <w:t>If the Company shall fail at any Settlement Date to sell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deliver the number of Shares which it is obligated to sell hereunder, then this Agreement shall terminate without any liability on the part of the Agent or, except as provided in Section 3(g) hereof, any non-defaulting party. No action taken pursuant to this Section shall relieve the Company from liability, if any, in respect of such default, and the Company shall (A) hold the Agent harmless against any loss, claim or damage arising from or as a result of such default by the Company and (B) pay the Agent any commission to which it would otherwise be entitled absent such default.</w:t>
      </w:r>
    </w:p>
    <w:p>
      <w:pPr>
        <w:spacing w:after="0" w:line="178" w:lineRule="exact"/>
        <w:rPr>
          <w:rFonts w:ascii="Times New Roman" w:cs="Times New Roman" w:eastAsia="Times New Roman" w:hAnsi="Times New Roman"/>
          <w:sz w:val="22"/>
          <w:szCs w:val="22"/>
          <w:b w:val="1"/>
          <w:bCs w:val="1"/>
          <w:i w:val="1"/>
          <w:iCs w:val="1"/>
          <w:color w:val="auto"/>
        </w:rPr>
      </w:pPr>
    </w:p>
    <w:p>
      <w:pPr>
        <w:ind w:left="300" w:right="399" w:firstLine="640"/>
        <w:spacing w:after="0" w:line="234" w:lineRule="auto"/>
        <w:tabs>
          <w:tab w:leader="none" w:pos="1181" w:val="left"/>
        </w:tabs>
        <w:numPr>
          <w:ilvl w:val="0"/>
          <w:numId w:val="4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Notices</w:t>
      </w:r>
      <w:r>
        <w:rPr>
          <w:rFonts w:ascii="Times New Roman" w:cs="Times New Roman" w:eastAsia="Times New Roman" w:hAnsi="Times New Roman"/>
          <w:sz w:val="22"/>
          <w:szCs w:val="22"/>
          <w:color w:val="auto"/>
        </w:rPr>
        <w:t>. Except as otherwise provided herein, all communications under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shall be in writing and, if to the Agent, shall be delivered via overnight delivery services to (i) Guggenheim Securities, LLC, 330 Madison Avenue, New York, NY 10017, fax no. 212-658-9689, Attention: Head of Equity Capital Markets, with a copy to Mintz, Levin, Cohn, Ferris, Glovsky and Popeo, P.C., One Financial Center, Boston, Massachusetts 02111, Attention: William Hicks, Esq.; and (ii) the Company at Larimar Therapeutics, Inc. Three Bala Plaza East, Suite 506, Bala Cynwyd, PA 19004, Attention: Chief Financial Officer, with a copy to its counsel at Goodwin Procter LLP, One Commerce Square, 2005 Market Street, 32nd Floor, Philadelphia, PA 19103, Attention: Rachael Bushey, Esq. and Jennifer Porter, Esq.; or in each case to such other address as the person to be notified may have requested in writing. Any party to this Agreement may change such address for notices by sending to the parties to this Agreement written notice of a new address for such purpose.</w:t>
      </w:r>
    </w:p>
    <w:p>
      <w:pPr>
        <w:spacing w:after="0" w:line="172" w:lineRule="exact"/>
        <w:rPr>
          <w:sz w:val="20"/>
          <w:szCs w:val="20"/>
          <w:color w:val="auto"/>
        </w:rPr>
      </w:pPr>
    </w:p>
    <w:p>
      <w:pPr>
        <w:ind w:left="300" w:right="419" w:firstLine="648"/>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10.Persons Entitled to Benefit of Agreement</w:t>
      </w:r>
      <w:r>
        <w:rPr>
          <w:rFonts w:ascii="Times New Roman" w:cs="Times New Roman" w:eastAsia="Times New Roman" w:hAnsi="Times New Roman"/>
          <w:sz w:val="22"/>
          <w:szCs w:val="22"/>
          <w:color w:val="auto"/>
        </w:rPr>
        <w:t>. This Agreement shall inure to the benefit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and be binding upon the parties hereto and their respective successors and assigns and the controlling persons, officers and directors referred to in Section 5.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Agent.</w:t>
      </w:r>
    </w:p>
    <w:p>
      <w:pPr>
        <w:spacing w:after="0" w:line="176" w:lineRule="exact"/>
        <w:rPr>
          <w:sz w:val="20"/>
          <w:szCs w:val="20"/>
          <w:color w:val="auto"/>
        </w:rPr>
      </w:pPr>
    </w:p>
    <w:p>
      <w:pPr>
        <w:ind w:left="300" w:right="339" w:firstLine="648"/>
        <w:spacing w:after="0" w:line="245" w:lineRule="auto"/>
        <w:rPr>
          <w:sz w:val="20"/>
          <w:szCs w:val="20"/>
          <w:color w:val="auto"/>
        </w:rPr>
      </w:pPr>
      <w:r>
        <w:rPr>
          <w:rFonts w:ascii="Times New Roman" w:cs="Times New Roman" w:eastAsia="Times New Roman" w:hAnsi="Times New Roman"/>
          <w:sz w:val="21"/>
          <w:szCs w:val="21"/>
          <w:b w:val="1"/>
          <w:bCs w:val="1"/>
          <w:i w:val="1"/>
          <w:iCs w:val="1"/>
          <w:color w:val="auto"/>
        </w:rPr>
        <w:t>11.Absence of Fiduciary Relationship</w:t>
      </w:r>
      <w:r>
        <w:rPr>
          <w:rFonts w:ascii="Times New Roman" w:cs="Times New Roman" w:eastAsia="Times New Roman" w:hAnsi="Times New Roman"/>
          <w:sz w:val="21"/>
          <w:szCs w:val="21"/>
          <w:color w:val="auto"/>
        </w:rPr>
        <w:t>. The Company, having been advised by counsel,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acknowledges and agrees that: (a) the Agent has been retained solely to act as a sales agent in connection with the sale of the Shares and that no fiduciary, advisory or agency relationship between the Company (including any of the Company’s affiliates (including directors), equity holders, creditors, employees or agents, hereafter, </w:t>
      </w:r>
      <w:r>
        <w:rPr>
          <w:rFonts w:ascii="Times New Roman" w:cs="Times New Roman" w:eastAsia="Times New Roman" w:hAnsi="Times New Roman"/>
          <w:sz w:val="21"/>
          <w:szCs w:val="21"/>
          <w:b w:val="1"/>
          <w:bCs w:val="1"/>
          <w:i w:val="1"/>
          <w:iCs w:val="1"/>
          <w:color w:val="auto"/>
        </w:rPr>
        <w:t>“Company Representatives”</w:t>
      </w:r>
      <w:r>
        <w:rPr>
          <w:rFonts w:ascii="Times New Roman" w:cs="Times New Roman" w:eastAsia="Times New Roman" w:hAnsi="Times New Roman"/>
          <w:sz w:val="21"/>
          <w:szCs w:val="21"/>
          <w:color w:val="auto"/>
        </w:rPr>
        <w:t>), on the one hand, and the Agent on the other, has been created or will be created in respect of any of the transactions contemplated by this Agreement, irrespective of whether the Agent has advised or is advising the Company on other matters and irrespective of the use of the defined term “Agent;”</w:t>
      </w:r>
    </w:p>
    <w:p>
      <w:pPr>
        <w:spacing w:after="0" w:line="2" w:lineRule="exact"/>
        <w:rPr>
          <w:sz w:val="20"/>
          <w:szCs w:val="20"/>
          <w:color w:val="auto"/>
        </w:rPr>
      </w:pPr>
    </w:p>
    <w:p>
      <w:pPr>
        <w:ind w:left="300" w:right="619" w:hanging="8"/>
        <w:spacing w:after="0" w:line="235" w:lineRule="auto"/>
        <w:tabs>
          <w:tab w:leader="none" w:pos="60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Agent nor any of its affiliates (including directors), equity holders, creditors, employees or agents, hereafter, </w:t>
      </w:r>
      <w:r>
        <w:rPr>
          <w:rFonts w:ascii="Times New Roman" w:cs="Times New Roman" w:eastAsia="Times New Roman" w:hAnsi="Times New Roman"/>
          <w:sz w:val="22"/>
          <w:szCs w:val="22"/>
          <w:b w:val="1"/>
          <w:bCs w:val="1"/>
          <w:i w:val="1"/>
          <w:iCs w:val="1"/>
          <w:color w:val="auto"/>
        </w:rPr>
        <w:t>“Agent Representatives”</w:t>
      </w:r>
      <w:r>
        <w:rPr>
          <w:rFonts w:ascii="Times New Roman" w:cs="Times New Roman" w:eastAsia="Times New Roman" w:hAnsi="Times New Roman"/>
          <w:sz w:val="22"/>
          <w:szCs w:val="22"/>
          <w:color w:val="auto"/>
        </w:rPr>
        <w:t>) shall have any duty or obligation to the Company or any Company Representative except as set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6" w:name="page67"/>
    <w:bookmarkEnd w:id="66"/>
    <w:p>
      <w:pPr>
        <w:ind w:left="300" w:right="339"/>
        <w:spacing w:after="0" w:line="243" w:lineRule="auto"/>
        <w:rPr>
          <w:sz w:val="20"/>
          <w:szCs w:val="20"/>
          <w:color w:val="auto"/>
        </w:rPr>
      </w:pPr>
      <w:r>
        <w:rPr>
          <w:rFonts w:ascii="Times New Roman" w:cs="Times New Roman" w:eastAsia="Times New Roman" w:hAnsi="Times New Roman"/>
          <w:sz w:val="21"/>
          <w:szCs w:val="21"/>
          <w:color w:val="auto"/>
        </w:rPr>
        <w:t>forth in this Agreement; (c) the price and other terms of any Placement executed pursuant to this Agreement, as well as the terms of this Agreement, are deemed acceptable to the Company and its counsel, following discussions and arms-length negotiations with the Agent; (d) the Company is capable of evaluating and understanding, and in fact has evaluated, understands and accepts the terms, risks and conditions of any Placement Notice to be executed pursuant to this Agreement, and any other transactions contemplated by this Agreement; (e) the Company has been advised that the Agent and the Agent Representatives are engaged in a broad range of transactions which may involve interests that differ from those of the Company and that the Agent and the Agent Representatives have no obligation to disclose any such interests and transactions to the Company by virtue of any fiduciary, advisory or agency relationship, or otherwise; (f) the Company has been advised that the Agent is acting, in respect of any Placement and the transactions contemplated by this Agreement, solely for the benefit of the Agent, and not on behalf of the Company; and (g) the Company and the Company Representatives waive, to the fullest extent permitted by law, any claims that they may have against the Agent or any of the Agent Representatives for breach of fiduciary duty or alleged breach of fiduciary duty in respect of any Placement or any of the transactions contemplated by this Agreement and agree that the Agent and the Agent Representatives shall have no liability (whether direct or indirect, in contract, tort or otherwise) to the Company or any of the Company Representatives in respect of any person asserting any claim of breach of any fiduciary duty on behalf of or in right of the Company or any of the Company Representatives.</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b w:val="1"/>
          <w:bCs w:val="1"/>
          <w:i w:val="1"/>
          <w:iCs w:val="1"/>
          <w:color w:val="auto"/>
        </w:rPr>
        <w:t>12.Recognition of the U.S. Special Resolution Regimes</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300" w:right="499" w:firstLine="1288"/>
        <w:spacing w:after="0" w:line="236" w:lineRule="auto"/>
        <w:tabs>
          <w:tab w:leader="none" w:pos="206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Agent qualifies as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1" w:lineRule="exact"/>
        <w:rPr>
          <w:rFonts w:ascii="Times New Roman" w:cs="Times New Roman" w:eastAsia="Times New Roman" w:hAnsi="Times New Roman"/>
          <w:sz w:val="22"/>
          <w:szCs w:val="22"/>
          <w:color w:val="auto"/>
        </w:rPr>
      </w:pPr>
    </w:p>
    <w:p>
      <w:pPr>
        <w:ind w:left="300" w:right="479" w:firstLine="1288"/>
        <w:spacing w:after="0" w:line="236" w:lineRule="auto"/>
        <w:tabs>
          <w:tab w:leader="none" w:pos="206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Agent qualifies as a Covered Entity and becomes subject,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81" w:lineRule="exact"/>
        <w:rPr>
          <w:rFonts w:ascii="Times New Roman" w:cs="Times New Roman" w:eastAsia="Times New Roman" w:hAnsi="Times New Roman"/>
          <w:sz w:val="22"/>
          <w:szCs w:val="22"/>
          <w:color w:val="auto"/>
        </w:rPr>
      </w:pPr>
    </w:p>
    <w:p>
      <w:pPr>
        <w:ind w:left="2060" w:hanging="472"/>
        <w:spacing w:after="0"/>
        <w:tabs>
          <w:tab w:leader="none" w:pos="20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w:t>
      </w:r>
    </w:p>
    <w:p>
      <w:pPr>
        <w:spacing w:after="0" w:line="200" w:lineRule="exact"/>
        <w:rPr>
          <w:sz w:val="20"/>
          <w:szCs w:val="20"/>
          <w:color w:val="auto"/>
        </w:rPr>
      </w:pPr>
    </w:p>
    <w:p>
      <w:pPr>
        <w:ind w:left="300" w:right="559" w:firstLine="1944"/>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BHC Act Affiliate</w:t>
      </w:r>
      <w:r>
        <w:rPr>
          <w:rFonts w:ascii="Times New Roman" w:cs="Times New Roman" w:eastAsia="Times New Roman" w:hAnsi="Times New Roman"/>
          <w:sz w:val="22"/>
          <w:szCs w:val="22"/>
          <w:color w:val="auto"/>
        </w:rPr>
        <w:t>” has the meaning assigned to the term “affiliate” in, and shall be interpreted in accordance with, 12 U.S.C. § 1841(k);</w:t>
      </w:r>
    </w:p>
    <w:p>
      <w:pPr>
        <w:spacing w:after="0" w:line="145" w:lineRule="exact"/>
        <w:rPr>
          <w:sz w:val="20"/>
          <w:szCs w:val="20"/>
          <w:color w:val="auto"/>
        </w:rPr>
      </w:pPr>
    </w:p>
    <w:p>
      <w:pPr>
        <w:ind w:left="300" w:right="339" w:firstLine="1944"/>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Entity</w:t>
      </w:r>
      <w:r>
        <w:rPr>
          <w:rFonts w:ascii="Times New Roman" w:cs="Times New Roman" w:eastAsia="Times New Roman" w:hAnsi="Times New Roman"/>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7" w:name="page68"/>
    <w:bookmarkEnd w:id="67"/>
    <w:p>
      <w:pPr>
        <w:ind w:left="300" w:right="699" w:firstLine="1944"/>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 and</w:t>
      </w:r>
    </w:p>
    <w:p>
      <w:pPr>
        <w:spacing w:after="0" w:line="145" w:lineRule="exact"/>
        <w:rPr>
          <w:sz w:val="20"/>
          <w:szCs w:val="20"/>
          <w:color w:val="auto"/>
        </w:rPr>
      </w:pPr>
    </w:p>
    <w:p>
      <w:pPr>
        <w:ind w:left="300" w:right="479" w:firstLine="1944"/>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U.S. Special Resolution Regime</w:t>
      </w:r>
      <w:r>
        <w:rPr>
          <w:rFonts w:ascii="Times New Roman" w:cs="Times New Roman" w:eastAsia="Times New Roman" w:hAnsi="Times New Roman"/>
          <w:sz w:val="21"/>
          <w:szCs w:val="21"/>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48" w:lineRule="exact"/>
        <w:rPr>
          <w:sz w:val="20"/>
          <w:szCs w:val="20"/>
          <w:color w:val="auto"/>
        </w:rPr>
      </w:pPr>
    </w:p>
    <w:p>
      <w:pPr>
        <w:ind w:left="300" w:right="359" w:firstLine="648"/>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13.Governing Law and Waiver of Jury Trial</w:t>
      </w:r>
      <w:r>
        <w:rPr>
          <w:rFonts w:ascii="Times New Roman" w:cs="Times New Roman" w:eastAsia="Times New Roman" w:hAnsi="Times New Roman"/>
          <w:sz w:val="22"/>
          <w:szCs w:val="22"/>
          <w:color w:val="auto"/>
        </w:rPr>
        <w:t>. This Agreement and any transaction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contemplated by this Agreement 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(ON ITS OWN BEHALF AND ON BEHALF OF ITS STOCKHOLDERS AND AFFILIATES) HEREBY IRREVOCABLY WAIVES, TO THE FULLEST EXTENT PERMITTED BY APPLICABLE LAW, ANY AND ALL RIGHT TO TRIAL BY JURY IN ANY LEGAL PROCEEDING ARISING OUT OF OR RELATING TO THIS AGREEMENT OR THE TRANSACTIONS CONTEMPLATED HEREBY.</w:t>
      </w:r>
    </w:p>
    <w:p>
      <w:pPr>
        <w:spacing w:after="0" w:line="179" w:lineRule="exact"/>
        <w:rPr>
          <w:sz w:val="20"/>
          <w:szCs w:val="20"/>
          <w:color w:val="auto"/>
        </w:rPr>
      </w:pPr>
    </w:p>
    <w:p>
      <w:pPr>
        <w:ind w:left="300" w:right="339" w:firstLine="648"/>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14.Submission to Jurisdiction, Etc</w:t>
      </w:r>
      <w:r>
        <w:rPr>
          <w:rFonts w:ascii="Times New Roman" w:cs="Times New Roman" w:eastAsia="Times New Roman" w:hAnsi="Times New Roman"/>
          <w:sz w:val="22"/>
          <w:szCs w:val="22"/>
          <w:color w:val="auto"/>
        </w:rPr>
        <w:t>. Each party hereby submits to the exclusive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jurisdiction of the U.S. federal and New York state courts sitting in the Borough of Manhattan,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spacing w:after="0" w:line="178" w:lineRule="exact"/>
        <w:rPr>
          <w:sz w:val="20"/>
          <w:szCs w:val="20"/>
          <w:color w:val="auto"/>
        </w:rPr>
      </w:pPr>
    </w:p>
    <w:p>
      <w:pPr>
        <w:ind w:left="300" w:right="379" w:firstLine="648"/>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15.Counterparts</w:t>
      </w:r>
      <w:r>
        <w:rPr>
          <w:rFonts w:ascii="Times New Roman" w:cs="Times New Roman" w:eastAsia="Times New Roman" w:hAnsi="Times New Roman"/>
          <w:sz w:val="22"/>
          <w:szCs w:val="22"/>
          <w:color w:val="auto"/>
        </w:rPr>
        <w:t>. This Agreement may be executed in one or more counterparts, each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which shall be deemed an original, and all of which together shall constitute one and the same instrument.</w:t>
      </w:r>
    </w:p>
    <w:p>
      <w:pPr>
        <w:spacing w:after="0" w:line="164" w:lineRule="exact"/>
        <w:rPr>
          <w:sz w:val="20"/>
          <w:szCs w:val="20"/>
          <w:color w:val="auto"/>
        </w:rPr>
      </w:pPr>
    </w:p>
    <w:p>
      <w:pPr>
        <w:ind w:left="300" w:right="479" w:firstLine="648"/>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16.Construction</w:t>
      </w:r>
      <w:r>
        <w:rPr>
          <w:rFonts w:ascii="Times New Roman" w:cs="Times New Roman" w:eastAsia="Times New Roman" w:hAnsi="Times New Roman"/>
          <w:sz w:val="21"/>
          <w:szCs w:val="21"/>
          <w:color w:val="auto"/>
        </w:rPr>
        <w:t>. The section and exhibit headings herein are for convenience only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2" w:right="1440" w:bottom="1440" w:gutter="0" w:footer="0" w:header="0"/>
        </w:sectPr>
      </w:pPr>
    </w:p>
    <w:bookmarkStart w:id="68" w:name="page69"/>
    <w:bookmarkEnd w:id="68"/>
    <w:p>
      <w:pPr>
        <w:jc w:val="both"/>
        <w:ind w:left="300" w:right="479" w:firstLine="648"/>
        <w:spacing w:after="0" w:line="244" w:lineRule="auto"/>
        <w:rPr>
          <w:sz w:val="20"/>
          <w:szCs w:val="20"/>
          <w:color w:val="auto"/>
        </w:rPr>
      </w:pPr>
      <w:r>
        <w:rPr>
          <w:rFonts w:ascii="Times New Roman" w:cs="Times New Roman" w:eastAsia="Times New Roman" w:hAnsi="Times New Roman"/>
          <w:sz w:val="22"/>
          <w:szCs w:val="22"/>
          <w:color w:val="auto"/>
        </w:rPr>
        <w:t>Please sign and return to the Company the enclosed duplicates of this letter whereupon this letter will become a binding agreement between the Company and the Agent in accordance with its terms.</w:t>
      </w:r>
    </w:p>
    <w:p>
      <w:pPr>
        <w:spacing w:after="0" w:line="17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LARIMAR THERAPEUTICS, INC.</w:t>
      </w:r>
    </w:p>
    <w:p>
      <w:pPr>
        <w:spacing w:after="0" w:line="21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By: /s/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-13970</wp:posOffset>
            </wp:positionV>
            <wp:extent cx="10972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4180"/>
        <w:spacing w:after="0"/>
        <w:tabs>
          <w:tab w:leader="none" w:pos="5020" w:val="left"/>
        </w:tabs>
        <w:rPr>
          <w:sz w:val="20"/>
          <w:szCs w:val="20"/>
          <w:color w:val="auto"/>
        </w:rPr>
      </w:pPr>
      <w:r>
        <w:rPr>
          <w:rFonts w:ascii="Times New Roman" w:cs="Times New Roman" w:eastAsia="Times New Roman" w:hAnsi="Times New Roman"/>
          <w:sz w:val="22"/>
          <w:szCs w:val="22"/>
          <w:color w:val="auto"/>
        </w:rPr>
        <w:t>Name:</w:t>
        <w:tab/>
        <w:t>Michael Celano</w:t>
      </w:r>
    </w:p>
    <w:p>
      <w:pPr>
        <w:ind w:left="4180"/>
        <w:spacing w:after="0"/>
        <w:tabs>
          <w:tab w:leader="none" w:pos="50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Confirmed as of the date first</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above mentioned.</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GUGGENHEIM SECURITIES, LLC</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By: /s/ Jordan Bliss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-13970</wp:posOffset>
            </wp:positionV>
            <wp:extent cx="10972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300"/>
        <w:spacing w:after="0"/>
        <w:tabs>
          <w:tab w:leader="none" w:pos="1140" w:val="left"/>
        </w:tabs>
        <w:rPr>
          <w:sz w:val="20"/>
          <w:szCs w:val="20"/>
          <w:color w:val="auto"/>
        </w:rPr>
      </w:pPr>
      <w:r>
        <w:rPr>
          <w:rFonts w:ascii="Times New Roman" w:cs="Times New Roman" w:eastAsia="Times New Roman" w:hAnsi="Times New Roman"/>
          <w:sz w:val="22"/>
          <w:szCs w:val="22"/>
          <w:color w:val="auto"/>
        </w:rPr>
        <w:t>Name:</w:t>
        <w:tab/>
        <w:t>Jordan Bliss</w:t>
      </w:r>
    </w:p>
    <w:p>
      <w:pPr>
        <w:ind w:left="300"/>
        <w:spacing w:after="0"/>
        <w:tabs>
          <w:tab w:leader="none" w:pos="11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Senior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PLACEMENT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PARTIES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Carole Ben-Maimon, M.D.</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Michael Celano</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Guggenheim Securities, LLC:</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Jordan Bliss</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Eric Guzman</w:t>
      </w:r>
    </w:p>
    <w:p>
      <w:pPr>
        <w:ind w:left="300"/>
        <w:spacing w:after="0" w:line="230" w:lineRule="auto"/>
        <w:rPr>
          <w:sz w:val="20"/>
          <w:szCs w:val="20"/>
          <w:color w:val="auto"/>
        </w:rPr>
      </w:pPr>
      <w:r>
        <w:rPr>
          <w:rFonts w:ascii="Times New Roman" w:cs="Times New Roman" w:eastAsia="Times New Roman" w:hAnsi="Times New Roman"/>
          <w:sz w:val="22"/>
          <w:szCs w:val="22"/>
          <w:color w:val="auto"/>
        </w:rPr>
        <w:t>James Lee</w:t>
      </w:r>
    </w:p>
    <w:p>
      <w:pPr>
        <w:ind w:left="300"/>
        <w:spacing w:after="0" w:line="231" w:lineRule="auto"/>
        <w:rPr>
          <w:sz w:val="20"/>
          <w:szCs w:val="20"/>
          <w:color w:val="auto"/>
        </w:rPr>
      </w:pPr>
      <w:r>
        <w:rPr>
          <w:rFonts w:ascii="Times New Roman" w:cs="Times New Roman" w:eastAsia="Times New Roman" w:hAnsi="Times New Roman"/>
          <w:sz w:val="22"/>
          <w:szCs w:val="22"/>
          <w:color w:val="auto"/>
        </w:rPr>
        <w:t>Michael Jiang</w:t>
      </w:r>
    </w:p>
    <w:p>
      <w:pPr>
        <w:ind w:left="300"/>
        <w:spacing w:after="0"/>
        <w:rPr>
          <w:sz w:val="20"/>
          <w:szCs w:val="20"/>
          <w:color w:val="auto"/>
        </w:rPr>
      </w:pPr>
      <w:r>
        <w:rPr>
          <w:rFonts w:ascii="Times New Roman" w:cs="Times New Roman" w:eastAsia="Times New Roman" w:hAnsi="Times New Roman"/>
          <w:sz w:val="22"/>
          <w:szCs w:val="22"/>
          <w:color w:val="auto"/>
        </w:rPr>
        <w:t>Marguerite O’Brien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2 - 1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2"/>
          <w:szCs w:val="22"/>
          <w:b w:val="1"/>
          <w:bCs w:val="1"/>
          <w:color w:val="auto"/>
        </w:rPr>
        <w:t>SCHEDULE 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REPRESENTATION CERTIFICATE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3(Q) OF THE AGREEMENT</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Guggenheim Securities, LLC</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330 Madison Avenue</w:t>
      </w:r>
    </w:p>
    <w:p>
      <w:pPr>
        <w:ind w:left="300"/>
        <w:spacing w:after="0"/>
        <w:rPr>
          <w:sz w:val="20"/>
          <w:szCs w:val="20"/>
          <w:color w:val="auto"/>
        </w:rPr>
      </w:pPr>
      <w:r>
        <w:rPr>
          <w:rFonts w:ascii="Times New Roman" w:cs="Times New Roman" w:eastAsia="Times New Roman" w:hAnsi="Times New Roman"/>
          <w:sz w:val="22"/>
          <w:szCs w:val="22"/>
          <w:color w:val="auto"/>
        </w:rPr>
        <w:t>New York, New York 10017</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Sir:</w:t>
      </w:r>
    </w:p>
    <w:p>
      <w:pPr>
        <w:spacing w:after="0" w:line="206" w:lineRule="exact"/>
        <w:rPr>
          <w:sz w:val="20"/>
          <w:szCs w:val="20"/>
          <w:color w:val="auto"/>
        </w:rPr>
      </w:pPr>
    </w:p>
    <w:p>
      <w:pPr>
        <w:ind w:left="300" w:right="299" w:firstLine="648"/>
        <w:spacing w:after="0" w:line="236" w:lineRule="auto"/>
        <w:rPr>
          <w:sz w:val="20"/>
          <w:szCs w:val="20"/>
          <w:color w:val="auto"/>
        </w:rPr>
      </w:pPr>
      <w:r>
        <w:rPr>
          <w:rFonts w:ascii="Times New Roman" w:cs="Times New Roman" w:eastAsia="Times New Roman" w:hAnsi="Times New Roman"/>
          <w:sz w:val="22"/>
          <w:szCs w:val="22"/>
          <w:color w:val="auto"/>
        </w:rPr>
        <w:t>The undersigned, the duly qualified and elected Chief Executive Officer and the duly qualified and elected Chief Financial Officer of Larimar Therapeutics,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do each hereby certify in such capacity, and not in their individual capacities, and on behalf of the Company, pursuant to </w:t>
      </w:r>
      <w:r>
        <w:rPr>
          <w:rFonts w:ascii="Times New Roman" w:cs="Times New Roman" w:eastAsia="Times New Roman" w:hAnsi="Times New Roman"/>
          <w:sz w:val="22"/>
          <w:szCs w:val="22"/>
          <w:u w:val="single" w:color="auto"/>
          <w:color w:val="auto"/>
        </w:rPr>
        <w:t>Section 3(q)</w:t>
      </w:r>
      <w:r>
        <w:rPr>
          <w:rFonts w:ascii="Times New Roman" w:cs="Times New Roman" w:eastAsia="Times New Roman" w:hAnsi="Times New Roman"/>
          <w:sz w:val="22"/>
          <w:szCs w:val="22"/>
          <w:color w:val="auto"/>
        </w:rPr>
        <w:t xml:space="preserve"> of the Sales Agreement, dated May 9, 2024 (the “</w:t>
      </w:r>
      <w:r>
        <w:rPr>
          <w:rFonts w:ascii="Times New Roman" w:cs="Times New Roman" w:eastAsia="Times New Roman" w:hAnsi="Times New Roman"/>
          <w:sz w:val="22"/>
          <w:szCs w:val="22"/>
          <w:b w:val="1"/>
          <w:bCs w:val="1"/>
          <w:color w:val="auto"/>
        </w:rPr>
        <w:t>Sales Agreement</w:t>
      </w:r>
      <w:r>
        <w:rPr>
          <w:rFonts w:ascii="Times New Roman" w:cs="Times New Roman" w:eastAsia="Times New Roman" w:hAnsi="Times New Roman"/>
          <w:sz w:val="22"/>
          <w:szCs w:val="22"/>
          <w:color w:val="auto"/>
        </w:rPr>
        <w:t>”), between the Company and Guggenheim Securities, LLC, that to the best of the knowledge of each the undersigned:</w:t>
      </w:r>
    </w:p>
    <w:p>
      <w:pPr>
        <w:spacing w:after="0" w:line="181" w:lineRule="exact"/>
        <w:rPr>
          <w:sz w:val="20"/>
          <w:szCs w:val="20"/>
          <w:color w:val="auto"/>
        </w:rPr>
      </w:pPr>
    </w:p>
    <w:p>
      <w:pPr>
        <w:ind w:left="300" w:right="339" w:firstLine="1288"/>
        <w:spacing w:after="0" w:line="239" w:lineRule="auto"/>
        <w:tabs>
          <w:tab w:leader="none" w:pos="185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Company in this Sales Agreement are true and correct, in all material respects, as if made at and as of the date of the certificate, and the Company has complied with all the agreements and satisfied all the conditions on its part to be performed or satisfied at or prior to the date of the certificate;</w:t>
      </w:r>
    </w:p>
    <w:p>
      <w:pPr>
        <w:spacing w:after="0" w:line="180" w:lineRule="exact"/>
        <w:rPr>
          <w:rFonts w:ascii="Times New Roman" w:cs="Times New Roman" w:eastAsia="Times New Roman" w:hAnsi="Times New Roman"/>
          <w:sz w:val="22"/>
          <w:szCs w:val="22"/>
          <w:color w:val="auto"/>
        </w:rPr>
      </w:pPr>
    </w:p>
    <w:p>
      <w:pPr>
        <w:ind w:left="300" w:right="319" w:firstLine="1288"/>
        <w:spacing w:after="0" w:line="236" w:lineRule="auto"/>
        <w:tabs>
          <w:tab w:leader="none" w:pos="191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stop order or other order suspending the effectiveness of the Registration Statement or any part thereof or any amendment thereof or the qualification of the Shares for Registration Statement, nor suspending or preventing the use of the base prospectus, the Prospectus or any Permitted Free Writing Prospectus, has been issued, and no proceeding for that purpose has been instituted or, to the best of the Company’s knowledge, is contemplated by the Commission or any state or regulatory body;</w:t>
      </w:r>
    </w:p>
    <w:p>
      <w:pPr>
        <w:spacing w:after="0" w:line="181" w:lineRule="exact"/>
        <w:rPr>
          <w:rFonts w:ascii="Times New Roman" w:cs="Times New Roman" w:eastAsia="Times New Roman" w:hAnsi="Times New Roman"/>
          <w:sz w:val="22"/>
          <w:szCs w:val="22"/>
          <w:color w:val="auto"/>
        </w:rPr>
      </w:pPr>
    </w:p>
    <w:p>
      <w:pPr>
        <w:ind w:left="300" w:right="339" w:firstLine="1288"/>
        <w:spacing w:after="0" w:line="244" w:lineRule="auto"/>
        <w:tabs>
          <w:tab w:leader="none" w:pos="197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have been duly and validly authorized by the Company and that all corporate action required to be taken for the authorization, issuance and sale of the Shares has been validly and sufficiently taken;</w:t>
      </w:r>
    </w:p>
    <w:p>
      <w:pPr>
        <w:spacing w:after="0" w:line="173" w:lineRule="exact"/>
        <w:rPr>
          <w:rFonts w:ascii="Times New Roman" w:cs="Times New Roman" w:eastAsia="Times New Roman" w:hAnsi="Times New Roman"/>
          <w:sz w:val="22"/>
          <w:szCs w:val="22"/>
          <w:color w:val="auto"/>
        </w:rPr>
      </w:pPr>
    </w:p>
    <w:p>
      <w:pPr>
        <w:ind w:left="300" w:right="519" w:firstLine="1288"/>
        <w:spacing w:after="0" w:line="238" w:lineRule="auto"/>
        <w:tabs>
          <w:tab w:leader="none" w:pos="196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signers of this certificate have carefully examined the Registration Statement, the base prospectus, the Prospectus and any Permitted Free Writing Prospectus, and any amendments thereof or supplements thereto (including any documents filed under the Exchange Act and deemed to be incorporated by reference into the base prospectus, the Prospectus and any Permitted Free Writing Prospectus),</w:t>
      </w:r>
    </w:p>
    <w:p>
      <w:pPr>
        <w:spacing w:after="0" w:line="176" w:lineRule="exact"/>
        <w:rPr>
          <w:rFonts w:ascii="Times New Roman" w:cs="Times New Roman" w:eastAsia="Times New Roman" w:hAnsi="Times New Roman"/>
          <w:sz w:val="22"/>
          <w:szCs w:val="22"/>
          <w:color w:val="auto"/>
        </w:rPr>
      </w:pPr>
    </w:p>
    <w:p>
      <w:pPr>
        <w:ind w:left="300" w:right="439" w:firstLine="1936"/>
        <w:spacing w:after="0" w:line="251" w:lineRule="auto"/>
        <w:tabs>
          <w:tab w:leader="none" w:pos="2598"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 of the Registration Statement and the Prospectus, and any amendments thereof or supplements thereto (including any documents filed under the Exchange Act and deemed to be incorporated by reference into the Prospectus) contain, and contained when such part of the Registration Statement (or such amendment) became effective, all statements and information required to be included therein, each part of the Registration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3 - 1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72" w:name="page73"/>
    <w:bookmarkEnd w:id="72"/>
    <w:p>
      <w:pPr>
        <w:ind w:left="300" w:right="359"/>
        <w:spacing w:after="0" w:line="234" w:lineRule="auto"/>
        <w:rPr>
          <w:sz w:val="20"/>
          <w:szCs w:val="20"/>
          <w:color w:val="auto"/>
        </w:rPr>
      </w:pPr>
      <w:r>
        <w:rPr>
          <w:rFonts w:ascii="Times New Roman" w:cs="Times New Roman" w:eastAsia="Times New Roman" w:hAnsi="Times New Roman"/>
          <w:sz w:val="22"/>
          <w:szCs w:val="22"/>
          <w:color w:val="auto"/>
        </w:rPr>
        <w:t>Statement, or any amendment thereof, does not contain, and did not contain, when such part of the Registration Statement (or such amendment) became effective, any untrue statement of a material fact or omit to state, and did not omit to state when such part of the Registration Statement (or such amendment) became effective, any material fact required to be stated therein or necessary to make the statements therein not misleading, and the Prospectus, as amended or supplemented, does not include and did not include as of its date, or the time of first use within the meaning of the Securities Act, any untrue statement of a material fact or omit to state and did not omit to state as of its date, or the time of first use within the meaning of the Securities Act, a material fact necessary to make the statements therein, in light of the circumstances under which they were made, not misleading,</w:t>
      </w:r>
    </w:p>
    <w:p>
      <w:pPr>
        <w:spacing w:after="0" w:line="179" w:lineRule="exact"/>
        <w:rPr>
          <w:sz w:val="20"/>
          <w:szCs w:val="20"/>
          <w:color w:val="auto"/>
        </w:rPr>
      </w:pPr>
    </w:p>
    <w:p>
      <w:pPr>
        <w:ind w:left="300" w:right="319" w:firstLine="1936"/>
        <w:spacing w:after="0" w:line="235" w:lineRule="auto"/>
        <w:tabs>
          <w:tab w:leader="none" w:pos="258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during the period that begins on the earlier of the date of such base prospectus, Prospectus, or Permitted Free Writing Prospectus and the date such base prospectus, Prospectus, or Permitted Free Writing Prospectus was filed with the Commission and ends on the date of this certificate did such base prospectus, Prospectus, or Permitted Free Writing Prospectus, as then amended or supplemented, include an untrue statement of a material fact or omit to state any material fact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22"/>
          <w:szCs w:val="22"/>
          <w:color w:val="auto"/>
        </w:rPr>
      </w:pPr>
    </w:p>
    <w:p>
      <w:pPr>
        <w:ind w:left="300" w:right="699" w:firstLine="1936"/>
        <w:spacing w:after="0" w:line="251" w:lineRule="auto"/>
        <w:tabs>
          <w:tab w:leader="none" w:pos="258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date of the Sales Agreement, there has occurred no event required to be set forth in an amended or supplemented prospectus which has not been so set forth, and there has been no document required to be filed under the Exchange Act that upon such filing would be deemed to be incorporated by reference into the base prospectus, the Prospectus or any Permitted Free Writing Prospectus that has not been so filed,</w:t>
      </w:r>
    </w:p>
    <w:p>
      <w:pPr>
        <w:spacing w:after="0" w:line="168" w:lineRule="exact"/>
        <w:rPr>
          <w:rFonts w:ascii="Times New Roman" w:cs="Times New Roman" w:eastAsia="Times New Roman" w:hAnsi="Times New Roman"/>
          <w:sz w:val="21"/>
          <w:szCs w:val="21"/>
          <w:color w:val="auto"/>
        </w:rPr>
      </w:pPr>
    </w:p>
    <w:p>
      <w:pPr>
        <w:ind w:left="300" w:right="379" w:firstLine="1936"/>
        <w:spacing w:after="0" w:line="245" w:lineRule="auto"/>
        <w:tabs>
          <w:tab w:leader="none" w:pos="259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stated in the Prospectus or any Permitted Free Writing Prospectus, the Company has not incurred any material liabilities or obligations, direct or contingent, or entered into any material transactions, not in the ordinary course of business, or declared or paid any dividends or made any distribution of any kind with respect to its capital stock, and except as disclosed in the base prospectus, the Prospectus, and any Permitted Free Writing Prospectus, there has not been any material change in the capital stock (other than a change in the number of outstanding Common Stock due to sales of Shares pursuant to the Sales Agreement and the issuance of shares of Common Stock upon the exercise of equity awards or warrants), or any material change in the short term or long term debt, or any Material Adverse Effect or any development involving a prospective Material Adverse Effect (whether or not arising in the ordinary course of business), or any loss by strike, fire, flood, earthquake, accident or other calamity, whether or not covered by insurance, incurred by the Company, and</w:t>
      </w:r>
    </w:p>
    <w:p>
      <w:pPr>
        <w:spacing w:after="0" w:line="173" w:lineRule="exact"/>
        <w:rPr>
          <w:rFonts w:ascii="Times New Roman" w:cs="Times New Roman" w:eastAsia="Times New Roman" w:hAnsi="Times New Roman"/>
          <w:sz w:val="21"/>
          <w:szCs w:val="21"/>
          <w:color w:val="auto"/>
        </w:rPr>
      </w:pPr>
    </w:p>
    <w:p>
      <w:pPr>
        <w:ind w:left="300" w:right="399" w:firstLine="1936"/>
        <w:spacing w:after="0" w:line="238" w:lineRule="auto"/>
        <w:tabs>
          <w:tab w:leader="none" w:pos="257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stated in the base prospectus, the Prospectus, and any Permitted Free Writing Prospectus, there is not pending, or, to the knowledge of the Company, threatened or contemplated, any action, suit or proceeding to which the Company is a party before or by any court or governmental agency, authority or body, or any arbitrator, which might result in a Material Adverse Effect.</w:t>
      </w:r>
    </w:p>
    <w:p>
      <w:pPr>
        <w:spacing w:after="0" w:line="177" w:lineRule="exact"/>
        <w:rPr>
          <w:sz w:val="20"/>
          <w:szCs w:val="20"/>
          <w:color w:val="auto"/>
        </w:rPr>
      </w:pPr>
    </w:p>
    <w:p>
      <w:pPr>
        <w:ind w:left="300" w:right="779" w:firstLine="441"/>
        <w:spacing w:after="0" w:line="258" w:lineRule="auto"/>
        <w:rPr>
          <w:sz w:val="20"/>
          <w:szCs w:val="20"/>
          <w:color w:val="auto"/>
        </w:rPr>
      </w:pPr>
      <w:r>
        <w:rPr>
          <w:rFonts w:ascii="Times New Roman" w:cs="Times New Roman" w:eastAsia="Times New Roman" w:hAnsi="Times New Roman"/>
          <w:sz w:val="22"/>
          <w:szCs w:val="22"/>
          <w:color w:val="auto"/>
        </w:rPr>
        <w:t>Capitalized terms used herein without definition shall have the meanings given to such terms in the Sales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3 - 2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3" w:name="page74"/>
    <w:bookmarkEnd w:id="73"/>
    <w:p>
      <w:pPr>
        <w:ind w:left="4820"/>
        <w:spacing w:after="0"/>
        <w:rPr>
          <w:sz w:val="20"/>
          <w:szCs w:val="20"/>
          <w:color w:val="auto"/>
        </w:rPr>
      </w:pPr>
      <w:r>
        <w:rPr>
          <w:rFonts w:ascii="Times New Roman" w:cs="Times New Roman" w:eastAsia="Times New Roman" w:hAnsi="Times New Roman"/>
          <w:sz w:val="21"/>
          <w:szCs w:val="21"/>
          <w:b w:val="1"/>
          <w:bCs w:val="1"/>
          <w:color w:val="auto"/>
        </w:rPr>
        <w:t>LARIMAR THERAPEUTICS, INC.</w:t>
      </w:r>
    </w:p>
    <w:p>
      <w:pPr>
        <w:spacing w:after="0" w:line="22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-13970</wp:posOffset>
            </wp:positionV>
            <wp:extent cx="274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-22860</wp:posOffset>
            </wp:positionV>
            <wp:extent cx="274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-29210</wp:posOffset>
            </wp:positionV>
            <wp:extent cx="274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6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-13970</wp:posOffset>
            </wp:positionV>
            <wp:extent cx="274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-22860</wp:posOffset>
            </wp:positionV>
            <wp:extent cx="274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-29210</wp:posOffset>
            </wp:positionV>
            <wp:extent cx="274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Schedule 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485775</wp:posOffset>
            </wp:positionV>
            <wp:extent cx="537464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4</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SUBSIDIARIES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Zafgen Australia Pty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4 - 1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478155</wp:posOffset>
            </wp:positionV>
            <wp:extent cx="537464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Carole S. Ben-Maimon, M.D., certify that:</w:t>
      </w:r>
    </w:p>
    <w:p>
      <w:pPr>
        <w:spacing w:after="0" w:line="77"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1375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Celano, certify that:</w:t>
      </w:r>
    </w:p>
    <w:p>
      <w:pPr>
        <w:spacing w:after="0" w:line="77"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1375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Celano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21" w:lineRule="exact"/>
        <w:rPr>
          <w:sz w:val="20"/>
          <w:szCs w:val="20"/>
          <w:color w:val="auto"/>
        </w:rPr>
      </w:pPr>
    </w:p>
    <w:p>
      <w:pPr>
        <w:ind w:left="1500" w:right="380" w:hanging="743"/>
        <w:spacing w:after="0" w:line="282"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2024 (the “Report”) of the Company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500" w:right="80" w:hanging="743"/>
        <w:spacing w:after="0" w:line="282" w:lineRule="auto"/>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May 9, 2024</w:t>
      </w:r>
      <w:r>
        <w:rPr>
          <w:sz w:val="20"/>
          <w:szCs w:val="20"/>
          <w:color w:val="auto"/>
        </w:rPr>
        <w:tab/>
      </w:r>
      <w:r>
        <w:rPr>
          <w:rFonts w:ascii="Times New Roman" w:cs="Times New Roman" w:eastAsia="Times New Roman" w:hAnsi="Times New Roman"/>
          <w:sz w:val="17"/>
          <w:szCs w:val="17"/>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Michael Celano</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2"/>
    </w:lvl>
  </w:abstractNum>
  <w:abstractNum w:abstractNumId="6">
    <w:nsid w:val="3A95F874"/>
    <w:multiLevelType w:val="hybridMultilevel"/>
    <w:lvl w:ilvl="0">
      <w:lvlJc w:val="left"/>
      <w:lvlText w:val="%1."/>
      <w:numFmt w:val="decimal"/>
      <w:start w:val="3"/>
    </w:lvl>
  </w:abstractNum>
  <w:abstractNum w:abstractNumId="7">
    <w:nsid w:val="8138641"/>
    <w:multiLevelType w:val="hybridMultilevel"/>
    <w:lvl w:ilvl="0">
      <w:lvlJc w:val="left"/>
      <w:lvlText w:val="%1."/>
      <w:numFmt w:val="decimal"/>
      <w:start w:val="4"/>
    </w:lvl>
  </w:abstractNum>
  <w:abstractNum w:abstractNumId="8">
    <w:nsid w:val="1E7FF521"/>
    <w:multiLevelType w:val="hybridMultilevel"/>
    <w:lvl w:ilvl="0">
      <w:lvlJc w:val="left"/>
      <w:lvlText w:val="%1."/>
      <w:numFmt w:val="decimal"/>
      <w:start w:val="5"/>
    </w:lvl>
  </w:abstractNum>
  <w:abstractNum w:abstractNumId="9">
    <w:nsid w:val="7C3DBD3D"/>
    <w:multiLevelType w:val="hybridMultilevel"/>
    <w:lvl w:ilvl="0">
      <w:lvlJc w:val="left"/>
      <w:lvlText w:val="%1."/>
      <w:numFmt w:val="decimal"/>
      <w:start w:val="6"/>
    </w:lvl>
  </w:abstractNum>
  <w:abstractNum w:abstractNumId="10">
    <w:nsid w:val="737B8DDC"/>
    <w:multiLevelType w:val="hybridMultilevel"/>
    <w:lvl w:ilvl="0">
      <w:lvlJc w:val="left"/>
      <w:lvlText w:val="%1."/>
      <w:numFmt w:val="decimal"/>
      <w:start w:val="7"/>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decimal"/>
      <w:start w:val="8"/>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lvl w:ilvl="1">
      <w:lvlJc w:val="left"/>
      <w:lvlText w:val="%2"/>
      <w:numFmt w:val="decimal"/>
      <w:start w:val="104"/>
    </w:lvl>
  </w:abstractNum>
  <w:abstractNum w:abstractNumId="17">
    <w:nsid w:val="5577F8E1"/>
    <w:multiLevelType w:val="hybridMultilevel"/>
    <w:lvl w:ilvl="0">
      <w:lvlJc w:val="left"/>
      <w:lvlText w:val="**"/>
      <w:numFmt w:val="bullet"/>
      <w:start w:val="1"/>
    </w:lvl>
    <w:lvl w:ilvl="1">
      <w:lvlJc w:val="left"/>
      <w:lvlText w:val="%2"/>
      <w:numFmt w:val="decimal"/>
      <w:start w:val="1"/>
    </w:lvl>
  </w:abstractNum>
  <w:abstractNum w:abstractNumId="18">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9">
    <w:nsid w:val="5072367"/>
    <w:multiLevelType w:val="hybridMultilevel"/>
    <w:lvl w:ilvl="0">
      <w:lvlJc w:val="left"/>
      <w:lvlText w:val="(%1)"/>
      <w:numFmt w:val="lowerRoman"/>
      <w:start w:val="1"/>
    </w:lvl>
  </w:abstractNum>
  <w:abstractNum w:abstractNumId="20">
    <w:nsid w:val="3804823E"/>
    <w:multiLevelType w:val="hybridMultilevel"/>
    <w:lvl w:ilvl="0">
      <w:lvlJc w:val="left"/>
      <w:lvlText w:val="(%1)"/>
      <w:numFmt w:val="upperLetter"/>
      <w:start w:val="2"/>
    </w:lvl>
  </w:abstractNum>
  <w:abstractNum w:abstractNumId="21">
    <w:nsid w:val="77465F01"/>
    <w:multiLevelType w:val="hybridMultilevel"/>
    <w:lvl w:ilvl="0">
      <w:lvlJc w:val="left"/>
      <w:lvlText w:val="(%1)"/>
      <w:numFmt w:val="upperLetter"/>
      <w:start w:val="1"/>
    </w:lvl>
    <w:lvl w:ilvl="1">
      <w:lvlJc w:val="left"/>
      <w:lvlText w:val="(%2)"/>
      <w:numFmt w:val="decimal"/>
      <w:start w:val="1"/>
    </w:lvl>
  </w:abstractNum>
  <w:abstractNum w:abstractNumId="22">
    <w:nsid w:val="7724C67E"/>
    <w:multiLevelType w:val="hybridMultilevel"/>
    <w:lvl w:ilvl="0">
      <w:lvlJc w:val="left"/>
      <w:lvlText w:val="(%1)"/>
      <w:numFmt w:val="lowerLetter"/>
      <w:start w:val="12"/>
    </w:lvl>
  </w:abstractNum>
  <w:abstractNum w:abstractNumId="23">
    <w:nsid w:val="5C482A97"/>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Letter"/>
      <w:start w:val="9"/>
    </w:lvl>
  </w:abstractNum>
  <w:abstractNum w:abstractNumId="24">
    <w:nsid w:val="2463B9EA"/>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5">
    <w:nsid w:val="5E884ADC"/>
    <w:multiLevelType w:val="hybridMultilevel"/>
    <w:lvl w:ilvl="0">
      <w:lvlJc w:val="left"/>
      <w:lvlText w:val="(%1)"/>
      <w:numFmt w:val="lowerLetter"/>
      <w:start w:val="2"/>
    </w:lvl>
  </w:abstractNum>
  <w:abstractNum w:abstractNumId="26">
    <w:nsid w:val="51EAD36B"/>
    <w:multiLevelType w:val="hybridMultilevel"/>
    <w:lvl w:ilvl="0">
      <w:lvlJc w:val="left"/>
      <w:lvlText w:val="%1"/>
      <w:numFmt w:val="decimal"/>
      <w:start w:val="1"/>
    </w:lvl>
    <w:lvl w:ilvl="1">
      <w:lvlJc w:val="left"/>
      <w:lvlText w:val="(%2)"/>
      <w:numFmt w:val="lowerLetter"/>
      <w:start w:val="4"/>
    </w:lvl>
  </w:abstractNum>
  <w:abstractNum w:abstractNumId="27">
    <w:nsid w:val="2D517796"/>
    <w:multiLevelType w:val="hybridMultilevel"/>
    <w:lvl w:ilvl="0">
      <w:lvlJc w:val="left"/>
      <w:lvlText w:val="%1."/>
      <w:numFmt w:val="decimal"/>
      <w:start w:val="3"/>
    </w:lvl>
    <w:lvl w:ilvl="1">
      <w:lvlJc w:val="left"/>
      <w:lvlText w:val="(%2)"/>
      <w:numFmt w:val="lowerLetter"/>
      <w:start w:val="1"/>
    </w:lvl>
  </w:abstractNum>
  <w:abstractNum w:abstractNumId="28">
    <w:nsid w:val="580BD78F"/>
    <w:multiLevelType w:val="hybridMultilevel"/>
    <w:lvl w:ilvl="0">
      <w:lvlJc w:val="left"/>
      <w:lvlText w:val="(%1)"/>
      <w:numFmt w:val="lowerRoman"/>
      <w:start w:val="6"/>
    </w:lvl>
    <w:lvl w:ilvl="1">
      <w:lvlJc w:val="left"/>
      <w:lvlText w:val="(%2)"/>
      <w:numFmt w:val="lowerLetter"/>
      <w:start w:val="2"/>
    </w:lvl>
  </w:abstractNum>
  <w:abstractNum w:abstractNumId="29">
    <w:nsid w:val="153EA438"/>
    <w:multiLevelType w:val="hybridMultilevel"/>
    <w:lvl w:ilvl="0">
      <w:lvlJc w:val="left"/>
      <w:lvlText w:val="%1"/>
      <w:numFmt w:val="lowerLetter"/>
      <w:start w:val="1"/>
    </w:lvl>
    <w:lvl w:ilvl="1">
      <w:lvlJc w:val="left"/>
      <w:lvlText w:val="(%2)"/>
      <w:numFmt w:val="lowerLetter"/>
      <w:start w:val="6"/>
    </w:lvl>
  </w:abstractNum>
  <w:abstractNum w:abstractNumId="30">
    <w:nsid w:val="3855585C"/>
    <w:multiLevelType w:val="hybridMultilevel"/>
    <w:lvl w:ilvl="0">
      <w:lvlJc w:val="left"/>
      <w:lvlText w:val="(%1)"/>
      <w:numFmt w:val="lowerLetter"/>
      <w:start w:val="35"/>
    </w:lvl>
    <w:lvl w:ilvl="1">
      <w:lvlJc w:val="left"/>
      <w:lvlText w:val="(%2)"/>
      <w:numFmt w:val="lowerLetter"/>
      <w:start w:val="8"/>
    </w:lvl>
  </w:abstractNum>
  <w:abstractNum w:abstractNumId="31">
    <w:nsid w:val="70A64E2A"/>
    <w:multiLevelType w:val="hybridMultilevel"/>
    <w:lvl w:ilvl="0">
      <w:lvlJc w:val="left"/>
      <w:lvlText w:val="%1"/>
      <w:numFmt w:val="lowerLetter"/>
      <w:start w:val="1"/>
    </w:lvl>
    <w:lvl w:ilvl="1">
      <w:lvlJc w:val="left"/>
      <w:lvlText w:val="(%2)"/>
      <w:numFmt w:val="lowerLetter"/>
      <w:start w:val="10"/>
    </w:lvl>
  </w:abstractNum>
  <w:abstractNum w:abstractNumId="32">
    <w:nsid w:val="6A2342EC"/>
    <w:multiLevelType w:val="hybridMultilevel"/>
    <w:lvl w:ilvl="0">
      <w:lvlJc w:val="left"/>
      <w:lvlText w:val="(%1)"/>
      <w:numFmt w:val="lowerLetter"/>
      <w:start w:val="35"/>
    </w:lvl>
    <w:lvl w:ilvl="1">
      <w:lvlJc w:val="left"/>
      <w:lvlText w:val="(%2)"/>
      <w:numFmt w:val="lowerLetter"/>
      <w:start w:val="11"/>
    </w:lvl>
  </w:abstractNum>
  <w:abstractNum w:abstractNumId="33">
    <w:nsid w:val="2A487CB0"/>
    <w:multiLevelType w:val="hybridMultilevel"/>
    <w:lvl w:ilvl="0">
      <w:lvlJc w:val="left"/>
      <w:lvlText w:val="%1"/>
      <w:numFmt w:val="upperLetter"/>
      <w:start w:val="1"/>
    </w:lvl>
    <w:lvl w:ilvl="1">
      <w:lvlJc w:val="left"/>
      <w:lvlText w:val="(%2)"/>
      <w:numFmt w:val="lowerLetter"/>
      <w:start w:val="14"/>
    </w:lvl>
    <w:lvl w:ilvl="2">
      <w:lvlJc w:val="left"/>
      <w:lvlText w:val="%3"/>
      <w:numFmt w:val="lowerLetter"/>
      <w:start w:val="1"/>
    </w:lvl>
  </w:abstractNum>
  <w:abstractNum w:abstractNumId="34">
    <w:nsid w:val="1D4ED43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35">
    <w:nsid w:val="725A06FB"/>
    <w:multiLevelType w:val="hybridMultilevel"/>
    <w:lvl w:ilvl="0">
      <w:lvlJc w:val="left"/>
      <w:lvlText w:val="%1"/>
      <w:numFmt w:val="decimal"/>
      <w:start w:val="1"/>
    </w:lvl>
    <w:lvl w:ilvl="1">
      <w:lvlJc w:val="left"/>
      <w:lvlText w:val="(%2)"/>
      <w:numFmt w:val="lowerLetter"/>
      <w:start w:val="16"/>
    </w:lvl>
  </w:abstractNum>
  <w:abstractNum w:abstractNumId="36">
    <w:nsid w:val="2CD89A32"/>
    <w:multiLevelType w:val="hybridMultilevel"/>
    <w:lvl w:ilvl="0">
      <w:lvlJc w:val="left"/>
      <w:lvlText w:val="%1."/>
      <w:numFmt w:val="decimal"/>
      <w:start w:val="4"/>
    </w:lvl>
    <w:lvl w:ilvl="1">
      <w:lvlJc w:val="left"/>
      <w:lvlText w:val="%2"/>
      <w:numFmt w:val="lowerLetter"/>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5"/>
    </w:lvl>
  </w:abstractNum>
  <w:abstractNum w:abstractNumId="39">
    <w:nsid w:val="4B588F5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0">
    <w:nsid w:val="542289EC"/>
    <w:multiLevelType w:val="hybridMultilevel"/>
    <w:lvl w:ilvl="0">
      <w:lvlJc w:val="left"/>
      <w:lvlText w:val="(%1)"/>
      <w:numFmt w:val="lowerLetter"/>
      <w:start w:val="2"/>
    </w:lvl>
  </w:abstractNum>
  <w:abstractNum w:abstractNumId="41">
    <w:nsid w:val="6DE91B18"/>
    <w:multiLevelType w:val="hybridMultilevel"/>
    <w:lvl w:ilvl="0">
      <w:lvlJc w:val="left"/>
      <w:lvlText w:val="(%1)"/>
      <w:numFmt w:val="lowerLetter"/>
      <w:start w:val="4"/>
    </w:lvl>
  </w:abstractNum>
  <w:abstractNum w:abstractNumId="42">
    <w:nsid w:val="38437FDB"/>
    <w:multiLevelType w:val="hybridMultilevel"/>
    <w:lvl w:ilvl="0">
      <w:lvlJc w:val="left"/>
      <w:lvlText w:val="%1."/>
      <w:numFmt w:val="decimal"/>
      <w:start w:val="6"/>
    </w:lvl>
    <w:lvl w:ilvl="1">
      <w:lvlJc w:val="left"/>
      <w:lvlText w:val="(%2)"/>
      <w:numFmt w:val="lowerLetter"/>
      <w:start w:val="1"/>
    </w:lvl>
  </w:abstractNum>
  <w:abstractNum w:abstractNumId="43">
    <w:nsid w:val="7644A45C"/>
    <w:multiLevelType w:val="hybridMultilevel"/>
    <w:lvl w:ilvl="0">
      <w:lvlJc w:val="left"/>
      <w:lvlText w:val="%1"/>
      <w:numFmt w:val="decimal"/>
      <w:start w:val="1"/>
    </w:lvl>
    <w:lvl w:ilvl="1">
      <w:lvlJc w:val="left"/>
      <w:lvlText w:val="(%2)"/>
      <w:numFmt w:val="lowerLetter"/>
      <w:start w:val="5"/>
    </w:lvl>
  </w:abstractNum>
  <w:abstractNum w:abstractNumId="44">
    <w:nsid w:val="32FFF902"/>
    <w:multiLevelType w:val="hybridMultilevel"/>
    <w:lvl w:ilvl="0">
      <w:lvlJc w:val="left"/>
      <w:lvlText w:val="%1."/>
      <w:numFmt w:val="decimal"/>
      <w:start w:val="8"/>
    </w:lvl>
    <w:lvl w:ilvl="1">
      <w:lvlJc w:val="left"/>
      <w:lvlText w:val="%2"/>
      <w:numFmt w:val="lowerLetter"/>
      <w:start w:val="1"/>
    </w:lvl>
  </w:abstractNum>
  <w:abstractNum w:abstractNumId="45">
    <w:nsid w:val="684A481A"/>
    <w:multiLevelType w:val="hybridMultilevel"/>
    <w:lvl w:ilvl="0">
      <w:lvlJc w:val="left"/>
      <w:lvlText w:val="(%1)"/>
      <w:numFmt w:val="lowerLetter"/>
      <w:start w:val="2"/>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Roman"/>
      <w:start w:val="1"/>
    </w:lvl>
    <w:lvl w:ilvl="1">
      <w:lvlJc w:val="left"/>
      <w:lvlText w:val="(%2)"/>
      <w:numFmt w:val="upperLetter"/>
      <w:start w:val="1"/>
    </w:lvl>
  </w:abstractNum>
  <w:abstractNum w:abstractNumId="48">
    <w:nsid w:val="3DC240FB"/>
    <w:multiLevelType w:val="hybridMultilevel"/>
    <w:lvl w:ilvl="0">
      <w:lvlJc w:val="left"/>
      <w:lvlText w:val="(%1)"/>
      <w:numFmt w:val="upperLetter"/>
      <w:start w:val="2"/>
    </w:lvl>
  </w:abstractNum>
  <w:abstractNum w:abstractNumId="49">
    <w:nsid w:val="1BA026FA"/>
    <w:multiLevelType w:val="hybridMultilevel"/>
    <w:lvl w:ilvl="0">
      <w:lvlJc w:val="left"/>
      <w:lvlText w:val="%1."/>
      <w:numFmt w:val="decimal"/>
      <w:start w:val="1"/>
    </w:lvl>
    <w:lvl w:ilvl="1">
      <w:lvlJc w:val="left"/>
      <w:lvlText w:val="%2."/>
      <w:numFmt w:val="decimal"/>
      <w:start w:val="1"/>
    </w:lvl>
  </w:abstractNum>
  <w:abstractNum w:abstractNumId="50">
    <w:nsid w:val="79A1DEAA"/>
    <w:multiLevelType w:val="hybridMultilevel"/>
    <w:lvl w:ilvl="0">
      <w:lvlJc w:val="left"/>
      <w:lvlText w:val="%1."/>
      <w:numFmt w:val="decimal"/>
      <w:start w:val="1"/>
    </w:lvl>
    <w:lvl w:ilvl="1">
      <w:lvlJc w:val="left"/>
      <w:lvlText w:val="%2."/>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2024-05-09T15:38:08Z</dcterms:created>
  <dcterms:modified xsi:type="dcterms:W3CDTF">2024-05-09T15:38:08Z</dcterms:modified>
</cp:coreProperties>
</file>