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Daniel Thomas O</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Larimar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LRMR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C/O LARIMAR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05/12/2021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THREE BALA PLAZA EAST, SUITE 506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BALA</w:t>
            </w:r>
          </w:p>
        </w:tc>
        <w:tc>
          <w:tcPr>
            <w:tcW w:w="60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w w:val="87"/>
              </w:rPr>
              <w:t>PA</w:t>
            </w: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19004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CYNWYD</w:t>
            </w:r>
          </w:p>
        </w:tc>
        <w:tc>
          <w:tcPr>
            <w:tcW w:w="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gridSpan w:val="2"/>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10.34</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16"/>
              <w:spacing w:after="0"/>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8,300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05/12/2031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8,300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8,300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on the earlier of (a) May 12, 2022 or (b) the date of the Company's next annual meeting of stockholders, in each case subject to the Reporting Person's continued service on the Board of Directors of the Company.</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05/17/2021</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3"/>
              </w:rPr>
              <w:t>Attorney-in-fact</w:t>
            </w:r>
          </w:p>
        </w:tc>
        <w:tc>
          <w:tcPr>
            <w:tcW w:w="42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89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2021-05-17T16:10:15Z</dcterms:created>
  <dcterms:modified xsi:type="dcterms:W3CDTF">2021-05-17T16:10:15Z</dcterms:modified>
</cp:coreProperties>
</file>