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4"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667385</wp:posOffset>
                </wp:positionH>
                <wp:positionV relativeFrom="page">
                  <wp:posOffset>917575</wp:posOffset>
                </wp:positionV>
                <wp:extent cx="689483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55pt,72.25pt" to="595.45pt,72.25pt" o:allowincell="f" strokecolor="#00000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667385</wp:posOffset>
                </wp:positionH>
                <wp:positionV relativeFrom="page">
                  <wp:posOffset>930275</wp:posOffset>
                </wp:positionV>
                <wp:extent cx="689483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55pt,73.25pt" to="595.45pt,73.25pt" o:allowincell="f" strokecolor="#000000" strokeweight="0.5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4"/>
          <w:szCs w:val="4"/>
          <w:color w:val="auto"/>
        </w:rPr>
        <w:t>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40" w:hanging="430"/>
        <w:spacing w:after="0" w:line="238" w:lineRule="auto"/>
        <w:tabs>
          <w:tab w:leader="none" w:pos="440" w:val="left"/>
        </w:tabs>
        <w:numPr>
          <w:ilvl w:val="0"/>
          <w:numId w:val="1"/>
        </w:numPr>
        <w:rPr>
          <w:rFonts w:ascii="Segoe UI Symbol" w:cs="Segoe UI Symbol" w:eastAsia="Segoe UI Symbol" w:hAnsi="Segoe UI Symbol"/>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ind w:left="440" w:hanging="430"/>
        <w:spacing w:after="0" w:line="184" w:lineRule="auto"/>
        <w:tabs>
          <w:tab w:leader="none" w:pos="440" w:val="left"/>
        </w:tabs>
        <w:numPr>
          <w:ilvl w:val="0"/>
          <w:numId w:val="2"/>
        </w:numPr>
        <w:rPr>
          <w:rFonts w:ascii="Segoe UI Symbol" w:cs="Segoe UI Symbol" w:eastAsia="Segoe UI Symbol" w:hAnsi="Segoe UI Symbol"/>
          <w:sz w:val="26"/>
          <w:szCs w:val="26"/>
          <w:color w:val="auto"/>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001-36510</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p>
    <w:tbl>
      <w:tblPr>
        <w:tblLayout w:type="fixed"/>
        <w:tblInd w:w="1400" w:type="dxa"/>
        <w:tblCellMar>
          <w:top w:w="0" w:type="dxa"/>
          <w:left w:w="0" w:type="dxa"/>
          <w:bottom w:w="0" w:type="dxa"/>
          <w:right w:w="0" w:type="dxa"/>
        </w:tblCellMar>
      </w:tblPr>
      <w:tr>
        <w:trPr>
          <w:trHeight w:val="188"/>
        </w:trPr>
        <w:tc>
          <w:tcPr>
            <w:tcW w:w="4340" w:type="dxa"/>
            <w:vAlign w:val="bottom"/>
          </w:tcPr>
          <w:p>
            <w:pPr>
              <w:jc w:val="center"/>
              <w:ind w:right="17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98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84"/>
        </w:trPr>
        <w:tc>
          <w:tcPr>
            <w:tcW w:w="4340" w:type="dxa"/>
            <w:vAlign w:val="bottom"/>
          </w:tcPr>
          <w:p>
            <w:pPr>
              <w:jc w:val="center"/>
              <w:ind w:right="17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98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rPr>
              <w:t>(I.R.S. Employer</w:t>
            </w:r>
          </w:p>
        </w:tc>
      </w:tr>
      <w:tr>
        <w:trPr>
          <w:trHeight w:val="213"/>
        </w:trPr>
        <w:tc>
          <w:tcPr>
            <w:tcW w:w="4340" w:type="dxa"/>
            <w:vAlign w:val="bottom"/>
          </w:tcPr>
          <w:p>
            <w:pPr>
              <w:jc w:val="center"/>
              <w:ind w:right="17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98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266"/>
        </w:trPr>
        <w:tc>
          <w:tcPr>
            <w:tcW w:w="4340" w:type="dxa"/>
            <w:vAlign w:val="bottom"/>
          </w:tcPr>
          <w:p>
            <w:pPr>
              <w:jc w:val="center"/>
              <w:ind w:right="1720"/>
              <w:spacing w:after="0"/>
              <w:rPr>
                <w:sz w:val="20"/>
                <w:szCs w:val="20"/>
                <w:color w:val="auto"/>
              </w:rPr>
            </w:pPr>
            <w:r>
              <w:rPr>
                <w:rFonts w:ascii="Times New Roman" w:cs="Times New Roman" w:eastAsia="Times New Roman" w:hAnsi="Times New Roman"/>
                <w:sz w:val="16"/>
                <w:szCs w:val="16"/>
                <w:b w:val="1"/>
                <w:bCs w:val="1"/>
                <w:color w:val="auto"/>
                <w:w w:val="99"/>
              </w:rPr>
              <w:t>Three Bala Plaza East, Suite 506</w:t>
            </w:r>
          </w:p>
        </w:tc>
        <w:tc>
          <w:tcPr>
            <w:tcW w:w="2980" w:type="dxa"/>
            <w:vAlign w:val="bottom"/>
          </w:tcPr>
          <w:p>
            <w:pPr>
              <w:spacing w:after="0"/>
              <w:rPr>
                <w:sz w:val="23"/>
                <w:szCs w:val="23"/>
                <w:color w:val="auto"/>
              </w:rPr>
            </w:pPr>
          </w:p>
        </w:tc>
      </w:tr>
      <w:tr>
        <w:trPr>
          <w:trHeight w:val="188"/>
        </w:trPr>
        <w:tc>
          <w:tcPr>
            <w:tcW w:w="4340" w:type="dxa"/>
            <w:vAlign w:val="bottom"/>
          </w:tcPr>
          <w:p>
            <w:pPr>
              <w:jc w:val="center"/>
              <w:ind w:right="1720"/>
              <w:spacing w:after="0"/>
              <w:rPr>
                <w:sz w:val="20"/>
                <w:szCs w:val="20"/>
                <w:color w:val="auto"/>
              </w:rPr>
            </w:pPr>
            <w:r>
              <w:rPr>
                <w:rFonts w:ascii="Times New Roman" w:cs="Times New Roman" w:eastAsia="Times New Roman" w:hAnsi="Times New Roman"/>
                <w:sz w:val="16"/>
                <w:szCs w:val="16"/>
                <w:b w:val="1"/>
                <w:bCs w:val="1"/>
                <w:color w:val="auto"/>
                <w:w w:val="99"/>
              </w:rPr>
              <w:t>Bala Cynwyd, Pennsylvania</w:t>
            </w:r>
          </w:p>
        </w:tc>
        <w:tc>
          <w:tcPr>
            <w:tcW w:w="298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207"/>
        </w:trPr>
        <w:tc>
          <w:tcPr>
            <w:tcW w:w="4340" w:type="dxa"/>
            <w:vAlign w:val="bottom"/>
          </w:tcPr>
          <w:p>
            <w:pPr>
              <w:jc w:val="center"/>
              <w:ind w:right="172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2980" w:type="dxa"/>
            <w:vAlign w:val="bottom"/>
          </w:tcPr>
          <w:p>
            <w:pPr>
              <w:jc w:val="center"/>
              <w:ind w:left="1720"/>
              <w:spacing w:after="0"/>
              <w:rPr>
                <w:sz w:val="20"/>
                <w:szCs w:val="20"/>
                <w:color w:val="auto"/>
              </w:rPr>
            </w:pPr>
            <w:r>
              <w:rPr>
                <w:rFonts w:ascii="Times New Roman" w:cs="Times New Roman" w:eastAsia="Times New Roman" w:hAnsi="Times New Roman"/>
                <w:sz w:val="16"/>
                <w:szCs w:val="16"/>
                <w:color w:val="auto"/>
                <w:w w:val="98"/>
              </w:rPr>
              <w:t>(Zip Code)</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(844) 511-9056</w:t>
      </w: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42" w:lineRule="exact"/>
        <w:rPr>
          <w:sz w:val="24"/>
          <w:szCs w:val="24"/>
          <w:color w:val="auto"/>
        </w:rPr>
      </w:pPr>
    </w:p>
    <w:tbl>
      <w:tblPr>
        <w:tblLayout w:type="fixed"/>
        <w:tblInd w:w="10" w:type="dxa"/>
        <w:tblCellMar>
          <w:top w:w="0" w:type="dxa"/>
          <w:left w:w="0" w:type="dxa"/>
          <w:bottom w:w="0" w:type="dxa"/>
          <w:right w:w="0" w:type="dxa"/>
        </w:tblCellMar>
      </w:tblPr>
      <w:tr>
        <w:trPr>
          <w:trHeight w:val="199"/>
        </w:trPr>
        <w:tc>
          <w:tcPr>
            <w:tcW w:w="43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Trading Symbol(s)</w:t>
            </w:r>
          </w:p>
        </w:tc>
        <w:tc>
          <w:tcPr>
            <w:tcW w:w="4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79"/>
        </w:trPr>
        <w:tc>
          <w:tcPr>
            <w:tcW w:w="434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 par value $0.001 per share</w:t>
            </w:r>
          </w:p>
        </w:tc>
        <w:tc>
          <w:tcPr>
            <w:tcW w:w="216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w w:val="96"/>
              </w:rPr>
              <w:t>LRMR</w:t>
            </w:r>
          </w:p>
        </w:tc>
        <w:tc>
          <w:tcPr>
            <w:tcW w:w="430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The Nasdaq Global Market</w:t>
            </w:r>
          </w:p>
        </w:tc>
      </w:tr>
    </w:tbl>
    <w:p>
      <w:pPr>
        <w:spacing w:after="0" w:line="7" w:lineRule="exact"/>
        <w:rPr>
          <w:sz w:val="24"/>
          <w:szCs w:val="24"/>
          <w:color w:val="auto"/>
        </w:rPr>
      </w:pPr>
    </w:p>
    <w:p>
      <w:pPr>
        <w:ind w:right="2260"/>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Indicate by check mark if the registrant is not required to file reports pursuant to Section 13 or Section 15(d) of the Act.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w:t>
      </w:r>
    </w:p>
    <w:p>
      <w:pPr>
        <w:ind w:right="80"/>
        <w:spacing w:after="0" w:line="20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days.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24" w:lineRule="exact"/>
        <w:rPr>
          <w:sz w:val="24"/>
          <w:szCs w:val="24"/>
          <w:color w:val="auto"/>
        </w:rPr>
      </w:pPr>
    </w:p>
    <w:p>
      <w:pPr>
        <w:ind w:right="100"/>
        <w:spacing w:after="0" w:line="23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820"/>
              <w:spacing w:after="0"/>
              <w:rPr>
                <w:sz w:val="20"/>
                <w:szCs w:val="20"/>
                <w:color w:val="auto"/>
              </w:rPr>
            </w:pPr>
            <w:r>
              <w:rPr>
                <w:rFonts w:ascii="Segoe UI Symbol" w:cs="Segoe UI Symbol" w:eastAsia="Segoe UI Symbol" w:hAnsi="Segoe UI Symbol"/>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rPr>
                <w:sz w:val="20"/>
                <w:szCs w:val="20"/>
                <w:color w:val="auto"/>
              </w:rPr>
            </w:pPr>
            <w:r>
              <w:rPr>
                <w:rFonts w:ascii="Segoe UI Symbol" w:cs="Segoe UI Symbol" w:eastAsia="Segoe UI Symbol" w:hAnsi="Segoe UI Symbol"/>
                <w:sz w:val="16"/>
                <w:szCs w:val="16"/>
                <w:color w:val="auto"/>
                <w:w w:val="86"/>
              </w:rPr>
              <w:t>☐</w:t>
            </w:r>
          </w:p>
        </w:tc>
      </w:tr>
      <w:tr>
        <w:trPr>
          <w:trHeight w:val="21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820"/>
              <w:spacing w:after="0"/>
              <w:rPr>
                <w:sz w:val="20"/>
                <w:szCs w:val="20"/>
                <w:color w:val="auto"/>
              </w:rPr>
            </w:pPr>
            <w:r>
              <w:rPr>
                <w:rFonts w:ascii="Segoe UI Symbol" w:cs="Segoe UI Symbol" w:eastAsia="Segoe UI Symbol" w:hAnsi="Segoe UI Symbol"/>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rPr>
                <w:sz w:val="20"/>
                <w:szCs w:val="20"/>
                <w:color w:val="auto"/>
              </w:rPr>
            </w:pPr>
            <w:r>
              <w:rPr>
                <w:rFonts w:ascii="Segoe UI Symbol" w:cs="Segoe UI Symbol" w:eastAsia="Segoe UI Symbol" w:hAnsi="Segoe UI Symbol"/>
                <w:sz w:val="16"/>
                <w:szCs w:val="16"/>
                <w:color w:val="auto"/>
                <w:w w:val="86"/>
              </w:rPr>
              <w:t>☒</w:t>
            </w:r>
          </w:p>
        </w:tc>
      </w:tr>
      <w:tr>
        <w:trPr>
          <w:trHeight w:val="261"/>
        </w:trPr>
        <w:tc>
          <w:tcPr>
            <w:tcW w:w="22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rPr>
                <w:sz w:val="20"/>
                <w:szCs w:val="20"/>
                <w:color w:val="auto"/>
              </w:rPr>
            </w:pPr>
            <w:r>
              <w:rPr>
                <w:rFonts w:ascii="Segoe UI Symbol" w:cs="Segoe UI Symbol" w:eastAsia="Segoe UI Symbol" w:hAnsi="Segoe UI Symbol"/>
                <w:sz w:val="16"/>
                <w:szCs w:val="16"/>
                <w:color w:val="auto"/>
                <w:w w:val="86"/>
              </w:rPr>
              <w:t>☐</w:t>
            </w:r>
          </w:p>
        </w:tc>
      </w:tr>
    </w:tbl>
    <w:p>
      <w:pPr>
        <w:ind w:right="260"/>
        <w:spacing w:after="0" w:line="23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ind w:right="40"/>
        <w:spacing w:after="0" w:line="204"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spacing w:after="0"/>
        <w:rPr>
          <w:sz w:val="20"/>
          <w:szCs w:val="20"/>
          <w:color w:val="auto"/>
        </w:rPr>
      </w:pPr>
      <w:r>
        <w:rPr>
          <w:rFonts w:ascii="Segoe UI Symbol" w:cs="Segoe UI Symbol" w:eastAsia="Segoe UI Symbol" w:hAnsi="Segoe UI Symbol"/>
          <w:sz w:val="16"/>
          <w:szCs w:val="16"/>
          <w:color w:val="auto"/>
        </w:rPr>
        <w:t>☐</w:t>
      </w:r>
    </w:p>
    <w:p>
      <w:pPr>
        <w:spacing w:after="0" w:line="164"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spacing w:after="0" w:line="239"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42" w:lineRule="exact"/>
        <w:rPr>
          <w:sz w:val="24"/>
          <w:szCs w:val="24"/>
          <w:color w:val="auto"/>
        </w:rPr>
      </w:pPr>
    </w:p>
    <w:p>
      <w:pPr>
        <w:ind w:right="200"/>
        <w:spacing w:after="0" w:line="229" w:lineRule="auto"/>
        <w:rPr>
          <w:sz w:val="20"/>
          <w:szCs w:val="20"/>
          <w:color w:val="auto"/>
        </w:rPr>
      </w:pPr>
      <w:r>
        <w:rPr>
          <w:rFonts w:ascii="Times New Roman" w:cs="Times New Roman" w:eastAsia="Times New Roman" w:hAnsi="Times New Roman"/>
          <w:sz w:val="16"/>
          <w:szCs w:val="16"/>
          <w:color w:val="auto"/>
        </w:rPr>
        <w:t>On the last business day of the most recently completed second fiscal quarter, the aggregate market value (based on the closing sale price of its common stock on that date) of the registrant's Common stock held by non-affiliates of the registrant was $313,608,353.</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March 20, 2025, the registrant had 64,027,892 shares of Common Stock, $0.001 par value per share, outstanding.</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0" w:lineRule="exact"/>
        <w:rPr>
          <w:sz w:val="24"/>
          <w:szCs w:val="24"/>
          <w:color w:val="auto"/>
        </w:rPr>
      </w:pPr>
    </w:p>
    <w:p>
      <w:pPr>
        <w:ind w:right="100"/>
        <w:spacing w:after="0" w:line="277" w:lineRule="auto"/>
        <w:rPr>
          <w:sz w:val="20"/>
          <w:szCs w:val="20"/>
          <w:color w:val="auto"/>
        </w:rPr>
      </w:pPr>
      <w:r>
        <w:rPr>
          <w:rFonts w:ascii="Times New Roman" w:cs="Times New Roman" w:eastAsia="Times New Roman" w:hAnsi="Times New Roman"/>
          <w:sz w:val="16"/>
          <w:szCs w:val="16"/>
          <w:color w:val="auto"/>
        </w:rPr>
        <w:t>Part III of this Annual Report on Form 10-K incorporates certain information by reference from the registrant’s definitive proxy statement for the 2025 annual meeting of stockholders to be filed no later than 120 days after the end of the registrant’s fiscal year ended December 31, 2024.</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31115</wp:posOffset>
                </wp:positionV>
                <wp:extent cx="689483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2.45pt" to="541.45pt,2.4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18415</wp:posOffset>
                </wp:positionV>
                <wp:extent cx="689483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45pt" to="541.45pt,1.45pt" o:allowincell="f" strokecolor="#000000" strokeweight="0.5pt"/>
            </w:pict>
          </mc:Fallback>
        </mc:AlternateContent>
      </w:r>
    </w:p>
    <w:p>
      <w:pPr>
        <w:sectPr>
          <w:pgSz w:w="12960" w:h="17280" w:orient="portrait"/>
          <w:cols w:equalWidth="0" w:num="1">
            <w:col w:w="10800"/>
          </w:cols>
          <w:pgMar w:left="1080" w:top="1440" w:right="108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1340" w:type="dxa"/>
            <w:vAlign w:val="bottom"/>
          </w:tcPr>
          <w:p>
            <w:pPr>
              <w:spacing w:after="0"/>
              <w:rPr>
                <w:sz w:val="23"/>
                <w:szCs w:val="23"/>
                <w:color w:val="auto"/>
              </w:rPr>
            </w:pPr>
          </w:p>
        </w:tc>
        <w:tc>
          <w:tcPr>
            <w:tcW w:w="8560" w:type="dxa"/>
            <w:vAlign w:val="bottom"/>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900" w:type="dxa"/>
            <w:vAlign w:val="bottom"/>
          </w:tcPr>
          <w:p>
            <w:pPr>
              <w:spacing w:after="0"/>
              <w:rPr>
                <w:sz w:val="23"/>
                <w:szCs w:val="23"/>
                <w:color w:val="auto"/>
              </w:rPr>
            </w:pPr>
          </w:p>
        </w:tc>
      </w:tr>
      <w:tr>
        <w:trPr>
          <w:trHeight w:val="500"/>
        </w:trPr>
        <w:tc>
          <w:tcPr>
            <w:tcW w:w="1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Item No.</w:t>
            </w:r>
          </w:p>
        </w:tc>
        <w:tc>
          <w:tcPr>
            <w:tcW w:w="8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Page No.</w:t>
            </w:r>
          </w:p>
        </w:tc>
      </w:tr>
      <w:tr>
        <w:trPr>
          <w:trHeight w:val="231"/>
        </w:trPr>
        <w:tc>
          <w:tcPr>
            <w:tcW w:w="1340" w:type="dxa"/>
            <w:vAlign w:val="bottom"/>
          </w:tcPr>
          <w:p>
            <w:pPr>
              <w:spacing w:after="0"/>
              <w:rPr>
                <w:sz w:val="20"/>
                <w:szCs w:val="20"/>
                <w:color w:val="auto"/>
              </w:rPr>
            </w:pPr>
          </w:p>
        </w:tc>
        <w:tc>
          <w:tcPr>
            <w:tcW w:w="8560" w:type="dxa"/>
            <w:vAlign w:val="bottom"/>
          </w:tcPr>
          <w:p>
            <w:pPr>
              <w:jc w:val="center"/>
              <w:ind w:right="340"/>
              <w:spacing w:after="0"/>
              <w:rPr>
                <w:sz w:val="20"/>
                <w:szCs w:val="20"/>
                <w:color w:val="auto"/>
              </w:rPr>
            </w:pPr>
            <w:r>
              <w:rPr>
                <w:rFonts w:ascii="Times New Roman" w:cs="Times New Roman" w:eastAsia="Times New Roman" w:hAnsi="Times New Roman"/>
                <w:sz w:val="20"/>
                <w:szCs w:val="20"/>
                <w:b w:val="1"/>
                <w:bCs w:val="1"/>
                <w:color w:val="001482"/>
              </w:rPr>
              <w:t>PART I</w:t>
            </w:r>
          </w:p>
        </w:tc>
        <w:tc>
          <w:tcPr>
            <w:tcW w:w="900" w:type="dxa"/>
            <w:vAlign w:val="bottom"/>
          </w:tcPr>
          <w:p>
            <w:pPr>
              <w:spacing w:after="0"/>
              <w:rPr>
                <w:sz w:val="20"/>
                <w:szCs w:val="20"/>
                <w:color w:val="auto"/>
              </w:rPr>
            </w:pP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1.</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1A.</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1B.</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CYBERSECURITY</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2.</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PROPERTIES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3.</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66"/>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4.</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454"/>
        </w:trPr>
        <w:tc>
          <w:tcPr>
            <w:tcW w:w="1340" w:type="dxa"/>
            <w:vAlign w:val="bottom"/>
          </w:tcPr>
          <w:p>
            <w:pPr>
              <w:spacing w:after="0"/>
              <w:rPr>
                <w:sz w:val="24"/>
                <w:szCs w:val="24"/>
                <w:color w:val="auto"/>
              </w:rPr>
            </w:pPr>
          </w:p>
        </w:tc>
        <w:tc>
          <w:tcPr>
            <w:tcW w:w="8560" w:type="dxa"/>
            <w:vAlign w:val="bottom"/>
          </w:tcPr>
          <w:p>
            <w:pPr>
              <w:jc w:val="center"/>
              <w:ind w:right="340"/>
              <w:spacing w:after="0"/>
              <w:rPr>
                <w:sz w:val="20"/>
                <w:szCs w:val="20"/>
                <w:color w:val="auto"/>
              </w:rPr>
            </w:pPr>
            <w:r>
              <w:rPr>
                <w:rFonts w:ascii="Times New Roman" w:cs="Times New Roman" w:eastAsia="Times New Roman" w:hAnsi="Times New Roman"/>
                <w:sz w:val="20"/>
                <w:szCs w:val="20"/>
                <w:b w:val="1"/>
                <w:bCs w:val="1"/>
                <w:color w:val="001482"/>
              </w:rPr>
              <w:t>PART II</w:t>
            </w:r>
          </w:p>
        </w:tc>
        <w:tc>
          <w:tcPr>
            <w:tcW w:w="90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5.</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MARKET FOR REGISTRANT’S COMMON EQUITY, RELATED STOCKHOLDER MATTERS</w:t>
            </w:r>
          </w:p>
        </w:tc>
        <w:tc>
          <w:tcPr>
            <w:tcW w:w="900" w:type="dxa"/>
            <w:vAlign w:val="bottom"/>
          </w:tcPr>
          <w:p>
            <w:pPr>
              <w:spacing w:after="0"/>
              <w:rPr>
                <w:sz w:val="19"/>
                <w:szCs w:val="19"/>
                <w:color w:val="auto"/>
              </w:rPr>
            </w:pPr>
          </w:p>
        </w:tc>
      </w:tr>
      <w:tr>
        <w:trPr>
          <w:trHeight w:val="240"/>
        </w:trPr>
        <w:tc>
          <w:tcPr>
            <w:tcW w:w="134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AND ISSUER PURCHASES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6.</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[RESERVED]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7.</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MANAGEMENT’S DISCUSSION AND ANALYSIS OF FINANCIAL CONDITION AND RESULTS</w:t>
            </w:r>
          </w:p>
        </w:tc>
        <w:tc>
          <w:tcPr>
            <w:tcW w:w="900" w:type="dxa"/>
            <w:vAlign w:val="bottom"/>
          </w:tcPr>
          <w:p>
            <w:pPr>
              <w:spacing w:after="0"/>
              <w:rPr>
                <w:sz w:val="19"/>
                <w:szCs w:val="19"/>
                <w:color w:val="auto"/>
              </w:rPr>
            </w:pPr>
          </w:p>
        </w:tc>
      </w:tr>
      <w:tr>
        <w:trPr>
          <w:trHeight w:val="240"/>
        </w:trPr>
        <w:tc>
          <w:tcPr>
            <w:tcW w:w="134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7A.</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8.</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9.</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CHANGES IN AND DISAGREEMENTS WITH ACCOUNTANTS ON ACCOUNTING AND</w:t>
            </w:r>
          </w:p>
        </w:tc>
        <w:tc>
          <w:tcPr>
            <w:tcW w:w="900" w:type="dxa"/>
            <w:vAlign w:val="bottom"/>
          </w:tcPr>
          <w:p>
            <w:pPr>
              <w:spacing w:after="0"/>
              <w:rPr>
                <w:sz w:val="19"/>
                <w:szCs w:val="19"/>
                <w:color w:val="auto"/>
              </w:rPr>
            </w:pPr>
          </w:p>
        </w:tc>
      </w:tr>
      <w:tr>
        <w:trPr>
          <w:trHeight w:val="240"/>
        </w:trPr>
        <w:tc>
          <w:tcPr>
            <w:tcW w:w="134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9A.</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9B.</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66"/>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454"/>
        </w:trPr>
        <w:tc>
          <w:tcPr>
            <w:tcW w:w="1340" w:type="dxa"/>
            <w:vAlign w:val="bottom"/>
          </w:tcPr>
          <w:p>
            <w:pPr>
              <w:spacing w:after="0"/>
              <w:rPr>
                <w:sz w:val="24"/>
                <w:szCs w:val="24"/>
                <w:color w:val="auto"/>
              </w:rPr>
            </w:pPr>
          </w:p>
        </w:tc>
        <w:tc>
          <w:tcPr>
            <w:tcW w:w="8560" w:type="dxa"/>
            <w:vAlign w:val="bottom"/>
          </w:tcPr>
          <w:p>
            <w:pPr>
              <w:jc w:val="center"/>
              <w:ind w:right="340"/>
              <w:spacing w:after="0"/>
              <w:rPr>
                <w:sz w:val="20"/>
                <w:szCs w:val="20"/>
                <w:color w:val="auto"/>
              </w:rPr>
            </w:pPr>
            <w:r>
              <w:rPr>
                <w:rFonts w:ascii="Times New Roman" w:cs="Times New Roman" w:eastAsia="Times New Roman" w:hAnsi="Times New Roman"/>
                <w:sz w:val="20"/>
                <w:szCs w:val="20"/>
                <w:b w:val="1"/>
                <w:bCs w:val="1"/>
                <w:color w:val="001482"/>
              </w:rPr>
              <w:t>PART III</w:t>
            </w:r>
          </w:p>
        </w:tc>
        <w:tc>
          <w:tcPr>
            <w:tcW w:w="900" w:type="dxa"/>
            <w:vAlign w:val="bottom"/>
          </w:tcPr>
          <w:p>
            <w:pPr>
              <w:spacing w:after="0"/>
              <w:rPr>
                <w:sz w:val="24"/>
                <w:szCs w:val="24"/>
                <w:color w:val="auto"/>
              </w:rPr>
            </w:pP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10.</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DIRECTORS, EXECUTIVE OFFICERS AND CORPORATE GOVERNANCE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11.</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12.</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SECURITY OWNERSHIP OF CERTAIN BENEFICIAL OWNERS AND MANAGEMENT AND</w:t>
            </w:r>
          </w:p>
        </w:tc>
        <w:tc>
          <w:tcPr>
            <w:tcW w:w="900" w:type="dxa"/>
            <w:vAlign w:val="bottom"/>
          </w:tcPr>
          <w:p>
            <w:pPr>
              <w:spacing w:after="0"/>
              <w:rPr>
                <w:sz w:val="19"/>
                <w:szCs w:val="19"/>
                <w:color w:val="auto"/>
              </w:rPr>
            </w:pPr>
          </w:p>
        </w:tc>
      </w:tr>
      <w:tr>
        <w:trPr>
          <w:trHeight w:val="240"/>
        </w:trPr>
        <w:tc>
          <w:tcPr>
            <w:tcW w:w="134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13.</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CERTAIN RELATIONSHIPS AND RELATED TRANSACTIONS, AND DIRECTOR</w:t>
            </w:r>
          </w:p>
        </w:tc>
        <w:tc>
          <w:tcPr>
            <w:tcW w:w="900" w:type="dxa"/>
            <w:vAlign w:val="bottom"/>
          </w:tcPr>
          <w:p>
            <w:pPr>
              <w:spacing w:after="0"/>
              <w:rPr>
                <w:sz w:val="19"/>
                <w:szCs w:val="19"/>
                <w:color w:val="auto"/>
              </w:rPr>
            </w:pPr>
          </w:p>
        </w:tc>
      </w:tr>
      <w:tr>
        <w:trPr>
          <w:trHeight w:val="240"/>
        </w:trPr>
        <w:tc>
          <w:tcPr>
            <w:tcW w:w="134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INDEPENDENCE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66"/>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14.</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PRINCIPAL ACCOUNTING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454"/>
        </w:trPr>
        <w:tc>
          <w:tcPr>
            <w:tcW w:w="1340" w:type="dxa"/>
            <w:vAlign w:val="bottom"/>
          </w:tcPr>
          <w:p>
            <w:pPr>
              <w:spacing w:after="0"/>
              <w:rPr>
                <w:sz w:val="24"/>
                <w:szCs w:val="24"/>
                <w:color w:val="auto"/>
              </w:rPr>
            </w:pPr>
          </w:p>
        </w:tc>
        <w:tc>
          <w:tcPr>
            <w:tcW w:w="8560" w:type="dxa"/>
            <w:vAlign w:val="bottom"/>
          </w:tcPr>
          <w:p>
            <w:pPr>
              <w:jc w:val="center"/>
              <w:ind w:right="340"/>
              <w:spacing w:after="0"/>
              <w:rPr>
                <w:sz w:val="20"/>
                <w:szCs w:val="20"/>
                <w:color w:val="auto"/>
              </w:rPr>
            </w:pPr>
            <w:r>
              <w:rPr>
                <w:rFonts w:ascii="Times New Roman" w:cs="Times New Roman" w:eastAsia="Times New Roman" w:hAnsi="Times New Roman"/>
                <w:sz w:val="20"/>
                <w:szCs w:val="20"/>
                <w:b w:val="1"/>
                <w:bCs w:val="1"/>
                <w:color w:val="001482"/>
                <w:w w:val="97"/>
              </w:rPr>
              <w:t>PART IV</w:t>
            </w:r>
          </w:p>
        </w:tc>
        <w:tc>
          <w:tcPr>
            <w:tcW w:w="900" w:type="dxa"/>
            <w:vAlign w:val="bottom"/>
          </w:tcPr>
          <w:p>
            <w:pPr>
              <w:spacing w:after="0"/>
              <w:rPr>
                <w:sz w:val="24"/>
                <w:szCs w:val="24"/>
                <w:color w:val="auto"/>
              </w:rPr>
            </w:pP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ITEM 15.</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001482"/>
              </w:rPr>
              <w:t>EXHIBIT AND FINANCIAL STATEMENT SCHEDULES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66"/>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44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001482"/>
              </w:rPr>
              <w:t>SIGNATURES</w:t>
            </w:r>
          </w:p>
        </w:tc>
        <w:tc>
          <w:tcPr>
            <w:tcW w:w="8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66"/>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 </w:t>
            </w:r>
          </w:p>
        </w:tc>
        <w:tc>
          <w:tcPr>
            <w:tcW w:w="856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ectPr>
          <w:pgSz w:w="12960" w:h="17280" w:orient="portrait"/>
          <w:cols w:equalWidth="0" w:num="1">
            <w:col w:w="10800"/>
          </w:cols>
          <w:pgMar w:left="1080" w:top="1416" w:right="108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4" w:lineRule="exact"/>
        <w:rPr>
          <w:sz w:val="20"/>
          <w:szCs w:val="20"/>
          <w:color w:val="auto"/>
        </w:rPr>
      </w:pPr>
    </w:p>
    <w:p>
      <w:pPr>
        <w:ind w:left="360" w:right="400" w:firstLine="490"/>
        <w:spacing w:after="0" w:line="243" w:lineRule="auto"/>
        <w:rPr>
          <w:sz w:val="20"/>
          <w:szCs w:val="20"/>
          <w:color w:val="auto"/>
        </w:rPr>
      </w:pPr>
      <w:r>
        <w:rPr>
          <w:rFonts w:ascii="Times New Roman" w:cs="Times New Roman" w:eastAsia="Times New Roman" w:hAnsi="Times New Roman"/>
          <w:sz w:val="20"/>
          <w:szCs w:val="20"/>
          <w:color w:val="auto"/>
        </w:rPr>
        <w:t>Statements made in this Annual Report on Form 10-K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spacing w:after="0" w:line="86" w:lineRule="exact"/>
        <w:rPr>
          <w:sz w:val="20"/>
          <w:szCs w:val="20"/>
          <w:color w:val="auto"/>
        </w:rPr>
      </w:pPr>
    </w:p>
    <w:p>
      <w:pPr>
        <w:ind w:left="360" w:right="740" w:firstLine="490"/>
        <w:spacing w:after="0" w:line="258" w:lineRule="auto"/>
        <w:rPr>
          <w:sz w:val="20"/>
          <w:szCs w:val="20"/>
          <w:color w:val="auto"/>
        </w:rPr>
      </w:pPr>
      <w:r>
        <w:rPr>
          <w:rFonts w:ascii="Times New Roman" w:cs="Times New Roman" w:eastAsia="Times New Roman" w:hAnsi="Times New Roman"/>
          <w:sz w:val="20"/>
          <w:szCs w:val="20"/>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83" w:lineRule="exact"/>
        <w:rPr>
          <w:sz w:val="20"/>
          <w:szCs w:val="20"/>
          <w:color w:val="auto"/>
        </w:rPr>
      </w:pPr>
    </w:p>
    <w:p>
      <w:pPr>
        <w:ind w:left="1080" w:right="50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uncertainties in obtaining successful non-clinical or clinical results that reliably and meaningfully demonstrate safety, tolerability and efficacy profiles that are satisfactory to the FDA, European Medicines Agency ("EMA") and/or other comparable regulatory authorities for marketing approval for nomlabofusp (nomlabofusp is the International Nonproprietary Name and the United States Adopted Name for CTI-1601) or any other product candidates that we may develop in the future and unexpected costs that may result therefrom;</w:t>
      </w:r>
    </w:p>
    <w:p>
      <w:pPr>
        <w:spacing w:after="0" w:line="93" w:lineRule="exact"/>
        <w:rPr>
          <w:rFonts w:ascii="Arial" w:cs="Arial" w:eastAsia="Arial" w:hAnsi="Arial"/>
          <w:sz w:val="20"/>
          <w:szCs w:val="20"/>
          <w:color w:val="auto"/>
        </w:rPr>
      </w:pPr>
    </w:p>
    <w:p>
      <w:pPr>
        <w:ind w:left="1080" w:right="420" w:hanging="360"/>
        <w:spacing w:after="0" w:line="265" w:lineRule="auto"/>
        <w:tabs>
          <w:tab w:leader="none" w:pos="108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delays in patient recruitment for our clinical trials (including as a result of the impact of FDA approval of competitive products for the treatment of Friedreich's ataxia ("FA"), and/or the impact of other clinical trials of competitive products), delays as a result of clinical and non-clinical results and/or FDA's request for additional information or studies (whether clinical or non-clinical), changes in clinical protocols, adverse events, regulatory restrictions, including additional clinical holds, and milestones for nomlabofusp;</w:t>
      </w:r>
    </w:p>
    <w:p>
      <w:pPr>
        <w:spacing w:after="0" w:line="77" w:lineRule="exact"/>
        <w:rPr>
          <w:rFonts w:ascii="Arial" w:cs="Arial" w:eastAsia="Arial" w:hAnsi="Arial"/>
          <w:sz w:val="19"/>
          <w:szCs w:val="19"/>
          <w:color w:val="auto"/>
        </w:rPr>
      </w:pPr>
    </w:p>
    <w:p>
      <w:pPr>
        <w:ind w:left="1080" w:right="720" w:hanging="360"/>
        <w:spacing w:after="0" w:line="276"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execute our ongoing open label extension trial (“OLE”) and our pediatric PK run-in trial, including the timing of site initiations and the rate of patient enrollment;</w:t>
      </w:r>
    </w:p>
    <w:p>
      <w:pPr>
        <w:spacing w:after="0" w:line="64" w:lineRule="exact"/>
        <w:rPr>
          <w:rFonts w:ascii="Arial" w:cs="Arial" w:eastAsia="Arial" w:hAnsi="Arial"/>
          <w:sz w:val="20"/>
          <w:szCs w:val="20"/>
          <w:color w:val="auto"/>
        </w:rPr>
      </w:pPr>
    </w:p>
    <w:p>
      <w:pPr>
        <w:ind w:left="1080" w:right="580" w:hanging="360"/>
        <w:spacing w:after="0" w:line="276"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benefit from participating in the FDA’s Support for Clinical Trials Advancing Rare Disease Therapeutics (“START”) pilot program for the development of nomlabofusp;</w:t>
      </w:r>
    </w:p>
    <w:p>
      <w:pPr>
        <w:spacing w:after="0" w:line="64" w:lineRule="exact"/>
        <w:rPr>
          <w:rFonts w:ascii="Arial" w:cs="Arial" w:eastAsia="Arial" w:hAnsi="Arial"/>
          <w:sz w:val="20"/>
          <w:szCs w:val="20"/>
          <w:color w:val="auto"/>
        </w:rPr>
      </w:pPr>
    </w:p>
    <w:p>
      <w:pPr>
        <w:ind w:left="1080" w:right="380" w:hanging="360"/>
        <w:spacing w:after="0" w:line="249"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uncertainties associated with the clinical development and regulatory approval for nomlabofusp, including potential delays in the commencement, enrollment and completion of clinical trials, the timing of a potential Biologics License Application (“BLA”) submission for accelerated approval, including our ability to supply to the FDA all required data for the FDA to review and accept an accelerated application, or any other product candidates that we may develop in the future;</w:t>
      </w:r>
    </w:p>
    <w:p>
      <w:pPr>
        <w:spacing w:after="0" w:line="90" w:lineRule="exact"/>
        <w:rPr>
          <w:rFonts w:ascii="Arial" w:cs="Arial" w:eastAsia="Arial" w:hAnsi="Arial"/>
          <w:sz w:val="20"/>
          <w:szCs w:val="20"/>
          <w:color w:val="auto"/>
        </w:rPr>
      </w:pPr>
    </w:p>
    <w:p>
      <w:pPr>
        <w:ind w:left="1080" w:right="500" w:hanging="360"/>
        <w:spacing w:after="0" w:line="258"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difficulties and expenses associated with obtaining and maintaining regulatory approval for nomlabofusp or any other product candidate we may develop in the future, and the indication and labeling under any such approval;</w:t>
      </w:r>
    </w:p>
    <w:p>
      <w:pPr>
        <w:spacing w:after="0" w:line="81" w:lineRule="exact"/>
        <w:rPr>
          <w:rFonts w:ascii="Arial" w:cs="Arial" w:eastAsia="Arial" w:hAnsi="Arial"/>
          <w:sz w:val="20"/>
          <w:szCs w:val="20"/>
          <w:color w:val="auto"/>
        </w:rPr>
      </w:pPr>
    </w:p>
    <w:p>
      <w:pPr>
        <w:ind w:left="1080" w:right="580" w:hanging="360"/>
        <w:spacing w:after="0" w:line="258"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81" w:lineRule="exact"/>
        <w:rPr>
          <w:rFonts w:ascii="Arial" w:cs="Arial" w:eastAsia="Arial" w:hAnsi="Arial"/>
          <w:sz w:val="20"/>
          <w:szCs w:val="20"/>
          <w:color w:val="auto"/>
        </w:rPr>
      </w:pPr>
    </w:p>
    <w:p>
      <w:pPr>
        <w:ind w:left="1080" w:hanging="360"/>
        <w:spacing w:after="0"/>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regarding the use of proceeds from future financings, if any;</w:t>
      </w:r>
    </w:p>
    <w:p>
      <w:pPr>
        <w:spacing w:after="0" w:line="133" w:lineRule="exact"/>
        <w:rPr>
          <w:rFonts w:ascii="Arial" w:cs="Arial" w:eastAsia="Arial" w:hAnsi="Arial"/>
          <w:sz w:val="20"/>
          <w:szCs w:val="20"/>
          <w:color w:val="auto"/>
        </w:rPr>
      </w:pPr>
    </w:p>
    <w:p>
      <w:pPr>
        <w:ind w:left="1080" w:right="520" w:hanging="360"/>
        <w:spacing w:after="0" w:line="249"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and the ability of third-party manufacturers we engage, to optimize, scale and validate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960" w:h="17280" w:orient="portrait"/>
          <w:cols w:equalWidth="0" w:num="1">
            <w:col w:w="10080"/>
          </w:cols>
          <w:pgMar w:left="1440" w:top="1440" w:right="1440" w:bottom="895"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080" w:right="520" w:hanging="360"/>
        <w:spacing w:after="0" w:line="258"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w:t>
      </w:r>
    </w:p>
    <w:p>
      <w:pPr>
        <w:spacing w:after="0" w:line="81" w:lineRule="exact"/>
        <w:rPr>
          <w:rFonts w:ascii="Arial" w:cs="Arial" w:eastAsia="Arial" w:hAnsi="Arial"/>
          <w:sz w:val="20"/>
          <w:szCs w:val="20"/>
          <w:color w:val="auto"/>
        </w:rPr>
      </w:pPr>
    </w:p>
    <w:p>
      <w:pPr>
        <w:ind w:left="1080" w:right="1160" w:hanging="360"/>
        <w:spacing w:after="0" w:line="276"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comply with regulatory requirements applicable to our business and other regulatory developments in the United States and other countries;</w:t>
      </w:r>
    </w:p>
    <w:p>
      <w:pPr>
        <w:spacing w:after="0" w:line="64" w:lineRule="exact"/>
        <w:rPr>
          <w:rFonts w:ascii="Arial" w:cs="Arial" w:eastAsia="Arial" w:hAnsi="Arial"/>
          <w:sz w:val="20"/>
          <w:szCs w:val="20"/>
          <w:color w:val="auto"/>
        </w:rPr>
      </w:pPr>
    </w:p>
    <w:p>
      <w:pPr>
        <w:jc w:val="both"/>
        <w:ind w:left="1080" w:right="520" w:hanging="360"/>
        <w:spacing w:after="0" w:line="258"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size and growth of the potential markets for nomlabofusp or any other product candidates that we may develop in the future, the rate and degree of market acceptance of nomlabofusp, if approved, or any other product candidate, that we may develop in the future and our ability to serve those markets;</w:t>
      </w:r>
    </w:p>
    <w:p>
      <w:pPr>
        <w:spacing w:after="0" w:line="81" w:lineRule="exact"/>
        <w:rPr>
          <w:rFonts w:ascii="Arial" w:cs="Arial" w:eastAsia="Arial" w:hAnsi="Arial"/>
          <w:sz w:val="20"/>
          <w:szCs w:val="20"/>
          <w:color w:val="auto"/>
        </w:rPr>
      </w:pPr>
    </w:p>
    <w:p>
      <w:pPr>
        <w:ind w:left="1080" w:right="640" w:hanging="360"/>
        <w:spacing w:after="0" w:line="249"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given both approved and competing therapies and products for the treatment of FA, our ability to obtain and maintain designations or eligibility for expedited regulatory programs, and to commercialize current and future product candidates, if approved, (including the impact of potential barriers to entry if competitors are able to establish a strong market position before we are able to commercialize our products);</w:t>
      </w:r>
    </w:p>
    <w:p>
      <w:pPr>
        <w:spacing w:after="0" w:line="90" w:lineRule="exact"/>
        <w:rPr>
          <w:rFonts w:ascii="Arial" w:cs="Arial" w:eastAsia="Arial" w:hAnsi="Arial"/>
          <w:sz w:val="20"/>
          <w:szCs w:val="20"/>
          <w:color w:val="auto"/>
        </w:rPr>
      </w:pPr>
    </w:p>
    <w:p>
      <w:pPr>
        <w:ind w:left="1080" w:right="460" w:hanging="360"/>
        <w:spacing w:after="0" w:line="276"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patent protection and defend our intellectual property rights against third parties;</w:t>
      </w:r>
    </w:p>
    <w:p>
      <w:pPr>
        <w:spacing w:after="0" w:line="64" w:lineRule="exact"/>
        <w:rPr>
          <w:rFonts w:ascii="Arial" w:cs="Arial" w:eastAsia="Arial" w:hAnsi="Arial"/>
          <w:sz w:val="20"/>
          <w:szCs w:val="20"/>
          <w:color w:val="auto"/>
        </w:rPr>
      </w:pPr>
    </w:p>
    <w:p>
      <w:pPr>
        <w:ind w:left="1080" w:right="660" w:hanging="360"/>
        <w:spacing w:after="0" w:line="258"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performance and compliance with the rules and regulations of the FDA (and all other regulatory authorities) of third parties upon which we depend, including third-party contract research organizations ("CROs"), consultants and third-party suppliers, manufacturers, distributors, and logistics providers;</w:t>
      </w:r>
    </w:p>
    <w:p>
      <w:pPr>
        <w:spacing w:after="0" w:line="81" w:lineRule="exact"/>
        <w:rPr>
          <w:rFonts w:ascii="Arial" w:cs="Arial" w:eastAsia="Arial" w:hAnsi="Arial"/>
          <w:sz w:val="20"/>
          <w:szCs w:val="20"/>
          <w:color w:val="auto"/>
        </w:rPr>
      </w:pPr>
    </w:p>
    <w:p>
      <w:pPr>
        <w:ind w:left="1080" w:right="720" w:hanging="360"/>
        <w:spacing w:after="0" w:line="276"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recruit and retain key scientific, technical, commercial, and management personnel and to retain our executive officers;</w:t>
      </w:r>
    </w:p>
    <w:p>
      <w:pPr>
        <w:spacing w:after="0" w:line="64" w:lineRule="exact"/>
        <w:rPr>
          <w:rFonts w:ascii="Arial" w:cs="Arial" w:eastAsia="Arial" w:hAnsi="Arial"/>
          <w:sz w:val="20"/>
          <w:szCs w:val="20"/>
          <w:color w:val="auto"/>
        </w:rPr>
      </w:pPr>
    </w:p>
    <w:p>
      <w:pPr>
        <w:ind w:left="1080" w:right="540" w:hanging="360"/>
        <w:spacing w:after="0" w:line="258"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81" w:lineRule="exact"/>
        <w:rPr>
          <w:rFonts w:ascii="Arial" w:cs="Arial" w:eastAsia="Arial" w:hAnsi="Arial"/>
          <w:sz w:val="20"/>
          <w:szCs w:val="20"/>
          <w:color w:val="auto"/>
        </w:rPr>
      </w:pPr>
    </w:p>
    <w:p>
      <w:pPr>
        <w:ind w:left="1080" w:right="420" w:hanging="360"/>
        <w:spacing w:after="0" w:line="246"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geopolitical tensions including regional conflicts around the world, adverse macroeconomic events, including those due to inflationary pressures, rising interest rates, banking instability, monetary policy changes, changes in trade policies, including tariffs (including tariffs that have been or may in the future be imposed by the U.S. or other countries),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w:t>
      </w:r>
    </w:p>
    <w:p>
      <w:pPr>
        <w:spacing w:after="0" w:line="93" w:lineRule="exact"/>
        <w:rPr>
          <w:rFonts w:ascii="Arial" w:cs="Arial" w:eastAsia="Arial" w:hAnsi="Arial"/>
          <w:sz w:val="20"/>
          <w:szCs w:val="20"/>
          <w:color w:val="auto"/>
        </w:rPr>
      </w:pPr>
    </w:p>
    <w:p>
      <w:pPr>
        <w:ind w:left="1080" w:right="820" w:hanging="360"/>
        <w:spacing w:after="0" w:line="252"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impact of regulatory developments in the U.S., including regulatory developments due to changes in the U.S. presidential administration healthcare reform in the United States, including the Inflation Reduction Act of 2022 ("IRA"), and measures being taken worldwide designed to reduce healthcare costs and limit the overall level of government expenditures; and</w:t>
      </w:r>
    </w:p>
    <w:p>
      <w:pPr>
        <w:spacing w:after="0" w:line="87" w:lineRule="exact"/>
        <w:rPr>
          <w:rFonts w:ascii="Arial" w:cs="Arial" w:eastAsia="Arial" w:hAnsi="Arial"/>
          <w:sz w:val="20"/>
          <w:szCs w:val="20"/>
          <w:color w:val="auto"/>
        </w:rPr>
      </w:pPr>
    </w:p>
    <w:p>
      <w:pPr>
        <w:ind w:left="1080" w:hanging="360"/>
        <w:spacing w:after="0"/>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other risks and uncertainties included under the section titled “Risk Factors.”</w:t>
      </w:r>
    </w:p>
    <w:p>
      <w:pPr>
        <w:spacing w:after="0" w:line="119"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Except as required by law, we undertake no obligation to publicly update any forward-looking statements, whether as a result of new information, future events or otherwise after the date of this Annual Report on Form 10-K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960" w:h="17280" w:orient="portrait"/>
          <w:cols w:equalWidth="0" w:num="1">
            <w:col w:w="10080"/>
          </w:cols>
          <w:pgMar w:left="1440" w:top="1440" w:right="1440" w:bottom="895"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40" w:lineRule="exact"/>
        <w:rPr>
          <w:sz w:val="20"/>
          <w:szCs w:val="20"/>
          <w:color w:val="auto"/>
        </w:rPr>
      </w:pPr>
    </w:p>
    <w:p>
      <w:pPr>
        <w:ind w:left="360" w:right="420" w:firstLine="490"/>
        <w:spacing w:after="0" w:line="249" w:lineRule="auto"/>
        <w:rPr>
          <w:sz w:val="20"/>
          <w:szCs w:val="20"/>
          <w:color w:val="auto"/>
        </w:rPr>
      </w:pPr>
      <w:r>
        <w:rPr>
          <w:rFonts w:ascii="Times New Roman" w:cs="Times New Roman" w:eastAsia="Times New Roman" w:hAnsi="Times New Roman"/>
          <w:sz w:val="20"/>
          <w:szCs w:val="20"/>
          <w:b w:val="1"/>
          <w:bCs w:val="1"/>
          <w:color w:val="auto"/>
        </w:rPr>
        <w:t>The risk factors summarized and detailed below could materially harm our business, operating results and/or financial condition, and may impair our future prospects and/or cause the price of our common stock to decline. These are not all of the risks we face, and other factors not presently known to us or that we currently believe are immaterial may also affect our business if they occur. Material risks that may affect our business, operating results and financial condition include, but are not necessarily limited to, those relating to:</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Capital</w:t>
      </w:r>
    </w:p>
    <w:p>
      <w:pPr>
        <w:spacing w:after="0" w:line="138" w:lineRule="exact"/>
        <w:rPr>
          <w:sz w:val="20"/>
          <w:szCs w:val="20"/>
          <w:color w:val="auto"/>
        </w:rPr>
      </w:pPr>
    </w:p>
    <w:p>
      <w:pPr>
        <w:ind w:left="1080" w:right="600" w:hanging="360"/>
        <w:spacing w:after="0" w:line="276" w:lineRule="auto"/>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have incurred significant losses since our inception and anticipate that we will incur continued losses for the foreseeable future.</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have no commercial revenue and may never become profitable.</w:t>
      </w:r>
    </w:p>
    <w:p>
      <w:pPr>
        <w:spacing w:after="0" w:line="133" w:lineRule="exact"/>
        <w:rPr>
          <w:rFonts w:ascii="Arial" w:cs="Arial" w:eastAsia="Arial" w:hAnsi="Arial"/>
          <w:sz w:val="20"/>
          <w:szCs w:val="20"/>
          <w:color w:val="auto"/>
        </w:rPr>
      </w:pPr>
    </w:p>
    <w:p>
      <w:pPr>
        <w:ind w:left="1080" w:right="420" w:hanging="360"/>
        <w:spacing w:after="0" w:line="249" w:lineRule="auto"/>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As of December 31, 2024, we have $183.5 million of cash, cash equivalents and marketable securities which we expect will fund operations into the second quarter of 2026. We may need to raise additional funding to complete the development and commercialization of nomlabofusp. This funding may not be available on acceptable terms, or at all. Failure to obtain this necessary capital when needed would force us to delay, limit or terminate our product development efforts or other operations.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Product Development and Regulatory Approvals</w:t>
      </w:r>
    </w:p>
    <w:p>
      <w:pPr>
        <w:spacing w:after="0" w:line="138" w:lineRule="exact"/>
        <w:rPr>
          <w:sz w:val="20"/>
          <w:szCs w:val="20"/>
          <w:color w:val="auto"/>
        </w:rPr>
      </w:pPr>
    </w:p>
    <w:p>
      <w:pPr>
        <w:ind w:left="1080" w:right="380" w:hanging="360"/>
        <w:spacing w:after="0" w:line="258"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success is currently dependent upon the success of our lead product candidate, nomlabofusp. We cannot be certain that we will ultimately be successful with our clinical development or that we will ever be able to obtain regulatory approval for nomlabofusp.</w:t>
      </w:r>
    </w:p>
    <w:p>
      <w:pPr>
        <w:spacing w:after="0" w:line="81" w:lineRule="exact"/>
        <w:rPr>
          <w:rFonts w:ascii="Arial" w:cs="Arial" w:eastAsia="Arial" w:hAnsi="Arial"/>
          <w:sz w:val="20"/>
          <w:szCs w:val="20"/>
          <w:color w:val="auto"/>
        </w:rPr>
      </w:pPr>
    </w:p>
    <w:p>
      <w:pPr>
        <w:ind w:left="1080" w:right="680" w:hanging="360"/>
        <w:spacing w:after="0" w:line="276"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Failures or delays in the completion of our clinical trials could result in increased costs and could delay, prevent or limit our ability to generate revenue and continue our business.</w:t>
      </w:r>
    </w:p>
    <w:p>
      <w:pPr>
        <w:spacing w:after="0" w:line="64" w:lineRule="exact"/>
        <w:rPr>
          <w:rFonts w:ascii="Arial" w:cs="Arial" w:eastAsia="Arial" w:hAnsi="Arial"/>
          <w:sz w:val="20"/>
          <w:szCs w:val="20"/>
          <w:color w:val="auto"/>
        </w:rPr>
      </w:pPr>
    </w:p>
    <w:p>
      <w:pPr>
        <w:ind w:left="1080" w:right="480" w:hanging="360"/>
        <w:spacing w:after="0" w:line="247"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difficulties identifying and enrolling patients in our clinical trials given the limited number of patients who have the disease for which nomlabofusp is being studied or for any other product candidates we may study in the future. Difficulty in enrolling patients could delay or prevent clinical trials of nomlabofusp or any future product candidate. There is also a competing approved FA therapeutic, other competing studies and potentially other FA therapeutics that could be approved that may also limit the availability of prospective participants in nomlabofusp clinical trials.</w:t>
      </w:r>
    </w:p>
    <w:p>
      <w:pPr>
        <w:spacing w:after="0" w:line="93" w:lineRule="exact"/>
        <w:rPr>
          <w:rFonts w:ascii="Arial" w:cs="Arial" w:eastAsia="Arial" w:hAnsi="Arial"/>
          <w:sz w:val="20"/>
          <w:szCs w:val="20"/>
          <w:color w:val="auto"/>
        </w:rPr>
      </w:pPr>
    </w:p>
    <w:p>
      <w:pPr>
        <w:ind w:left="1080" w:right="1000" w:hanging="360"/>
        <w:spacing w:after="0" w:line="252"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Nomlabofusp, including the effects of long-term daily patient dosing may cause adverse events or undesirable side effects in clinical trials that could delay or prevent its regulatory approval, limit the commercial profile of approved labeling, or result in significant negative consequences following regulatory approval, if any.</w:t>
      </w:r>
    </w:p>
    <w:p>
      <w:pPr>
        <w:spacing w:after="0" w:line="87" w:lineRule="exact"/>
        <w:rPr>
          <w:rFonts w:ascii="Arial" w:cs="Arial" w:eastAsia="Arial" w:hAnsi="Arial"/>
          <w:sz w:val="20"/>
          <w:szCs w:val="20"/>
          <w:color w:val="auto"/>
        </w:rPr>
      </w:pPr>
    </w:p>
    <w:p>
      <w:pPr>
        <w:ind w:left="1080" w:right="500" w:hanging="360"/>
        <w:spacing w:after="0" w:line="247"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intend to pursue accelerated approval from the FDA for nomlabofusp for the treatment of Friedreich’s ataxia, however this may not lead to a faster development or regulatory review or approval process and does not increase the likelihood that we will receive marketing approval. If we are unable to obtain approval under an accelerated pathway, we may be required to conduct additional clinical trials beyond those that we contemplate, which could increase the expense of obtaining, reduce the likelihood of obtaining, and/or delay the timing of obtaining necessary marketing approvals.</w:t>
      </w:r>
    </w:p>
    <w:p>
      <w:pPr>
        <w:spacing w:after="0" w:line="93" w:lineRule="exact"/>
        <w:rPr>
          <w:rFonts w:ascii="Arial" w:cs="Arial" w:eastAsia="Arial" w:hAnsi="Arial"/>
          <w:sz w:val="20"/>
          <w:szCs w:val="20"/>
          <w:color w:val="auto"/>
        </w:rPr>
      </w:pPr>
    </w:p>
    <w:p>
      <w:pPr>
        <w:ind w:left="1080" w:right="560" w:hanging="360"/>
        <w:spacing w:after="0" w:line="252"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regulatory requirements, FDA guidance, guidance from other regulatory authorities or unanticipated events during our non-clinical or clinical trials of nomlabofusp or future product candidates may result in changes to clinical trial protocols or additional non-clinical or clinical trial requirements, which could result in increased costs to us and could delay our development timeline.</w:t>
      </w:r>
    </w:p>
    <w:p>
      <w:pPr>
        <w:spacing w:after="0" w:line="76" w:lineRule="exact"/>
        <w:rPr>
          <w:rFonts w:ascii="Arial" w:cs="Arial" w:eastAsia="Arial" w:hAnsi="Arial"/>
          <w:sz w:val="20"/>
          <w:szCs w:val="20"/>
          <w:color w:val="auto"/>
        </w:rPr>
      </w:pPr>
    </w:p>
    <w:p>
      <w:pPr>
        <w:ind w:left="1080" w:right="360" w:hanging="360"/>
        <w:spacing w:after="0" w:line="262"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Even if we obtain marketing approval for a product candidate, our product candidates will remain subject to regulatory oversight.</w:t>
      </w:r>
    </w:p>
    <w:p>
      <w:pPr>
        <w:spacing w:after="0" w:line="64" w:lineRule="exact"/>
        <w:rPr>
          <w:rFonts w:ascii="Arial" w:cs="Arial" w:eastAsia="Arial" w:hAnsi="Arial"/>
          <w:sz w:val="20"/>
          <w:szCs w:val="20"/>
          <w:color w:val="auto"/>
        </w:rPr>
      </w:pPr>
    </w:p>
    <w:p>
      <w:pPr>
        <w:ind w:left="1080" w:right="540" w:hanging="360"/>
        <w:spacing w:after="0" w:line="262"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establish sales and marketing capabilities or enter into agreements with third parties to market and sell nomlabofusp, if approved, we may not be able to generate any revenue.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960" w:h="17280" w:orient="portrait"/>
          <w:cols w:equalWidth="0" w:num="1">
            <w:col w:w="10080"/>
          </w:cols>
          <w:pgMar w:left="1440" w:top="1440" w:right="1440" w:bottom="895"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80" w:right="740" w:hanging="360"/>
        <w:spacing w:after="0" w:line="262"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Even if we receive marketing approval for nomlabofusp, we may not achieve broad market acceptance, which would limit the revenue that we generate from our sales.</w:t>
      </w:r>
    </w:p>
    <w:p>
      <w:pPr>
        <w:spacing w:after="0" w:line="64" w:lineRule="exact"/>
        <w:rPr>
          <w:rFonts w:ascii="Arial" w:cs="Arial" w:eastAsia="Arial" w:hAnsi="Arial"/>
          <w:sz w:val="20"/>
          <w:szCs w:val="20"/>
          <w:color w:val="auto"/>
        </w:rPr>
      </w:pPr>
    </w:p>
    <w:p>
      <w:pPr>
        <w:ind w:left="1080" w:right="520" w:hanging="360"/>
        <w:spacing w:after="0" w:line="262"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Additional competing technologies could emerge, adversely affecting our opportunity to generate revenue from the sale of nomlabofusp, if approved.</w:t>
      </w:r>
    </w:p>
    <w:p>
      <w:pPr>
        <w:spacing w:after="0" w:line="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25" w:lineRule="exact"/>
        <w:rPr>
          <w:sz w:val="20"/>
          <w:szCs w:val="20"/>
          <w:color w:val="auto"/>
        </w:rPr>
      </w:pPr>
    </w:p>
    <w:p>
      <w:pPr>
        <w:ind w:left="1080" w:right="940" w:hanging="360"/>
        <w:spacing w:after="0" w:line="262"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manage expected growth in the scale and complexity of our operations, including attracting and hiring additional qualified management, our performance may suffer.</w:t>
      </w:r>
    </w:p>
    <w:p>
      <w:pPr>
        <w:spacing w:after="0" w:line="64" w:lineRule="exact"/>
        <w:rPr>
          <w:rFonts w:ascii="Arial" w:cs="Arial" w:eastAsia="Arial" w:hAnsi="Arial"/>
          <w:sz w:val="20"/>
          <w:szCs w:val="20"/>
          <w:color w:val="auto"/>
        </w:rPr>
      </w:pPr>
    </w:p>
    <w:p>
      <w:pPr>
        <w:ind w:left="1080" w:right="400" w:hanging="360"/>
        <w:spacing w:after="0" w:line="236"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stringent and evolving U.S. and foreign laws, regulations, and rules, contractual obligations, industry standards, policies and other obligations related to data privacy and security laws,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125" w:lineRule="exact"/>
        <w:rPr>
          <w:sz w:val="20"/>
          <w:szCs w:val="20"/>
          <w:color w:val="auto"/>
        </w:rPr>
      </w:pPr>
    </w:p>
    <w:p>
      <w:pPr>
        <w:jc w:val="both"/>
        <w:ind w:left="1080" w:right="840" w:hanging="360"/>
        <w:spacing w:after="0" w:line="244" w:lineRule="auto"/>
        <w:tabs>
          <w:tab w:leader="none" w:pos="10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We have limited experience in conducting or supervising clinical trials and must outsource all clinical trials. As a result, many important aspects of our drug development programs are outside of our direct control.</w:t>
      </w:r>
    </w:p>
    <w:p>
      <w:pPr>
        <w:spacing w:after="0" w:line="81" w:lineRule="exact"/>
        <w:rPr>
          <w:rFonts w:ascii="Arial" w:cs="Arial" w:eastAsia="Arial" w:hAnsi="Arial"/>
          <w:sz w:val="20"/>
          <w:szCs w:val="20"/>
          <w:color w:val="auto"/>
        </w:rPr>
      </w:pPr>
    </w:p>
    <w:p>
      <w:pPr>
        <w:ind w:left="1080" w:right="580" w:hanging="360"/>
        <w:spacing w:after="0" w:line="244" w:lineRule="auto"/>
        <w:tabs>
          <w:tab w:leader="none" w:pos="10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third-party supply and manufacturing partners for drug supplies, for our research and development, non-clinical activities and clinical activities and may do the same for commercial supply of our product candidates.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Rights</w:t>
      </w:r>
    </w:p>
    <w:p>
      <w:pPr>
        <w:spacing w:after="0" w:line="125" w:lineRule="exact"/>
        <w:rPr>
          <w:sz w:val="20"/>
          <w:szCs w:val="20"/>
          <w:color w:val="auto"/>
        </w:rPr>
      </w:pPr>
    </w:p>
    <w:p>
      <w:pPr>
        <w:ind w:left="1080" w:right="380" w:hanging="360"/>
        <w:spacing w:after="0" w:line="238" w:lineRule="auto"/>
        <w:tabs>
          <w:tab w:leader="none" w:pos="10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If, in the United States and other countries, we are unable to adequately protect our proprietary technology or maintain issued patents which are sufficient to protect nomlabofusp or potential product candidates, third parties could compete against us more directly, which would have a material adverse impact on our business, results of operations, financial condition and prospects.</w:t>
      </w:r>
    </w:p>
    <w:p>
      <w:pPr>
        <w:spacing w:after="0" w:line="87" w:lineRule="exact"/>
        <w:rPr>
          <w:rFonts w:ascii="Arial" w:cs="Arial" w:eastAsia="Arial" w:hAnsi="Arial"/>
          <w:sz w:val="20"/>
          <w:szCs w:val="20"/>
          <w:color w:val="auto"/>
        </w:rPr>
      </w:pPr>
    </w:p>
    <w:p>
      <w:pPr>
        <w:ind w:left="1080" w:right="520" w:hanging="360"/>
        <w:spacing w:after="0" w:line="244" w:lineRule="auto"/>
        <w:tabs>
          <w:tab w:leader="none" w:pos="10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Our key patent relating to nomlabofusp, which we license, will expire in 2040 and we will lose our ability to rely upon this patent to prevent competing products from entering the market, which may impair our ability to generate revenue.</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25" w:lineRule="exact"/>
        <w:rPr>
          <w:sz w:val="20"/>
          <w:szCs w:val="20"/>
          <w:color w:val="auto"/>
        </w:rPr>
      </w:pPr>
    </w:p>
    <w:p>
      <w:pPr>
        <w:ind w:left="1080" w:right="920" w:hanging="360"/>
        <w:spacing w:after="0" w:line="262"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Our stock price could be highly volatile, and purchasers of our common stock could incur substantial losses.</w:t>
      </w:r>
    </w:p>
    <w:p>
      <w:pPr>
        <w:spacing w:after="0" w:line="64" w:lineRule="exact"/>
        <w:rPr>
          <w:rFonts w:ascii="Arial" w:cs="Arial" w:eastAsia="Arial" w:hAnsi="Arial"/>
          <w:sz w:val="20"/>
          <w:szCs w:val="20"/>
          <w:color w:val="auto"/>
        </w:rPr>
      </w:pPr>
    </w:p>
    <w:p>
      <w:pPr>
        <w:ind w:left="1080" w:right="520" w:hanging="360"/>
        <w:spacing w:after="0" w:line="244"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81" w:lineRule="exact"/>
        <w:rPr>
          <w:rFonts w:ascii="Arial" w:cs="Arial" w:eastAsia="Arial" w:hAnsi="Arial"/>
          <w:sz w:val="20"/>
          <w:szCs w:val="20"/>
          <w:color w:val="auto"/>
        </w:rPr>
      </w:pPr>
    </w:p>
    <w:p>
      <w:pPr>
        <w:ind w:left="1080" w:right="1000" w:hanging="360"/>
        <w:spacing w:after="0" w:line="262"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Ownership of our common stock is highly concentrated, and it may prevent other stockholders from influencing significant corporate decisions.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960" w:h="17280" w:orient="portrait"/>
          <w:cols w:equalWidth="0" w:num="1">
            <w:col w:w="10080"/>
          </w:cols>
          <w:pgMar w:left="1440" w:top="1440" w:right="1440" w:bottom="895"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ind w:left="360" w:right="460" w:firstLine="490"/>
        <w:spacing w:after="0" w:line="245" w:lineRule="auto"/>
        <w:rPr>
          <w:sz w:val="20"/>
          <w:szCs w:val="20"/>
          <w:color w:val="auto"/>
        </w:rPr>
      </w:pPr>
      <w:r>
        <w:rPr>
          <w:rFonts w:ascii="Times New Roman" w:cs="Times New Roman" w:eastAsia="Times New Roman" w:hAnsi="Times New Roman"/>
          <w:sz w:val="20"/>
          <w:szCs w:val="20"/>
          <w:color w:val="auto"/>
        </w:rPr>
        <w:t>We are a clinical-stage biotechnology company focused on developing treatments for patients suffering from complex rare diseases using our novel cell penetrating peptide ("CPP") technology platform. Our lead product candidate, nomlabofusp (nomlabofusp is the International Nonproprietary Name ("INN") and the United States Adopted Name ("USAN") for CTI-1601), is a subcutaneously administered, recombinant fusion protein intended to deliver tissue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increase FXN levels in patients with FA.</w:t>
      </w:r>
    </w:p>
    <w:p>
      <w:pPr>
        <w:spacing w:after="0" w:line="82" w:lineRule="exact"/>
        <w:rPr>
          <w:sz w:val="20"/>
          <w:szCs w:val="20"/>
          <w:color w:val="auto"/>
        </w:rPr>
      </w:pPr>
    </w:p>
    <w:p>
      <w:pPr>
        <w:jc w:val="both"/>
        <w:ind w:left="360" w:right="480" w:firstLine="490"/>
        <w:spacing w:after="0" w:line="252" w:lineRule="auto"/>
        <w:rPr>
          <w:sz w:val="20"/>
          <w:szCs w:val="20"/>
          <w:color w:val="auto"/>
        </w:rPr>
      </w:pPr>
      <w:r>
        <w:rPr>
          <w:rFonts w:ascii="Times New Roman" w:cs="Times New Roman" w:eastAsia="Times New Roman" w:hAnsi="Times New Roman"/>
          <w:sz w:val="20"/>
          <w:szCs w:val="20"/>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74" w:lineRule="exact"/>
        <w:rPr>
          <w:sz w:val="20"/>
          <w:szCs w:val="20"/>
          <w:color w:val="auto"/>
        </w:rPr>
      </w:pPr>
    </w:p>
    <w:p>
      <w:pPr>
        <w:ind w:left="360" w:right="580" w:firstLine="490"/>
        <w:spacing w:after="0" w:line="258" w:lineRule="auto"/>
        <w:rPr>
          <w:sz w:val="20"/>
          <w:szCs w:val="20"/>
          <w:color w:val="auto"/>
        </w:rPr>
      </w:pPr>
      <w:r>
        <w:rPr>
          <w:rFonts w:ascii="Times New Roman" w:cs="Times New Roman" w:eastAsia="Times New Roman" w:hAnsi="Times New Roman"/>
          <w:sz w:val="20"/>
          <w:szCs w:val="20"/>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68" w:lineRule="exact"/>
        <w:rPr>
          <w:sz w:val="20"/>
          <w:szCs w:val="20"/>
          <w:color w:val="auto"/>
        </w:rPr>
      </w:pPr>
    </w:p>
    <w:p>
      <w:pPr>
        <w:ind w:left="360" w:right="56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2024, we had cash, cash equivalents and marketable securities of $183.5 million, which we anticipate will fund operations into the second quarter of 2026.</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Nomlabofusp Program Update</w:t>
      </w:r>
    </w:p>
    <w:p>
      <w:pPr>
        <w:spacing w:after="0" w:line="124" w:lineRule="exact"/>
        <w:rPr>
          <w:sz w:val="20"/>
          <w:szCs w:val="20"/>
          <w:color w:val="auto"/>
        </w:rPr>
      </w:pPr>
    </w:p>
    <w:p>
      <w:pPr>
        <w:ind w:left="360" w:right="420" w:firstLine="490"/>
        <w:spacing w:after="0" w:line="305" w:lineRule="auto"/>
        <w:rPr>
          <w:sz w:val="20"/>
          <w:szCs w:val="20"/>
          <w:color w:val="auto"/>
        </w:rPr>
      </w:pPr>
      <w:r>
        <w:rPr>
          <w:rFonts w:ascii="Times New Roman" w:cs="Times New Roman" w:eastAsia="Times New Roman" w:hAnsi="Times New Roman"/>
          <w:sz w:val="19"/>
          <w:szCs w:val="19"/>
          <w:color w:val="auto"/>
        </w:rPr>
        <w:t>We have completed two Phase 1 clinical trials and a Phase 2 dose exploration trial and have an ongoing Phase 2 OLE trial in patients with FA and an ongoing pharmacokinetic (PK) run-in study in adolescent patients with FA.</w:t>
      </w:r>
    </w:p>
    <w:p>
      <w:pPr>
        <w:spacing w:after="0" w:line="25" w:lineRule="exact"/>
        <w:rPr>
          <w:sz w:val="20"/>
          <w:szCs w:val="20"/>
          <w:color w:val="auto"/>
        </w:rPr>
      </w:pPr>
    </w:p>
    <w:p>
      <w:pPr>
        <w:ind w:left="360" w:right="500" w:firstLine="490"/>
        <w:spacing w:after="0" w:line="247" w:lineRule="auto"/>
        <w:rPr>
          <w:sz w:val="20"/>
          <w:szCs w:val="20"/>
          <w:color w:val="auto"/>
        </w:rPr>
      </w:pPr>
      <w:r>
        <w:rPr>
          <w:rFonts w:ascii="Times New Roman" w:cs="Times New Roman" w:eastAsia="Times New Roman" w:hAnsi="Times New Roman"/>
          <w:sz w:val="20"/>
          <w:szCs w:val="20"/>
          <w:color w:val="auto"/>
        </w:rPr>
        <w:t>In May 2021, we reported positive top-line data from our Phase 1 FA program after completing dosing of the single ascending dose ("SAD") trial in December 2020 and of the multiple ascending dose ("MAD") trial in March 2021. Data from these trials demonstrated proof-of-concept by showing that daily subcutaneous injections of nomlabofusp for up to 13 days resulted in dose-dependent increases in FXN levels from baseline compared to placebo in all evaluated tissues (buccal cells, skin, and platelets). There were no serious adverse events associated with either the MAD or SAD trials.</w:t>
      </w:r>
    </w:p>
    <w:p>
      <w:pPr>
        <w:spacing w:after="0" w:line="80" w:lineRule="exact"/>
        <w:rPr>
          <w:sz w:val="20"/>
          <w:szCs w:val="20"/>
          <w:color w:val="auto"/>
        </w:rPr>
      </w:pPr>
    </w:p>
    <w:p>
      <w:pPr>
        <w:ind w:left="360" w:right="560" w:firstLine="490"/>
        <w:spacing w:after="0" w:line="252" w:lineRule="auto"/>
        <w:rPr>
          <w:sz w:val="20"/>
          <w:szCs w:val="20"/>
          <w:color w:val="auto"/>
        </w:rPr>
      </w:pPr>
      <w:r>
        <w:rPr>
          <w:rFonts w:ascii="Times New Roman" w:cs="Times New Roman" w:eastAsia="Times New Roman" w:hAnsi="Times New Roman"/>
          <w:sz w:val="20"/>
          <w:szCs w:val="20"/>
          <w:color w:val="auto"/>
        </w:rPr>
        <w:t>In May 2023, we reported preliminary unblinded top-line data from the 25 mg cohort of our Phase 2 four-week, placebo-controlled, dose exploration trial of nomlabofusp in FA patients. Data from the cohort indicated nomlabofusp was generally well tolerated and showed increases in FXN levels from baseline compared to placebo in all evaluated tissues (skin and buccal cells) at day 14.</w:t>
      </w:r>
    </w:p>
    <w:p>
      <w:pPr>
        <w:spacing w:after="0" w:line="74" w:lineRule="exact"/>
        <w:rPr>
          <w:sz w:val="20"/>
          <w:szCs w:val="20"/>
          <w:color w:val="auto"/>
        </w:rPr>
      </w:pPr>
    </w:p>
    <w:p>
      <w:pPr>
        <w:jc w:val="both"/>
        <w:ind w:left="360" w:right="780" w:firstLine="490"/>
        <w:spacing w:after="0" w:line="258" w:lineRule="auto"/>
        <w:rPr>
          <w:sz w:val="20"/>
          <w:szCs w:val="20"/>
          <w:color w:val="auto"/>
        </w:rPr>
      </w:pPr>
      <w:r>
        <w:rPr>
          <w:rFonts w:ascii="Times New Roman" w:cs="Times New Roman" w:eastAsia="Times New Roman" w:hAnsi="Times New Roman"/>
          <w:sz w:val="20"/>
          <w:szCs w:val="20"/>
          <w:color w:val="auto"/>
        </w:rPr>
        <w:t>In July 2023, the FDA cleared initiation of a second cohort (50 mg) of our four-week, placebo-controlled, Phase 2 dose exploration trial of nomlabofusp in patients with FA and the initiation of our OLE trial with daily dosing of 25 mg.</w:t>
      </w:r>
    </w:p>
    <w:p>
      <w:pPr>
        <w:spacing w:after="0" w:line="68" w:lineRule="exact"/>
        <w:rPr>
          <w:sz w:val="20"/>
          <w:szCs w:val="20"/>
          <w:color w:val="auto"/>
        </w:rPr>
      </w:pPr>
    </w:p>
    <w:p>
      <w:pPr>
        <w:ind w:left="360" w:right="480" w:firstLine="490"/>
        <w:spacing w:after="0" w:line="245" w:lineRule="auto"/>
        <w:rPr>
          <w:sz w:val="20"/>
          <w:szCs w:val="20"/>
          <w:color w:val="auto"/>
        </w:rPr>
      </w:pPr>
      <w:r>
        <w:rPr>
          <w:rFonts w:ascii="Times New Roman" w:cs="Times New Roman" w:eastAsia="Times New Roman" w:hAnsi="Times New Roman"/>
          <w:sz w:val="20"/>
          <w:szCs w:val="20"/>
          <w:color w:val="auto"/>
        </w:rPr>
        <w:t>In February 2024, we reported positive top-line data and successful completion of the Phase 2 dose exploration study. Nomlabofusp was generally well tolerated throughout the four-week treatment periods, had a predictable pharmacokinetic profile and led to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Patients who completed treatment in our Phase 2 dose exploration study or who previously completed a prior clinical trial of nomlabofusp are eligible to screen and possibly participate in the OLE study.</w:t>
      </w:r>
    </w:p>
    <w:p>
      <w:pPr>
        <w:spacing w:after="0" w:line="82" w:lineRule="exact"/>
        <w:rPr>
          <w:sz w:val="20"/>
          <w:szCs w:val="20"/>
          <w:color w:val="auto"/>
        </w:rPr>
      </w:pPr>
    </w:p>
    <w:p>
      <w:pPr>
        <w:ind w:left="360" w:right="480" w:firstLine="490"/>
        <w:spacing w:after="0" w:line="249" w:lineRule="auto"/>
        <w:rPr>
          <w:sz w:val="20"/>
          <w:szCs w:val="20"/>
          <w:color w:val="auto"/>
        </w:rPr>
      </w:pPr>
      <w:r>
        <w:rPr>
          <w:rFonts w:ascii="Times New Roman" w:cs="Times New Roman" w:eastAsia="Times New Roman" w:hAnsi="Times New Roman"/>
          <w:sz w:val="20"/>
          <w:szCs w:val="20"/>
          <w:color w:val="auto"/>
        </w:rPr>
        <w:t>In March 2024, we dosed the first patient in our OLE trial, evaluating daily subcutaneous injections of 25 mg of nomlabofusp self-administered or administered by a caregiver. The OLE study will evaluate the safety and tolerability, pharmacokinetics, and frataxin levels in peripheral tissues as well as other exploratory pharmacodynamic markers (lipid profiles and gene expression data) following long-term subcutaneous administration of nomlabofusp. In addition, following the completion of enrollment, as well as at least one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960" w:h="17280" w:orient="portrait"/>
          <w:cols w:equalWidth="0" w:num="1">
            <w:col w:w="10080"/>
          </w:cols>
          <w:pgMar w:left="1440" w:top="1440" w:right="1440" w:bottom="895"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360" w:right="520"/>
        <w:spacing w:after="0" w:line="258" w:lineRule="auto"/>
        <w:rPr>
          <w:sz w:val="20"/>
          <w:szCs w:val="20"/>
          <w:color w:val="auto"/>
        </w:rPr>
      </w:pPr>
      <w:r>
        <w:rPr>
          <w:rFonts w:ascii="Times New Roman" w:cs="Times New Roman" w:eastAsia="Times New Roman" w:hAnsi="Times New Roman"/>
          <w:sz w:val="20"/>
          <w:szCs w:val="20"/>
          <w:color w:val="auto"/>
        </w:rPr>
        <w:t>participant completing one year of dosing, clinical assessments collected during the study will be compared to data from a matched control arm derived from participants in the Friedreich’s Ataxia Clinical Outcome Measures Study ("FACOMS") database.</w:t>
      </w:r>
    </w:p>
    <w:p>
      <w:pPr>
        <w:spacing w:after="0" w:line="53" w:lineRule="exact"/>
        <w:rPr>
          <w:sz w:val="20"/>
          <w:szCs w:val="20"/>
          <w:color w:val="auto"/>
        </w:rPr>
      </w:pPr>
    </w:p>
    <w:p>
      <w:pPr>
        <w:ind w:left="360" w:right="540" w:firstLine="490"/>
        <w:spacing w:after="0" w:line="232" w:lineRule="auto"/>
        <w:rPr>
          <w:sz w:val="20"/>
          <w:szCs w:val="20"/>
          <w:color w:val="auto"/>
        </w:rPr>
      </w:pPr>
      <w:r>
        <w:rPr>
          <w:rFonts w:ascii="Times New Roman" w:cs="Times New Roman" w:eastAsia="Times New Roman" w:hAnsi="Times New Roman"/>
          <w:sz w:val="20"/>
          <w:szCs w:val="20"/>
          <w:color w:val="auto"/>
        </w:rPr>
        <w:t>On May 30, 2024, we announced that the FDA's Center for Drug Evaluation and Research ("CDER") had selected nomlabofusp as one of a few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spacing w:after="0" w:line="67" w:lineRule="exact"/>
        <w:rPr>
          <w:sz w:val="20"/>
          <w:szCs w:val="20"/>
          <w:color w:val="auto"/>
        </w:rPr>
      </w:pPr>
    </w:p>
    <w:p>
      <w:pPr>
        <w:ind w:left="360" w:right="400" w:firstLine="490"/>
        <w:spacing w:after="0" w:line="230" w:lineRule="auto"/>
        <w:rPr>
          <w:sz w:val="20"/>
          <w:szCs w:val="20"/>
          <w:color w:val="auto"/>
        </w:rPr>
      </w:pPr>
      <w:r>
        <w:rPr>
          <w:rFonts w:ascii="Times New Roman" w:cs="Times New Roman" w:eastAsia="Times New Roman" w:hAnsi="Times New Roman"/>
          <w:sz w:val="20"/>
          <w:szCs w:val="20"/>
          <w:color w:val="auto"/>
        </w:rPr>
        <w:t>In September 2024, we received access to the Medicines and Healthcare Regulatory Agency ("MHRA") Innovative Licensing and Access Pathway (“ILAP”) for the treatment of adults and children with FA. The ILAP is facilitating patient access to novel treatments by accelerating time to market through opportunities for enhanced engagements with UK regulatory authorities and other stakeholders. Along with the receipt of the ILAP designation, nomlabofusp has already been granted orphan drug designations in the U.S. and the European Union (the “EU”), and access to the PRIME scheme in the EU.</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In December 2024, we reported positive initial data from our ongoing OLE study. This data included safety,</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FXN levels, clinical, pharmacokinetic data and dose escalation:</w:t>
      </w:r>
    </w:p>
    <w:p>
      <w:pPr>
        <w:spacing w:after="0" w:line="103" w:lineRule="exact"/>
        <w:rPr>
          <w:sz w:val="20"/>
          <w:szCs w:val="20"/>
          <w:color w:val="auto"/>
        </w:rPr>
      </w:pPr>
    </w:p>
    <w:p>
      <w:pPr>
        <w:ind w:left="1220" w:right="600" w:hanging="370"/>
        <w:spacing w:after="0" w:line="252" w:lineRule="auto"/>
        <w:tabs>
          <w:tab w:leader="none" w:pos="12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Nomlabofusp was generally well tolerated for up to 260 days in subjects. The most common adverse events were injection site reactions, with most being mild, brief in duration, and self-limited. Two participants had serious adverse events (one seizure and one anaphylactic reaction) that resolved within 24 hours and withdrew from the study;</w:t>
      </w:r>
    </w:p>
    <w:p>
      <w:pPr>
        <w:spacing w:after="0" w:line="87" w:lineRule="exact"/>
        <w:rPr>
          <w:rFonts w:ascii="Arial" w:cs="Arial" w:eastAsia="Arial" w:hAnsi="Arial"/>
          <w:sz w:val="20"/>
          <w:szCs w:val="20"/>
          <w:color w:val="auto"/>
        </w:rPr>
      </w:pPr>
    </w:p>
    <w:p>
      <w:pPr>
        <w:ind w:left="1220" w:right="500" w:hanging="370"/>
        <w:spacing w:after="0" w:line="252" w:lineRule="auto"/>
        <w:tabs>
          <w:tab w:leader="none" w:pos="12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Long-term 25 mg tissue FXN levels showed positive mean change from baseline of 1.32 pg/μg in buccal cells and 9.28 pg/μg in skin cells at Day 90 and that 25 mg of nomlabofusp increased and maintained tissue FXN levels over time, increasing from a mean level of 15% of healthy volunteers ("HV") at baseline to 30% in buccal cells and from 16% to 72% in skin cells at Day 90;</w:t>
      </w:r>
    </w:p>
    <w:p>
      <w:pPr>
        <w:spacing w:after="0" w:line="87" w:lineRule="exact"/>
        <w:rPr>
          <w:rFonts w:ascii="Arial" w:cs="Arial" w:eastAsia="Arial" w:hAnsi="Arial"/>
          <w:sz w:val="20"/>
          <w:szCs w:val="20"/>
          <w:color w:val="auto"/>
        </w:rPr>
      </w:pPr>
    </w:p>
    <w:p>
      <w:pPr>
        <w:ind w:left="1220" w:hanging="370"/>
        <w:spacing w:after="0"/>
        <w:tabs>
          <w:tab w:leader="none" w:pos="12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Tissue FXN levels appear to reach steady-state levels by Day 30 in buccal cells;</w:t>
      </w:r>
    </w:p>
    <w:p>
      <w:pPr>
        <w:spacing w:after="0" w:line="133" w:lineRule="exact"/>
        <w:rPr>
          <w:rFonts w:ascii="Arial" w:cs="Arial" w:eastAsia="Arial" w:hAnsi="Arial"/>
          <w:sz w:val="20"/>
          <w:szCs w:val="20"/>
          <w:color w:val="auto"/>
        </w:rPr>
      </w:pPr>
    </w:p>
    <w:p>
      <w:pPr>
        <w:ind w:left="1220" w:right="460" w:hanging="370"/>
        <w:spacing w:after="0" w:line="269" w:lineRule="auto"/>
        <w:tabs>
          <w:tab w:leader="none" w:pos="122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Early clinical data showed trends toward improvement across a number of clinical outcomes for long-term 25 mg daily nomlabofusp including: (1) decreased values indicating early trends towards improvement in the Modified Friedreich Ataxia Rating Scale ("mFARS") and the FARS-Activities of Daily Living ("ADL"), Modified Fatigue Impact Scale and 9-hole peg test at 90 days relative to baseline;</w:t>
      </w:r>
    </w:p>
    <w:p>
      <w:pPr>
        <w:spacing w:after="0" w:line="73" w:lineRule="exact"/>
        <w:rPr>
          <w:rFonts w:ascii="Arial" w:cs="Arial" w:eastAsia="Arial" w:hAnsi="Arial"/>
          <w:sz w:val="19"/>
          <w:szCs w:val="19"/>
          <w:color w:val="auto"/>
        </w:rPr>
      </w:pPr>
    </w:p>
    <w:p>
      <w:pPr>
        <w:jc w:val="both"/>
        <w:ind w:left="1220" w:right="760" w:hanging="370"/>
        <w:spacing w:after="0" w:line="258" w:lineRule="auto"/>
        <w:tabs>
          <w:tab w:leader="none" w:pos="12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Key pharmacokinetic data showed rapid absorption after subcutaneous administration with exposure appearing to reach steady state in plasma by day 30 with no further accumulation, which is consistent with data from our Phase 1 and Phase 2 studies.</w:t>
      </w:r>
    </w:p>
    <w:p>
      <w:pPr>
        <w:spacing w:after="0" w:line="67" w:lineRule="exact"/>
        <w:rPr>
          <w:sz w:val="20"/>
          <w:szCs w:val="20"/>
          <w:color w:val="auto"/>
        </w:rPr>
      </w:pPr>
    </w:p>
    <w:p>
      <w:pPr>
        <w:ind w:left="360" w:right="380" w:firstLine="490"/>
        <w:spacing w:after="0" w:line="245" w:lineRule="auto"/>
        <w:rPr>
          <w:sz w:val="20"/>
          <w:szCs w:val="20"/>
          <w:color w:val="auto"/>
        </w:rPr>
      </w:pPr>
      <w:r>
        <w:rPr>
          <w:rFonts w:ascii="Times New Roman" w:cs="Times New Roman" w:eastAsia="Times New Roman" w:hAnsi="Times New Roman"/>
          <w:sz w:val="20"/>
          <w:szCs w:val="20"/>
          <w:color w:val="auto"/>
        </w:rPr>
        <w:t>Also in December 2024, we announced that we were increasing the dose in the OLE to 50 mg of nomlabofusp daily for then currently enrolled and all future OLE study participants. In March 2025, we announced that our Safety Monitoring Team has deemed anaphylaxis as an adverse drug reaction likely associated with nomlabofusp and therefore, we expect to see additional reactions. To reduce the risk of allergic reactions, including anaphylaxis, we amended the OLE protocol to administer premedication for the first month of dosing. The OLE study is ongoing with seven sites activated and participants continuing to enroll. All study participants are currently receiving the 50 mg dose of nomlabofusp. We plan to provide an update on OLE data on at least 30 to 40 study participants, some of whom have been receiving nomlabofusp for more than a year, in September 2025.</w:t>
      </w:r>
    </w:p>
    <w:p>
      <w:pPr>
        <w:spacing w:after="0" w:line="82" w:lineRule="exact"/>
        <w:rPr>
          <w:sz w:val="20"/>
          <w:szCs w:val="20"/>
          <w:color w:val="auto"/>
        </w:rPr>
      </w:pPr>
    </w:p>
    <w:p>
      <w:pPr>
        <w:ind w:left="360" w:right="400" w:firstLine="490"/>
        <w:spacing w:after="0" w:line="249" w:lineRule="auto"/>
        <w:rPr>
          <w:sz w:val="20"/>
          <w:szCs w:val="20"/>
          <w:color w:val="auto"/>
        </w:rPr>
      </w:pPr>
      <w:r>
        <w:rPr>
          <w:rFonts w:ascii="Times New Roman" w:cs="Times New Roman" w:eastAsia="Times New Roman" w:hAnsi="Times New Roman"/>
          <w:sz w:val="20"/>
          <w:szCs w:val="20"/>
          <w:color w:val="auto"/>
        </w:rPr>
        <w:t>In January 2025, we initiated dosing of adolescents (12-17 years old) in a PK run-in study for pediatric patients with FA. Study participants in the PK run-in study are randomized 2:1 to receive either nomlabofusp at a weight-base dose expected to match the PK of adults receiving the 50 mg dose, or placebo, daily for seven days. Following assessment of safety and PK data, participants will be eligible to screen for the OLE study. The data from this cohort is expected to be presented during the nomlabofusp program update in September 2025.</w:t>
      </w:r>
    </w:p>
    <w:p>
      <w:pPr>
        <w:spacing w:after="0" w:line="77" w:lineRule="exact"/>
        <w:rPr>
          <w:sz w:val="20"/>
          <w:szCs w:val="20"/>
          <w:color w:val="auto"/>
        </w:rPr>
      </w:pPr>
    </w:p>
    <w:p>
      <w:pPr>
        <w:ind w:left="360" w:right="380" w:firstLine="490"/>
        <w:spacing w:after="0" w:line="247" w:lineRule="auto"/>
        <w:rPr>
          <w:sz w:val="20"/>
          <w:szCs w:val="20"/>
          <w:color w:val="auto"/>
        </w:rPr>
      </w:pPr>
      <w:r>
        <w:rPr>
          <w:rFonts w:ascii="Times New Roman" w:cs="Times New Roman" w:eastAsia="Times New Roman" w:hAnsi="Times New Roman"/>
          <w:sz w:val="20"/>
          <w:szCs w:val="20"/>
          <w:color w:val="auto"/>
        </w:rPr>
        <w:t>In March 2025, we announced that FDA stated in written correspondence associated with a meeting through the START pilot program that they are open to considering the use of FXN concentration as a reasonably likely surrogate endpoint (“RLSE”) and the acceptability of FXN’s use as an RLSE would ultimately be a matter of review of the data in a future marketing application. FDA recommended focusing on assessments of skin FXN concentrations rather than buccal FXN concentrations due to more consistent sampling and less variability. FDA acknowledged that data we recently submitted appear to support a relationship between increased FXN</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960" w:h="17280" w:orient="portrait"/>
          <w:cols w:equalWidth="0" w:num="1">
            <w:col w:w="10080"/>
          </w:cols>
          <w:pgMar w:left="1440" w:top="1440" w:right="1440" w:bottom="895"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60"/>
        <w:spacing w:after="0" w:line="247" w:lineRule="auto"/>
        <w:rPr>
          <w:sz w:val="20"/>
          <w:szCs w:val="20"/>
          <w:color w:val="auto"/>
        </w:rPr>
      </w:pPr>
      <w:r>
        <w:rPr>
          <w:rFonts w:ascii="Times New Roman" w:cs="Times New Roman" w:eastAsia="Times New Roman" w:hAnsi="Times New Roman"/>
          <w:sz w:val="20"/>
          <w:szCs w:val="20"/>
          <w:color w:val="auto"/>
        </w:rPr>
        <w:t>concentrations in skin cells and relevant tissues such as the heart, dorsal root ganglion and skeletal muscle. FDA also acknowledged that the nonclinical studies we submitted were performed at relevant human doses. FDA also suggested that we consider exploring the relationship between increases in FXN in skin and changes in pharmacodynamic (PD) markers such as lipid profiles and/or clinical measures to provide additional support for the use of FXN as an RLSE. We plan to continue discussions with FDA regarding the adequacy of the safety data set for a BLA submission seeking accelerated approval targeted for year-end 2025.</w:t>
      </w:r>
    </w:p>
    <w:p>
      <w:pPr>
        <w:spacing w:after="0" w:line="80" w:lineRule="exact"/>
        <w:rPr>
          <w:sz w:val="20"/>
          <w:szCs w:val="20"/>
          <w:color w:val="auto"/>
        </w:rPr>
      </w:pPr>
    </w:p>
    <w:p>
      <w:pPr>
        <w:jc w:val="both"/>
        <w:ind w:left="360" w:right="520" w:firstLine="490"/>
        <w:spacing w:after="0" w:line="305" w:lineRule="auto"/>
        <w:rPr>
          <w:sz w:val="20"/>
          <w:szCs w:val="20"/>
          <w:color w:val="auto"/>
        </w:rPr>
      </w:pPr>
      <w:r>
        <w:rPr>
          <w:rFonts w:ascii="Times New Roman" w:cs="Times New Roman" w:eastAsia="Times New Roman" w:hAnsi="Times New Roman"/>
          <w:sz w:val="19"/>
          <w:szCs w:val="19"/>
          <w:color w:val="auto"/>
        </w:rPr>
        <w:t>Additionally, we have obtained feedback from both FDA and EMA on the global Phase 3 study protocol and we are on track to initiate the study by mid-2025 with potential sites in the U.S., E.U., U.K, Canada, and Australia.</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24" w:lineRule="exact"/>
        <w:rPr>
          <w:sz w:val="20"/>
          <w:szCs w:val="20"/>
          <w:color w:val="auto"/>
        </w:rPr>
      </w:pPr>
    </w:p>
    <w:p>
      <w:pPr>
        <w:ind w:left="360" w:right="440" w:firstLine="490"/>
        <w:spacing w:after="0" w:line="258" w:lineRule="auto"/>
        <w:rPr>
          <w:sz w:val="20"/>
          <w:szCs w:val="20"/>
          <w:color w:val="auto"/>
        </w:rPr>
      </w:pPr>
      <w:r>
        <w:rPr>
          <w:rFonts w:ascii="Times New Roman" w:cs="Times New Roman" w:eastAsia="Times New Roman" w:hAnsi="Times New Roman"/>
          <w:sz w:val="20"/>
          <w:szCs w:val="20"/>
          <w:color w:val="auto"/>
        </w:rPr>
        <w:t>Our strategy is to become a leader in the treatment of rare diseases by leveraging our technology platform and applying our management team’s know-how and expertise to the development of nomlabofusp and other future pipeline programs. Key elements of our strategy include:</w:t>
      </w:r>
    </w:p>
    <w:p>
      <w:pPr>
        <w:spacing w:after="0" w:line="83" w:lineRule="exact"/>
        <w:rPr>
          <w:sz w:val="20"/>
          <w:szCs w:val="20"/>
          <w:color w:val="auto"/>
        </w:rPr>
      </w:pPr>
    </w:p>
    <w:p>
      <w:pPr>
        <w:ind w:left="1220" w:right="380" w:hanging="370"/>
        <w:spacing w:after="0" w:line="242" w:lineRule="auto"/>
        <w:tabs>
          <w:tab w:leader="none" w:pos="12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Advance nomlabofusp through clinical development and regulatory approval in the United States the European Union and other foreign jurisdictions </w:t>
      </w:r>
      <w:r>
        <w:rPr>
          <w:rFonts w:ascii="Times New Roman" w:cs="Times New Roman" w:eastAsia="Times New Roman" w:hAnsi="Times New Roman"/>
          <w:sz w:val="20"/>
          <w:szCs w:val="20"/>
          <w:color w:val="auto"/>
        </w:rPr>
        <w:t>We have completed two Phase 1 clinical trials and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Phase 2 dose exploration trial in patients with FA in the United States and have an ongoing OLE study in the U.S with patients age 18 or older with initial dosing of 25 mg of nomlabofusp daily, which, in November 2024, we began increasing to 50 mg daily. In January 2025, we started dosing adolescents (12-17 years old) in a nomlabofusp pediatric PK run-in study. Study participants in the PK run-in study are randomized 2:1 to receive either nomlabofusp or placebo daily for seven days. Adolescents receive a weight-based dose expected to match the PK of adults receiving the 50 mg dose. Adolescents who complete participation in the PK run-in study will be eligible to screen in the ongoing OLE study following assessment of safety and PK data. We are continuing to develop and execute a clinical development plan for regulatory approval of nomlabofusp in the United States, the European Union, the United Kingdom ("UK"), Australia, Canada and potentially other countries. We have obtained feedback from both FDA and EMA on the global Phase 3 study protocol and we are on track to initiate the study by mid-2025 with potential sites in the U.S., E.U., U.K, Canada, and Australia. We are continuing discussions with FDA regarding the adequacy of the safety data set required to support BLA submission and we are targeting BLA submission by the end of 2025 to seek accelerated approval.</w:t>
      </w:r>
    </w:p>
    <w:p>
      <w:pPr>
        <w:spacing w:after="0" w:line="102" w:lineRule="exact"/>
        <w:rPr>
          <w:rFonts w:ascii="Arial" w:cs="Arial" w:eastAsia="Arial" w:hAnsi="Arial"/>
          <w:sz w:val="20"/>
          <w:szCs w:val="20"/>
          <w:color w:val="auto"/>
        </w:rPr>
      </w:pPr>
    </w:p>
    <w:p>
      <w:pPr>
        <w:ind w:left="1220" w:right="400" w:hanging="370"/>
        <w:spacing w:after="0" w:line="243" w:lineRule="auto"/>
        <w:tabs>
          <w:tab w:leader="none" w:pos="12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Intend to pursue the use of tissue frataxin levels as a novel surrogate endpoint to support a potential Biologics License Application (“BLA”) submission for accelerated approval</w:t>
      </w:r>
      <w:r>
        <w:rPr>
          <w:rFonts w:ascii="Times New Roman" w:cs="Times New Roman" w:eastAsia="Times New Roman" w:hAnsi="Times New Roman"/>
          <w:sz w:val="20"/>
          <w:szCs w:val="20"/>
          <w:color w:val="auto"/>
        </w:rPr>
        <w:t>. We have had discussions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the FDA regarding the potential use of tissue FXN levels as a novel surrogate endpoint. The FDA acknowledged that frataxin deficiency appears to be critical to the pathogenic mechanism of FA, and that there continues to be an unmet need for treatments for FA patients that address the underlying disease pathophysiology. In March 2025, we announced that FDA stated in written correspondence associated with a meeting through the START pilot program that they are open to considering the use of FXN concentration as an RLSE and the acceptability of FXN’s use as an RLSE would ultimately be a matter of review of the data in a future marketing application. We intend to pursue an accelerated approval using FXN levels, supportive PD and clinical information, and safety data from the OLE study, along with additional non-clinical pharmacology information needed to support the novel surrogate endpoint approach. We are continuing to plan for a confirmatory study and have received feedback from FDA on the design of this study. We are targeting a BLA submission by the end of 2025.</w:t>
      </w:r>
    </w:p>
    <w:p>
      <w:pPr>
        <w:spacing w:after="0" w:line="96" w:lineRule="exact"/>
        <w:rPr>
          <w:rFonts w:ascii="Arial" w:cs="Arial" w:eastAsia="Arial" w:hAnsi="Arial"/>
          <w:sz w:val="20"/>
          <w:szCs w:val="20"/>
          <w:color w:val="auto"/>
        </w:rPr>
      </w:pPr>
    </w:p>
    <w:p>
      <w:pPr>
        <w:ind w:left="1220" w:right="400" w:hanging="370"/>
        <w:spacing w:after="0" w:line="244" w:lineRule="auto"/>
        <w:tabs>
          <w:tab w:leader="none" w:pos="12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If nomlabofusp receives regulatory approval(s), commercialize nomlabofusp in the United States, the European Union, and other relevant countries independently or with third parties. </w:t>
      </w:r>
      <w:r>
        <w:rPr>
          <w:rFonts w:ascii="Times New Roman" w:cs="Times New Roman" w:eastAsia="Times New Roman" w:hAnsi="Times New Roman"/>
          <w:sz w:val="20"/>
          <w:szCs w:val="20"/>
          <w:color w:val="auto"/>
        </w:rPr>
        <w:t>We intend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evaluate commercialization options in the United States, the European Union, the United Kingdom and in other foreign jurisdictions throughout the world where FA patients can benefit, if we are successful in obtaining regulatory approval. We may build our own internal sales force; partner with a contract sales organization, and/or enter into a joint marketing partnership with another pharmaceutical or biotechnology company, whereby we may jointly sell and market nomlabofusp, if approved; or we may seek to out-license nomlabofusp, whereby other pharmaceutical or biotechnology companies sell and market nomlabofusp and pay us milestone and/or royalty payments on sales.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960" w:h="17280" w:orient="portrait"/>
          <w:cols w:equalWidth="0" w:num="1">
            <w:col w:w="10080"/>
          </w:cols>
          <w:pgMar w:left="1440" w:top="1440" w:right="1440" w:bottom="895"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20" w:right="580" w:hanging="370"/>
        <w:spacing w:after="0" w:line="249" w:lineRule="auto"/>
        <w:tabs>
          <w:tab w:leader="none" w:pos="12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Expand our product candidate pipeline to treat a variety of rare diseases. </w:t>
      </w:r>
      <w:r>
        <w:rPr>
          <w:rFonts w:ascii="Times New Roman" w:cs="Times New Roman" w:eastAsia="Times New Roman" w:hAnsi="Times New Roman"/>
          <w:sz w:val="20"/>
          <w:szCs w:val="20"/>
          <w:color w:val="auto"/>
        </w:rPr>
        <w:t>We intend to expand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pipeline to treat additional rare diseases. A key component of this strategy is to utilize our novel protein replacement therapy platform technology to deliver FXN or other molecules to intracellular targets. We employ a rational approach to selecting disease targets, and take into account many scientific, business, and indication specific factors before choosing each indication.</w:t>
      </w:r>
    </w:p>
    <w:p>
      <w:pPr>
        <w:spacing w:after="0" w:line="82" w:lineRule="exact"/>
        <w:rPr>
          <w:rFonts w:ascii="Arial" w:cs="Arial" w:eastAsia="Arial" w:hAnsi="Arial"/>
          <w:sz w:val="20"/>
          <w:szCs w:val="20"/>
          <w:color w:val="auto"/>
        </w:rPr>
      </w:pPr>
    </w:p>
    <w:p>
      <w:pPr>
        <w:ind w:left="1220" w:right="380" w:hanging="370"/>
        <w:spacing w:after="0" w:line="235" w:lineRule="auto"/>
        <w:tabs>
          <w:tab w:leader="none" w:pos="12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Continue to improve our novel protein replacement therapy platform. </w:t>
      </w:r>
      <w:r>
        <w:rPr>
          <w:rFonts w:ascii="Times New Roman" w:cs="Times New Roman" w:eastAsia="Times New Roman" w:hAnsi="Times New Roman"/>
          <w:sz w:val="20"/>
          <w:szCs w:val="20"/>
          <w:color w:val="auto"/>
        </w:rPr>
        <w:t>We continue to improve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scientific understanding of our platform, including how our technology allows enhanced delivery of cargo proteins, thereby impacting the biological processes associated with the diseases we seek to treat. In addition, with our expertise in the use of a CPP to effectively deliver proteins to intracellular targets, we believe that our scientists are well positioned to design and develop additional therapies that will address unmet medical needs associated with other rare diseases and develop other therapeutics with potentially disease modifying therapeutic action. We also plan to continue to build our intellectual property portfolio to expand our protein replacement therapy platform.</w:t>
      </w:r>
    </w:p>
    <w:p>
      <w:pPr>
        <w:spacing w:after="0" w:line="95" w:lineRule="exact"/>
        <w:rPr>
          <w:rFonts w:ascii="Arial" w:cs="Arial" w:eastAsia="Arial" w:hAnsi="Arial"/>
          <w:sz w:val="20"/>
          <w:szCs w:val="20"/>
          <w:color w:val="auto"/>
        </w:rPr>
      </w:pPr>
    </w:p>
    <w:p>
      <w:pPr>
        <w:ind w:left="1220" w:right="500" w:hanging="370"/>
        <w:spacing w:after="0" w:line="236" w:lineRule="auto"/>
        <w:tabs>
          <w:tab w:leader="none" w:pos="12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Opportunistically evaluate enabling, adjacent or potential competing technologies, and where advantageous, seek licenses or collaborations regarding those technologies, to advance our platform. </w:t>
      </w:r>
      <w:r>
        <w:rPr>
          <w:rFonts w:ascii="Times New Roman" w:cs="Times New Roman" w:eastAsia="Times New Roman" w:hAnsi="Times New Roman"/>
          <w:sz w:val="20"/>
          <w:szCs w:val="20"/>
          <w:color w:val="auto"/>
        </w:rPr>
        <w:t>We will continue to evaluate technologies that may enable or enhance our product candidates or our rare disease focus. To facilitate the advancement of our CPP platform, we periodically engage in partnering and licensing discussions with a range of biotechnology or pharmaceutical companies and academic institutions and maintain awareness of complementary technologies, synergistic opportunities and "tuck-in" options.</w:t>
      </w:r>
    </w:p>
    <w:p>
      <w:pPr>
        <w:spacing w:after="0" w:line="93" w:lineRule="exact"/>
        <w:rPr>
          <w:rFonts w:ascii="Arial" w:cs="Arial" w:eastAsia="Arial" w:hAnsi="Arial"/>
          <w:sz w:val="20"/>
          <w:szCs w:val="20"/>
          <w:color w:val="auto"/>
        </w:rPr>
      </w:pPr>
    </w:p>
    <w:p>
      <w:pPr>
        <w:ind w:left="1220" w:right="360" w:hanging="370"/>
        <w:spacing w:after="0" w:line="233" w:lineRule="auto"/>
        <w:tabs>
          <w:tab w:leader="none" w:pos="12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Continue to strengthen key relationships. </w:t>
      </w:r>
      <w:r>
        <w:rPr>
          <w:rFonts w:ascii="Times New Roman" w:cs="Times New Roman" w:eastAsia="Times New Roman" w:hAnsi="Times New Roman"/>
          <w:sz w:val="20"/>
          <w:szCs w:val="20"/>
          <w:color w:val="auto"/>
        </w:rPr>
        <w:t>We partner with experts in every aspect of development.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believe this expertise, along with our technology platform, will provide us with the ability to develop and commercialize the drug and biologic candidates we have under development and to maximize the value of our platform. In addition to partnering with experts in drug and biologic development, we collaborate with key opinion leaders, academic institutions, experts in the field of rare diseases and with patient advocacy groups associated with the diseases that are being targeted. 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We build these relationships to enhance our knowledge of the patient’s needs and utilize that knowledge to design development programs intended to address unmet medical needs and add value for potential patients.</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Platform Technology for Treatment of Rare Genetic Diseases</w:t>
      </w:r>
    </w:p>
    <w:p>
      <w:pPr>
        <w:spacing w:after="0" w:line="114" w:lineRule="exact"/>
        <w:rPr>
          <w:sz w:val="20"/>
          <w:szCs w:val="20"/>
          <w:color w:val="auto"/>
        </w:rPr>
      </w:pPr>
    </w:p>
    <w:p>
      <w:pPr>
        <w:ind w:left="360" w:right="420" w:firstLine="490"/>
        <w:spacing w:after="0" w:line="235" w:lineRule="auto"/>
        <w:rPr>
          <w:sz w:val="20"/>
          <w:szCs w:val="20"/>
          <w:color w:val="auto"/>
        </w:rPr>
      </w:pPr>
      <w:r>
        <w:rPr>
          <w:rFonts w:ascii="Times New Roman" w:cs="Times New Roman" w:eastAsia="Times New Roman" w:hAnsi="Times New Roman"/>
          <w:sz w:val="20"/>
          <w:szCs w:val="20"/>
          <w:color w:val="auto"/>
        </w:rPr>
        <w:t>There are estimated to be over 9,500 rare genetic diseases, which, collectively affect hundreds of millions of people worldwide. Of the hundreds of millions of individuals suffering from these rare genetic diseases, only approximately 5% have therapeutic options available to manage their disease. Many of these diseases result from a deficiency in the amount or the function of a particular target molecule, often a protein. Particularly challenging to treat are those diseases that result from the deficiency of a molecule that is active within a cell or within a cell-based organelle. The challenge to providing treatment of these diseases is the need to improve the amount or function of the therapeutic target by transporting a therapeutic element across the cell membrane and potentially the membrane of the organelle where the target is active in the diseased patients.</w:t>
      </w:r>
    </w:p>
    <w:p>
      <w:pPr>
        <w:spacing w:after="0" w:line="82" w:lineRule="exact"/>
        <w:rPr>
          <w:sz w:val="20"/>
          <w:szCs w:val="20"/>
          <w:color w:val="auto"/>
        </w:rPr>
      </w:pPr>
    </w:p>
    <w:p>
      <w:pPr>
        <w:ind w:left="360" w:right="460" w:firstLine="490"/>
        <w:spacing w:after="0" w:line="234" w:lineRule="auto"/>
        <w:rPr>
          <w:sz w:val="20"/>
          <w:szCs w:val="20"/>
          <w:color w:val="auto"/>
        </w:rPr>
      </w:pPr>
      <w:r>
        <w:rPr>
          <w:rFonts w:ascii="Times New Roman" w:cs="Times New Roman" w:eastAsia="Times New Roman" w:hAnsi="Times New Roman"/>
          <w:sz w:val="20"/>
          <w:szCs w:val="20"/>
          <w:color w:val="auto"/>
        </w:rPr>
        <w:t>The ability to transport therapeutic proteins across biological membranes has, to date, not been reproducibly achieved. The collective population of people with rare diseases stands to benefit from the emergence of a scalable treatment platform that can transport therapeutic proteins across cell membranes to deliver them to the intracellular site of activity. In addition, traditionally, medical treatment for each rare genetic disorder has been approached on a disease-by-disease basis. This approach is inefficient, as there are thousands of diseases, each with a distinct patient population, that cannot be addressed by traditional therapeutic approaches and are in need of treatment options. Our understanding of our therapeutics derived from proprietary gene expression data across several disease models supports the concept that product candidates based on our platform technology could significantly impact common pathological mechanisms in various diseases with comparable etiologies. We are utilizing this approach to identify therapeutic opportunities where our molecules and technology are more likely to be impactful.</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960" w:h="17280" w:orient="portrait"/>
          <w:cols w:equalWidth="0" w:num="1">
            <w:col w:w="10080"/>
          </w:cols>
          <w:pgMar w:left="1440" w:top="1440" w:right="1440" w:bottom="895"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Nomlabofusp For the Treatment of Friedreich’s ataxia</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Friedreich’s ataxia</w:t>
      </w:r>
    </w:p>
    <w:p>
      <w:pPr>
        <w:spacing w:after="0" w:line="108" w:lineRule="exact"/>
        <w:rPr>
          <w:sz w:val="20"/>
          <w:szCs w:val="20"/>
          <w:color w:val="auto"/>
        </w:rPr>
      </w:pPr>
    </w:p>
    <w:p>
      <w:pPr>
        <w:ind w:left="360" w:right="380" w:firstLine="490"/>
        <w:spacing w:after="0" w:line="235" w:lineRule="auto"/>
        <w:rPr>
          <w:sz w:val="20"/>
          <w:szCs w:val="20"/>
          <w:color w:val="auto"/>
        </w:rPr>
      </w:pPr>
      <w:r>
        <w:rPr>
          <w:rFonts w:ascii="Times New Roman" w:cs="Times New Roman" w:eastAsia="Times New Roman" w:hAnsi="Times New Roman"/>
          <w:sz w:val="20"/>
          <w:szCs w:val="20"/>
          <w:color w:val="auto"/>
        </w:rPr>
        <w:t>Friedreich’s ataxia is a rare genetic disease that is the most commonly inherited ataxia in humans, with approximately 20,000 individuals living with Friedreich’s ataxia globally, and of these individuals, approximately 5,000 are in the United States and the majority of the remaining individuals are primarily in Europe. Friedreich’s ataxia results from a deficiency of the mitochondrial protein, FXN. FXN is an essential and phylogenetically conserved protein that is found in cells throughout the body, with the highest levels found in the heart, spinal cord, liver, pancreas, and skeletal muscle. FXN is encoded in the nucleus of the cell, expressed in the cytoplasm and transported into the mitochondria, where it is processed to the mature form. As part of this process the mitochondrial targeting sequence is cleaved off in the mitochondria by a naturally occurring enzyme.</w:t>
      </w:r>
    </w:p>
    <w:p>
      <w:pPr>
        <w:spacing w:after="0" w:line="89" w:lineRule="exact"/>
        <w:rPr>
          <w:sz w:val="20"/>
          <w:szCs w:val="20"/>
          <w:color w:val="auto"/>
        </w:rPr>
      </w:pPr>
    </w:p>
    <w:p>
      <w:pPr>
        <w:ind w:left="360" w:right="480" w:firstLine="490"/>
        <w:spacing w:after="0" w:line="244" w:lineRule="auto"/>
        <w:rPr>
          <w:sz w:val="20"/>
          <w:szCs w:val="20"/>
          <w:color w:val="auto"/>
        </w:rPr>
      </w:pPr>
      <w:r>
        <w:rPr>
          <w:rFonts w:ascii="Times New Roman" w:cs="Times New Roman" w:eastAsia="Times New Roman" w:hAnsi="Times New Roman"/>
          <w:sz w:val="20"/>
          <w:szCs w:val="20"/>
          <w:color w:val="auto"/>
        </w:rPr>
        <w:t>Friedreich’s ataxia is a progressive multi-symptom disease typically presenting in mid-childhood that affects the functioning of multiple organs and systems. It is a debilitating neurodegenerative disease that results in poor coordination of legs and arms, progressive loss of the ability to walk, generalized weakness, loss of sensation, scoliosis, diabetes and cardiomyopathy as well as impaired vision, hearing and speech. Patients suffer from progressive neurologic and cardiac dysfunction. Key among these is a primary neurodegeneration of the dorsal root ganglia and the dentate nucleus of the cerebellum, which leads to the hallmark clinical findings of progressive limb ataxia and dysarthria. A hypertrophic cardiomyopathy is common and associated with early mortality, typically between 30 and 50 years of age. Omaveloxolone, the first drug approved for the treatment of FA, was approved by the FDA and the European Commission in February 2023 and February 2024, respectively.</w:t>
      </w:r>
    </w:p>
    <w:p>
      <w:pPr>
        <w:spacing w:after="0" w:line="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Nomlabofusp</w:t>
      </w:r>
    </w:p>
    <w:p>
      <w:pPr>
        <w:spacing w:after="0" w:line="118" w:lineRule="exact"/>
        <w:rPr>
          <w:sz w:val="20"/>
          <w:szCs w:val="20"/>
          <w:color w:val="auto"/>
        </w:rPr>
      </w:pPr>
    </w:p>
    <w:p>
      <w:pPr>
        <w:ind w:left="360" w:right="400" w:firstLine="490"/>
        <w:spacing w:after="0" w:line="249" w:lineRule="auto"/>
        <w:rPr>
          <w:sz w:val="20"/>
          <w:szCs w:val="20"/>
          <w:color w:val="auto"/>
        </w:rPr>
      </w:pPr>
      <w:r>
        <w:rPr>
          <w:rFonts w:ascii="Times New Roman" w:cs="Times New Roman" w:eastAsia="Times New Roman" w:hAnsi="Times New Roman"/>
          <w:sz w:val="20"/>
          <w:szCs w:val="20"/>
          <w:color w:val="auto"/>
        </w:rPr>
        <w:t>Nomlabofusp, an investigational biologic fusion protein that is administered subcutaneously, consists of a CPP genetically fused to human FXN, and includes a mitochondrial targeting sequence. Using our proprietary peptide delivery technology, nomlabofusp is designed to carry the molecule from the intravascular space across the cell membrane and into the mitochondria where the CPP and the mitochondrial targeting sequence are cleaved off to yield mature FXN. See Figure 1.</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90805</wp:posOffset>
            </wp:positionV>
            <wp:extent cx="4800600" cy="1790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extLst>
                    </a:blip>
                    <a:srcRect/>
                    <a:stretch>
                      <a:fillRect/>
                    </a:stretch>
                  </pic:blipFill>
                  <pic:spPr bwMode="auto">
                    <a:xfrm>
                      <a:off x="0" y="0"/>
                      <a:ext cx="4800600" cy="179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right="480" w:firstLine="490"/>
        <w:spacing w:after="0" w:line="235" w:lineRule="auto"/>
        <w:rPr>
          <w:sz w:val="20"/>
          <w:szCs w:val="20"/>
          <w:color w:val="auto"/>
        </w:rPr>
      </w:pPr>
      <w:r>
        <w:rPr>
          <w:rFonts w:ascii="Times New Roman" w:cs="Times New Roman" w:eastAsia="Times New Roman" w:hAnsi="Times New Roman"/>
          <w:sz w:val="20"/>
          <w:szCs w:val="20"/>
          <w:color w:val="auto"/>
        </w:rPr>
        <w:t>We have completed two Phase 1 nomlabofusp clinical trials, and a Phase 2 dose exploration trial and have an ongoing OLE study in the U.S with patients with initial dosing of 25 mg of nomlabofusp daily, which in November 2024 we increased to 50 mg daily. In January 2025, we started dosing of adolescents (12-17 years old) in a nomlabofusp pediatric PK run-in study. Study participants in the PK run-in study are randomized 2:1 to receive either nomlabofusp or placebo daily for seven days. Adolescents receive a weight-based dose equivalent to the 50 mg adult dose. Adolescents who complete participation in the PK run-in study will be eligible to screen in the ongoing OLE study. Following assessment of safety and PK data of each successive cohort, participants will be eligible to screen for the OLE study.</w:t>
      </w:r>
    </w:p>
    <w:p>
      <w:pPr>
        <w:spacing w:after="0" w:line="82" w:lineRule="exact"/>
        <w:rPr>
          <w:sz w:val="20"/>
          <w:szCs w:val="20"/>
          <w:color w:val="auto"/>
        </w:rPr>
      </w:pPr>
    </w:p>
    <w:p>
      <w:pPr>
        <w:jc w:val="both"/>
        <w:ind w:left="360" w:right="780" w:firstLine="490"/>
        <w:spacing w:after="0" w:line="248" w:lineRule="auto"/>
        <w:rPr>
          <w:sz w:val="20"/>
          <w:szCs w:val="20"/>
          <w:color w:val="auto"/>
        </w:rPr>
      </w:pPr>
      <w:r>
        <w:rPr>
          <w:rFonts w:ascii="Times New Roman" w:cs="Times New Roman" w:eastAsia="Times New Roman" w:hAnsi="Times New Roman"/>
          <w:sz w:val="20"/>
          <w:szCs w:val="20"/>
          <w:color w:val="auto"/>
        </w:rPr>
        <w:t>Based on the results of our non-clinical development program as well as results from our Phase 2 clinical trials, we believe that administering nomlabofusp may increase FXN levels in the mitochondria of patients with Friedreich’s ataxia and patients could potentially experience:</w:t>
      </w:r>
    </w:p>
    <w:p>
      <w:pPr>
        <w:spacing w:after="0" w:line="90" w:lineRule="exact"/>
        <w:rPr>
          <w:sz w:val="20"/>
          <w:szCs w:val="20"/>
          <w:color w:val="auto"/>
        </w:rPr>
      </w:pPr>
    </w:p>
    <w:p>
      <w:pPr>
        <w:ind w:left="1220" w:hanging="370"/>
        <w:spacing w:after="0"/>
        <w:tabs>
          <w:tab w:leader="none" w:pos="12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improved cellular function;</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a positive impact on Friedreich’s ataxia symptoms; and</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960" w:h="17280" w:orient="portrait"/>
          <w:cols w:equalWidth="0" w:num="1">
            <w:col w:w="10080"/>
          </w:cols>
          <w:pgMar w:left="1440" w:top="1440" w:right="1440" w:bottom="895"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20" w:hanging="370"/>
        <w:spacing w:after="0"/>
        <w:tabs>
          <w:tab w:leader="none" w:pos="12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 slowing of progression of the disease, potentially prolonging life.</w:t>
      </w:r>
    </w:p>
    <w:p>
      <w:pPr>
        <w:spacing w:after="0" w:line="119" w:lineRule="exact"/>
        <w:rPr>
          <w:sz w:val="20"/>
          <w:szCs w:val="20"/>
          <w:color w:val="auto"/>
        </w:rPr>
      </w:pPr>
    </w:p>
    <w:p>
      <w:pPr>
        <w:ind w:left="360" w:right="380" w:firstLine="490"/>
        <w:spacing w:after="0" w:line="245" w:lineRule="auto"/>
        <w:rPr>
          <w:sz w:val="20"/>
          <w:szCs w:val="20"/>
          <w:color w:val="auto"/>
        </w:rPr>
      </w:pPr>
      <w:r>
        <w:rPr>
          <w:rFonts w:ascii="Times New Roman" w:cs="Times New Roman" w:eastAsia="Times New Roman" w:hAnsi="Times New Roman"/>
          <w:sz w:val="20"/>
          <w:szCs w:val="20"/>
          <w:color w:val="auto"/>
        </w:rPr>
        <w:t>In our Phase 1 clinical trials, nomlabofusp appeared to increase FXN levels in the peripheral tissues that were tested (buccal cells, skin biopsies and platelets) and data from our Phase 2 dose exploration study demonstrated dose dependent increases in FXN levels in all evaluated tissues (skin and buccal cells) after daily dosing of 14 days followed by every other day dosing until day 28 in the 25 mg and 50 mg cohorts. Based on this, we believe that our technology may allow us to address other rare genetic diseases that either require the replacement of molecules that need to target specific intracellular organelles, or that share similar clinical symptoms that overlap with Friedreich’s ataxia. Finally, the use of nomlabofusp to improve mitochondrial function in other rare diseases that demonstrate evidence of mitochondrial dysfunction is also being explored.</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Development of Nomlabofusp</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Non-clinical Development</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Knock-Out Mice and Other Non-clinical Studies</w:t>
      </w:r>
    </w:p>
    <w:p>
      <w:pPr>
        <w:spacing w:after="0" w:line="118" w:lineRule="exact"/>
        <w:rPr>
          <w:sz w:val="20"/>
          <w:szCs w:val="20"/>
          <w:color w:val="auto"/>
        </w:rPr>
      </w:pPr>
    </w:p>
    <w:p>
      <w:pPr>
        <w:ind w:left="360" w:right="420" w:firstLine="490"/>
        <w:spacing w:after="0" w:line="246" w:lineRule="auto"/>
        <w:rPr>
          <w:sz w:val="20"/>
          <w:szCs w:val="20"/>
          <w:color w:val="auto"/>
        </w:rPr>
      </w:pPr>
      <w:r>
        <w:rPr>
          <w:rFonts w:ascii="Times New Roman" w:cs="Times New Roman" w:eastAsia="Times New Roman" w:hAnsi="Times New Roman"/>
          <w:sz w:val="20"/>
          <w:szCs w:val="20"/>
          <w:color w:val="auto"/>
        </w:rPr>
        <w:t>Nomlabofusp has been demonstrated to prolong the life of knock-out ("KO") mice whose heart and skeletal muscles were deficient in FXN. These mice, when untreated, develop a severe hypertrophic cardiomyopathy similar to patients with Friedreich’s ataxia and, like many Friedreich’s ataxia patients, die early in life. In non-clinical studies of nomlabofusp, the median survival in animals treated with vehicle of 98 days was extended to a median survival of 166 days in animals treated with nomlabofusp subcutaneously three times per week (p=0.0001). Furthermore, 87.5% of mice treated with nomlabofusp survived beyond the mean age of death in the vehicle treated group (107.5 days) whereas only 33% of vehicle treated animals survived. Results are reflected in Figure 2.</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90805</wp:posOffset>
            </wp:positionV>
            <wp:extent cx="2762885" cy="1924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2762885" cy="192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In a separate study conducted at an independent laboratory, a similar mouse model was studied. In this study doses of 2 mg/kg, 10 mg/kg, 30 mg/kg, 60 mg/kg and 100 mg/kg administered subcutaneously every other day were compared to vehicle. After 2 weeks of dosing, mitochondrial extracts from cardiac tissue were analyzed for the presence of human FXN. In addition, activity of succinate dehydrogenase ("SDH") an enzyme whose activity is dependent on the presence of FXN, was also analyzed. Human FXN was found in the mitochondria of the cardiomyocytes and increased with increasing dose. SDH activity which was suppressed to near zero in vehicle treated animals was also suppressed to near zero in the 2 mg/kg dose group. In the 10 mg/kg dose group activity was increased and in the 30 mg/kg dose group the activity was returned to that of wild type animals. There was no further increase in activity when the animals were dosed with 60 mg/kg or 100 mg/kg but the effect was maintained at levels equivalent to that of wild type animals. See Figures 3 and 4.</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960" w:h="17280" w:orient="portrait"/>
          <w:cols w:equalWidth="0" w:num="1">
            <w:col w:w="10080"/>
          </w:cols>
          <w:pgMar w:left="1440" w:top="1440" w:right="1440" w:bottom="895"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1866900</wp:posOffset>
            </wp:positionH>
            <wp:positionV relativeFrom="paragraph">
              <wp:posOffset>90805</wp:posOffset>
            </wp:positionV>
            <wp:extent cx="2667000" cy="1743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2667000" cy="174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1952625</wp:posOffset>
            </wp:positionH>
            <wp:positionV relativeFrom="paragraph">
              <wp:posOffset>90805</wp:posOffset>
            </wp:positionV>
            <wp:extent cx="2495550" cy="1619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2495550" cy="161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0" w:right="360" w:firstLine="490"/>
        <w:spacing w:after="0" w:line="249" w:lineRule="auto"/>
        <w:rPr>
          <w:sz w:val="20"/>
          <w:szCs w:val="20"/>
          <w:color w:val="auto"/>
        </w:rPr>
      </w:pPr>
      <w:r>
        <w:rPr>
          <w:rFonts w:ascii="Times New Roman" w:cs="Times New Roman" w:eastAsia="Times New Roman" w:hAnsi="Times New Roman"/>
          <w:sz w:val="20"/>
          <w:szCs w:val="20"/>
          <w:color w:val="auto"/>
        </w:rPr>
        <w:t>Another study, also performed at an independent laboratory, demonstrated the maintenance of cardiac function when the same KO mouse model was studied. These mice were treated with nomlabofusp at doses of 10 mg/kg every other day for 6 weeks. Echocardiograms were performed prior to initiating dosing and after 4 weeks of dosing. When compared to vehicle, mice treated with nomlabofusp maintained their left ventricular volume and ejection fraction while vehicle treated mice deteriorated over the same 4-week period. See Figures 5 and 6.</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90805</wp:posOffset>
            </wp:positionV>
            <wp:extent cx="4857750" cy="1838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4857750" cy="1838325"/>
                    </a:xfrm>
                    <a:prstGeom prst="rect">
                      <a:avLst/>
                    </a:prstGeom>
                    <a:noFill/>
                  </pic:spPr>
                </pic:pic>
              </a:graphicData>
            </a:graphic>
          </wp:anchor>
        </w:drawing>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960" w:h="17280" w:orient="portrait"/>
          <w:cols w:equalWidth="0" w:num="1">
            <w:col w:w="10080"/>
          </w:cols>
          <w:pgMar w:left="1440" w:top="1440" w:right="1440" w:bottom="895"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90805</wp:posOffset>
            </wp:positionV>
            <wp:extent cx="4714875" cy="1885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right="620" w:firstLine="490"/>
        <w:spacing w:after="0" w:line="277" w:lineRule="auto"/>
        <w:rPr>
          <w:sz w:val="20"/>
          <w:szCs w:val="20"/>
          <w:color w:val="auto"/>
        </w:rPr>
      </w:pPr>
      <w:r>
        <w:rPr>
          <w:rFonts w:ascii="Times New Roman" w:cs="Times New Roman" w:eastAsia="Times New Roman" w:hAnsi="Times New Roman"/>
          <w:sz w:val="20"/>
          <w:szCs w:val="20"/>
          <w:color w:val="auto"/>
        </w:rPr>
        <w:t>Using a neurologic mouse model, treatment with nomlabofusp prevented the development of ataxia in mice whose nervous system was deficient in FXN compared to those treated with placebo.</w:t>
      </w:r>
    </w:p>
    <w:p>
      <w:pPr>
        <w:spacing w:after="0" w:line="49" w:lineRule="exact"/>
        <w:rPr>
          <w:sz w:val="20"/>
          <w:szCs w:val="20"/>
          <w:color w:val="auto"/>
        </w:rPr>
      </w:pPr>
    </w:p>
    <w:p>
      <w:pPr>
        <w:ind w:left="360" w:right="620" w:firstLine="490"/>
        <w:spacing w:after="0" w:line="277" w:lineRule="auto"/>
        <w:rPr>
          <w:sz w:val="20"/>
          <w:szCs w:val="20"/>
          <w:color w:val="auto"/>
        </w:rPr>
      </w:pPr>
      <w:r>
        <w:rPr>
          <w:rFonts w:ascii="Times New Roman" w:cs="Times New Roman" w:eastAsia="Times New Roman" w:hAnsi="Times New Roman"/>
          <w:sz w:val="20"/>
          <w:szCs w:val="20"/>
          <w:color w:val="auto"/>
        </w:rPr>
        <w:t>In multiple non-clinical studies in rodents and non-human primates ("NHPs"), human FXN was found to be distributed into all tissues tested following nomlabofusp dosing. See Figure 7.</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7.</w:t>
      </w:r>
    </w:p>
    <w:p>
      <w:pPr>
        <w:spacing w:after="0" w:line="200" w:lineRule="exact"/>
        <w:rPr>
          <w:sz w:val="20"/>
          <w:szCs w:val="20"/>
          <w:color w:val="auto"/>
        </w:rPr>
      </w:pPr>
    </w:p>
    <w:p>
      <w:pPr>
        <w:spacing w:after="0" w:line="3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Observed hFXN across all tissue and cell types tested:</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266"/>
        </w:trPr>
        <w:tc>
          <w:tcPr>
            <w:tcW w:w="240" w:type="dxa"/>
            <w:vAlign w:val="bottom"/>
          </w:tcPr>
          <w:p>
            <w:pPr>
              <w:spacing w:after="0"/>
              <w:rPr>
                <w:sz w:val="23"/>
                <w:szCs w:val="23"/>
                <w:color w:val="auto"/>
              </w:rPr>
            </w:pPr>
          </w:p>
        </w:tc>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Brain</w:t>
            </w:r>
          </w:p>
        </w:tc>
        <w:tc>
          <w:tcPr>
            <w:tcW w:w="600" w:type="dxa"/>
            <w:vAlign w:val="bottom"/>
          </w:tcPr>
          <w:p>
            <w:pPr>
              <w:spacing w:after="0"/>
              <w:rPr>
                <w:sz w:val="23"/>
                <w:szCs w:val="23"/>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Spinal Cord</w:t>
            </w:r>
          </w:p>
        </w:tc>
        <w:tc>
          <w:tcPr>
            <w:tcW w:w="680" w:type="dxa"/>
            <w:vAlign w:val="bottom"/>
          </w:tcPr>
          <w:p>
            <w:pPr>
              <w:spacing w:after="0"/>
              <w:rPr>
                <w:sz w:val="23"/>
                <w:szCs w:val="23"/>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Skin</w:t>
            </w:r>
          </w:p>
        </w:tc>
      </w:tr>
      <w:tr>
        <w:trPr>
          <w:trHeight w:val="322"/>
        </w:trPr>
        <w:tc>
          <w:tcPr>
            <w:tcW w:w="240" w:type="dxa"/>
            <w:vAlign w:val="bottom"/>
          </w:tcPr>
          <w:p>
            <w:pPr>
              <w:spacing w:after="0"/>
              <w:rPr>
                <w:sz w:val="24"/>
                <w:szCs w:val="24"/>
                <w:color w:val="auto"/>
              </w:rPr>
            </w:pPr>
          </w:p>
        </w:tc>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Heart</w:t>
            </w:r>
          </w:p>
        </w:tc>
        <w:tc>
          <w:tcPr>
            <w:tcW w:w="600" w:type="dxa"/>
            <w:vAlign w:val="bottom"/>
          </w:tcPr>
          <w:p>
            <w:pPr>
              <w:spacing w:after="0"/>
              <w:rPr>
                <w:sz w:val="24"/>
                <w:szCs w:val="24"/>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Cardiac Mitochondria</w:t>
            </w:r>
          </w:p>
        </w:tc>
        <w:tc>
          <w:tcPr>
            <w:tcW w:w="68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8"/>
              </w:rPr>
              <w:t>Buccal Cells</w:t>
            </w:r>
          </w:p>
        </w:tc>
      </w:tr>
      <w:tr>
        <w:trPr>
          <w:trHeight w:val="322"/>
        </w:trPr>
        <w:tc>
          <w:tcPr>
            <w:tcW w:w="240" w:type="dxa"/>
            <w:vAlign w:val="bottom"/>
          </w:tcPr>
          <w:p>
            <w:pPr>
              <w:spacing w:after="0"/>
              <w:rPr>
                <w:sz w:val="24"/>
                <w:szCs w:val="24"/>
                <w:color w:val="auto"/>
              </w:rPr>
            </w:pPr>
          </w:p>
        </w:tc>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Liver</w:t>
            </w:r>
          </w:p>
        </w:tc>
        <w:tc>
          <w:tcPr>
            <w:tcW w:w="600" w:type="dxa"/>
            <w:vAlign w:val="bottom"/>
          </w:tcPr>
          <w:p>
            <w:pPr>
              <w:spacing w:after="0"/>
              <w:rPr>
                <w:sz w:val="24"/>
                <w:szCs w:val="24"/>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CSF (Cerebrospinal Fluid)</w:t>
            </w:r>
          </w:p>
        </w:tc>
        <w:tc>
          <w:tcPr>
            <w:tcW w:w="68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Platelets</w:t>
            </w:r>
          </w:p>
        </w:tc>
      </w:tr>
      <w:tr>
        <w:trPr>
          <w:trHeight w:val="322"/>
        </w:trPr>
        <w:tc>
          <w:tcPr>
            <w:tcW w:w="240" w:type="dxa"/>
            <w:vAlign w:val="bottom"/>
          </w:tcPr>
          <w:p>
            <w:pPr>
              <w:spacing w:after="0"/>
              <w:rPr>
                <w:sz w:val="24"/>
                <w:szCs w:val="24"/>
                <w:color w:val="auto"/>
              </w:rPr>
            </w:pPr>
          </w:p>
        </w:tc>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Dorsal Root Ganglia</w:t>
            </w:r>
          </w:p>
        </w:tc>
        <w:tc>
          <w:tcPr>
            <w:tcW w:w="600" w:type="dxa"/>
            <w:vAlign w:val="bottom"/>
          </w:tcPr>
          <w:p>
            <w:pPr>
              <w:spacing w:after="0"/>
              <w:rPr>
                <w:sz w:val="24"/>
                <w:szCs w:val="24"/>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Skeletal Muscle</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Non-Human Primate and Rat Toxicology Studies</w:t>
      </w:r>
    </w:p>
    <w:p>
      <w:pPr>
        <w:spacing w:after="0" w:line="114" w:lineRule="exact"/>
        <w:rPr>
          <w:sz w:val="20"/>
          <w:szCs w:val="20"/>
          <w:color w:val="auto"/>
        </w:rPr>
      </w:pPr>
    </w:p>
    <w:p>
      <w:pPr>
        <w:ind w:left="360" w:right="360" w:firstLine="490"/>
        <w:spacing w:after="0" w:line="244" w:lineRule="auto"/>
        <w:rPr>
          <w:sz w:val="20"/>
          <w:szCs w:val="20"/>
          <w:color w:val="auto"/>
        </w:rPr>
      </w:pPr>
      <w:r>
        <w:rPr>
          <w:rFonts w:ascii="Times New Roman" w:cs="Times New Roman" w:eastAsia="Times New Roman" w:hAnsi="Times New Roman"/>
          <w:sz w:val="20"/>
          <w:szCs w:val="20"/>
          <w:color w:val="auto"/>
        </w:rPr>
        <w:t>We previously conducted 28-day and 13-week GLP toxicology studies of nomlabofusp in two species, rat and NHP. In the rat studies, some injection sites showed edema and erythema with associated histologic changes localized to the injection site. The rat studies showed no significant clinical observations and no significant systemic histopathological findings. In the NHP studies, some injection sites were raised and firm with dose dependent histologic changes localized to the injection sites. The NHP 28-day study showed no systemic toxicity. The NHP 13-week study showed no systemic toxicity in the low and mid-dose groups, and minimal to mild histopathological findings in the high dose group. There were also several episodes of occasional transient muscle rigidity in some animals observed immediately after dosing in the two highest dose groups at very high exposures. These clinical observations resolved with no intervention and all of the NHPs who experienced these clinical observations received all doses and completed the in-life portion of the study.</w:t>
      </w:r>
    </w:p>
    <w:p>
      <w:pPr>
        <w:spacing w:after="0" w:line="82" w:lineRule="exact"/>
        <w:rPr>
          <w:sz w:val="20"/>
          <w:szCs w:val="20"/>
          <w:color w:val="auto"/>
        </w:rPr>
      </w:pPr>
    </w:p>
    <w:p>
      <w:pPr>
        <w:ind w:left="360" w:right="420" w:firstLine="490"/>
        <w:spacing w:after="0" w:line="246" w:lineRule="auto"/>
        <w:rPr>
          <w:sz w:val="20"/>
          <w:szCs w:val="20"/>
          <w:color w:val="auto"/>
        </w:rPr>
      </w:pPr>
      <w:r>
        <w:rPr>
          <w:rFonts w:ascii="Times New Roman" w:cs="Times New Roman" w:eastAsia="Times New Roman" w:hAnsi="Times New Roman"/>
          <w:sz w:val="20"/>
          <w:szCs w:val="20"/>
          <w:color w:val="auto"/>
        </w:rPr>
        <w:t>To support extended dosing of patients with nomlabofusp, we conducted a 26-week NHP toxicology study in 2021. In May 2021, we notified the FDA of certain mortalities which occurred at the two highest dose levels in the then-ongoing study. On May 25, 2021, the FDA placed a clinical hold on the nomlabofusp clinical program. In the clinical hold letter, the FDA stated that it needed to review a full study report from the then-ongoing NHP study and that we could not initiate additional interventional clinical trials until we submitted such report and received notification from the FDA that additional clinical trials could commence. At the time of the FDA clinical hold, we had no interventional clinical trials with patients enrolled or enrolling.</w:t>
      </w:r>
    </w:p>
    <w:p>
      <w:pPr>
        <w:spacing w:after="0" w:line="80" w:lineRule="exact"/>
        <w:rPr>
          <w:sz w:val="20"/>
          <w:szCs w:val="20"/>
          <w:color w:val="auto"/>
        </w:rPr>
      </w:pPr>
    </w:p>
    <w:p>
      <w:pPr>
        <w:ind w:left="360" w:right="360" w:firstLine="490"/>
        <w:spacing w:after="0" w:line="249" w:lineRule="auto"/>
        <w:rPr>
          <w:sz w:val="20"/>
          <w:szCs w:val="20"/>
          <w:color w:val="auto"/>
        </w:rPr>
      </w:pPr>
      <w:r>
        <w:rPr>
          <w:rFonts w:ascii="Times New Roman" w:cs="Times New Roman" w:eastAsia="Times New Roman" w:hAnsi="Times New Roman"/>
          <w:sz w:val="20"/>
          <w:szCs w:val="20"/>
          <w:color w:val="auto"/>
        </w:rPr>
        <w:t>In July 2021, we completed dosing in the 26-week NHP toxicology study. The study included four dose groups in addition to vehicle. Data from the study were collected throughout the second half of 2021 and included in the complete response to the clinical hold submitted to the FDA in January 2022. After additional interactions and submission of additional information requested by FDA, in September 2022, the FDA lifted its full clinical hold on the nomlabofusp clinical development program and imposed a partial clinical hold. Following additional interactions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960" w:h="17280" w:orient="portrait"/>
          <w:cols w:equalWidth="0" w:num="1">
            <w:col w:w="10080"/>
          </w:cols>
          <w:pgMar w:left="1440" w:top="1440" w:right="1440" w:bottom="895"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840"/>
        <w:spacing w:after="0" w:line="277" w:lineRule="auto"/>
        <w:rPr>
          <w:sz w:val="20"/>
          <w:szCs w:val="20"/>
          <w:color w:val="auto"/>
        </w:rPr>
      </w:pPr>
      <w:r>
        <w:rPr>
          <w:rFonts w:ascii="Times New Roman" w:cs="Times New Roman" w:eastAsia="Times New Roman" w:hAnsi="Times New Roman"/>
          <w:sz w:val="20"/>
          <w:szCs w:val="20"/>
          <w:color w:val="auto"/>
        </w:rPr>
        <w:t>and submission of clinical data, in May 2024, the FDA removed the partial clinical hold on the development of nomlabofusp.</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Clinical Development</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Non-Interventional Study</w:t>
      </w:r>
    </w:p>
    <w:p>
      <w:pPr>
        <w:spacing w:after="0" w:line="116" w:lineRule="exact"/>
        <w:rPr>
          <w:sz w:val="20"/>
          <w:szCs w:val="20"/>
          <w:color w:val="auto"/>
        </w:rPr>
      </w:pPr>
    </w:p>
    <w:p>
      <w:pPr>
        <w:ind w:left="360" w:right="540" w:firstLine="490"/>
        <w:spacing w:after="0" w:line="249" w:lineRule="auto"/>
        <w:rPr>
          <w:sz w:val="20"/>
          <w:szCs w:val="20"/>
          <w:color w:val="auto"/>
        </w:rPr>
      </w:pPr>
      <w:r>
        <w:rPr>
          <w:rFonts w:ascii="Times New Roman" w:cs="Times New Roman" w:eastAsia="Times New Roman" w:hAnsi="Times New Roman"/>
          <w:sz w:val="20"/>
          <w:szCs w:val="20"/>
          <w:color w:val="auto"/>
        </w:rPr>
        <w:t>In 2021, we conducted a non-interventional study that enrolled 60 healthy adults to examine the range of tissue FXN concentrations in individuals who are homozygous for the normal FXN gene. Tissue samples in these studies were collected using the same sampling techniques and proprietary assay used in the interventional studies. Enrollment in this study was completed in 2022 and data has been used for comparison purposes in the Phase 2 clinical study described below. See Figure 8.</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90805</wp:posOffset>
            </wp:positionV>
            <wp:extent cx="5944235" cy="2887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5944235" cy="288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0" w:right="420"/>
        <w:spacing w:after="0" w:line="252" w:lineRule="auto"/>
        <w:rPr>
          <w:sz w:val="20"/>
          <w:szCs w:val="20"/>
          <w:color w:val="auto"/>
        </w:rPr>
      </w:pPr>
      <w:r>
        <w:rPr>
          <w:rFonts w:ascii="Times New Roman" w:cs="Times New Roman" w:eastAsia="Times New Roman" w:hAnsi="Times New Roman"/>
          <w:sz w:val="16"/>
          <w:szCs w:val="16"/>
          <w:color w:val="auto"/>
        </w:rPr>
        <w:t>FXN concentrations were measured in skin and buccal cells from 60 homozygous healthy volunteers utilizing the same sampling technique and assay as clinical trials of nomlabofusp; FXN levels measured via detection of peptide derived from mature FXN; FXN concentrations normalized to total cellular protein content in each sample. 1. E.C. Deutsch et al. Molecular Genetics and Metabolism 101 (2010) 238–245. 2. Friedreich’s Ataxia Research Alliance</w:t>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Clinical Trials</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Completed Phase 1 Clinical Studies in Adults with Friedreich’s Ataxia</w:t>
      </w:r>
    </w:p>
    <w:p>
      <w:pPr>
        <w:spacing w:after="0" w:line="116" w:lineRule="exact"/>
        <w:rPr>
          <w:sz w:val="20"/>
          <w:szCs w:val="20"/>
          <w:color w:val="auto"/>
        </w:rPr>
      </w:pPr>
    </w:p>
    <w:p>
      <w:pPr>
        <w:ind w:left="360" w:right="380" w:firstLine="490"/>
        <w:spacing w:after="0" w:line="242" w:lineRule="auto"/>
        <w:rPr>
          <w:sz w:val="20"/>
          <w:szCs w:val="20"/>
          <w:color w:val="auto"/>
        </w:rPr>
      </w:pPr>
      <w:r>
        <w:rPr>
          <w:rFonts w:ascii="Times New Roman" w:cs="Times New Roman" w:eastAsia="Times New Roman" w:hAnsi="Times New Roman"/>
          <w:sz w:val="20"/>
          <w:szCs w:val="20"/>
          <w:color w:val="auto"/>
        </w:rPr>
        <w:t>We submitted our Investigational New Drug application ("IND") application for nomlabofusp and began Phase 1 clinical trials in 2019 in patients with FA. We completed two clinical studies of nomlabofusp in adult subjects with FA, a SAD study (completed in 2020) and a MAD study (completed in 2021). The primary objective for the SAD and MAD studies was to assess the tolerability of nomlabofusp at doses ranging from 25 mg to 100 mg administered via subcutaneous injection ("SC"). The secondary objectives were to establish the PK of nomlabofusp administration in humans and to explore the PD of nomlabofusp administration by measuring tissue FXN concentrations in accessible tissues, namely buccal and skin cells, and in platelets. Administration of nomlabofusp via SC injection appeared to be well tolerated up to doses of 100 mg administered daily for up to 13 days. No SAEs were reported in either study. The most common treatment emergent adverse events ("TEAEs") were injection site reactions ("ISRs") that were generally mild, self-limited, and usually resolved within approximately 1 hour. Patients in the 25 mg cohort were dosed once a day for the first 4 days followed by 1 dose every third day through day 13 for a total of 7 doses, while the patients in the 50 mg cohort were dosed once a day for the first 7 days followed by 1 dose every other day through day 13 for a total of 10 doses, and patients in the 100 mg cohort were dosed once a day for 13 days consecutively for a total of 13 doses (see Figures 9 and 10). The study was designed in this fashion to ensure that the PK of nomlabofusp in patients with FA were characterized at the lower doses before the dose was escalated. This is typical of first in human studies such as multiple-ascending dose trials that evaluate a study drug’s clinical safety profile.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960" w:h="17280" w:orient="portrait"/>
          <w:cols w:equalWidth="0" w:num="1">
            <w:col w:w="10080"/>
          </w:cols>
          <w:pgMar w:left="1440" w:top="1440" w:right="1440" w:bottom="895"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620" w:firstLine="490"/>
        <w:spacing w:after="0" w:line="277" w:lineRule="auto"/>
        <w:rPr>
          <w:sz w:val="20"/>
          <w:szCs w:val="20"/>
          <w:color w:val="auto"/>
        </w:rPr>
      </w:pPr>
      <w:r>
        <w:rPr>
          <w:rFonts w:ascii="Times New Roman" w:cs="Times New Roman" w:eastAsia="Times New Roman" w:hAnsi="Times New Roman"/>
          <w:sz w:val="20"/>
          <w:szCs w:val="20"/>
          <w:color w:val="auto"/>
        </w:rPr>
        <w:t>There was rapid uptake of nomlabofusp into the circulation following subcutaneous injection, and exposure appeared to be proportional to dose.</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90805</wp:posOffset>
            </wp:positionV>
            <wp:extent cx="5944235" cy="2868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5944235" cy="286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90805</wp:posOffset>
            </wp:positionV>
            <wp:extent cx="5944235" cy="2953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5944235"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60" w:right="440"/>
        <w:spacing w:after="0" w:line="258" w:lineRule="auto"/>
        <w:rPr>
          <w:sz w:val="20"/>
          <w:szCs w:val="20"/>
          <w:color w:val="auto"/>
        </w:rPr>
      </w:pPr>
      <w:r>
        <w:rPr>
          <w:rFonts w:ascii="Times New Roman" w:cs="Times New Roman" w:eastAsia="Times New Roman" w:hAnsi="Times New Roman"/>
          <w:sz w:val="16"/>
          <w:szCs w:val="16"/>
          <w:color w:val="auto"/>
        </w:rPr>
        <w:t>*FXN levels measured via detection of peptide derived from mature FXN; FXN concentrations are normalized to total cellular protein content in each sample; Data represent median and 25th and 75th percentiles; FXN levels from day 4, &amp; day 13 measurements are shown for data derived from the 25 mg cohort; FXN levels from day 7 &amp; day 13 measurements are shown for data derived from the 50 &amp; 100 mg cohorts.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Completed Phase 2 Dose Exploration Study</w:t>
      </w:r>
    </w:p>
    <w:p>
      <w:pPr>
        <w:spacing w:after="0" w:line="120" w:lineRule="exact"/>
        <w:rPr>
          <w:sz w:val="20"/>
          <w:szCs w:val="20"/>
          <w:color w:val="auto"/>
        </w:rPr>
      </w:pPr>
    </w:p>
    <w:p>
      <w:pPr>
        <w:ind w:left="360" w:right="620" w:firstLine="490"/>
        <w:spacing w:after="0" w:line="249" w:lineRule="auto"/>
        <w:rPr>
          <w:sz w:val="20"/>
          <w:szCs w:val="20"/>
          <w:color w:val="auto"/>
        </w:rPr>
      </w:pPr>
      <w:r>
        <w:rPr>
          <w:rFonts w:ascii="Times New Roman" w:cs="Times New Roman" w:eastAsia="Times New Roman" w:hAnsi="Times New Roman"/>
          <w:sz w:val="20"/>
          <w:szCs w:val="20"/>
          <w:color w:val="auto"/>
        </w:rPr>
        <w:t>The Phase 2 randomized, double-blind, placebo-controlled dose exploration study evaluated the safety, tolerability, PK and PD of two doses of nomlabofusp. Cohort 1 evaluated 25 mg and Cohort 2 evaluated 50 mg. Participants in either the 25 mg or 50 mg cohorts were randomized 2:1 to receive daily subcutaneous injections of either nomlabofusp or placebo for 14 days, and then every other day for an additional 14 days for a total 28-day dosing period.</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960" w:h="17280" w:orient="portrait"/>
          <w:cols w:equalWidth="0" w:num="1">
            <w:col w:w="10080"/>
          </w:cols>
          <w:pgMar w:left="1440" w:top="1440" w:right="1440" w:bottom="895"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80" w:firstLine="490"/>
        <w:spacing w:after="0" w:line="252" w:lineRule="auto"/>
        <w:rPr>
          <w:sz w:val="20"/>
          <w:szCs w:val="20"/>
          <w:color w:val="auto"/>
        </w:rPr>
      </w:pPr>
      <w:r>
        <w:rPr>
          <w:rFonts w:ascii="Times New Roman" w:cs="Times New Roman" w:eastAsia="Times New Roman" w:hAnsi="Times New Roman"/>
          <w:sz w:val="20"/>
          <w:szCs w:val="20"/>
          <w:color w:val="auto"/>
        </w:rPr>
        <w:t>In May 2023, we reported preliminary unblinded top-line data from the 25 mg cohort of the dose exploration study. Data from the cohort indicated nomlabofusp was generally well tolerated and showed increases in FXN levels from baseline compared to placebo in all evaluated tissues (skin and buccal cells) at day 14. In July 2023, the FDA cleared initiation of the second cohort (50 mg) of the study.</w:t>
      </w:r>
    </w:p>
    <w:p>
      <w:pPr>
        <w:spacing w:after="0" w:line="74" w:lineRule="exact"/>
        <w:rPr>
          <w:sz w:val="20"/>
          <w:szCs w:val="20"/>
          <w:color w:val="auto"/>
        </w:rPr>
      </w:pPr>
    </w:p>
    <w:p>
      <w:pPr>
        <w:ind w:left="360" w:right="480" w:firstLine="490"/>
        <w:spacing w:after="0" w:line="252" w:lineRule="auto"/>
        <w:rPr>
          <w:sz w:val="20"/>
          <w:szCs w:val="20"/>
          <w:color w:val="auto"/>
        </w:rPr>
      </w:pPr>
      <w:r>
        <w:rPr>
          <w:rFonts w:ascii="Times New Roman" w:cs="Times New Roman" w:eastAsia="Times New Roman" w:hAnsi="Times New Roman"/>
          <w:sz w:val="20"/>
          <w:szCs w:val="20"/>
          <w:color w:val="auto"/>
        </w:rPr>
        <w:t>In February 2024, we reported positive top-line data and successful completion of the dose exploration study. Nomlabofusp was generally well tolerated and demonstrated dose response in FXN levels in all evaluated tissues (skin and buccal cells) after daily dosing of 14 days followed by every other day dosing until day 28 in the 25 mg and 50 mg cohorts.</w:t>
      </w:r>
    </w:p>
    <w:p>
      <w:pPr>
        <w:spacing w:after="0" w:line="74" w:lineRule="exact"/>
        <w:rPr>
          <w:sz w:val="20"/>
          <w:szCs w:val="20"/>
          <w:color w:val="auto"/>
        </w:rPr>
      </w:pPr>
    </w:p>
    <w:p>
      <w:pPr>
        <w:ind w:left="360" w:right="520" w:firstLine="490"/>
        <w:spacing w:after="0" w:line="246" w:lineRule="auto"/>
        <w:rPr>
          <w:sz w:val="20"/>
          <w:szCs w:val="20"/>
          <w:color w:val="auto"/>
        </w:rPr>
      </w:pPr>
      <w:r>
        <w:rPr>
          <w:rFonts w:ascii="Times New Roman" w:cs="Times New Roman" w:eastAsia="Times New Roman" w:hAnsi="Times New Roman"/>
          <w:sz w:val="20"/>
          <w:szCs w:val="20"/>
          <w:color w:val="auto"/>
        </w:rPr>
        <w:t>With regard to safety in the Phase 2 dose exploration trial, there were a total of 28 participants (19 received nomlabofusp and 9 received placebo). There were no serious adverse events reported. There was one allergic reaction which was considered to be a severe adverse event in the 25 mg cohort that resolved with standard treatment. This participant withdrew from the trial. The most common adverse events reported were mild and moderate injection site reactions which resolved without any intervention and there were no study discontinuations due to injection site reactions. Consistent with findings in our Phase 1 study, nomlabofusp demonstrated quick absorption after subcutaneous administration and had dose proportional increases in exposure.</w:t>
      </w:r>
    </w:p>
    <w:p>
      <w:pPr>
        <w:spacing w:after="0" w:line="80" w:lineRule="exact"/>
        <w:rPr>
          <w:sz w:val="20"/>
          <w:szCs w:val="20"/>
          <w:color w:val="auto"/>
        </w:rPr>
      </w:pPr>
    </w:p>
    <w:p>
      <w:pPr>
        <w:ind w:left="360" w:right="380" w:firstLine="490"/>
        <w:spacing w:after="0" w:line="246" w:lineRule="auto"/>
        <w:rPr>
          <w:sz w:val="20"/>
          <w:szCs w:val="20"/>
          <w:color w:val="auto"/>
        </w:rPr>
      </w:pPr>
      <w:r>
        <w:rPr>
          <w:rFonts w:ascii="Times New Roman" w:cs="Times New Roman" w:eastAsia="Times New Roman" w:hAnsi="Times New Roman"/>
          <w:sz w:val="20"/>
          <w:szCs w:val="20"/>
          <w:color w:val="auto"/>
        </w:rPr>
        <w:t>Participants treated with 50 mg for 14 days daily had frataxin levels in skin cells increase from less than 17% at baseline relative to healthy volunteers, to 33% to 59% of healthy volunteers after 14 days of treatment. Patients treated with placebo showed no increase in their frataxin levels during this period. Additionally, the majority of treated patients in both cohorts with quantifiable levels of frataxin at baseline and day 14 achieve at least a 100% increase in tissue frataxin in skin cells, and at least a 30% increase in tissue frataxin levels in buccal cells. Figures 11 and 14 show a clear dose response and increase from baseline in skin tissue and buccal tissue frataxin levels, respectively.</w:t>
      </w:r>
    </w:p>
    <w:p>
      <w:pPr>
        <w:spacing w:after="0" w:line="80" w:lineRule="exact"/>
        <w:rPr>
          <w:sz w:val="20"/>
          <w:szCs w:val="20"/>
          <w:color w:val="auto"/>
        </w:rPr>
      </w:pPr>
    </w:p>
    <w:p>
      <w:pPr>
        <w:ind w:left="360" w:right="460" w:firstLine="490"/>
        <w:spacing w:after="0" w:line="258" w:lineRule="auto"/>
        <w:rPr>
          <w:sz w:val="20"/>
          <w:szCs w:val="20"/>
          <w:color w:val="auto"/>
        </w:rPr>
      </w:pPr>
      <w:r>
        <w:rPr>
          <w:rFonts w:ascii="Times New Roman" w:cs="Times New Roman" w:eastAsia="Times New Roman" w:hAnsi="Times New Roman"/>
          <w:sz w:val="20"/>
          <w:szCs w:val="20"/>
          <w:color w:val="auto"/>
        </w:rPr>
        <w:t>The graph on the left in both Figures 12 and 15 shows a dose dependent increase in frataxin levels after 14 days of treatment. With both skin and buccal cells, when dosing is switched to every other day the magnitude of the increase in frataxin levels declines.</w:t>
      </w:r>
    </w:p>
    <w:p>
      <w:pPr>
        <w:spacing w:after="0" w:line="68" w:lineRule="exact"/>
        <w:rPr>
          <w:sz w:val="20"/>
          <w:szCs w:val="20"/>
          <w:color w:val="auto"/>
        </w:rPr>
      </w:pPr>
    </w:p>
    <w:p>
      <w:pPr>
        <w:jc w:val="both"/>
        <w:ind w:left="360" w:right="420" w:firstLine="490"/>
        <w:spacing w:after="0" w:line="247" w:lineRule="auto"/>
        <w:rPr>
          <w:sz w:val="20"/>
          <w:szCs w:val="20"/>
          <w:color w:val="auto"/>
        </w:rPr>
      </w:pPr>
      <w:r>
        <w:rPr>
          <w:rFonts w:ascii="Times New Roman" w:cs="Times New Roman" w:eastAsia="Times New Roman" w:hAnsi="Times New Roman"/>
          <w:sz w:val="20"/>
          <w:szCs w:val="20"/>
          <w:color w:val="auto"/>
        </w:rPr>
        <w:t>The waterfall plots on the right in both Figures 12 and 15 depict the individual changes in frataxin levels from baseline in skin cells and buccal cells at day 14 respectively. Each bar represents an individual patient, with placebo treated participants in gray, the 25 mg cohort in aqua, and the 50 mg cohort in blue. The majority of patients treated with nomlabofusp had significant increases in frataxin levels while placebo patients were basically unchanged.</w:t>
      </w:r>
    </w:p>
    <w:p>
      <w:pPr>
        <w:spacing w:after="0" w:line="1" w:lineRule="exact"/>
        <w:rPr>
          <w:sz w:val="20"/>
          <w:szCs w:val="20"/>
          <w:color w:val="auto"/>
        </w:rPr>
      </w:pPr>
    </w:p>
    <w:p>
      <w:pPr>
        <w:ind w:left="360" w:right="620"/>
        <w:spacing w:after="0" w:line="248" w:lineRule="auto"/>
        <w:rPr>
          <w:sz w:val="20"/>
          <w:szCs w:val="20"/>
          <w:color w:val="auto"/>
        </w:rPr>
      </w:pPr>
      <w:r>
        <w:rPr>
          <w:rFonts w:ascii="Times New Roman" w:cs="Times New Roman" w:eastAsia="Times New Roman" w:hAnsi="Times New Roman"/>
          <w:sz w:val="20"/>
          <w:szCs w:val="20"/>
          <w:color w:val="auto"/>
        </w:rPr>
        <w:t>Importantly, there also appears to be a dose response as frataxin levels are notably increased in most of the 50 mg cohort over the 25 mg cohort.</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960" w:h="17280" w:orient="portrait"/>
          <w:cols w:equalWidth="0" w:num="1">
            <w:col w:w="10080"/>
          </w:cols>
          <w:pgMar w:left="1440" w:top="1440" w:right="1440" w:bottom="895"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90805</wp:posOffset>
            </wp:positionV>
            <wp:extent cx="5943600" cy="2924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5943600"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Only participants with quantifiable levels at baseline and day 14 and day 28 are included in the tables.</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90805</wp:posOffset>
            </wp:positionV>
            <wp:extent cx="5943600" cy="299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5943600" cy="299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0" w:right="440"/>
        <w:spacing w:after="0" w:line="249" w:lineRule="auto"/>
        <w:rPr>
          <w:sz w:val="20"/>
          <w:szCs w:val="20"/>
          <w:color w:val="auto"/>
        </w:rPr>
      </w:pPr>
      <w:r>
        <w:rPr>
          <w:rFonts w:ascii="Times New Roman" w:cs="Times New Roman" w:eastAsia="Times New Roman" w:hAnsi="Times New Roman"/>
          <w:sz w:val="16"/>
          <w:szCs w:val="16"/>
          <w:color w:val="auto"/>
        </w:rPr>
        <w:t>*FXN levels measured via detection of peptide derived from mature FXN; FXN concentrations are normalized to total cellular protein content in each sample. Data represent median and 25th and 75th percentiles. Only participants with quantifiable levels at both baseline and day 14 are included in the figures.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**Median baseline FXN levels in patients were 3.5 pg/μg for the placebo, 3.7 pg/μg for the 25 mg cohort and 2.1 pg/μg for the 50 mg cohort.</w:t>
      </w:r>
    </w:p>
    <w:p>
      <w:pPr>
        <w:spacing w:after="0" w:line="94" w:lineRule="exact"/>
        <w:rPr>
          <w:sz w:val="20"/>
          <w:szCs w:val="20"/>
          <w:color w:val="auto"/>
        </w:rPr>
      </w:pPr>
    </w:p>
    <w:p>
      <w:pPr>
        <w:ind w:left="360" w:right="480" w:firstLine="490"/>
        <w:spacing w:after="0" w:line="270" w:lineRule="auto"/>
        <w:rPr>
          <w:sz w:val="20"/>
          <w:szCs w:val="20"/>
          <w:color w:val="auto"/>
        </w:rPr>
      </w:pPr>
      <w:r>
        <w:rPr>
          <w:rFonts w:ascii="Times New Roman" w:cs="Times New Roman" w:eastAsia="Times New Roman" w:hAnsi="Times New Roman"/>
          <w:sz w:val="19"/>
          <w:szCs w:val="19"/>
          <w:color w:val="auto"/>
        </w:rPr>
        <w:t>Figures 13 and 16 depict how many people had a shift in frataxin levels in skin cells and buccal cells as a percentage of average healthy volunteers after 14 days of treatment. On the left is the 25 mg cohort and on the right is the 50 mg cohort. On the far left of each figure are categories of the percentage of average healthy volunteers. Figures in black to the left of the black vertical line represent patients at baseline. Figures to the right of the black</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960" w:h="17280" w:orient="portrait"/>
          <w:cols w:equalWidth="0" w:num="1">
            <w:col w:w="10080"/>
          </w:cols>
          <w:pgMar w:left="1440" w:top="1440" w:right="1440" w:bottom="895"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640"/>
        <w:spacing w:after="0" w:line="305" w:lineRule="auto"/>
        <w:rPr>
          <w:sz w:val="20"/>
          <w:szCs w:val="20"/>
          <w:color w:val="auto"/>
        </w:rPr>
      </w:pPr>
      <w:r>
        <w:rPr>
          <w:rFonts w:ascii="Times New Roman" w:cs="Times New Roman" w:eastAsia="Times New Roman" w:hAnsi="Times New Roman"/>
          <w:sz w:val="19"/>
          <w:szCs w:val="19"/>
          <w:color w:val="auto"/>
        </w:rPr>
        <w:t>vertical line represent day 14 frataxin levels as a percentage of average healthy volunteers. In blue are individuals that increase by 25% to 50% and in green are individuals that exceeded 50% of average healthy volunteers.</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90805</wp:posOffset>
            </wp:positionV>
            <wp:extent cx="5943600" cy="3086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59436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Only participants with quantifiable levels at baseline and day 14 are included in the figures.</w:t>
      </w:r>
    </w:p>
    <w:p>
      <w:pPr>
        <w:spacing w:after="0" w:line="120" w:lineRule="exact"/>
        <w:rPr>
          <w:sz w:val="20"/>
          <w:szCs w:val="20"/>
          <w:color w:val="auto"/>
        </w:rPr>
      </w:pPr>
    </w:p>
    <w:p>
      <w:pPr>
        <w:ind w:left="360" w:right="800"/>
        <w:spacing w:after="0" w:line="277" w:lineRule="auto"/>
        <w:rPr>
          <w:sz w:val="20"/>
          <w:szCs w:val="20"/>
          <w:color w:val="auto"/>
        </w:rPr>
      </w:pPr>
      <w:r>
        <w:rPr>
          <w:rFonts w:ascii="Times New Roman" w:cs="Times New Roman" w:eastAsia="Times New Roman" w:hAnsi="Times New Roman"/>
          <w:sz w:val="16"/>
          <w:szCs w:val="16"/>
          <w:color w:val="auto"/>
        </w:rPr>
        <w:t>*% of healthy volunteer FXN level is calculated by dividing each participant's FXN level by the average FXN level (16.34 pg/μg) from the noninterventional healthy volunteer study (N=60).</w:t>
      </w:r>
    </w:p>
    <w:p>
      <w:pPr>
        <w:spacing w:after="0" w:line="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90805</wp:posOffset>
            </wp:positionV>
            <wp:extent cx="5943600" cy="3057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5943600" cy="3057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Only participants with quantifiable levels at baseline and day 14 and day 28 are included in the tables.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960" w:h="17280" w:orient="portrait"/>
          <w:cols w:equalWidth="0" w:num="1">
            <w:col w:w="10080"/>
          </w:cols>
          <w:pgMar w:left="1440" w:top="1440" w:right="1440" w:bottom="895"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90805</wp:posOffset>
            </wp:positionV>
            <wp:extent cx="5943600" cy="2876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5943600" cy="287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0" w:right="440"/>
        <w:spacing w:after="0" w:line="249" w:lineRule="auto"/>
        <w:rPr>
          <w:sz w:val="20"/>
          <w:szCs w:val="20"/>
          <w:color w:val="auto"/>
        </w:rPr>
      </w:pPr>
      <w:r>
        <w:rPr>
          <w:rFonts w:ascii="Times New Roman" w:cs="Times New Roman" w:eastAsia="Times New Roman" w:hAnsi="Times New Roman"/>
          <w:sz w:val="16"/>
          <w:szCs w:val="16"/>
          <w:color w:val="auto"/>
        </w:rPr>
        <w:t>*FXN levels measured via detection of peptide derived from mature FXN; FXN concentrations are normalized to total cellular protein content in each sample. Data represent median and 25th and 75th percentiles. Only participants with quantifiable levels at both baseline and Day 14 are included in the figures.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**Median baseline FXN level in patients were 2.1 pg/μg for the placebo, 1.8 pg/μg for the 25 mg cohort and 1.6 pg/μg for the 50 mg cohort.</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Figure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90805</wp:posOffset>
            </wp:positionV>
            <wp:extent cx="5943600" cy="3171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594360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Only participants with quantifiable levels at baseline and day 14 are included in the figures.</w:t>
      </w:r>
    </w:p>
    <w:p>
      <w:pPr>
        <w:spacing w:after="0" w:line="120" w:lineRule="exact"/>
        <w:rPr>
          <w:sz w:val="20"/>
          <w:szCs w:val="20"/>
          <w:color w:val="auto"/>
        </w:rPr>
      </w:pPr>
    </w:p>
    <w:p>
      <w:pPr>
        <w:ind w:left="360" w:right="880"/>
        <w:spacing w:after="0" w:line="277" w:lineRule="auto"/>
        <w:rPr>
          <w:sz w:val="20"/>
          <w:szCs w:val="20"/>
          <w:color w:val="auto"/>
        </w:rPr>
      </w:pPr>
      <w:r>
        <w:rPr>
          <w:rFonts w:ascii="Times New Roman" w:cs="Times New Roman" w:eastAsia="Times New Roman" w:hAnsi="Times New Roman"/>
          <w:sz w:val="16"/>
          <w:szCs w:val="16"/>
          <w:color w:val="auto"/>
        </w:rPr>
        <w:t>*% of healthy volunteer FXN level is calculated by dividing each participant's FXN level by the average FXN level (8.24 pg/μg) from the noninterventional healthy volunteer study (N=60).</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960" w:h="17280" w:orient="portrait"/>
          <w:cols w:equalWidth="0" w:num="1">
            <w:col w:w="10080"/>
          </w:cols>
          <w:pgMar w:left="1440" w:top="1440" w:right="1440" w:bottom="895"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Open Label Extension</w:t>
      </w:r>
    </w:p>
    <w:p>
      <w:pPr>
        <w:spacing w:after="0" w:line="120" w:lineRule="exact"/>
        <w:rPr>
          <w:sz w:val="20"/>
          <w:szCs w:val="20"/>
          <w:color w:val="auto"/>
        </w:rPr>
      </w:pPr>
    </w:p>
    <w:p>
      <w:pPr>
        <w:ind w:left="360" w:right="420" w:firstLine="490"/>
        <w:spacing w:after="0" w:line="244" w:lineRule="auto"/>
        <w:rPr>
          <w:sz w:val="20"/>
          <w:szCs w:val="20"/>
          <w:color w:val="auto"/>
        </w:rPr>
      </w:pPr>
      <w:r>
        <w:rPr>
          <w:rFonts w:ascii="Times New Roman" w:cs="Times New Roman" w:eastAsia="Times New Roman" w:hAnsi="Times New Roman"/>
          <w:sz w:val="20"/>
          <w:szCs w:val="20"/>
          <w:color w:val="auto"/>
        </w:rPr>
        <w:t>In January 2024, we initiated the OLE trial evaluating daily subcutaneous injections of 25 mg of nomlabofusp self-administered or administered by a caregiver, with the first patient dosed in March 2024. Participants who completed treatment in the Phase 2 dose exploration study, or who previously completed a prior clinical trial of nomlabofusp, are potentially eligible to screen for the OLE study. The OLE study will evaluate the safety and tolerability, pharmacokinetics, and frataxin levels in peripheral tissues as well as other exploratory pharmacodynamic markers (lipid profiles and gene expression data) following long-term subcutaneous administration of nomlabofusp. In addition, following the completion of enrollment, as well as at least one participant completing one year of dosing, clinical assessments collected during the study will be compared to data from a matched control arm derived from participants in the Friedreich’s Ataxia Clinical Outcome Measures Study ("FACOMS") database.</w:t>
      </w:r>
    </w:p>
    <w:p>
      <w:pPr>
        <w:spacing w:after="0" w:line="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In December 2024, we reported positive initial data from our ongoing OLE study. This data included safety,</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FXN levels, clinical, pharmacokinetic data and dose escalation:</w:t>
      </w:r>
    </w:p>
    <w:p>
      <w:pPr>
        <w:spacing w:after="0" w:line="106" w:lineRule="exact"/>
        <w:rPr>
          <w:sz w:val="20"/>
          <w:szCs w:val="20"/>
          <w:color w:val="auto"/>
        </w:rPr>
      </w:pPr>
    </w:p>
    <w:p>
      <w:pPr>
        <w:ind w:left="1220" w:right="600" w:hanging="370"/>
        <w:spacing w:after="0" w:line="252" w:lineRule="auto"/>
        <w:tabs>
          <w:tab w:leader="none" w:pos="12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Nomlabofusp was generally well tolerated for up to 260 days in subjects. The most common adverse events were injection site reactions, with most being mild, brief in duration, and self-limited. Two participants had serious adverse events (one seizure and one anaphylactic reaction) that resolved within 24 hours who withdrew from the study;</w:t>
      </w:r>
    </w:p>
    <w:p>
      <w:pPr>
        <w:spacing w:after="0" w:line="87" w:lineRule="exact"/>
        <w:rPr>
          <w:rFonts w:ascii="Arial" w:cs="Arial" w:eastAsia="Arial" w:hAnsi="Arial"/>
          <w:sz w:val="20"/>
          <w:szCs w:val="20"/>
          <w:color w:val="auto"/>
        </w:rPr>
      </w:pPr>
    </w:p>
    <w:p>
      <w:pPr>
        <w:ind w:left="1220" w:right="500" w:hanging="370"/>
        <w:spacing w:after="0" w:line="252" w:lineRule="auto"/>
        <w:tabs>
          <w:tab w:leader="none" w:pos="12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Long-term 25 mg tissue FXN levels showed positive mean change from baseline of 1.32 pg/μg in buccal cells and 9.28 pg/μg in skin cells at Day 90 and that 25 mg of nomlabofusp increased and maintained tissue FXN levels over time, increasing from a mean level of 15% of HV at baseline to 30% in buccal cells and from 16% to 72% in skin cells at Day 90;</w:t>
      </w:r>
    </w:p>
    <w:p>
      <w:pPr>
        <w:spacing w:after="0" w:line="87" w:lineRule="exact"/>
        <w:rPr>
          <w:rFonts w:ascii="Arial" w:cs="Arial" w:eastAsia="Arial" w:hAnsi="Arial"/>
          <w:sz w:val="20"/>
          <w:szCs w:val="20"/>
          <w:color w:val="auto"/>
        </w:rPr>
      </w:pPr>
    </w:p>
    <w:p>
      <w:pPr>
        <w:ind w:left="1220" w:hanging="370"/>
        <w:spacing w:after="0"/>
        <w:tabs>
          <w:tab w:leader="none" w:pos="12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Tissue FXN levels appear to reach steady-state levels by Day 30 in buccal cells;</w:t>
      </w:r>
    </w:p>
    <w:p>
      <w:pPr>
        <w:spacing w:after="0" w:line="133" w:lineRule="exact"/>
        <w:rPr>
          <w:rFonts w:ascii="Arial" w:cs="Arial" w:eastAsia="Arial" w:hAnsi="Arial"/>
          <w:sz w:val="20"/>
          <w:szCs w:val="20"/>
          <w:color w:val="auto"/>
        </w:rPr>
      </w:pPr>
    </w:p>
    <w:p>
      <w:pPr>
        <w:ind w:left="1220" w:right="400" w:hanging="370"/>
        <w:spacing w:after="0" w:line="252" w:lineRule="auto"/>
        <w:tabs>
          <w:tab w:leader="none" w:pos="12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Early clinical data showed trends toward improvement across a number of clinical outcomes for long-term 25 mg daily nomlabofusp including: (1) decreased values indicating early trends towards improvement in the Modified Friedreich Ataxia Rating Scale (mFARS) and the FARS-Activities of Daily Living ("ADL"), Modified Fatigue Impact Scale and 9 hole peg test at 90 days relative to baseline;</w:t>
      </w:r>
    </w:p>
    <w:p>
      <w:pPr>
        <w:spacing w:after="0" w:line="87" w:lineRule="exact"/>
        <w:rPr>
          <w:rFonts w:ascii="Arial" w:cs="Arial" w:eastAsia="Arial" w:hAnsi="Arial"/>
          <w:sz w:val="20"/>
          <w:szCs w:val="20"/>
          <w:color w:val="auto"/>
        </w:rPr>
      </w:pPr>
    </w:p>
    <w:p>
      <w:pPr>
        <w:jc w:val="both"/>
        <w:ind w:left="1220" w:right="760" w:hanging="370"/>
        <w:spacing w:after="0" w:line="258" w:lineRule="auto"/>
        <w:tabs>
          <w:tab w:leader="none" w:pos="12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Key pharmacokinetic data showed rapid absorption after subcutaneous administration with exposure appearing to reach steady state in plasma by day 30 with no further accumulation, which is consistent with data from our Phase 1 and Phase 2 studies.</w:t>
      </w:r>
    </w:p>
    <w:p>
      <w:pPr>
        <w:spacing w:after="0" w:line="67" w:lineRule="exact"/>
        <w:rPr>
          <w:sz w:val="20"/>
          <w:szCs w:val="20"/>
          <w:color w:val="auto"/>
        </w:rPr>
      </w:pPr>
    </w:p>
    <w:p>
      <w:pPr>
        <w:ind w:left="360" w:right="380" w:firstLine="490"/>
        <w:spacing w:after="0" w:line="245" w:lineRule="auto"/>
        <w:rPr>
          <w:sz w:val="20"/>
          <w:szCs w:val="20"/>
          <w:color w:val="auto"/>
        </w:rPr>
      </w:pPr>
      <w:r>
        <w:rPr>
          <w:rFonts w:ascii="Times New Roman" w:cs="Times New Roman" w:eastAsia="Times New Roman" w:hAnsi="Times New Roman"/>
          <w:sz w:val="20"/>
          <w:szCs w:val="20"/>
          <w:color w:val="auto"/>
        </w:rPr>
        <w:t>Also in December 2024, we announced that we were increasing the dose in the OLE to 50 mg of nomlabofusp daily for then currently enrolled and all future OLE study participants. In March 2025, we announced that our Safety Monitoring Team has deemed anaphylaxis as an adverse drug reaction likely associated with nomlabofusp and therefore, we expect to see additional reactions. To reduce the risk of allergic reactions, including anaphylaxis, we amended the OLE protocol to administer premedication for the first month of dosing. The OLE study is ongoing with seven sites activated and participants continuing to enroll, and all study participants are currently receiving the 50 mg dose of nomlabofusp. We plan to provide an update on OLE data on at least 30 to 40 study participants, some of whom have been receiving nomlabofusp for more than a year, in September 2025.</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4" w:lineRule="exact"/>
        <w:rPr>
          <w:sz w:val="20"/>
          <w:szCs w:val="20"/>
          <w:color w:val="auto"/>
        </w:rPr>
      </w:pPr>
    </w:p>
    <w:p>
      <w:pPr>
        <w:ind w:left="360" w:right="360" w:firstLine="490"/>
        <w:spacing w:after="0" w:line="243" w:lineRule="auto"/>
        <w:rPr>
          <w:sz w:val="20"/>
          <w:szCs w:val="20"/>
          <w:color w:val="auto"/>
        </w:rPr>
      </w:pPr>
      <w:r>
        <w:rPr>
          <w:rFonts w:ascii="Times New Roman" w:cs="Times New Roman" w:eastAsia="Times New Roman" w:hAnsi="Times New Roman"/>
          <w:sz w:val="20"/>
          <w:szCs w:val="20"/>
          <w:color w:val="auto"/>
        </w:rPr>
        <w:t>Our success depends in large part upon our ability to obtain and maintain proprietary protection for our current and future products and technologies, and to operate without infringing the proprietary rights of others. Our policy is to protect our proprietary position by, among other methods, filing for patent applications on inventions that are important to the development and conduct of our business with the U.S. Patent and Trademark Office and its foreign counterparts. We also intend to rely on regulatory exclusivity (also called data exclusivity), which is separate and distinct from the protection afforded by patents, to protect our products. We further protect our proprietary information by requiring our employees, consultants, contractors and other advisors to execute nondisclosure and assignment of invention agreements upon commencement of their respective employment or engagement. Agreements with our employees also prevent them from bringing the proprietary rights of third parties to us. In addition, we require confidentiality or service agreements from third parties that receive our confidential information or materials.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960" w:h="17280" w:orient="portrait"/>
          <w:cols w:equalWidth="0" w:num="1">
            <w:col w:w="10080"/>
          </w:cols>
          <w:pgMar w:left="1440" w:top="1440" w:right="1440" w:bottom="895" w:gutter="0" w:footer="0" w:header="0"/>
          <w:type w:val="continuous"/>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As of March 17, 2025, our intellectual property portfolio was composed of numerous international Patent Cooperation Treaty ("PCT"), foreign, United States non-provisional patent applications, issued United States patents and United States provisional patent applications that we own or co-own, and five issued United States patents and additional non-provisional patent applications in the United States and in certain foreign jurisdictions that we license from academic institutions. The issued patents in the United States licensed by us, which include issued patents covering the composition of matter for nomlabofusp and methods for treating FA, have expiration dates between 2025 and 2040 without taking potential patent term extension into consideration. The international and the United States non-provisional patent applications licensed by us relate to composition of matter and methods of use for nomlabofusp.</w:t>
      </w:r>
    </w:p>
    <w:p>
      <w:pPr>
        <w:spacing w:after="0" w:line="86" w:lineRule="exact"/>
        <w:rPr>
          <w:sz w:val="20"/>
          <w:szCs w:val="20"/>
          <w:color w:val="auto"/>
        </w:rPr>
      </w:pPr>
    </w:p>
    <w:p>
      <w:pPr>
        <w:ind w:left="360" w:right="360" w:firstLine="490"/>
        <w:spacing w:after="0" w:line="252" w:lineRule="auto"/>
        <w:rPr>
          <w:sz w:val="20"/>
          <w:szCs w:val="20"/>
          <w:color w:val="auto"/>
        </w:rPr>
      </w:pPr>
      <w:r>
        <w:rPr>
          <w:rFonts w:ascii="Times New Roman" w:cs="Times New Roman" w:eastAsia="Times New Roman" w:hAnsi="Times New Roman"/>
          <w:sz w:val="20"/>
          <w:szCs w:val="20"/>
          <w:color w:val="auto"/>
        </w:rPr>
        <w:t>The additional patent applications we own or co-own, which include PCT, foreign and United States non-provisional patent applications, United States patents, and United States provisional patent applications are related to the development of nomlabofusp, including methods of use of nomlabofusp, and to our peptide-delivery platform technology.</w:t>
      </w:r>
    </w:p>
    <w:p>
      <w:pPr>
        <w:spacing w:after="0" w:line="74" w:lineRule="exact"/>
        <w:rPr>
          <w:sz w:val="20"/>
          <w:szCs w:val="20"/>
          <w:color w:val="auto"/>
        </w:rPr>
      </w:pPr>
    </w:p>
    <w:p>
      <w:pPr>
        <w:ind w:left="360" w:right="480" w:firstLine="490"/>
        <w:spacing w:after="0" w:line="261" w:lineRule="auto"/>
        <w:rPr>
          <w:sz w:val="20"/>
          <w:szCs w:val="20"/>
          <w:color w:val="auto"/>
        </w:rPr>
      </w:pPr>
      <w:r>
        <w:rPr>
          <w:rFonts w:ascii="Times New Roman" w:cs="Times New Roman" w:eastAsia="Times New Roman" w:hAnsi="Times New Roman"/>
          <w:sz w:val="19"/>
          <w:szCs w:val="19"/>
          <w:color w:val="auto"/>
        </w:rPr>
        <w:t>A provisional patent application allows for an effective filing date to be established with regard to an invention, but once a provisional patent application is filed, either a corresponding non-provisional patent application or a petition to convert the provisional patent application into a non-provisional patent application must be filed within 12 months or such effective filing date will be lost. If we or our licensor timely files non-provisional patent applications in the United States and in countries outside of the United States with regard to our provisional patent applications and these non-provisional patent applications result in issued patents, such patents are expected to expire in 2045, without taking potential patent term adjustment or patent term extension into consideration.</w:t>
      </w:r>
    </w:p>
    <w:p>
      <w:pPr>
        <w:spacing w:after="0" w:line="67" w:lineRule="exact"/>
        <w:rPr>
          <w:sz w:val="20"/>
          <w:szCs w:val="20"/>
          <w:color w:val="auto"/>
        </w:rPr>
      </w:pPr>
    </w:p>
    <w:p>
      <w:pPr>
        <w:ind w:left="360" w:right="360" w:firstLine="490"/>
        <w:spacing w:after="0" w:line="244" w:lineRule="auto"/>
        <w:rPr>
          <w:sz w:val="20"/>
          <w:szCs w:val="20"/>
          <w:color w:val="auto"/>
        </w:rPr>
      </w:pPr>
      <w:r>
        <w:rPr>
          <w:rFonts w:ascii="Times New Roman" w:cs="Times New Roman" w:eastAsia="Times New Roman" w:hAnsi="Times New Roman"/>
          <w:sz w:val="20"/>
          <w:szCs w:val="20"/>
          <w:color w:val="auto"/>
        </w:rPr>
        <w:t>Nomlabofusp is covered by licensed issued patents (composition of matter and methods of use) in the United States which, if properly maintained, will expire in 2025 and 2040, excluding any patent term extensions that might be available following the grant of marketing authorizations. We also possess an exclusive license to non-provisional applications in the United States and certain countries outside the United States for nomlabofusp (composition of matter and methods of use). If these patent applications in the United States and other countries result in issued patents, those patents would be expected to expire in 2040. This estimated expiration excludes any patent term adjustment that might be available following the grant of the patent and any patent term extensions that might be available following the grant of marketing authorizations.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82" w:lineRule="exact"/>
        <w:rPr>
          <w:sz w:val="20"/>
          <w:szCs w:val="20"/>
          <w:color w:val="auto"/>
        </w:rPr>
      </w:pPr>
    </w:p>
    <w:p>
      <w:pPr>
        <w:ind w:left="360" w:right="500" w:firstLine="490"/>
        <w:spacing w:after="0" w:line="252" w:lineRule="auto"/>
        <w:rPr>
          <w:sz w:val="20"/>
          <w:szCs w:val="20"/>
          <w:color w:val="auto"/>
        </w:rPr>
      </w:pPr>
      <w:r>
        <w:rPr>
          <w:rFonts w:ascii="Times New Roman" w:cs="Times New Roman" w:eastAsia="Times New Roman" w:hAnsi="Times New Roman"/>
          <w:sz w:val="20"/>
          <w:szCs w:val="20"/>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74" w:lineRule="exact"/>
        <w:rPr>
          <w:sz w:val="20"/>
          <w:szCs w:val="20"/>
          <w:color w:val="auto"/>
        </w:rPr>
      </w:pPr>
    </w:p>
    <w:p>
      <w:pPr>
        <w:ind w:left="360" w:right="400" w:firstLine="490"/>
        <w:spacing w:after="0" w:line="249" w:lineRule="auto"/>
        <w:rPr>
          <w:sz w:val="20"/>
          <w:szCs w:val="20"/>
          <w:color w:val="auto"/>
        </w:rPr>
      </w:pPr>
      <w:r>
        <w:rPr>
          <w:rFonts w:ascii="Times New Roman" w:cs="Times New Roman" w:eastAsia="Times New Roman" w:hAnsi="Times New Roman"/>
          <w:sz w:val="20"/>
          <w:szCs w:val="20"/>
          <w:color w:val="auto"/>
        </w:rPr>
        <w:t>We also use other forms of protection besides patent protection and regulatory exclusivity, such as trademark, copyright, and trade secret protection, to enhance our intellectual property, particularly where we do not believe patent protection is appropriate or obtainable. We aim to take advantage of all of the intellectual property rights that are available to us and believe that this comprehensive approach will provide us with proprietary exclusive positions for our product candidates, such as nomlabofusp, where available.</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In-License Agreements</w:t>
      </w:r>
    </w:p>
    <w:p>
      <w:pPr>
        <w:spacing w:after="0" w:line="124" w:lineRule="exact"/>
        <w:rPr>
          <w:sz w:val="20"/>
          <w:szCs w:val="20"/>
          <w:color w:val="auto"/>
        </w:rPr>
      </w:pPr>
    </w:p>
    <w:p>
      <w:pPr>
        <w:ind w:left="360" w:right="420" w:firstLine="490"/>
        <w:spacing w:after="0" w:line="252" w:lineRule="auto"/>
        <w:rPr>
          <w:sz w:val="20"/>
          <w:szCs w:val="20"/>
          <w:color w:val="auto"/>
        </w:rPr>
      </w:pPr>
      <w:r>
        <w:rPr>
          <w:rFonts w:ascii="Times New Roman" w:cs="Times New Roman" w:eastAsia="Times New Roman" w:hAnsi="Times New Roman"/>
          <w:sz w:val="20"/>
          <w:szCs w:val="20"/>
          <w:color w:val="auto"/>
        </w:rPr>
        <w:t>We are party to a License Agreement dated November 30, 2016 with Wake Forest University Health Sciences ("WFUHS") and a License Agreement dated November 30, 2016, as amended, with Indiana University ("IU"). Such agreements provide for a transferable, worldwide license to certain patent rights regarding technology used by us with respect to the development of nomlabofusp.</w:t>
      </w:r>
    </w:p>
    <w:p>
      <w:pPr>
        <w:spacing w:after="0" w:line="74" w:lineRule="exact"/>
        <w:rPr>
          <w:sz w:val="20"/>
          <w:szCs w:val="20"/>
          <w:color w:val="auto"/>
        </w:rPr>
      </w:pPr>
    </w:p>
    <w:p>
      <w:pPr>
        <w:ind w:left="360" w:right="440" w:firstLine="490"/>
        <w:spacing w:after="0" w:line="260" w:lineRule="auto"/>
        <w:rPr>
          <w:sz w:val="20"/>
          <w:szCs w:val="20"/>
          <w:color w:val="auto"/>
        </w:rPr>
      </w:pPr>
      <w:r>
        <w:rPr>
          <w:rFonts w:ascii="Times New Roman" w:cs="Times New Roman" w:eastAsia="Times New Roman" w:hAnsi="Times New Roman"/>
          <w:sz w:val="19"/>
          <w:szCs w:val="19"/>
          <w:color w:val="auto"/>
        </w:rPr>
        <w:t>In partial consideration for the right and license granted under these agreements, we will pay each of WFUHS and IU a royalty of a low single digit percentage of net sales of licensed products depending on whether there is a valid patent covering such products. As additional consideration for these agreements, we are obligated to pay each of WFUHS and IU certain milestone payments of up to $2.6 million in the aggregate upon the achievement of certain developmental milestones, commencing on the enrollment of the first patient in a Phase 1 clinical trial. We will also pay each of WFUHS and IU sublicensing fees ranging up to a low double-digit percentage of sublicense consideration depending on our achievement of certain regulatory milestones as of the time of receipt of the sublicense consideration. We are also obligated to reimburse WFUHS and IU for patent-related expenses. In the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960" w:h="17280" w:orient="portrait"/>
          <w:cols w:equalWidth="0" w:num="1">
            <w:col w:w="10080"/>
          </w:cols>
          <w:pgMar w:left="1440" w:top="1440" w:right="1440" w:bottom="895"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80"/>
        <w:spacing w:after="0" w:line="258" w:lineRule="auto"/>
        <w:rPr>
          <w:sz w:val="20"/>
          <w:szCs w:val="20"/>
          <w:color w:val="auto"/>
        </w:rPr>
      </w:pPr>
      <w:r>
        <w:rPr>
          <w:rFonts w:ascii="Times New Roman" w:cs="Times New Roman" w:eastAsia="Times New Roman" w:hAnsi="Times New Roman"/>
          <w:sz w:val="20"/>
          <w:szCs w:val="20"/>
          <w:color w:val="auto"/>
        </w:rPr>
        <w:t>event that we dispute the validity of any of the licensed patents, the royalty rate would be tripled during such dispute. We are also obligated to pay to IU a minimum annual royalty of less than $0.1 million per annum starting in the 2020 calendar year for the term of the agreement.</w:t>
      </w:r>
    </w:p>
    <w:p>
      <w:pPr>
        <w:spacing w:after="0" w:line="68" w:lineRule="exact"/>
        <w:rPr>
          <w:sz w:val="20"/>
          <w:szCs w:val="20"/>
          <w:color w:val="auto"/>
        </w:rPr>
      </w:pPr>
    </w:p>
    <w:p>
      <w:pPr>
        <w:ind w:left="360" w:right="440" w:firstLine="490"/>
        <w:spacing w:after="0" w:line="252" w:lineRule="auto"/>
        <w:rPr>
          <w:sz w:val="20"/>
          <w:szCs w:val="20"/>
          <w:color w:val="auto"/>
        </w:rPr>
      </w:pPr>
      <w:r>
        <w:rPr>
          <w:rFonts w:ascii="Times New Roman" w:cs="Times New Roman" w:eastAsia="Times New Roman" w:hAnsi="Times New Roman"/>
          <w:sz w:val="20"/>
          <w:szCs w:val="20"/>
          <w:color w:val="auto"/>
        </w:rPr>
        <w:t>In the event that we are required to pay IU consideration, then we may deduct 20% of such IU consideration on a dollar-for-dollar basis from the consideration due to WFUHS. In the event that we are required to pay WFUHS consideration, then we may deduct 60% of such WFUHS consideration on a dollar-for-dollar basis from the consideration due to IU.</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4" w:lineRule="exact"/>
        <w:rPr>
          <w:sz w:val="20"/>
          <w:szCs w:val="20"/>
          <w:color w:val="auto"/>
        </w:rPr>
      </w:pPr>
    </w:p>
    <w:p>
      <w:pPr>
        <w:ind w:left="360" w:right="380" w:firstLine="490"/>
        <w:spacing w:after="0" w:line="238" w:lineRule="auto"/>
        <w:rPr>
          <w:sz w:val="20"/>
          <w:szCs w:val="20"/>
          <w:color w:val="auto"/>
        </w:rPr>
      </w:pPr>
      <w:r>
        <w:rPr>
          <w:rFonts w:ascii="Times New Roman" w:cs="Times New Roman" w:eastAsia="Times New Roman" w:hAnsi="Times New Roman"/>
          <w:sz w:val="20"/>
          <w:szCs w:val="20"/>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platform technology, product candidates and scientific expertise in the field of rare diseases provide competitive advantages, we face competition from various sources, including larger and better-funded pharmaceutical companies, specialty pharmaceutical companies and biotechnology companies, as well as from academic institutions, governmental agencies and public and private research institutions. We expect to compete with Biogen’s SKYCLARYS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0"/>
          <w:szCs w:val="20"/>
          <w:color w:val="auto"/>
        </w:rPr>
        <w:t xml:space="preserve"> (omaveloxolone), which was approved for the treatment of FA in adults and adolescents aged 16 and older by the FDA and the European Commission in February 2023 and February 2024, respectively. Other competitors currently developing therapeutics to treat FA include, but are not limited to Design Therapeutics, Lexeo Therapeutics, Neurocrine Biosciences/Voyager Therapeutics and PTC Therapeutics ("PTC"). The FDA has accepted for filing PTC’s NDA for vatiquinone for the treatment of children and adults living with FA with a target action date of August 19, 2025. Many of our competitors have significantly greater name recognition, longer operating histories and financial, technical manufacturing, marketing and human resources than we do. Mergers and acquisitions in the pharmaceutical and biotechnology industries may result in even more resources being concentrated amongst a smaller number of our competitors. Our commercial opportunity could be reduced or eliminated if our competitors develop or market products or other novel therapies that are more effective, safer or less costly than our product candidates or obtain regulatory approval for their products more rapidly than we may obtain approval for our product candidates.</w:t>
      </w:r>
    </w:p>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Manufacturing and Supply</w:t>
      </w:r>
    </w:p>
    <w:p>
      <w:pPr>
        <w:spacing w:after="0" w:line="124"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Nomlabofusp is a biologic fusion protein that is produced in E. coli. We have worked with contract manufacturers and research organizations to develop, in accordance with current Good Manufacturing Practices (“cGMP”) a manufacturing process and analytical methods for drug substance and drug product to support clinical trials. We also use third party manufacturers for the clinical packaging, storage and distribution of nomlabofusp. We rely on third parties to store the nomlabofusp master cell bank and working cell bank, each stored at a different location. We continue to advance the manufacturing of nomlabofusp, obtain stability data, and produce drug product for future clinical trials. We are continually trying to optimize our manufacturing process to increase yields, decrease costs and increase reliability in supply chains. The final process will need to be successfully scaled up to support commercial manufacturing.</w:t>
      </w:r>
    </w:p>
    <w:p>
      <w:pPr>
        <w:spacing w:after="0" w:line="86" w:lineRule="exact"/>
        <w:rPr>
          <w:sz w:val="20"/>
          <w:szCs w:val="20"/>
          <w:color w:val="auto"/>
        </w:rPr>
      </w:pPr>
    </w:p>
    <w:p>
      <w:pPr>
        <w:ind w:left="360" w:right="400" w:firstLine="490"/>
        <w:spacing w:after="0" w:line="244" w:lineRule="auto"/>
        <w:rPr>
          <w:sz w:val="20"/>
          <w:szCs w:val="20"/>
          <w:color w:val="auto"/>
        </w:rPr>
      </w:pPr>
      <w:r>
        <w:rPr>
          <w:rFonts w:ascii="Times New Roman" w:cs="Times New Roman" w:eastAsia="Times New Roman" w:hAnsi="Times New Roman"/>
          <w:sz w:val="20"/>
          <w:szCs w:val="20"/>
          <w:color w:val="auto"/>
        </w:rPr>
        <w:t>The drug substance which is in frozen liquid form for nomlabofusp is currently manufactured for us by KBI Biopharma, Inc. ("KBI"). We are party to a Master Services Agreement, as amended, with KBI, pursuant to which KBI provides biological development and clinical manufacturing services with respect to nomlabofusp. We are no longer producing the frozen liquid form of drug product. We are producing a lyophilized version of the drug product from the same KBI drug substance at Bora Pharmaceutical Services, Inc. (“Bora”). We are party to a Master Services Agreement with Bora, pursuant to which Bora provides biological development and clinical manufacturing services with respect to nomlabofusp. In February 2025, FDA accepted the data supporting the comparability of the lyophilized drug product to the frozen solution and agreed with our plans to introduce the lyophilized product into our clinical development program in mid-2025. The frozen solution is the dosage form currently being used in the OLE. The lyophilized drug product is the formulation that we intend to commercialize.</w:t>
      </w:r>
    </w:p>
    <w:p>
      <w:pPr>
        <w:spacing w:after="0" w:line="82" w:lineRule="exact"/>
        <w:rPr>
          <w:sz w:val="20"/>
          <w:szCs w:val="20"/>
          <w:color w:val="auto"/>
        </w:rPr>
      </w:pPr>
    </w:p>
    <w:p>
      <w:pPr>
        <w:ind w:left="360" w:right="420" w:firstLine="490"/>
        <w:spacing w:after="0" w:line="249" w:lineRule="auto"/>
        <w:rPr>
          <w:sz w:val="20"/>
          <w:szCs w:val="20"/>
          <w:color w:val="auto"/>
        </w:rPr>
      </w:pPr>
      <w:r>
        <w:rPr>
          <w:rFonts w:ascii="Times New Roman" w:cs="Times New Roman" w:eastAsia="Times New Roman" w:hAnsi="Times New Roman"/>
          <w:sz w:val="20"/>
          <w:szCs w:val="20"/>
          <w:color w:val="auto"/>
        </w:rPr>
        <w:t>To supply nomlabofusp drug substance commercially, we intend to scale up the manufacturing process. We have selected Lonza to support this scale-up effort. We are currently tech transferring the process to Lonza and are making adaptations to the process that enable facility fit. We are party to a Master Services Agreement with Lonza, pursuant to which Lonza provides biological development and clinical manufacturing services with respect to nomlabofusp. We intend to demonstrate the comparability of the drug substance manufactured by Lonza and submit</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960" w:h="17280" w:orient="portrait"/>
          <w:cols w:equalWidth="0" w:num="1">
            <w:col w:w="10080"/>
          </w:cols>
          <w:pgMar w:left="1440" w:top="1440" w:right="1440" w:bottom="895" w:gutter="0" w:footer="0" w:header="0"/>
          <w:type w:val="continuous"/>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1020"/>
        <w:spacing w:after="0" w:line="277" w:lineRule="auto"/>
        <w:rPr>
          <w:sz w:val="20"/>
          <w:szCs w:val="20"/>
          <w:color w:val="auto"/>
        </w:rPr>
      </w:pPr>
      <w:r>
        <w:rPr>
          <w:rFonts w:ascii="Times New Roman" w:cs="Times New Roman" w:eastAsia="Times New Roman" w:hAnsi="Times New Roman"/>
          <w:sz w:val="20"/>
          <w:szCs w:val="20"/>
          <w:color w:val="auto"/>
        </w:rPr>
        <w:t>this data to the FDA for their review in 2026. Acceptance of this comparability will allow for the use of drug substance manufactured by Lonza in the clinical development of nomlabofusp.</w:t>
      </w:r>
    </w:p>
    <w:p>
      <w:pPr>
        <w:spacing w:after="0" w:line="49" w:lineRule="exact"/>
        <w:rPr>
          <w:sz w:val="20"/>
          <w:szCs w:val="20"/>
          <w:color w:val="auto"/>
        </w:rPr>
      </w:pPr>
    </w:p>
    <w:p>
      <w:pPr>
        <w:ind w:left="360" w:right="420" w:firstLine="490"/>
        <w:spacing w:after="0" w:line="249" w:lineRule="auto"/>
        <w:rPr>
          <w:sz w:val="20"/>
          <w:szCs w:val="20"/>
          <w:color w:val="auto"/>
        </w:rPr>
      </w:pPr>
      <w:r>
        <w:rPr>
          <w:rFonts w:ascii="Times New Roman" w:cs="Times New Roman" w:eastAsia="Times New Roman" w:hAnsi="Times New Roman"/>
          <w:sz w:val="20"/>
          <w:szCs w:val="20"/>
          <w:color w:val="auto"/>
        </w:rPr>
        <w:t>We have received concurrence from the FDA that our proposed matrixed potency control strategy appears reasonable, pending review of the BLA. We are in the process of implementing this assay at a third-party testing lab and intend to provide a comprehensive data package that supports our ongoing clinical and commercial development. As development of this assay is scientific in nature, efforts may prove to be unsuccessful and will require further discussions with FDA on an appropriate strategy.</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u w:val="single" w:color="auto"/>
          <w:color w:val="auto"/>
        </w:rPr>
        <w:t>Employees and Compensation</w:t>
      </w:r>
    </w:p>
    <w:p>
      <w:pPr>
        <w:spacing w:after="0" w:line="118" w:lineRule="exact"/>
        <w:rPr>
          <w:sz w:val="20"/>
          <w:szCs w:val="20"/>
          <w:color w:val="auto"/>
        </w:rPr>
      </w:pPr>
    </w:p>
    <w:p>
      <w:pPr>
        <w:ind w:left="360" w:right="480" w:firstLine="490"/>
        <w:spacing w:after="0" w:line="249" w:lineRule="auto"/>
        <w:rPr>
          <w:sz w:val="20"/>
          <w:szCs w:val="20"/>
          <w:color w:val="auto"/>
        </w:rPr>
      </w:pPr>
      <w:r>
        <w:rPr>
          <w:rFonts w:ascii="Times New Roman" w:cs="Times New Roman" w:eastAsia="Times New Roman" w:hAnsi="Times New Roman"/>
          <w:sz w:val="20"/>
          <w:szCs w:val="20"/>
          <w:color w:val="auto"/>
        </w:rPr>
        <w:t>In order to achieve the goals and expectations of our Company, it is crucial that we continue to attract and retain top talent. To facilitate talent attraction and retention, we strive to make our company a safe and rewarding workplace, with opportunities for our employees to grow and develop in their careers, supported by strong compensation, benefits, paid time-off and health and wellness programs, including programs that build connections between our employees.</w:t>
      </w:r>
    </w:p>
    <w:p>
      <w:pPr>
        <w:spacing w:after="0" w:line="77" w:lineRule="exact"/>
        <w:rPr>
          <w:sz w:val="20"/>
          <w:szCs w:val="20"/>
          <w:color w:val="auto"/>
        </w:rPr>
      </w:pPr>
    </w:p>
    <w:p>
      <w:pPr>
        <w:ind w:left="360" w:right="460" w:firstLine="490"/>
        <w:spacing w:after="0" w:line="252" w:lineRule="auto"/>
        <w:rPr>
          <w:sz w:val="20"/>
          <w:szCs w:val="20"/>
          <w:color w:val="auto"/>
        </w:rPr>
      </w:pPr>
      <w:r>
        <w:rPr>
          <w:rFonts w:ascii="Times New Roman" w:cs="Times New Roman" w:eastAsia="Times New Roman" w:hAnsi="Times New Roman"/>
          <w:sz w:val="20"/>
          <w:szCs w:val="20"/>
          <w:color w:val="auto"/>
        </w:rPr>
        <w:t>As of December 31, 2024, we employed 65 full-time employees in the United States, of which 48 are directly engaged in research and development with the rest providing administrative, business, commercial and operations support. None of our employees are represented by a labor organization or under any collective-bargaining arrangements. We consider our employee relations to be good.</w:t>
      </w:r>
    </w:p>
    <w:p>
      <w:pPr>
        <w:spacing w:after="0" w:line="66" w:lineRule="exact"/>
        <w:rPr>
          <w:sz w:val="20"/>
          <w:szCs w:val="20"/>
          <w:color w:val="auto"/>
        </w:rPr>
      </w:pPr>
    </w:p>
    <w:p>
      <w:pPr>
        <w:ind w:left="360" w:right="480" w:firstLine="490"/>
        <w:spacing w:after="0" w:line="239" w:lineRule="auto"/>
        <w:rPr>
          <w:sz w:val="20"/>
          <w:szCs w:val="20"/>
          <w:color w:val="auto"/>
        </w:rPr>
      </w:pPr>
      <w:r>
        <w:rPr>
          <w:rFonts w:ascii="Times New Roman" w:cs="Times New Roman" w:eastAsia="Times New Roman" w:hAnsi="Times New Roman"/>
          <w:sz w:val="20"/>
          <w:szCs w:val="20"/>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Scientific Advisors</w:t>
      </w:r>
    </w:p>
    <w:p>
      <w:pPr>
        <w:spacing w:after="0" w:line="114" w:lineRule="exact"/>
        <w:rPr>
          <w:sz w:val="20"/>
          <w:szCs w:val="20"/>
          <w:color w:val="auto"/>
        </w:rPr>
      </w:pPr>
    </w:p>
    <w:p>
      <w:pPr>
        <w:ind w:left="360" w:right="560" w:firstLine="490"/>
        <w:spacing w:after="0" w:line="233" w:lineRule="auto"/>
        <w:rPr>
          <w:sz w:val="20"/>
          <w:szCs w:val="20"/>
          <w:color w:val="auto"/>
        </w:rPr>
      </w:pPr>
      <w:r>
        <w:rPr>
          <w:rFonts w:ascii="Times New Roman" w:cs="Times New Roman" w:eastAsia="Times New Roman" w:hAnsi="Times New Roman"/>
          <w:sz w:val="20"/>
          <w:szCs w:val="20"/>
          <w:color w:val="auto"/>
        </w:rPr>
        <w:t>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Their scientific perspectives will be invaluable to determine our strategic scientific pathway and support the development of other potential treatments for complex rare diseases to help fill unmet medical needs in this space. We intend to continue to leverage the broad expertise of our advisors by seeking their counsel on important topics relating to our product development and clinical development programs. Our scientific advisors are not our employees and may have commitments to, or consulting or advisory contracts with, other entities that may limit their availability to us. In addition, our scientific advisors may have arrangements with other companies to assist those companies in developing products or technologies that may compete with ours. All of our scientific advisors are affiliated with other entities and devote only a small portion of their time to us.</w:t>
      </w:r>
    </w:p>
    <w:p>
      <w:pPr>
        <w:spacing w:after="0" w:line="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Our scientific advisors are set forth in the table below:</w:t>
      </w:r>
    </w:p>
    <w:p>
      <w:pPr>
        <w:spacing w:after="0" w:line="26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80" w:type="dxa"/>
            <w:vAlign w:val="bottom"/>
            <w:shd w:val="clear" w:color="auto" w:fill="FEFEFE"/>
          </w:tcPr>
          <w:p>
            <w:pPr>
              <w:spacing w:after="0"/>
              <w:rPr>
                <w:sz w:val="19"/>
                <w:szCs w:val="19"/>
                <w:color w:val="auto"/>
              </w:rPr>
            </w:pPr>
          </w:p>
        </w:tc>
        <w:tc>
          <w:tcPr>
            <w:tcW w:w="6780" w:type="dxa"/>
            <w:vAlign w:val="bottom"/>
            <w:gridSpan w:val="2"/>
            <w:shd w:val="clear" w:color="auto" w:fill="FEFEFE"/>
          </w:tcPr>
          <w:p>
            <w:pPr>
              <w:ind w:left="314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20" w:type="dxa"/>
            <w:vAlign w:val="bottom"/>
            <w:shd w:val="clear" w:color="auto" w:fill="FEFEFE"/>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2400" w:type="dxa"/>
            <w:vAlign w:val="bottom"/>
            <w:tcBorders>
              <w:top w:val="single" w:sz="8" w:color="auto"/>
            </w:tcBorders>
            <w:shd w:val="clear" w:color="auto" w:fill="D4EEED"/>
          </w:tcPr>
          <w:p>
            <w:pPr>
              <w:spacing w:after="0" w:line="184" w:lineRule="exact"/>
              <w:rPr>
                <w:sz w:val="20"/>
                <w:szCs w:val="20"/>
                <w:color w:val="auto"/>
              </w:rPr>
            </w:pPr>
            <w:r>
              <w:rPr>
                <w:rFonts w:ascii="Times New Roman" w:cs="Times New Roman" w:eastAsia="Times New Roman" w:hAnsi="Times New Roman"/>
                <w:sz w:val="20"/>
                <w:szCs w:val="20"/>
                <w:color w:val="auto"/>
              </w:rPr>
              <w:t>Marni Joy Falk, MD</w:t>
            </w:r>
          </w:p>
        </w:tc>
        <w:tc>
          <w:tcPr>
            <w:tcW w:w="180" w:type="dxa"/>
            <w:vAlign w:val="bottom"/>
            <w:tcBorders>
              <w:top w:val="single" w:sz="8" w:color="FEFEFE"/>
            </w:tcBorders>
            <w:shd w:val="clear" w:color="auto" w:fill="D4EEED"/>
          </w:tcPr>
          <w:p>
            <w:pPr>
              <w:spacing w:after="0"/>
              <w:rPr>
                <w:sz w:val="15"/>
                <w:szCs w:val="15"/>
                <w:color w:val="auto"/>
              </w:rPr>
            </w:pPr>
          </w:p>
        </w:tc>
        <w:tc>
          <w:tcPr>
            <w:tcW w:w="6680" w:type="dxa"/>
            <w:vAlign w:val="bottom"/>
            <w:tcBorders>
              <w:top w:val="single" w:sz="8" w:color="auto"/>
            </w:tcBorders>
            <w:shd w:val="clear" w:color="auto" w:fill="D4EEED"/>
          </w:tcPr>
          <w:p>
            <w:pPr>
              <w:spacing w:after="0" w:line="184" w:lineRule="exact"/>
              <w:rPr>
                <w:sz w:val="20"/>
                <w:szCs w:val="20"/>
                <w:color w:val="auto"/>
              </w:rPr>
            </w:pPr>
            <w:r>
              <w:rPr>
                <w:rFonts w:ascii="Times New Roman" w:cs="Times New Roman" w:eastAsia="Times New Roman" w:hAnsi="Times New Roman"/>
                <w:sz w:val="20"/>
                <w:szCs w:val="20"/>
                <w:color w:val="auto"/>
              </w:rPr>
              <w:t>Executive Director, Mitochondrial Medicine Frontier Program at Children’s</w:t>
            </w:r>
          </w:p>
        </w:tc>
        <w:tc>
          <w:tcPr>
            <w:tcW w:w="100" w:type="dxa"/>
            <w:vAlign w:val="bottom"/>
            <w:tcBorders>
              <w:top w:val="single" w:sz="8" w:color="FEFEFE"/>
            </w:tcBorders>
            <w:shd w:val="clear" w:color="auto" w:fill="D4EEED"/>
          </w:tcPr>
          <w:p>
            <w:pPr>
              <w:spacing w:after="0"/>
              <w:rPr>
                <w:sz w:val="15"/>
                <w:szCs w:val="15"/>
                <w:color w:val="auto"/>
              </w:rPr>
            </w:pPr>
          </w:p>
        </w:tc>
        <w:tc>
          <w:tcPr>
            <w:tcW w:w="20" w:type="dxa"/>
            <w:vAlign w:val="bottom"/>
            <w:tcBorders>
              <w:top w:val="single" w:sz="8" w:color="D4EEED"/>
            </w:tcBorders>
            <w:shd w:val="clear" w:color="auto" w:fill="D4EEED"/>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2400" w:type="dxa"/>
            <w:vAlign w:val="bottom"/>
            <w:shd w:val="clear" w:color="auto" w:fill="D4EEED"/>
          </w:tcPr>
          <w:p>
            <w:pPr>
              <w:spacing w:after="0"/>
              <w:rPr>
                <w:sz w:val="19"/>
                <w:szCs w:val="19"/>
                <w:color w:val="auto"/>
              </w:rPr>
            </w:pPr>
          </w:p>
        </w:tc>
        <w:tc>
          <w:tcPr>
            <w:tcW w:w="180" w:type="dxa"/>
            <w:vAlign w:val="bottom"/>
            <w:shd w:val="clear" w:color="auto" w:fill="D4EEED"/>
          </w:tcPr>
          <w:p>
            <w:pPr>
              <w:spacing w:after="0"/>
              <w:rPr>
                <w:sz w:val="19"/>
                <w:szCs w:val="19"/>
                <w:color w:val="auto"/>
              </w:rPr>
            </w:pPr>
          </w:p>
        </w:tc>
        <w:tc>
          <w:tcPr>
            <w:tcW w:w="6780" w:type="dxa"/>
            <w:vAlign w:val="bottom"/>
            <w:gridSpan w:val="2"/>
            <w:shd w:val="clear" w:color="auto" w:fill="D4EEED"/>
          </w:tcPr>
          <w:p>
            <w:pPr>
              <w:spacing w:after="0" w:line="221" w:lineRule="exact"/>
              <w:rPr>
                <w:sz w:val="20"/>
                <w:szCs w:val="20"/>
                <w:color w:val="auto"/>
              </w:rPr>
            </w:pPr>
            <w:r>
              <w:rPr>
                <w:rFonts w:ascii="Times New Roman" w:cs="Times New Roman" w:eastAsia="Times New Roman" w:hAnsi="Times New Roman"/>
                <w:sz w:val="20"/>
                <w:szCs w:val="20"/>
                <w:color w:val="auto"/>
              </w:rPr>
              <w:t>Hospital of Philadelphia; Professor, Department of Human Genetics and</w:t>
            </w:r>
          </w:p>
        </w:tc>
        <w:tc>
          <w:tcPr>
            <w:tcW w:w="20" w:type="dxa"/>
            <w:vAlign w:val="bottom"/>
            <w:shd w:val="clear" w:color="auto" w:fill="D4EEED"/>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400" w:type="dxa"/>
            <w:vAlign w:val="bottom"/>
            <w:shd w:val="clear" w:color="auto" w:fill="D4EEED"/>
          </w:tcPr>
          <w:p>
            <w:pPr>
              <w:spacing w:after="0"/>
              <w:rPr>
                <w:sz w:val="19"/>
                <w:szCs w:val="19"/>
                <w:color w:val="auto"/>
              </w:rPr>
            </w:pPr>
          </w:p>
        </w:tc>
        <w:tc>
          <w:tcPr>
            <w:tcW w:w="180" w:type="dxa"/>
            <w:vAlign w:val="bottom"/>
            <w:shd w:val="clear" w:color="auto" w:fill="D4EEED"/>
          </w:tcPr>
          <w:p>
            <w:pPr>
              <w:spacing w:after="0"/>
              <w:rPr>
                <w:sz w:val="19"/>
                <w:szCs w:val="19"/>
                <w:color w:val="auto"/>
              </w:rPr>
            </w:pPr>
          </w:p>
        </w:tc>
        <w:tc>
          <w:tcPr>
            <w:tcW w:w="6780" w:type="dxa"/>
            <w:vAlign w:val="bottom"/>
            <w:gridSpan w:val="2"/>
            <w:shd w:val="clear" w:color="auto" w:fill="D4EEED"/>
          </w:tcPr>
          <w:p>
            <w:pPr>
              <w:spacing w:after="0" w:line="221" w:lineRule="exact"/>
              <w:rPr>
                <w:sz w:val="20"/>
                <w:szCs w:val="20"/>
                <w:color w:val="auto"/>
              </w:rPr>
            </w:pPr>
            <w:r>
              <w:rPr>
                <w:rFonts w:ascii="Times New Roman" w:cs="Times New Roman" w:eastAsia="Times New Roman" w:hAnsi="Times New Roman"/>
                <w:sz w:val="20"/>
                <w:szCs w:val="20"/>
                <w:color w:val="auto"/>
              </w:rPr>
              <w:t>Department of Pediatrics, University of Pennsylvania Perelman School of</w:t>
            </w:r>
          </w:p>
        </w:tc>
        <w:tc>
          <w:tcPr>
            <w:tcW w:w="20" w:type="dxa"/>
            <w:vAlign w:val="bottom"/>
            <w:shd w:val="clear" w:color="auto" w:fill="D4EEED"/>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2400" w:type="dxa"/>
            <w:vAlign w:val="bottom"/>
            <w:shd w:val="clear" w:color="auto" w:fill="D4EEED"/>
          </w:tcPr>
          <w:p>
            <w:pPr>
              <w:spacing w:after="0"/>
              <w:rPr>
                <w:sz w:val="21"/>
                <w:szCs w:val="21"/>
                <w:color w:val="auto"/>
              </w:rPr>
            </w:pPr>
          </w:p>
        </w:tc>
        <w:tc>
          <w:tcPr>
            <w:tcW w:w="180" w:type="dxa"/>
            <w:vAlign w:val="bottom"/>
            <w:shd w:val="clear" w:color="auto" w:fill="D4EEED"/>
          </w:tcPr>
          <w:p>
            <w:pPr>
              <w:spacing w:after="0"/>
              <w:rPr>
                <w:sz w:val="21"/>
                <w:szCs w:val="21"/>
                <w:color w:val="auto"/>
              </w:rPr>
            </w:pPr>
          </w:p>
        </w:tc>
        <w:tc>
          <w:tcPr>
            <w:tcW w:w="6780" w:type="dxa"/>
            <w:vAlign w:val="bottom"/>
            <w:gridSpan w:val="2"/>
            <w:shd w:val="clear" w:color="auto" w:fill="D4EEED"/>
          </w:tcPr>
          <w:p>
            <w:pPr>
              <w:spacing w:after="0"/>
              <w:rPr>
                <w:sz w:val="20"/>
                <w:szCs w:val="20"/>
                <w:color w:val="auto"/>
              </w:rPr>
            </w:pPr>
            <w:r>
              <w:rPr>
                <w:rFonts w:ascii="Times New Roman" w:cs="Times New Roman" w:eastAsia="Times New Roman" w:hAnsi="Times New Roman"/>
                <w:sz w:val="20"/>
                <w:szCs w:val="20"/>
                <w:color w:val="auto"/>
              </w:rPr>
              <w:t>Medicine</w:t>
            </w:r>
          </w:p>
        </w:tc>
        <w:tc>
          <w:tcPr>
            <w:tcW w:w="20" w:type="dxa"/>
            <w:vAlign w:val="bottom"/>
            <w:shd w:val="clear" w:color="auto" w:fill="D4EEED"/>
          </w:tcPr>
          <w:p>
            <w:pPr>
              <w:spacing w:after="0"/>
              <w:rPr>
                <w:sz w:val="21"/>
                <w:szCs w:val="21"/>
                <w:color w:val="auto"/>
              </w:rPr>
            </w:pPr>
          </w:p>
        </w:tc>
      </w:tr>
      <w:tr>
        <w:trPr>
          <w:trHeight w:val="193"/>
        </w:trPr>
        <w:tc>
          <w:tcPr>
            <w:tcW w:w="20" w:type="dxa"/>
            <w:vAlign w:val="bottom"/>
          </w:tcPr>
          <w:p>
            <w:pPr>
              <w:spacing w:after="0"/>
              <w:rPr>
                <w:sz w:val="16"/>
                <w:szCs w:val="16"/>
                <w:color w:val="auto"/>
              </w:rPr>
            </w:pPr>
          </w:p>
        </w:tc>
        <w:tc>
          <w:tcPr>
            <w:tcW w:w="240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Giovanni Manfredi, MD,</w:t>
            </w:r>
          </w:p>
        </w:tc>
        <w:tc>
          <w:tcPr>
            <w:tcW w:w="180" w:type="dxa"/>
            <w:vAlign w:val="bottom"/>
          </w:tcPr>
          <w:p>
            <w:pPr>
              <w:spacing w:after="0"/>
              <w:rPr>
                <w:sz w:val="16"/>
                <w:szCs w:val="16"/>
                <w:color w:val="auto"/>
              </w:rPr>
            </w:pPr>
          </w:p>
        </w:tc>
        <w:tc>
          <w:tcPr>
            <w:tcW w:w="678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Finbar and Marianne Kenny Professor of Clinical and Research Neurology, Weill</w:t>
            </w:r>
          </w:p>
        </w:tc>
        <w:tc>
          <w:tcPr>
            <w:tcW w:w="20" w:type="dxa"/>
            <w:vAlign w:val="bottom"/>
          </w:tcPr>
          <w:p>
            <w:pPr>
              <w:spacing w:after="0"/>
              <w:rPr>
                <w:sz w:val="16"/>
                <w:szCs w:val="16"/>
                <w:color w:val="auto"/>
              </w:rPr>
            </w:pPr>
          </w:p>
        </w:tc>
      </w:tr>
      <w:tr>
        <w:trPr>
          <w:trHeight w:val="248"/>
        </w:trPr>
        <w:tc>
          <w:tcPr>
            <w:tcW w:w="20" w:type="dxa"/>
            <w:vAlign w:val="bottom"/>
          </w:tcPr>
          <w:p>
            <w:pPr>
              <w:spacing w:after="0"/>
              <w:rPr>
                <w:sz w:val="21"/>
                <w:szCs w:val="21"/>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PhD</w:t>
            </w:r>
          </w:p>
        </w:tc>
        <w:tc>
          <w:tcPr>
            <w:tcW w:w="180" w:type="dxa"/>
            <w:vAlign w:val="bottom"/>
          </w:tcPr>
          <w:p>
            <w:pPr>
              <w:spacing w:after="0"/>
              <w:rPr>
                <w:sz w:val="21"/>
                <w:szCs w:val="21"/>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Cornell Medicine; Professor of Neuroscience, Weil Cornell Medicine</w:t>
            </w:r>
          </w:p>
        </w:tc>
        <w:tc>
          <w:tcPr>
            <w:tcW w:w="20" w:type="dxa"/>
            <w:vAlign w:val="bottom"/>
          </w:tcPr>
          <w:p>
            <w:pPr>
              <w:spacing w:after="0"/>
              <w:rPr>
                <w:sz w:val="21"/>
                <w:szCs w:val="21"/>
                <w:color w:val="auto"/>
              </w:rPr>
            </w:pPr>
          </w:p>
        </w:tc>
      </w:tr>
      <w:tr>
        <w:trPr>
          <w:trHeight w:val="193"/>
        </w:trPr>
        <w:tc>
          <w:tcPr>
            <w:tcW w:w="20" w:type="dxa"/>
            <w:vAlign w:val="bottom"/>
          </w:tcPr>
          <w:p>
            <w:pPr>
              <w:spacing w:after="0"/>
              <w:rPr>
                <w:sz w:val="16"/>
                <w:szCs w:val="16"/>
                <w:color w:val="auto"/>
              </w:rPr>
            </w:pPr>
          </w:p>
        </w:tc>
        <w:tc>
          <w:tcPr>
            <w:tcW w:w="2400" w:type="dxa"/>
            <w:vAlign w:val="bottom"/>
            <w:shd w:val="clear" w:color="auto" w:fill="D4EEED"/>
          </w:tcPr>
          <w:p>
            <w:pPr>
              <w:spacing w:after="0" w:line="193" w:lineRule="exact"/>
              <w:rPr>
                <w:sz w:val="20"/>
                <w:szCs w:val="20"/>
                <w:color w:val="auto"/>
              </w:rPr>
            </w:pPr>
            <w:r>
              <w:rPr>
                <w:rFonts w:ascii="Times New Roman" w:cs="Times New Roman" w:eastAsia="Times New Roman" w:hAnsi="Times New Roman"/>
                <w:sz w:val="20"/>
                <w:szCs w:val="20"/>
                <w:color w:val="auto"/>
              </w:rPr>
              <w:t>Jill Ostrem, MD</w:t>
            </w:r>
          </w:p>
        </w:tc>
        <w:tc>
          <w:tcPr>
            <w:tcW w:w="180" w:type="dxa"/>
            <w:vAlign w:val="bottom"/>
            <w:shd w:val="clear" w:color="auto" w:fill="D4EEED"/>
          </w:tcPr>
          <w:p>
            <w:pPr>
              <w:spacing w:after="0"/>
              <w:rPr>
                <w:sz w:val="16"/>
                <w:szCs w:val="16"/>
                <w:color w:val="auto"/>
              </w:rPr>
            </w:pPr>
          </w:p>
        </w:tc>
        <w:tc>
          <w:tcPr>
            <w:tcW w:w="6780" w:type="dxa"/>
            <w:vAlign w:val="bottom"/>
            <w:gridSpan w:val="2"/>
            <w:shd w:val="clear" w:color="auto" w:fill="D4EEED"/>
          </w:tcPr>
          <w:p>
            <w:pPr>
              <w:spacing w:after="0" w:line="193" w:lineRule="exact"/>
              <w:rPr>
                <w:sz w:val="20"/>
                <w:szCs w:val="20"/>
                <w:color w:val="auto"/>
              </w:rPr>
            </w:pPr>
            <w:r>
              <w:rPr>
                <w:rFonts w:ascii="Times New Roman" w:cs="Times New Roman" w:eastAsia="Times New Roman" w:hAnsi="Times New Roman"/>
                <w:sz w:val="20"/>
                <w:szCs w:val="20"/>
                <w:color w:val="auto"/>
              </w:rPr>
              <w:t>Medical director and division chief of University of California San Francisco</w:t>
            </w:r>
          </w:p>
        </w:tc>
        <w:tc>
          <w:tcPr>
            <w:tcW w:w="20" w:type="dxa"/>
            <w:vAlign w:val="bottom"/>
            <w:shd w:val="clear" w:color="auto" w:fill="D4EEED"/>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2400" w:type="dxa"/>
            <w:vAlign w:val="bottom"/>
            <w:shd w:val="clear" w:color="auto" w:fill="D4EEED"/>
          </w:tcPr>
          <w:p>
            <w:pPr>
              <w:spacing w:after="0"/>
              <w:rPr>
                <w:sz w:val="19"/>
                <w:szCs w:val="19"/>
                <w:color w:val="auto"/>
              </w:rPr>
            </w:pPr>
          </w:p>
        </w:tc>
        <w:tc>
          <w:tcPr>
            <w:tcW w:w="180" w:type="dxa"/>
            <w:vAlign w:val="bottom"/>
            <w:shd w:val="clear" w:color="auto" w:fill="D4EEED"/>
          </w:tcPr>
          <w:p>
            <w:pPr>
              <w:spacing w:after="0"/>
              <w:rPr>
                <w:sz w:val="19"/>
                <w:szCs w:val="19"/>
                <w:color w:val="auto"/>
              </w:rPr>
            </w:pPr>
          </w:p>
        </w:tc>
        <w:tc>
          <w:tcPr>
            <w:tcW w:w="6780" w:type="dxa"/>
            <w:vAlign w:val="bottom"/>
            <w:gridSpan w:val="2"/>
            <w:shd w:val="clear" w:color="auto" w:fill="D4EEED"/>
          </w:tcPr>
          <w:p>
            <w:pPr>
              <w:spacing w:after="0" w:line="221" w:lineRule="exact"/>
              <w:rPr>
                <w:sz w:val="20"/>
                <w:szCs w:val="20"/>
                <w:color w:val="auto"/>
              </w:rPr>
            </w:pPr>
            <w:r>
              <w:rPr>
                <w:rFonts w:ascii="Times New Roman" w:cs="Times New Roman" w:eastAsia="Times New Roman" w:hAnsi="Times New Roman"/>
                <w:sz w:val="20"/>
                <w:szCs w:val="20"/>
                <w:color w:val="auto"/>
              </w:rPr>
              <w:t>(UCSF) Movement Disorders and Neuromodulation Center. Carlin and Ellen</w:t>
            </w:r>
          </w:p>
        </w:tc>
        <w:tc>
          <w:tcPr>
            <w:tcW w:w="20" w:type="dxa"/>
            <w:vAlign w:val="bottom"/>
            <w:shd w:val="clear" w:color="auto" w:fill="D4EEED"/>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2400" w:type="dxa"/>
            <w:vAlign w:val="bottom"/>
            <w:shd w:val="clear" w:color="auto" w:fill="D4EEED"/>
          </w:tcPr>
          <w:p>
            <w:pPr>
              <w:spacing w:after="0"/>
              <w:rPr>
                <w:sz w:val="21"/>
                <w:szCs w:val="21"/>
                <w:color w:val="auto"/>
              </w:rPr>
            </w:pPr>
          </w:p>
        </w:tc>
        <w:tc>
          <w:tcPr>
            <w:tcW w:w="180" w:type="dxa"/>
            <w:vAlign w:val="bottom"/>
            <w:shd w:val="clear" w:color="auto" w:fill="D4EEED"/>
          </w:tcPr>
          <w:p>
            <w:pPr>
              <w:spacing w:after="0"/>
              <w:rPr>
                <w:sz w:val="21"/>
                <w:szCs w:val="21"/>
                <w:color w:val="auto"/>
              </w:rPr>
            </w:pPr>
          </w:p>
        </w:tc>
        <w:tc>
          <w:tcPr>
            <w:tcW w:w="6780" w:type="dxa"/>
            <w:vAlign w:val="bottom"/>
            <w:gridSpan w:val="2"/>
            <w:shd w:val="clear" w:color="auto" w:fill="D4EEED"/>
          </w:tcPr>
          <w:p>
            <w:pPr>
              <w:spacing w:after="0"/>
              <w:rPr>
                <w:sz w:val="20"/>
                <w:szCs w:val="20"/>
                <w:color w:val="auto"/>
              </w:rPr>
            </w:pPr>
            <w:r>
              <w:rPr>
                <w:rFonts w:ascii="Times New Roman" w:cs="Times New Roman" w:eastAsia="Times New Roman" w:hAnsi="Times New Roman"/>
                <w:sz w:val="20"/>
                <w:szCs w:val="20"/>
                <w:color w:val="auto"/>
              </w:rPr>
              <w:t>Wiegner Endowed Professor of Neurology.</w:t>
            </w:r>
          </w:p>
        </w:tc>
        <w:tc>
          <w:tcPr>
            <w:tcW w:w="20" w:type="dxa"/>
            <w:vAlign w:val="bottom"/>
            <w:shd w:val="clear" w:color="auto" w:fill="D4EEED"/>
          </w:tcPr>
          <w:p>
            <w:pPr>
              <w:spacing w:after="0"/>
              <w:rPr>
                <w:sz w:val="21"/>
                <w:szCs w:val="21"/>
                <w:color w:val="auto"/>
              </w:rPr>
            </w:pPr>
          </w:p>
        </w:tc>
      </w:tr>
      <w:tr>
        <w:trPr>
          <w:trHeight w:val="266"/>
        </w:trPr>
        <w:tc>
          <w:tcPr>
            <w:tcW w:w="20" w:type="dxa"/>
            <w:vAlign w:val="bottom"/>
          </w:tcPr>
          <w:p>
            <w:pPr>
              <w:spacing w:after="0"/>
              <w:rPr>
                <w:sz w:val="23"/>
                <w:szCs w:val="23"/>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Mark Payne, MD</w:t>
            </w:r>
          </w:p>
        </w:tc>
        <w:tc>
          <w:tcPr>
            <w:tcW w:w="180" w:type="dxa"/>
            <w:vAlign w:val="bottom"/>
          </w:tcPr>
          <w:p>
            <w:pPr>
              <w:spacing w:after="0"/>
              <w:rPr>
                <w:sz w:val="23"/>
                <w:szCs w:val="23"/>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Professor of Pediatrics, Indiana University School of Medicine</w:t>
            </w:r>
          </w:p>
        </w:tc>
        <w:tc>
          <w:tcPr>
            <w:tcW w:w="20" w:type="dxa"/>
            <w:vAlign w:val="bottom"/>
          </w:tcPr>
          <w:p>
            <w:pPr>
              <w:spacing w:after="0"/>
              <w:rPr>
                <w:sz w:val="23"/>
                <w:szCs w:val="23"/>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353"/>
        </w:trPr>
        <w:tc>
          <w:tcPr>
            <w:tcW w:w="2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Facilities</w:t>
            </w:r>
          </w:p>
        </w:tc>
        <w:tc>
          <w:tcPr>
            <w:tcW w:w="1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960" w:h="17280" w:orient="portrait"/>
          <w:cols w:equalWidth="0" w:num="1">
            <w:col w:w="10080"/>
          </w:cols>
          <w:pgMar w:left="1440" w:top="1440" w:right="1440" w:bottom="895"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360" w:right="400" w:firstLine="490"/>
        <w:spacing w:after="0" w:line="248" w:lineRule="auto"/>
        <w:rPr>
          <w:sz w:val="20"/>
          <w:szCs w:val="20"/>
          <w:color w:val="auto"/>
        </w:rPr>
      </w:pPr>
      <w:r>
        <w:rPr>
          <w:rFonts w:ascii="Times New Roman" w:cs="Times New Roman" w:eastAsia="Times New Roman" w:hAnsi="Times New Roman"/>
          <w:sz w:val="20"/>
          <w:szCs w:val="20"/>
          <w:color w:val="auto"/>
        </w:rPr>
        <w:t>We lease office and laboratory space, which consists of approximately 8,000 square feet and 4,000 square feet located in Bala Cynwyd, PA and King of Prussia, PA, respectively. The office lease currently expires on August 31, 2026 and the lab lease expires on May 9, 2028.</w:t>
      </w:r>
    </w:p>
    <w:p>
      <w:pPr>
        <w:spacing w:after="0" w:line="68" w:lineRule="exact"/>
        <w:rPr>
          <w:sz w:val="20"/>
          <w:szCs w:val="20"/>
          <w:color w:val="auto"/>
        </w:rPr>
      </w:pPr>
    </w:p>
    <w:p>
      <w:pPr>
        <w:ind w:left="360" w:right="440" w:firstLine="490"/>
        <w:spacing w:after="0" w:line="239" w:lineRule="auto"/>
        <w:rPr>
          <w:sz w:val="20"/>
          <w:szCs w:val="20"/>
          <w:color w:val="auto"/>
        </w:rPr>
      </w:pPr>
      <w:r>
        <w:rPr>
          <w:rFonts w:ascii="Times New Roman" w:cs="Times New Roman" w:eastAsia="Times New Roman" w:hAnsi="Times New Roman"/>
          <w:sz w:val="20"/>
          <w:szCs w:val="20"/>
          <w:color w:val="auto"/>
        </w:rPr>
        <w:t>As part of the Merger (as defined below) with Zafgen, Inc ("Zafgen"), we acquired a non-cancellable operating lease for approximately 17,705 square feet of office space at 3 Center Plaza, Boston, Massachusetts (the "Boston Lease"). The Boston Lease expires on October 30, 2029. On October 27, 2020, we entered into a sublease agreement whereby we subleased all 17,705 square feet of office space leased under the Boston Lease until October 30, 2029.</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114" w:lineRule="exact"/>
        <w:rPr>
          <w:sz w:val="20"/>
          <w:szCs w:val="20"/>
          <w:color w:val="auto"/>
        </w:rPr>
      </w:pPr>
    </w:p>
    <w:p>
      <w:pPr>
        <w:ind w:left="360" w:right="1040" w:firstLine="490"/>
        <w:spacing w:after="0" w:line="248"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arising in the ordinary course of our business. We are not presently a party to any legal proceedings that, if determined adversely to us, would individually or taken together have a material adverse effect on us.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24" w:lineRule="exact"/>
        <w:rPr>
          <w:sz w:val="20"/>
          <w:szCs w:val="20"/>
          <w:color w:val="auto"/>
        </w:rPr>
      </w:pPr>
    </w:p>
    <w:p>
      <w:pPr>
        <w:ind w:left="360" w:right="400" w:firstLine="490"/>
        <w:spacing w:after="0" w:line="247" w:lineRule="auto"/>
        <w:rPr>
          <w:sz w:val="20"/>
          <w:szCs w:val="20"/>
          <w:color w:val="auto"/>
        </w:rPr>
      </w:pPr>
      <w:r>
        <w:rPr>
          <w:rFonts w:ascii="Times New Roman" w:cs="Times New Roman" w:eastAsia="Times New Roman" w:hAnsi="Times New Roman"/>
          <w:sz w:val="20"/>
          <w:szCs w:val="20"/>
          <w:color w:val="auto"/>
        </w:rPr>
        <w:t>We were founded in 2005 as a Delaware corporation under the name Zafgen, Inc. ("Zafgen"). On May 28, 2020, Zafgen completed a reverse merger with Chondrial Therapeutics, Inc. ("Chondrial") in accordance with the terms of the Agreement and Plan of Merger and Reorganization, dated December 17, 2019, by and among Zafgen, Zordich Merger Sub, Inc., Chondrial and Chondrial Therapeutics Holdings, LLC, pursuant to which Zordich Merger Sub, Inc. merged with and into Chondrial, with Chondrial surviving as our wholly owned subsidiary. Following completion of the merger, Zafgen, Inc. changed its name to Larimar Therapeutics, Inc.</w:t>
      </w:r>
    </w:p>
    <w:p>
      <w:pPr>
        <w:spacing w:after="0" w:line="80" w:lineRule="exact"/>
        <w:rPr>
          <w:sz w:val="20"/>
          <w:szCs w:val="20"/>
          <w:color w:val="auto"/>
        </w:rPr>
      </w:pPr>
    </w:p>
    <w:p>
      <w:pPr>
        <w:ind w:left="360" w:right="480" w:firstLine="490"/>
        <w:spacing w:after="0" w:line="252" w:lineRule="auto"/>
        <w:rPr>
          <w:sz w:val="20"/>
          <w:szCs w:val="20"/>
          <w:color w:val="auto"/>
        </w:rPr>
      </w:pPr>
      <w:r>
        <w:rPr>
          <w:rFonts w:ascii="Times New Roman" w:cs="Times New Roman" w:eastAsia="Times New Roman" w:hAnsi="Times New Roman"/>
          <w:sz w:val="20"/>
          <w:szCs w:val="20"/>
          <w:color w:val="auto"/>
        </w:rPr>
        <w:t>Our principal executive offices are located at Three Bala Plaza East, Suite 506, Bala Cynwyd, PA 19004, and our telephone number is (844) 511-9056. Our website address is www.larimartx.com. The information on, or that can be accessed through, our website is not part of this Annual Report on Form 10-K and is not incorporated by reference herein. We have included our website address as an inactive textual reference only.</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24" w:lineRule="exact"/>
        <w:rPr>
          <w:sz w:val="20"/>
          <w:szCs w:val="20"/>
          <w:color w:val="auto"/>
        </w:rPr>
      </w:pPr>
    </w:p>
    <w:p>
      <w:pPr>
        <w:jc w:val="both"/>
        <w:ind w:left="360" w:right="500" w:firstLine="490"/>
        <w:spacing w:after="0" w:line="252" w:lineRule="auto"/>
        <w:rPr>
          <w:sz w:val="20"/>
          <w:szCs w:val="20"/>
          <w:color w:val="auto"/>
        </w:rPr>
      </w:pPr>
      <w:r>
        <w:rPr>
          <w:rFonts w:ascii="Times New Roman" w:cs="Times New Roman" w:eastAsia="Times New Roman" w:hAnsi="Times New Roman"/>
          <w:sz w:val="20"/>
          <w:szCs w:val="20"/>
          <w:color w:val="auto"/>
        </w:rPr>
        <w:t>We file annual, quarterly, and current reports, proxy statements, and other documents with the Securities and Exchange Commission ("the SEC") under the Securities Exchange Act of 1934, as amended ("the Exchange Act"). The SEC maintains an internet website, www.sec.gov, that contains reports, proxy and information statements, and other information regarding issuers, including us, that file electronically with the SEC.</w:t>
      </w:r>
    </w:p>
    <w:p>
      <w:pPr>
        <w:spacing w:after="0" w:line="74" w:lineRule="exact"/>
        <w:rPr>
          <w:sz w:val="20"/>
          <w:szCs w:val="20"/>
          <w:color w:val="auto"/>
        </w:rPr>
      </w:pPr>
    </w:p>
    <w:p>
      <w:pPr>
        <w:ind w:left="360" w:right="600" w:firstLine="490"/>
        <w:spacing w:after="0" w:line="258" w:lineRule="auto"/>
        <w:rPr>
          <w:sz w:val="20"/>
          <w:szCs w:val="20"/>
          <w:color w:val="auto"/>
        </w:rPr>
      </w:pPr>
      <w:r>
        <w:rPr>
          <w:rFonts w:ascii="Times New Roman" w:cs="Times New Roman" w:eastAsia="Times New Roman" w:hAnsi="Times New Roman"/>
          <w:sz w:val="20"/>
          <w:szCs w:val="20"/>
          <w:color w:val="auto"/>
        </w:rPr>
        <w:t>Copies of each of our filings with the SEC on Form 10-K, Form 10-Q and Form 8-K and all amendments to those reports, can be viewed and downloaded free of charge at our website, www.larimartx.com as soon as reasonably practicable after the reports and amendments are electronically filed with or furnished to the SEC.</w:t>
      </w:r>
    </w:p>
    <w:p>
      <w:pPr>
        <w:spacing w:after="0" w:line="68" w:lineRule="exact"/>
        <w:rPr>
          <w:sz w:val="20"/>
          <w:szCs w:val="20"/>
          <w:color w:val="auto"/>
        </w:rPr>
      </w:pPr>
    </w:p>
    <w:p>
      <w:pPr>
        <w:ind w:left="360" w:right="420" w:firstLine="490"/>
        <w:spacing w:after="0" w:line="252" w:lineRule="auto"/>
        <w:rPr>
          <w:sz w:val="20"/>
          <w:szCs w:val="20"/>
          <w:color w:val="auto"/>
        </w:rPr>
      </w:pPr>
      <w:r>
        <w:rPr>
          <w:rFonts w:ascii="Times New Roman" w:cs="Times New Roman" w:eastAsia="Times New Roman" w:hAnsi="Times New Roman"/>
          <w:sz w:val="20"/>
          <w:szCs w:val="20"/>
          <w:color w:val="auto"/>
        </w:rPr>
        <w:t>Our code of ethics, other corporate policies and procedures, and the charters of our Audit Committee, Compensation Committee and Nominating and Corporate Governance Committee are available through our website at www.larimartx.com. We intend to post information regarding any amendments to, or waivers from, our code of ethics on our website.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U.S. Government Regulation</w:t>
      </w:r>
    </w:p>
    <w:p>
      <w:pPr>
        <w:spacing w:after="0" w:line="120" w:lineRule="exact"/>
        <w:rPr>
          <w:sz w:val="20"/>
          <w:szCs w:val="20"/>
          <w:color w:val="auto"/>
        </w:rPr>
      </w:pPr>
    </w:p>
    <w:p>
      <w:pPr>
        <w:ind w:left="360" w:right="400" w:firstLine="490"/>
        <w:spacing w:after="0" w:line="257" w:lineRule="auto"/>
        <w:rPr>
          <w:sz w:val="20"/>
          <w:szCs w:val="20"/>
          <w:color w:val="auto"/>
        </w:rPr>
      </w:pPr>
      <w:r>
        <w:rPr>
          <w:rFonts w:ascii="Times New Roman" w:cs="Times New Roman" w:eastAsia="Times New Roman" w:hAnsi="Times New Roman"/>
          <w:sz w:val="19"/>
          <w:szCs w:val="19"/>
          <w:color w:val="auto"/>
        </w:rPr>
        <w:t>In the United States, drug and biologic products are subject to extensive regulation by the FDA. The Federal Food, Drug, and Cosmetic Act (“FDCA”) and other federal and state statutes and regulations, govern, among other things, the research, development, testing, manufacture, storage, record 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FDCA, with the exception that the section of the FDCA that governs the approval of drugs via new drug applications (“NDAs”), does not apply to the approval of biologics. In contrast, biologics are approved for marketing under provisions of the Public Health Service Act (“PHS Act”), via a Biologics License Application (“BLA”). However, the application process and requirements for approval of BLAs are very similar to those for NDAs. FDA approval or licensure also must be obtained before the marketing of drug and biological products. The process of obtaining regulatory approvals and the subsequent compliance with appropriate federal, state, local and foreign statutes and regulations require the expenditure of substantial time and financial resources.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960" w:h="17280" w:orient="portrait"/>
          <w:cols w:equalWidth="0" w:num="1">
            <w:col w:w="10080"/>
          </w:cols>
          <w:pgMar w:left="1440" w:top="1440" w:right="1440" w:bottom="895" w:gutter="0" w:footer="0" w:header="0"/>
          <w:type w:val="continuous"/>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Development Process</w:t>
      </w:r>
    </w:p>
    <w:p>
      <w:pPr>
        <w:spacing w:after="0" w:line="118" w:lineRule="exact"/>
        <w:rPr>
          <w:sz w:val="20"/>
          <w:szCs w:val="20"/>
          <w:color w:val="auto"/>
        </w:rPr>
      </w:pPr>
    </w:p>
    <w:p>
      <w:pPr>
        <w:ind w:left="360" w:right="800" w:firstLine="490"/>
        <w:spacing w:after="0" w:line="277" w:lineRule="auto"/>
        <w:rPr>
          <w:sz w:val="20"/>
          <w:szCs w:val="20"/>
          <w:color w:val="auto"/>
        </w:rPr>
      </w:pPr>
      <w:r>
        <w:rPr>
          <w:rFonts w:ascii="Times New Roman" w:cs="Times New Roman" w:eastAsia="Times New Roman" w:hAnsi="Times New Roman"/>
          <w:sz w:val="20"/>
          <w:szCs w:val="20"/>
          <w:color w:val="auto"/>
        </w:rPr>
        <w:t>The process required by the FDA before a drug or biologic product may be marketed in the United States generally involves the following:</w:t>
      </w:r>
    </w:p>
    <w:p>
      <w:pPr>
        <w:spacing w:after="0" w:line="63" w:lineRule="exact"/>
        <w:rPr>
          <w:sz w:val="20"/>
          <w:szCs w:val="20"/>
          <w:color w:val="auto"/>
        </w:rPr>
      </w:pPr>
    </w:p>
    <w:p>
      <w:pPr>
        <w:ind w:left="1220" w:right="680" w:hanging="370"/>
        <w:spacing w:after="0" w:line="258" w:lineRule="auto"/>
        <w:tabs>
          <w:tab w:leader="none" w:pos="12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non-clinical laboratory tests and animal studies according to Good Laboratory Practices ("GLPs"), and applicable requirements for the humane use of laboratory animals or other applicable regulations;</w:t>
      </w:r>
    </w:p>
    <w:p>
      <w:pPr>
        <w:spacing w:after="0" w:line="81" w:lineRule="exact"/>
        <w:rPr>
          <w:rFonts w:ascii="Arial" w:cs="Arial" w:eastAsia="Arial" w:hAnsi="Arial"/>
          <w:sz w:val="20"/>
          <w:szCs w:val="20"/>
          <w:color w:val="auto"/>
        </w:rPr>
      </w:pPr>
    </w:p>
    <w:p>
      <w:pPr>
        <w:ind w:left="1220" w:hanging="370"/>
        <w:spacing w:after="0"/>
        <w:tabs>
          <w:tab w:leader="none" w:pos="12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preparation of clinical trial material in accordance with cGMPs;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IND, which must become effective before human clinical trials may begin;</w:t>
      </w:r>
    </w:p>
    <w:p>
      <w:pPr>
        <w:spacing w:after="0" w:line="133" w:lineRule="exact"/>
        <w:rPr>
          <w:rFonts w:ascii="Arial" w:cs="Arial" w:eastAsia="Arial" w:hAnsi="Arial"/>
          <w:sz w:val="20"/>
          <w:szCs w:val="20"/>
          <w:color w:val="auto"/>
        </w:rPr>
      </w:pPr>
    </w:p>
    <w:p>
      <w:pPr>
        <w:ind w:left="1220" w:right="680" w:hanging="370"/>
        <w:spacing w:after="0" w:line="276" w:lineRule="auto"/>
        <w:tabs>
          <w:tab w:leader="none" w:pos="12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institutional review board ("IRB") reviewing each clinical site before each clinical trial may be initiated;</w:t>
      </w:r>
    </w:p>
    <w:p>
      <w:pPr>
        <w:spacing w:after="0" w:line="64" w:lineRule="exact"/>
        <w:rPr>
          <w:rFonts w:ascii="Arial" w:cs="Arial" w:eastAsia="Arial" w:hAnsi="Arial"/>
          <w:sz w:val="20"/>
          <w:szCs w:val="20"/>
          <w:color w:val="auto"/>
        </w:rPr>
      </w:pPr>
    </w:p>
    <w:p>
      <w:pPr>
        <w:ind w:left="1220" w:right="540" w:hanging="370"/>
        <w:spacing w:after="0" w:line="252" w:lineRule="auto"/>
        <w:tabs>
          <w:tab w:leader="none" w:pos="12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adequate and well-controlled human clinical trials according to Good Clinical Practices ("GCPs") and any additional requirements for the protection of human research subjects and their health information, to establish the safety, purity, potency, and efficacy, of the proposed drug or biological product for its intended use;</w:t>
      </w:r>
    </w:p>
    <w:p>
      <w:pPr>
        <w:spacing w:after="0" w:line="87" w:lineRule="exact"/>
        <w:rPr>
          <w:rFonts w:ascii="Arial" w:cs="Arial" w:eastAsia="Arial" w:hAnsi="Arial"/>
          <w:sz w:val="20"/>
          <w:szCs w:val="20"/>
          <w:color w:val="auto"/>
        </w:rPr>
      </w:pPr>
    </w:p>
    <w:p>
      <w:pPr>
        <w:ind w:left="1220" w:right="900" w:hanging="370"/>
        <w:spacing w:after="0" w:line="276" w:lineRule="auto"/>
        <w:tabs>
          <w:tab w:leader="none" w:pos="12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NDA or BLA for marketing approval that includes evidence of safety, purity, potency, and efficacy from results of non-clinical testing and clinical trials;</w:t>
      </w:r>
    </w:p>
    <w:p>
      <w:pPr>
        <w:spacing w:after="0" w:line="64" w:lineRule="exact"/>
        <w:rPr>
          <w:rFonts w:ascii="Arial" w:cs="Arial" w:eastAsia="Arial" w:hAnsi="Arial"/>
          <w:sz w:val="20"/>
          <w:szCs w:val="20"/>
          <w:color w:val="auto"/>
        </w:rPr>
      </w:pPr>
    </w:p>
    <w:p>
      <w:pPr>
        <w:ind w:left="1220" w:right="360" w:hanging="370"/>
        <w:spacing w:after="0" w:line="252" w:lineRule="auto"/>
        <w:tabs>
          <w:tab w:leader="none" w:pos="12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inspection prior to NDA or BLA approval of the manufacturing facility or facilities where the drug or biological product is produced to assess compliance with cGMPs, to assure that the facilities, methods and controls are adequate to preserve the biological product’s identity, strength, quality and purity;</w:t>
      </w:r>
    </w:p>
    <w:p>
      <w:pPr>
        <w:spacing w:after="0" w:line="87" w:lineRule="exact"/>
        <w:rPr>
          <w:rFonts w:ascii="Arial" w:cs="Arial" w:eastAsia="Arial" w:hAnsi="Arial"/>
          <w:sz w:val="20"/>
          <w:szCs w:val="20"/>
          <w:color w:val="auto"/>
        </w:rPr>
      </w:pPr>
    </w:p>
    <w:p>
      <w:pPr>
        <w:ind w:left="1220" w:right="660" w:hanging="370"/>
        <w:spacing w:after="0" w:line="276" w:lineRule="auto"/>
        <w:tabs>
          <w:tab w:leader="none" w:pos="12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FDA audit of the non-clinical and clinical study sites that generated the data in support of the NDA or BLA;</w:t>
      </w:r>
    </w:p>
    <w:p>
      <w:pPr>
        <w:spacing w:after="0" w:line="64" w:lineRule="exact"/>
        <w:rPr>
          <w:rFonts w:ascii="Arial" w:cs="Arial" w:eastAsia="Arial" w:hAnsi="Arial"/>
          <w:sz w:val="20"/>
          <w:szCs w:val="20"/>
          <w:color w:val="auto"/>
        </w:rPr>
      </w:pPr>
    </w:p>
    <w:p>
      <w:pPr>
        <w:ind w:left="1220" w:right="560" w:hanging="370"/>
        <w:spacing w:after="0" w:line="276" w:lineRule="auto"/>
        <w:tabs>
          <w:tab w:leader="none" w:pos="12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FDA Advisory Committee meeting to elicit expert input on critical issues and including a vote by external committee members;</w:t>
      </w:r>
    </w:p>
    <w:p>
      <w:pPr>
        <w:spacing w:after="0" w:line="64" w:lineRule="exact"/>
        <w:rPr>
          <w:rFonts w:ascii="Arial" w:cs="Arial" w:eastAsia="Arial" w:hAnsi="Arial"/>
          <w:sz w:val="20"/>
          <w:szCs w:val="20"/>
          <w:color w:val="auto"/>
        </w:rPr>
      </w:pPr>
    </w:p>
    <w:p>
      <w:pPr>
        <w:ind w:left="1220" w:right="540" w:hanging="370"/>
        <w:spacing w:after="0" w:line="276" w:lineRule="auto"/>
        <w:tabs>
          <w:tab w:leader="none" w:pos="12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FDA review and approval, or licensure, of the NDA or BLA, and payment of associated user fees, when applicable; and</w:t>
      </w:r>
    </w:p>
    <w:p>
      <w:pPr>
        <w:spacing w:after="0" w:line="64" w:lineRule="exact"/>
        <w:rPr>
          <w:rFonts w:ascii="Arial" w:cs="Arial" w:eastAsia="Arial" w:hAnsi="Arial"/>
          <w:sz w:val="20"/>
          <w:szCs w:val="20"/>
          <w:color w:val="auto"/>
        </w:rPr>
      </w:pPr>
    </w:p>
    <w:p>
      <w:pPr>
        <w:ind w:left="1220" w:right="400" w:hanging="370"/>
        <w:spacing w:after="0" w:line="258" w:lineRule="auto"/>
        <w:tabs>
          <w:tab w:leader="none" w:pos="12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any post approval requirements, including the potential requirement to implement a Risk Evaluation and Mitigation Strategies ("REMS") and the potential requirement to conduct post approval studies.</w:t>
      </w:r>
    </w:p>
    <w:p>
      <w:pPr>
        <w:spacing w:after="0" w:line="67" w:lineRule="exact"/>
        <w:rPr>
          <w:sz w:val="20"/>
          <w:szCs w:val="20"/>
          <w:color w:val="auto"/>
        </w:rPr>
      </w:pPr>
    </w:p>
    <w:p>
      <w:pPr>
        <w:ind w:left="360" w:right="440" w:firstLine="490"/>
        <w:spacing w:after="0" w:line="270" w:lineRule="auto"/>
        <w:rPr>
          <w:sz w:val="20"/>
          <w:szCs w:val="20"/>
          <w:color w:val="auto"/>
        </w:rPr>
      </w:pPr>
      <w:r>
        <w:rPr>
          <w:rFonts w:ascii="Times New Roman" w:cs="Times New Roman" w:eastAsia="Times New Roman" w:hAnsi="Times New Roman"/>
          <w:sz w:val="19"/>
          <w:szCs w:val="19"/>
          <w:color w:val="auto"/>
        </w:rPr>
        <w:t>Before testing any drug or biological product candidate in humans, the product candidate enters the non-clinical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57"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places the clinical trial on a clinical hold within that 30-day time period. In such a case, the IND sponsor must resolve any deficiencies to the satisfaction of the FDA, and the FDA must lift the clinical hold before the clinical trial can begin. The FDA may also impose clinical holds on a drug or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88" w:lineRule="exact"/>
        <w:rPr>
          <w:sz w:val="20"/>
          <w:szCs w:val="20"/>
          <w:color w:val="auto"/>
        </w:rPr>
      </w:pPr>
    </w:p>
    <w:p>
      <w:pPr>
        <w:jc w:val="both"/>
        <w:ind w:left="360" w:right="400" w:firstLine="490"/>
        <w:spacing w:after="0" w:line="258" w:lineRule="auto"/>
        <w:rPr>
          <w:sz w:val="20"/>
          <w:szCs w:val="20"/>
          <w:color w:val="auto"/>
        </w:rPr>
      </w:pPr>
      <w:r>
        <w:rPr>
          <w:rFonts w:ascii="Times New Roman" w:cs="Times New Roman" w:eastAsia="Times New Roman" w:hAnsi="Times New Roman"/>
          <w:sz w:val="20"/>
          <w:szCs w:val="20"/>
          <w:color w:val="auto"/>
        </w:rPr>
        <w:t>Clinical trials may involve the administration of the drug or biological product candidate to healthy volunteers or subjects under the supervision of qualified investigators, generally physicians not employed by or under the study sponsor’s control. Clinical trials involving some products for certain diseases, including some rare diseases may</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960" w:h="17280" w:orient="portrait"/>
          <w:cols w:equalWidth="0" w:num="1">
            <w:col w:w="10080"/>
          </w:cols>
          <w:pgMar w:left="1440" w:top="1440" w:right="1440" w:bottom="895"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80"/>
        <w:spacing w:after="0" w:line="242" w:lineRule="auto"/>
        <w:rPr>
          <w:sz w:val="20"/>
          <w:szCs w:val="20"/>
          <w:color w:val="auto"/>
        </w:rPr>
      </w:pPr>
      <w:r>
        <w:rPr>
          <w:rFonts w:ascii="Times New Roman" w:cs="Times New Roman" w:eastAsia="Times New Roman" w:hAnsi="Times New Roman"/>
          <w:sz w:val="20"/>
          <w:szCs w:val="20"/>
          <w:color w:val="auto"/>
        </w:rPr>
        <w:t>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application.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monitoring committee. The data monitoring committee may review safety data and/or efficacy data.</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Human clinical trials are typically conducted in three sequential phases that may overlap or be combined:</w:t>
      </w:r>
    </w:p>
    <w:p>
      <w:pPr>
        <w:spacing w:after="0" w:line="134" w:lineRule="exact"/>
        <w:rPr>
          <w:sz w:val="20"/>
          <w:szCs w:val="20"/>
          <w:color w:val="auto"/>
        </w:rPr>
      </w:pPr>
    </w:p>
    <w:p>
      <w:pPr>
        <w:ind w:left="1220" w:right="480" w:hanging="370"/>
        <w:spacing w:after="0" w:line="258" w:lineRule="auto"/>
        <w:tabs>
          <w:tab w:leader="none" w:pos="12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Phase 1</w:t>
      </w:r>
      <w:r>
        <w:rPr>
          <w:rFonts w:ascii="Times New Roman" w:cs="Times New Roman" w:eastAsia="Times New Roman" w:hAnsi="Times New Roman"/>
          <w:sz w:val="20"/>
          <w:szCs w:val="20"/>
          <w:color w:val="auto"/>
        </w:rPr>
        <w:t>. The drug or biological product is initially introduced into healthy human subjects and tested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safety. In the case of some products for rare diseases, the initial human testing is often conducted in patients.</w:t>
      </w:r>
    </w:p>
    <w:p>
      <w:pPr>
        <w:spacing w:after="0" w:line="81" w:lineRule="exact"/>
        <w:rPr>
          <w:rFonts w:ascii="Arial" w:cs="Arial" w:eastAsia="Arial" w:hAnsi="Arial"/>
          <w:sz w:val="20"/>
          <w:szCs w:val="20"/>
          <w:color w:val="auto"/>
        </w:rPr>
      </w:pPr>
    </w:p>
    <w:p>
      <w:pPr>
        <w:ind w:left="1220" w:right="500" w:hanging="370"/>
        <w:spacing w:after="0" w:line="258" w:lineRule="auto"/>
        <w:tabs>
          <w:tab w:leader="none" w:pos="12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Phase 2</w:t>
      </w:r>
      <w:r>
        <w:rPr>
          <w:rFonts w:ascii="Times New Roman" w:cs="Times New Roman" w:eastAsia="Times New Roman" w:hAnsi="Times New Roman"/>
          <w:sz w:val="20"/>
          <w:szCs w:val="20"/>
          <w:color w:val="auto"/>
        </w:rPr>
        <w:t>. The drug or biological product is evaluated in a limited patient population to identify possible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adverse effects and safety risks, to preliminarily evaluate the efficacy of the product for specific targeted diseases and to determine dosage tolerance, optimal dosage and dosing schedule.</w:t>
      </w:r>
    </w:p>
    <w:p>
      <w:pPr>
        <w:spacing w:after="0" w:line="81" w:lineRule="exact"/>
        <w:rPr>
          <w:rFonts w:ascii="Arial" w:cs="Arial" w:eastAsia="Arial" w:hAnsi="Arial"/>
          <w:sz w:val="20"/>
          <w:szCs w:val="20"/>
          <w:color w:val="auto"/>
        </w:rPr>
      </w:pPr>
    </w:p>
    <w:p>
      <w:pPr>
        <w:ind w:left="1220" w:right="380" w:hanging="370"/>
        <w:spacing w:after="0" w:line="243" w:lineRule="auto"/>
        <w:tabs>
          <w:tab w:leader="none" w:pos="12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Phase 3</w:t>
      </w:r>
      <w:r>
        <w:rPr>
          <w:rFonts w:ascii="Times New Roman" w:cs="Times New Roman" w:eastAsia="Times New Roman" w:hAnsi="Times New Roman"/>
          <w:sz w:val="20"/>
          <w:szCs w:val="20"/>
          <w:color w:val="auto"/>
        </w:rPr>
        <w:t>. Clinical trials are undertaken to further evaluate dosage, clinical efficacy, potency and safety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expanded patient population at geographically dispersed clinical trial sites. These clinical trials are intended to establish the overall risk/benefit ratio of the product and provide an adequate basis for product labeling. In most cases, the FDA requires two adequate and well-controlled Phase 3 clinical trials to demonstrate the safety and efficacy of the drug or biologic. In rare instances, a single Phase 3 trial may be sufficient when either (1)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the single trial is supported by confirmatory evidence. In drugs and biologics for rare diseases where patient populations are small, Phase 3 trials might not be required if substantial evidence of effectiveness and an acceptable risk/benefit profile can be demonstrated from Phase 2 trials.</w:t>
      </w:r>
    </w:p>
    <w:p>
      <w:pPr>
        <w:spacing w:after="0" w:line="85" w:lineRule="exact"/>
        <w:rPr>
          <w:sz w:val="20"/>
          <w:szCs w:val="20"/>
          <w:color w:val="auto"/>
        </w:rPr>
      </w:pPr>
    </w:p>
    <w:p>
      <w:pPr>
        <w:jc w:val="both"/>
        <w:ind w:left="360" w:right="740" w:firstLine="490"/>
        <w:spacing w:after="0" w:line="258" w:lineRule="auto"/>
        <w:rPr>
          <w:sz w:val="20"/>
          <w:szCs w:val="20"/>
          <w:color w:val="auto"/>
        </w:rPr>
      </w:pPr>
      <w:r>
        <w:rPr>
          <w:rFonts w:ascii="Times New Roman" w:cs="Times New Roman" w:eastAsia="Times New Roman" w:hAnsi="Times New Roman"/>
          <w:sz w:val="20"/>
          <w:szCs w:val="20"/>
          <w:color w:val="auto"/>
        </w:rPr>
        <w:t>An OLE study may also be conducted. An OLE study typically enrolls participants from previous clinical trials and is designed to gather the long-term safety and tolerability data on a potential new medicine beyond the time period of the original studies.</w:t>
      </w:r>
    </w:p>
    <w:p>
      <w:pPr>
        <w:spacing w:after="0" w:line="68" w:lineRule="exact"/>
        <w:rPr>
          <w:sz w:val="20"/>
          <w:szCs w:val="20"/>
          <w:color w:val="auto"/>
        </w:rPr>
      </w:pPr>
    </w:p>
    <w:p>
      <w:pPr>
        <w:ind w:left="360" w:right="360" w:firstLine="490"/>
        <w:spacing w:after="0" w:line="249" w:lineRule="auto"/>
        <w:rPr>
          <w:sz w:val="20"/>
          <w:szCs w:val="20"/>
          <w:color w:val="auto"/>
        </w:rPr>
      </w:pPr>
      <w:r>
        <w:rPr>
          <w:rFonts w:ascii="Times New Roman" w:cs="Times New Roman" w:eastAsia="Times New Roman" w:hAnsi="Times New Roman"/>
          <w:sz w:val="20"/>
          <w:szCs w:val="20"/>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in real-world scenarios. They provide additional information regarding risks, benefits and best use, including longer term safety data. In certain instances, the FDA may mandate the performance of Phase 4 clinical trials as a condition of approval of an NDA or BLA.</w:t>
      </w:r>
    </w:p>
    <w:p>
      <w:pPr>
        <w:spacing w:after="0" w:line="77" w:lineRule="exact"/>
        <w:rPr>
          <w:sz w:val="20"/>
          <w:szCs w:val="20"/>
          <w:color w:val="auto"/>
        </w:rPr>
      </w:pPr>
    </w:p>
    <w:p>
      <w:pPr>
        <w:ind w:left="360" w:right="360" w:firstLine="490"/>
        <w:spacing w:after="0" w:line="243" w:lineRule="auto"/>
        <w:rPr>
          <w:sz w:val="20"/>
          <w:szCs w:val="20"/>
          <w:color w:val="auto"/>
        </w:rPr>
      </w:pPr>
      <w:r>
        <w:rPr>
          <w:rFonts w:ascii="Times New Roman" w:cs="Times New Roman" w:eastAsia="Times New Roman" w:hAnsi="Times New Roman"/>
          <w:sz w:val="20"/>
          <w:szCs w:val="20"/>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reactions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trial at any time on various grounds, including a finding that the research subjects or patients are being exposed to an unacceptable health risk. Similarly, an IRB can suspend or</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960" w:h="17280" w:orient="portrait"/>
          <w:cols w:equalWidth="0" w:num="1">
            <w:col w:w="10080"/>
          </w:cols>
          <w:pgMar w:left="1440" w:top="1440" w:right="1440" w:bottom="895"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60"/>
        <w:spacing w:after="0" w:line="258" w:lineRule="auto"/>
        <w:rPr>
          <w:sz w:val="20"/>
          <w:szCs w:val="20"/>
          <w:color w:val="auto"/>
        </w:rPr>
      </w:pPr>
      <w:r>
        <w:rPr>
          <w:rFonts w:ascii="Times New Roman" w:cs="Times New Roman" w:eastAsia="Times New Roman" w:hAnsi="Times New Roman"/>
          <w:sz w:val="20"/>
          <w:szCs w:val="20"/>
          <w:color w:val="auto"/>
        </w:rPr>
        <w:t>terminate approval of a clinical trial at its institution if the clinical trial is not being conducted in accordance with the IRB’s requirements or if the drug or biological product has been associated with unexpected serious harm to patients.</w:t>
      </w:r>
    </w:p>
    <w:p>
      <w:pPr>
        <w:spacing w:after="0" w:line="68" w:lineRule="exact"/>
        <w:rPr>
          <w:sz w:val="20"/>
          <w:szCs w:val="20"/>
          <w:color w:val="auto"/>
        </w:rPr>
      </w:pPr>
    </w:p>
    <w:p>
      <w:pPr>
        <w:ind w:left="360" w:right="420" w:firstLine="490"/>
        <w:spacing w:after="0" w:line="244"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physical characteristics of the drug or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82" w:lineRule="exact"/>
        <w:rPr>
          <w:sz w:val="20"/>
          <w:szCs w:val="20"/>
          <w:color w:val="auto"/>
        </w:rPr>
      </w:pPr>
    </w:p>
    <w:p>
      <w:pPr>
        <w:ind w:left="360" w:right="360" w:firstLine="490"/>
        <w:spacing w:after="0" w:line="249" w:lineRule="auto"/>
        <w:rPr>
          <w:sz w:val="20"/>
          <w:szCs w:val="20"/>
          <w:color w:val="auto"/>
        </w:rPr>
      </w:pPr>
      <w:r>
        <w:rPr>
          <w:rFonts w:ascii="Times New Roman" w:cs="Times New Roman" w:eastAsia="Times New Roman" w:hAnsi="Times New Roman"/>
          <w:sz w:val="20"/>
          <w:szCs w:val="20"/>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77" w:lineRule="exact"/>
        <w:rPr>
          <w:sz w:val="20"/>
          <w:szCs w:val="20"/>
          <w:color w:val="auto"/>
        </w:rPr>
      </w:pPr>
    </w:p>
    <w:p>
      <w:pPr>
        <w:ind w:left="360" w:right="440" w:firstLine="490"/>
        <w:spacing w:after="0" w:line="252" w:lineRule="auto"/>
        <w:rPr>
          <w:sz w:val="20"/>
          <w:szCs w:val="20"/>
          <w:color w:val="auto"/>
        </w:rPr>
      </w:pPr>
      <w:r>
        <w:rPr>
          <w:rFonts w:ascii="Times New Roman" w:cs="Times New Roman" w:eastAsia="Times New Roman" w:hAnsi="Times New Roman"/>
          <w:sz w:val="20"/>
          <w:szCs w:val="20"/>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Review and Approval Processes</w:t>
      </w:r>
    </w:p>
    <w:p>
      <w:pPr>
        <w:spacing w:after="0" w:line="118" w:lineRule="exact"/>
        <w:rPr>
          <w:sz w:val="20"/>
          <w:szCs w:val="20"/>
          <w:color w:val="auto"/>
        </w:rPr>
      </w:pPr>
    </w:p>
    <w:p>
      <w:pPr>
        <w:ind w:left="360" w:right="360" w:firstLine="490"/>
        <w:spacing w:after="0" w:line="252" w:lineRule="auto"/>
        <w:rPr>
          <w:sz w:val="20"/>
          <w:szCs w:val="20"/>
          <w:color w:val="auto"/>
        </w:rPr>
      </w:pPr>
      <w:r>
        <w:rPr>
          <w:rFonts w:ascii="Times New Roman" w:cs="Times New Roman" w:eastAsia="Times New Roman" w:hAnsi="Times New Roman"/>
          <w:sz w:val="20"/>
          <w:szCs w:val="20"/>
          <w:color w:val="auto"/>
        </w:rPr>
        <w:t>After the completion of clinical trials of a drug or biological product, FDA approval of an NDA, or BLA, must be obtained before commercial marketing of the product. The NDA or BLA must include results of product development, laboratory and animal studies, human studies, information on the manufacture and composition of the product, proposed labeling and other relevant information.</w:t>
      </w:r>
    </w:p>
    <w:p>
      <w:pPr>
        <w:spacing w:after="0" w:line="74" w:lineRule="exact"/>
        <w:rPr>
          <w:sz w:val="20"/>
          <w:szCs w:val="20"/>
          <w:color w:val="auto"/>
        </w:rPr>
      </w:pPr>
    </w:p>
    <w:p>
      <w:pPr>
        <w:ind w:left="360" w:right="460" w:firstLine="490"/>
        <w:spacing w:after="0" w:line="249" w:lineRule="auto"/>
        <w:rPr>
          <w:sz w:val="20"/>
          <w:szCs w:val="20"/>
          <w:color w:val="auto"/>
        </w:rPr>
      </w:pPr>
      <w:r>
        <w:rPr>
          <w:rFonts w:ascii="Times New Roman" w:cs="Times New Roman" w:eastAsia="Times New Roman" w:hAnsi="Times New Roman"/>
          <w:sz w:val="20"/>
          <w:szCs w:val="20"/>
          <w:color w:val="auto"/>
        </w:rPr>
        <w:t>Under the Prescription Drug User Fee Act, as amended ("PDUFA"), each NDA or BLA may be accompanied by a significant application fee. The applicant for an approved application is also subject to an annual program fee. Fee waivers or reductions are available in certain circumstances, including a waiver of the application fee for the first application filed by a small business. Additionally, no user fees are assessed on NDAs or BLAs for product candidates designated as orphan drugs, unless the product candidate also includes a non-orphan indication.</w:t>
      </w:r>
    </w:p>
    <w:p>
      <w:pPr>
        <w:spacing w:after="0" w:line="77"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Within 60 days following submission of the application, the FDA reviews an NDA or BLA submitted to determine if it is substantially complete before the agency files it. The FDA may refuse to file any NDA or BLA that it deems incomplete or not properly reviewable at the time of submission and may request additional information. In this event, the NDA or BLA must be resubmitted with the additional information. The resubmitted application is also subject to review before the FDA files it. Once the submission is filed, the FDA begins an in-depth substantive review of the NDA or BLA. The FDA reviews the NDA or BLA to determine, among other things, whether the proposed product is safe and effective (for drugs) or safe, potent, and effective (for biologics), for its intended use, and has an acceptable purity profile, and whether the product is being manufactured in accordance with cGMPs to assure and preserve the product’s identity, safety, strength, quality, potency and purity. One of the performance goals agreed to by the FDA under the PDUFA is to review standard NDAs or BLAs in ten months from filing and priority NDAs or BLAs in six months from filing, whereupon a review decision is to be made. The review process may be extended by three months if the FDA classifies a response to an FDA request for additional information or clarification as a major amendment.</w:t>
      </w:r>
    </w:p>
    <w:p>
      <w:pPr>
        <w:spacing w:after="0" w:line="83" w:lineRule="exact"/>
        <w:rPr>
          <w:sz w:val="20"/>
          <w:szCs w:val="20"/>
          <w:color w:val="auto"/>
        </w:rPr>
      </w:pPr>
    </w:p>
    <w:p>
      <w:pPr>
        <w:ind w:left="360" w:right="360" w:firstLine="490"/>
        <w:spacing w:after="0" w:line="246" w:lineRule="auto"/>
        <w:rPr>
          <w:sz w:val="20"/>
          <w:szCs w:val="20"/>
          <w:color w:val="auto"/>
        </w:rPr>
      </w:pPr>
      <w:r>
        <w:rPr>
          <w:rFonts w:ascii="Times New Roman" w:cs="Times New Roman" w:eastAsia="Times New Roman" w:hAnsi="Times New Roman"/>
          <w:sz w:val="20"/>
          <w:szCs w:val="20"/>
          <w:color w:val="auto"/>
        </w:rPr>
        <w:t>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review, the FDA will also determine whether a REMS is necessary to assure the safe use of the biological product. If the FDA concludes a REMS is needed, the sponsor of the NDA or BLA must submit a proposed REMS; the FDA will not approve the NDA or BLA without a REMS, if required.</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960" w:h="17280" w:orient="portrait"/>
          <w:cols w:equalWidth="0" w:num="1">
            <w:col w:w="10080"/>
          </w:cols>
          <w:pgMar w:left="1440" w:top="1440" w:right="1440" w:bottom="895"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80" w:firstLine="490"/>
        <w:spacing w:after="0" w:line="246" w:lineRule="auto"/>
        <w:rPr>
          <w:sz w:val="20"/>
          <w:szCs w:val="20"/>
          <w:color w:val="auto"/>
        </w:rPr>
      </w:pPr>
      <w:r>
        <w:rPr>
          <w:rFonts w:ascii="Times New Roman" w:cs="Times New Roman" w:eastAsia="Times New Roman" w:hAnsi="Times New Roman"/>
          <w:sz w:val="20"/>
          <w:szCs w:val="20"/>
          <w:color w:val="auto"/>
        </w:rPr>
        <w:t>Before approving an NDA or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will typically inspect one or more 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w:t>
      </w:r>
    </w:p>
    <w:p>
      <w:pPr>
        <w:spacing w:after="0" w:line="80"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Notwithstanding the submission of relevant data and information, the FDA may ultimately decide that the NDA or BLA does not satisfy its regulatory criteria for approval and deny approval. Data obtained from clinical trials are not always conclusive and the FDA may interpret data differently than the sponsor interprets the same data. If the agency decides not to approve the NDA or BLA in its present form, the FDA will issue a complete response letter that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w:t>
      </w:r>
    </w:p>
    <w:p>
      <w:pPr>
        <w:spacing w:after="0" w:line="74" w:lineRule="exact"/>
        <w:rPr>
          <w:sz w:val="20"/>
          <w:szCs w:val="20"/>
          <w:color w:val="auto"/>
        </w:rPr>
      </w:pPr>
    </w:p>
    <w:p>
      <w:pPr>
        <w:ind w:left="360" w:right="360" w:firstLine="490"/>
        <w:spacing w:after="0" w:line="235" w:lineRule="auto"/>
        <w:rPr>
          <w:sz w:val="20"/>
          <w:szCs w:val="20"/>
          <w:color w:val="auto"/>
        </w:rPr>
      </w:pPr>
      <w:r>
        <w:rPr>
          <w:rFonts w:ascii="Times New Roman" w:cs="Times New Roman" w:eastAsia="Times New Roman" w:hAnsi="Times New Roman"/>
          <w:sz w:val="20"/>
          <w:szCs w:val="20"/>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drug or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Post-Approval Requirements</w:t>
      </w:r>
    </w:p>
    <w:p>
      <w:pPr>
        <w:spacing w:after="0" w:line="108" w:lineRule="exact"/>
        <w:rPr>
          <w:sz w:val="20"/>
          <w:szCs w:val="20"/>
          <w:color w:val="auto"/>
        </w:rPr>
      </w:pPr>
    </w:p>
    <w:p>
      <w:pPr>
        <w:ind w:left="360" w:right="380" w:firstLine="490"/>
        <w:spacing w:after="0" w:line="237" w:lineRule="auto"/>
        <w:rPr>
          <w:sz w:val="20"/>
          <w:szCs w:val="20"/>
          <w:color w:val="auto"/>
        </w:rPr>
      </w:pPr>
      <w:r>
        <w:rPr>
          <w:rFonts w:ascii="Times New Roman" w:cs="Times New Roman" w:eastAsia="Times New Roman" w:hAnsi="Times New Roman"/>
          <w:sz w:val="20"/>
          <w:szCs w:val="20"/>
          <w:color w:val="auto"/>
        </w:rPr>
        <w:t>Maintaining substantial compliance with applicable federal, state, and local statutes and regulations requires the expenditure of substantial time and financial resources. Rigorous and extensive FDA regulation of drug and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pacing w:after="0" w:line="80" w:lineRule="exact"/>
        <w:rPr>
          <w:sz w:val="20"/>
          <w:szCs w:val="20"/>
          <w:color w:val="auto"/>
        </w:rPr>
      </w:pPr>
    </w:p>
    <w:p>
      <w:pPr>
        <w:ind w:left="360" w:right="400" w:firstLine="490"/>
        <w:spacing w:after="0" w:line="234" w:lineRule="auto"/>
        <w:rPr>
          <w:sz w:val="20"/>
          <w:szCs w:val="20"/>
          <w:color w:val="auto"/>
        </w:rPr>
      </w:pPr>
      <w:r>
        <w:rPr>
          <w:rFonts w:ascii="Times New Roman" w:cs="Times New Roman" w:eastAsia="Times New Roman" w:hAnsi="Times New Roman"/>
          <w:sz w:val="20"/>
          <w:szCs w:val="20"/>
          <w:color w:val="auto"/>
        </w:rPr>
        <w:t>Following approval, the manufacturing facilities are subject to periodic inspections by the FDA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drug and biological products, include reporting of cGMP deviations that may affect the identity, potency, purity and overall safety of a distributed product, product tracing requirements, registration and listing, record-keeping requirements, reporting of adverse events, reporting updated safety and efficacy information, and complying with electronic record and signature requirements.</w:t>
      </w:r>
    </w:p>
    <w:p>
      <w:pPr>
        <w:spacing w:after="0" w:line="82" w:lineRule="exact"/>
        <w:rPr>
          <w:sz w:val="20"/>
          <w:szCs w:val="20"/>
          <w:color w:val="auto"/>
        </w:rPr>
      </w:pPr>
    </w:p>
    <w:p>
      <w:pPr>
        <w:ind w:left="360" w:right="400" w:firstLine="490"/>
        <w:spacing w:after="0" w:line="234" w:lineRule="auto"/>
        <w:rPr>
          <w:sz w:val="20"/>
          <w:szCs w:val="20"/>
          <w:color w:val="auto"/>
        </w:rPr>
      </w:pPr>
      <w:r>
        <w:rPr>
          <w:rFonts w:ascii="Times New Roman" w:cs="Times New Roman" w:eastAsia="Times New Roman" w:hAnsi="Times New Roman"/>
          <w:sz w:val="20"/>
          <w:szCs w:val="20"/>
          <w:color w:val="auto"/>
        </w:rPr>
        <w:t>After an NDA or BLA is approved, the product may also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by the manufacturer. In addition, the FDA may conduct laboratory research related to the regulatory standards on the safety, purity, potency, and effectiveness of drug and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960" w:h="17280" w:orient="portrait"/>
          <w:cols w:equalWidth="0" w:num="1">
            <w:col w:w="10080"/>
          </w:cols>
          <w:pgMar w:left="1440" w:top="1440" w:right="1440" w:bottom="895" w:gutter="0" w:footer="0" w:header="0"/>
          <w:type w:val="continuous"/>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right="440" w:firstLine="490"/>
        <w:spacing w:after="0" w:line="233" w:lineRule="auto"/>
        <w:rPr>
          <w:sz w:val="20"/>
          <w:szCs w:val="20"/>
          <w:color w:val="auto"/>
        </w:rPr>
      </w:pPr>
      <w:r>
        <w:rPr>
          <w:rFonts w:ascii="Times New Roman" w:cs="Times New Roman" w:eastAsia="Times New Roman" w:hAnsi="Times New Roman"/>
          <w:sz w:val="20"/>
          <w:szCs w:val="20"/>
          <w:color w:val="auto"/>
        </w:rPr>
        <w:t>Manufacturers must also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88" w:lineRule="exact"/>
        <w:rPr>
          <w:sz w:val="20"/>
          <w:szCs w:val="20"/>
          <w:color w:val="auto"/>
        </w:rPr>
      </w:pPr>
    </w:p>
    <w:p>
      <w:pPr>
        <w:ind w:left="360" w:right="460" w:firstLine="490"/>
        <w:spacing w:after="0" w:line="244" w:lineRule="auto"/>
        <w:rPr>
          <w:sz w:val="20"/>
          <w:szCs w:val="20"/>
          <w:color w:val="auto"/>
        </w:rPr>
      </w:pPr>
      <w:r>
        <w:rPr>
          <w:rFonts w:ascii="Times New Roman" w:cs="Times New Roman" w:eastAsia="Times New Roman" w:hAnsi="Times New Roman"/>
          <w:sz w:val="20"/>
          <w:szCs w:val="20"/>
          <w:color w:val="auto"/>
        </w:rPr>
        <w:t>Drug and biologic product manufacturers and other entities involved in the manufacture and distribution of approved drug and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Orphan Drug Designation</w:t>
      </w:r>
    </w:p>
    <w:p>
      <w:pPr>
        <w:spacing w:after="0" w:line="108" w:lineRule="exact"/>
        <w:rPr>
          <w:sz w:val="20"/>
          <w:szCs w:val="20"/>
          <w:color w:val="auto"/>
        </w:rPr>
      </w:pPr>
    </w:p>
    <w:p>
      <w:pPr>
        <w:ind w:left="360" w:right="420" w:firstLine="490"/>
        <w:spacing w:after="0" w:line="235" w:lineRule="auto"/>
        <w:rPr>
          <w:sz w:val="20"/>
          <w:szCs w:val="20"/>
          <w:color w:val="auto"/>
        </w:rPr>
      </w:pPr>
      <w:r>
        <w:rPr>
          <w:rFonts w:ascii="Times New Roman" w:cs="Times New Roman" w:eastAsia="Times New Roman" w:hAnsi="Times New Roman"/>
          <w:sz w:val="20"/>
          <w:szCs w:val="20"/>
          <w:color w:val="auto"/>
        </w:rPr>
        <w:t>Under the Orphan Drug Act, the FDA may grant Orphan Drug Designation ("ODD") to a drug or biologic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 product available in the United States for this type of disease or condition will be recovered from sales of the product. ODD must be requested before submitting an NDA or BLA. After the FDA grants ODD, the identity of the therapeutic agent and its potential orphan use are disclosed publicly by the FDA. ODD does not convey any advantage in or shorten the duration of the regulatory review and approval process.</w:t>
      </w:r>
    </w:p>
    <w:p>
      <w:pPr>
        <w:spacing w:after="0" w:line="82" w:lineRule="exact"/>
        <w:rPr>
          <w:sz w:val="20"/>
          <w:szCs w:val="20"/>
          <w:color w:val="auto"/>
        </w:rPr>
      </w:pPr>
    </w:p>
    <w:p>
      <w:pPr>
        <w:ind w:left="360" w:right="360" w:firstLine="490"/>
        <w:spacing w:after="0" w:line="233" w:lineRule="auto"/>
        <w:rPr>
          <w:sz w:val="20"/>
          <w:szCs w:val="20"/>
          <w:color w:val="auto"/>
        </w:rPr>
      </w:pPr>
      <w:r>
        <w:rPr>
          <w:rFonts w:ascii="Times New Roman" w:cs="Times New Roman" w:eastAsia="Times New Roman" w:hAnsi="Times New Roman"/>
          <w:sz w:val="20"/>
          <w:szCs w:val="20"/>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drug or biological product for the same disease or condition for seven years, except in limited circumstances, such as showing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disease or condition or the same product for a different disease or condition but that could be used off-label in the orphan indication. Orphan drug exclusivity also could block the approval of a product for seven years if a competitor obtains approval first for the same product as defined by the FDA for the same disease or condition, or if the second product is determined to be encompassed within the competitor’s scope of product for the same disease. If a company pursues marketing approval for an indication broader than the orphan drug designation it has received, it may not be entitled to orphan drug exclusivity.</w:t>
      </w:r>
    </w:p>
    <w:p>
      <w:pPr>
        <w:spacing w:after="0" w:line="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Expedited Review and Approval Programs</w:t>
      </w:r>
    </w:p>
    <w:p>
      <w:pPr>
        <w:spacing w:after="0" w:line="108" w:lineRule="exact"/>
        <w:rPr>
          <w:sz w:val="20"/>
          <w:szCs w:val="20"/>
          <w:color w:val="auto"/>
        </w:rPr>
      </w:pPr>
    </w:p>
    <w:p>
      <w:pPr>
        <w:ind w:left="360" w:right="360" w:firstLine="490"/>
        <w:spacing w:after="0" w:line="234" w:lineRule="auto"/>
        <w:rPr>
          <w:sz w:val="20"/>
          <w:szCs w:val="20"/>
          <w:color w:val="auto"/>
        </w:rPr>
      </w:pPr>
      <w:r>
        <w:rPr>
          <w:rFonts w:ascii="Times New Roman" w:cs="Times New Roman" w:eastAsia="Times New Roman" w:hAnsi="Times New Roman"/>
          <w:sz w:val="20"/>
          <w:szCs w:val="20"/>
          <w:color w:val="auto"/>
        </w:rPr>
        <w:t>The FDA has various programs, including fast track designation, priority review, accelerated approval, and breakthrough therapy designation, that are intended to expedite or simplify the process for the development and FDA review of drug and biological products that are intended for the treatment of serious or life-threatening diseases or conditions and demonstrate the potential to address unmet medical needs. The purpose of these programs is to provide important new drug and biological products to patients earlier than under standard FDA review procedures. To be eligible for a fast track designation, the FDA must determine, based on the request of a sponsor, that a drug or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960" w:h="17280" w:orient="portrait"/>
          <w:cols w:equalWidth="0" w:num="1">
            <w:col w:w="10080"/>
          </w:cols>
          <w:pgMar w:left="1440" w:top="1440" w:right="1440" w:bottom="895"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right="1180"/>
        <w:spacing w:after="0" w:line="267" w:lineRule="auto"/>
        <w:rPr>
          <w:sz w:val="20"/>
          <w:szCs w:val="20"/>
          <w:color w:val="auto"/>
        </w:rPr>
      </w:pPr>
      <w:r>
        <w:rPr>
          <w:rFonts w:ascii="Times New Roman" w:cs="Times New Roman" w:eastAsia="Times New Roman" w:hAnsi="Times New Roman"/>
          <w:sz w:val="20"/>
          <w:szCs w:val="20"/>
          <w:color w:val="auto"/>
        </w:rPr>
        <w:t>interactions with the FDA, the FDA may initiate review of sections of a fast track NDA or BLA before the application is complete, a process known as rolling review.</w:t>
      </w:r>
    </w:p>
    <w:p>
      <w:pPr>
        <w:spacing w:after="0" w:line="49" w:lineRule="exact"/>
        <w:rPr>
          <w:sz w:val="20"/>
          <w:szCs w:val="20"/>
          <w:color w:val="auto"/>
        </w:rPr>
      </w:pPr>
    </w:p>
    <w:p>
      <w:pPr>
        <w:ind w:left="360" w:right="560" w:firstLine="490"/>
        <w:spacing w:after="0" w:line="239" w:lineRule="auto"/>
        <w:rPr>
          <w:sz w:val="20"/>
          <w:szCs w:val="20"/>
          <w:color w:val="auto"/>
        </w:rPr>
      </w:pPr>
      <w:r>
        <w:rPr>
          <w:rFonts w:ascii="Times New Roman" w:cs="Times New Roman" w:eastAsia="Times New Roman" w:hAnsi="Times New Roman"/>
          <w:sz w:val="20"/>
          <w:szCs w:val="20"/>
          <w:color w:val="auto"/>
        </w:rPr>
        <w:t>The FDA may give a priority review designation to drug or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w:t>
      </w:r>
    </w:p>
    <w:p>
      <w:pPr>
        <w:spacing w:after="0" w:line="77" w:lineRule="exact"/>
        <w:rPr>
          <w:sz w:val="20"/>
          <w:szCs w:val="20"/>
          <w:color w:val="auto"/>
        </w:rPr>
      </w:pPr>
    </w:p>
    <w:p>
      <w:pPr>
        <w:ind w:left="360" w:right="380" w:firstLine="490"/>
        <w:spacing w:after="0" w:line="234" w:lineRule="auto"/>
        <w:rPr>
          <w:sz w:val="20"/>
          <w:szCs w:val="20"/>
          <w:color w:val="auto"/>
        </w:rPr>
      </w:pPr>
      <w:r>
        <w:rPr>
          <w:rFonts w:ascii="Times New Roman" w:cs="Times New Roman" w:eastAsia="Times New Roman" w:hAnsi="Times New Roman"/>
          <w:sz w:val="20"/>
          <w:szCs w:val="20"/>
          <w:color w:val="auto"/>
        </w:rPr>
        <w:t>In addition, drug and biological products studied for their safety and effectiveness in treating serious or life-threatening illnesses and that provide meaningful therapeutic benefit over existing treatments may be approved on the basis of adequate and well-controlled clinical trials establishing that the drug or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or biological product receiving accelerated approval to perform post-marketing studies with due diligence to verify and describe the predicted effect on irreversible morbidity or mortality or other clinical endpoint, and the drug or biological product may be subject to accelerated withdrawal procedures.</w:t>
      </w:r>
    </w:p>
    <w:p>
      <w:pPr>
        <w:spacing w:after="0" w:line="89"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The Food and Drug Omnibus Reform Act (“FDORA”) was recently enacted, which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which may include milestones such as a target date of study completion and requires sponsors to submit progress reports for required post-approval studies and any conditions required by the FDA not later than 180 days following approval and not less frequently than every 180 days thereafter until completion or termination of the study. FDORA also provides the FDA increased authority for expedited procedures to withdraw approval of a drug or biologic or indication approved under accelerated approval if, for example, the confirmatory trial fails to verify the predicted clinical benefit of the product. FDORA also enables the FDA to initiate enforcement actions for the failure to conduct with due diligence a required post-approval study, including a failure to meet any required conditions specified by the FDA or to submit timely reports. In addition, the FDA generally requires, unless otherwise informed by the agency, pre-approval of promotional materials, which could adversely impact the timing of the commercial launch of the product.</w:t>
      </w:r>
    </w:p>
    <w:p>
      <w:pPr>
        <w:spacing w:after="0" w:line="83" w:lineRule="exact"/>
        <w:rPr>
          <w:sz w:val="20"/>
          <w:szCs w:val="20"/>
          <w:color w:val="auto"/>
        </w:rPr>
      </w:pPr>
    </w:p>
    <w:p>
      <w:pPr>
        <w:ind w:left="360" w:right="400" w:firstLine="490"/>
        <w:spacing w:after="0" w:line="246" w:lineRule="auto"/>
        <w:rPr>
          <w:sz w:val="20"/>
          <w:szCs w:val="20"/>
          <w:color w:val="auto"/>
        </w:rPr>
      </w:pPr>
      <w:r>
        <w:rPr>
          <w:rFonts w:ascii="Times New Roman" w:cs="Times New Roman" w:eastAsia="Times New Roman" w:hAnsi="Times New Roman"/>
          <w:sz w:val="20"/>
          <w:szCs w:val="20"/>
          <w:color w:val="auto"/>
        </w:rPr>
        <w:t>Moreover, a sponsor can request designation of a product candidate as a “breakthrough therapy.” A breakthrough therapy is defined as a drug or biologic product that is intended, alone or in combination with one or more other drugs, to treat a serious or life-threatening disease or condition, and preliminary clinical evidence indicates that the drug or biologic product may demonstrate substantial improvement over existing therapies on one or more clinically significant endpoints, such as substantial treatment effects observed early in clinical development. The FDA must take certain actions, such as holding timely meetings and providing advice, intended to expedite the development and review of an application for approval of a breakthrough therapy.</w:t>
      </w:r>
    </w:p>
    <w:p>
      <w:pPr>
        <w:spacing w:after="0" w:line="80" w:lineRule="exact"/>
        <w:rPr>
          <w:sz w:val="20"/>
          <w:szCs w:val="20"/>
          <w:color w:val="auto"/>
        </w:rPr>
      </w:pPr>
    </w:p>
    <w:p>
      <w:pPr>
        <w:ind w:left="360" w:right="480" w:firstLine="490"/>
        <w:spacing w:after="0" w:line="249" w:lineRule="auto"/>
        <w:rPr>
          <w:sz w:val="20"/>
          <w:szCs w:val="20"/>
          <w:color w:val="auto"/>
        </w:rPr>
      </w:pPr>
      <w:r>
        <w:rPr>
          <w:rFonts w:ascii="Times New Roman" w:cs="Times New Roman" w:eastAsia="Times New Roman" w:hAnsi="Times New Roman"/>
          <w:sz w:val="20"/>
          <w:szCs w:val="20"/>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Rare Pediatric Disease Vouchers</w:t>
      </w:r>
    </w:p>
    <w:p>
      <w:pPr>
        <w:spacing w:after="0" w:line="118" w:lineRule="exact"/>
        <w:rPr>
          <w:sz w:val="20"/>
          <w:szCs w:val="20"/>
          <w:color w:val="auto"/>
        </w:rPr>
      </w:pPr>
    </w:p>
    <w:p>
      <w:pPr>
        <w:ind w:left="360" w:right="440" w:firstLine="490"/>
        <w:spacing w:after="0" w:line="244" w:lineRule="auto"/>
        <w:rPr>
          <w:sz w:val="20"/>
          <w:szCs w:val="20"/>
          <w:color w:val="auto"/>
        </w:rPr>
      </w:pPr>
      <w:r>
        <w:rPr>
          <w:rFonts w:ascii="Times New Roman" w:cs="Times New Roman" w:eastAsia="Times New Roman" w:hAnsi="Times New Roman"/>
          <w:sz w:val="20"/>
          <w:szCs w:val="20"/>
          <w:color w:val="auto"/>
        </w:rPr>
        <w:t>The Rare Pediatric Disease Voucher Program is intended to encourage development of new drug and biological products for prevention and treatment of certain rare pediatric diseases. Although there are existing incentive programs to encourage the development and study of drugs and biologics for rare diseases, pediatric populations, and unmet medical needs, this program provides an additional incentive for the development of drugs and biologics for rare pediatric diseases, which may be used alone or in combination with other incentive programs. A rare pediatric disease is defined as a disease that is a serious or life-threatening disease in which the serious or life-threatening manifestations primarily affect individuals aged from birth to 18 years, including age groups often called neonates, infants, children, and adolescents; and is a rare disease or condition as defined in the FDCA, which includes diseases and conditions that affect fewer than 200,000 persons in the United States and diseases and conditions that affect a larger number of persons and for which there is no reasonable expectation that the costs of</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960" w:h="17280" w:orient="portrait"/>
          <w:cols w:equalWidth="0" w:num="1">
            <w:col w:w="10080"/>
          </w:cols>
          <w:pgMar w:left="1440" w:top="1440" w:right="1440" w:bottom="895" w:gutter="0" w:footer="0" w:header="0"/>
          <w:type w:val="continuous"/>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540"/>
        <w:spacing w:after="0" w:line="277" w:lineRule="auto"/>
        <w:rPr>
          <w:sz w:val="20"/>
          <w:szCs w:val="20"/>
          <w:color w:val="auto"/>
        </w:rPr>
      </w:pPr>
      <w:r>
        <w:rPr>
          <w:rFonts w:ascii="Times New Roman" w:cs="Times New Roman" w:eastAsia="Times New Roman" w:hAnsi="Times New Roman"/>
          <w:sz w:val="20"/>
          <w:szCs w:val="20"/>
          <w:color w:val="auto"/>
        </w:rPr>
        <w:t>developing and making available the product in the United States can be recovered from sales of the product in the United States.</w:t>
      </w:r>
    </w:p>
    <w:p>
      <w:pPr>
        <w:spacing w:after="0" w:line="49"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The sponsor of an application for a drug product that obtains rare pediatric disease designation may be eligible for a voucher that can be used or sold to obtain a priority review for a subsequent application submitted under section 505(b)(1) of the FDCA or section 351 of the PHS Act. A rare pediatric disease drug product must meet certain eligibility requirements for a priority voucher at the time the sponsor seeks approval. The rare pediatric disease priority review voucher program was most recently re-authorized by Congress through December 31, 2024, with the potential for priority review vouchers to be granted through September 30, 2026. Under the amended statutory sunset provisions, after December 20, 2024, the FDA may award a priority review voucher for an approved rare pediatric disease product application only if the sponsor has rare pediatric disease designation for the drug and if that designation was granted by December 20, 2024. After September 30, 2026, the FDA may not award any rare pediatric disease priority review vouchers unless the program is re-authorized by Congress.</w:t>
      </w:r>
    </w:p>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Pediatric Information and Pediatric Exclusivity</w:t>
      </w:r>
    </w:p>
    <w:p>
      <w:pPr>
        <w:spacing w:after="0" w:line="118" w:lineRule="exact"/>
        <w:rPr>
          <w:sz w:val="20"/>
          <w:szCs w:val="20"/>
          <w:color w:val="auto"/>
        </w:rPr>
      </w:pPr>
    </w:p>
    <w:p>
      <w:pPr>
        <w:ind w:left="360" w:right="400" w:firstLine="490"/>
        <w:spacing w:after="0" w:line="242" w:lineRule="auto"/>
        <w:rPr>
          <w:sz w:val="20"/>
          <w:szCs w:val="20"/>
          <w:color w:val="auto"/>
        </w:rPr>
      </w:pPr>
      <w:r>
        <w:rPr>
          <w:rFonts w:ascii="Times New Roman" w:cs="Times New Roman" w:eastAsia="Times New Roman" w:hAnsi="Times New Roman"/>
          <w:sz w:val="20"/>
          <w:szCs w:val="20"/>
          <w:color w:val="auto"/>
        </w:rPr>
        <w:t>Under the Pediatric Research Equity Act (“PREA”), certain NDAs and BLAs and certain supplements to an NDA or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A sponsor who is planning to submit a marketing application for a drug that includes a new active ingredient, new indication, new dosage form, new dosing regimen or new route of administration must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91" w:lineRule="exact"/>
        <w:rPr>
          <w:sz w:val="20"/>
          <w:szCs w:val="20"/>
          <w:color w:val="auto"/>
        </w:rPr>
      </w:pPr>
    </w:p>
    <w:p>
      <w:pPr>
        <w:ind w:left="360" w:right="500" w:firstLine="490"/>
        <w:spacing w:after="0" w:line="245" w:lineRule="auto"/>
        <w:rPr>
          <w:sz w:val="20"/>
          <w:szCs w:val="20"/>
          <w:color w:val="auto"/>
        </w:rPr>
      </w:pPr>
      <w:r>
        <w:rPr>
          <w:rFonts w:ascii="Times New Roman" w:cs="Times New Roman" w:eastAsia="Times New Roman" w:hAnsi="Times New Roman"/>
          <w:sz w:val="20"/>
          <w:szCs w:val="20"/>
          <w:color w:val="auto"/>
        </w:rPr>
        <w:t>Under the Best Pharmaceuticals for Children Act (“BPCA”), a drug or biologic product can also obtain pediatric market exclusivity in the United States. Pediatric exclusivity, if granted, adds six months to existing exclusivity periods for all formulations, dosage forms, and indications of the active moiety and to patent terms for drugs; for biologic products, pediatric exclusivity adds six months only to exclusivity periods for all formulations, dosage forms, and indications. This six-month exclusivity, which runs from the end of other exclusivity protection or patent term, may be granted based on the voluntary completion of a pediatric study in accordance with an FDA-issued “Written Request” for such a study, provided that at the time pediatric exclusivity is granted there is not less than nine months of term of the patent or exclusivity remaining at the time of approval.</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Biosimilars</w:t>
      </w:r>
    </w:p>
    <w:p>
      <w:pPr>
        <w:spacing w:after="0" w:line="124"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The Biologics Price Competition and Innovation Act of 2009 ("BPCIA") created an abbreviated approval pathway for biological products that are demonstrated to be "biosimilar" or "interchangeable" with an FDA-licensed reference biological product. Biosimilarity requires that the proposed biological product be highly similar to the reference product not withstanding minor differences in clinically inactive components; that there be no differences in conditions of use, route of administration, dosage form, and strength; and that no clinically meaningful differences between the product and the reference product in terms of safety, purity, and potency as shown through analytical studies, animal studies and a clinical trial or trials. In order to meet the higher hurdle of interchangeability, a sponsor must demonstrate that the biosimilar product can be expected to produce the same clinical results as the reference product, and for a product that is administered more than once, that the safety and efficacy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w:t>
      </w:r>
    </w:p>
    <w:p>
      <w:pPr>
        <w:spacing w:after="0" w:line="83" w:lineRule="exact"/>
        <w:rPr>
          <w:sz w:val="20"/>
          <w:szCs w:val="20"/>
          <w:color w:val="auto"/>
        </w:rPr>
      </w:pPr>
    </w:p>
    <w:p>
      <w:pPr>
        <w:ind w:left="360" w:right="460" w:firstLine="720"/>
        <w:spacing w:after="0" w:line="277" w:lineRule="auto"/>
        <w:rPr>
          <w:sz w:val="20"/>
          <w:szCs w:val="20"/>
          <w:color w:val="auto"/>
        </w:rPr>
      </w:pPr>
      <w:r>
        <w:rPr>
          <w:rFonts w:ascii="Times New Roman" w:cs="Times New Roman" w:eastAsia="Times New Roman" w:hAnsi="Times New Roman"/>
          <w:sz w:val="20"/>
          <w:szCs w:val="20"/>
          <w:color w:val="auto"/>
        </w:rPr>
        <w:t>Under the BPCIA, a reference biologic is granted 12 years of exclusivity from the time of first licensure or BLA approval, of the reference product during which FDA cannot approve an application for a biosimilar or</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960" w:h="17280" w:orient="portrait"/>
          <w:cols w:equalWidth="0" w:num="1">
            <w:col w:w="10080"/>
          </w:cols>
          <w:pgMar w:left="1440" w:top="1440" w:right="1440" w:bottom="895" w:gutter="0" w:footer="0" w:header="0"/>
          <w:type w:val="continuous"/>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20"/>
        <w:spacing w:after="0" w:line="256" w:lineRule="auto"/>
        <w:rPr>
          <w:sz w:val="20"/>
          <w:szCs w:val="20"/>
          <w:color w:val="auto"/>
        </w:rPr>
      </w:pPr>
      <w:r>
        <w:rPr>
          <w:rFonts w:ascii="Times New Roman" w:cs="Times New Roman" w:eastAsia="Times New Roman" w:hAnsi="Times New Roman"/>
          <w:sz w:val="19"/>
          <w:szCs w:val="19"/>
          <w:color w:val="auto"/>
        </w:rPr>
        <w:t>interchangeable product relying on the reference product. Additionally, no application for a biosimilar can be submitted for four years from the date of licensure of the reference product. During the 12-year period of exclusivity, another company may still market a competing version of the reference product if the FDA approves a BLA for the competing product that does not rely on the reference product; the BLA must be based on the sponsor’s own preclinical data and data from adequate and well-controlled clinical trials to demonstrate the safety, purity, and potency of the other company’s product. Finally, the first biologic product submitted under the biosimilar abbreviated approval pathway that is determined to be interchangeable with the reference product may obtain exclusivity against a finding of interchangeability for other biologics for the same condition of use for the lesser of</w:t>
      </w:r>
    </w:p>
    <w:p>
      <w:pPr>
        <w:spacing w:after="0" w:line="4" w:lineRule="exact"/>
        <w:rPr>
          <w:sz w:val="20"/>
          <w:szCs w:val="20"/>
          <w:color w:val="auto"/>
        </w:rPr>
      </w:pPr>
    </w:p>
    <w:p>
      <w:pPr>
        <w:ind w:left="360" w:right="420"/>
        <w:spacing w:after="0" w:line="242" w:lineRule="auto"/>
        <w:tabs>
          <w:tab w:leader="none" w:pos="59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 is approved if a patent lawsuit is ongoing within the 42-month period.</w:t>
      </w:r>
    </w:p>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Regulation Outside of the United States</w:t>
      </w:r>
    </w:p>
    <w:p>
      <w:pPr>
        <w:spacing w:after="0" w:line="120" w:lineRule="exact"/>
        <w:rPr>
          <w:sz w:val="20"/>
          <w:szCs w:val="20"/>
          <w:color w:val="auto"/>
        </w:rPr>
      </w:pPr>
    </w:p>
    <w:p>
      <w:pPr>
        <w:ind w:left="360" w:right="400" w:firstLine="490"/>
        <w:spacing w:after="0" w:line="244" w:lineRule="auto"/>
        <w:rPr>
          <w:sz w:val="20"/>
          <w:szCs w:val="20"/>
          <w:color w:val="auto"/>
        </w:rPr>
      </w:pPr>
      <w:r>
        <w:rPr>
          <w:rFonts w:ascii="Times New Roman" w:cs="Times New Roman" w:eastAsia="Times New Roman" w:hAnsi="Times New Roman"/>
          <w:sz w:val="20"/>
          <w:szCs w:val="20"/>
          <w:color w:val="auto"/>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Clinical Trials Regulation (EU) No 536/2014, which replaced the Clinical Trials Directive 2001/20/EC on January 31, 2022, a single application is now made through the Clinical Trials Information System (“CTIS”), for clinical trial authorization in up to 30 European Union/European Economic Area countries at the same time and with a single set of documentation.</w:t>
      </w:r>
    </w:p>
    <w:p>
      <w:pPr>
        <w:spacing w:after="0" w:line="86" w:lineRule="exact"/>
        <w:rPr>
          <w:sz w:val="20"/>
          <w:szCs w:val="20"/>
          <w:color w:val="auto"/>
        </w:rPr>
      </w:pPr>
    </w:p>
    <w:p>
      <w:pPr>
        <w:ind w:left="360" w:right="520" w:firstLine="490"/>
        <w:spacing w:after="0" w:line="245" w:lineRule="auto"/>
        <w:rPr>
          <w:sz w:val="20"/>
          <w:szCs w:val="20"/>
          <w:color w:val="auto"/>
        </w:rPr>
      </w:pPr>
      <w:r>
        <w:rPr>
          <w:rFonts w:ascii="Times New Roman" w:cs="Times New Roman" w:eastAsia="Times New Roman" w:hAnsi="Times New Roman"/>
          <w:sz w:val="20"/>
          <w:szCs w:val="20"/>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is governed by the national law of the Member State concerned, however overall related timelines are defined by the Clinical Trials Regulation. The Clinical Trials Regulation also provides for simplified reporting procedures for clinical trial sponsors.</w:t>
      </w:r>
    </w:p>
    <w:p>
      <w:pPr>
        <w:spacing w:after="0" w:line="82" w:lineRule="exact"/>
        <w:rPr>
          <w:sz w:val="20"/>
          <w:szCs w:val="20"/>
          <w:color w:val="auto"/>
        </w:rPr>
      </w:pPr>
    </w:p>
    <w:p>
      <w:pPr>
        <w:ind w:left="360" w:right="380" w:firstLine="490"/>
        <w:spacing w:after="0" w:line="249" w:lineRule="auto"/>
        <w:rPr>
          <w:sz w:val="20"/>
          <w:szCs w:val="20"/>
          <w:color w:val="auto"/>
        </w:rPr>
      </w:pPr>
      <w:r>
        <w:rPr>
          <w:rFonts w:ascii="Times New Roman" w:cs="Times New Roman" w:eastAsia="Times New Roman" w:hAnsi="Times New Roman"/>
          <w:sz w:val="20"/>
          <w:szCs w:val="20"/>
          <w:color w:val="auto"/>
        </w:rPr>
        <w:t>In addition, whether or not we obtain FDA approval for a product, we must obtain approval of a product by the comparable regulatory authorities of countries outside the U.S.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77" w:lineRule="exact"/>
        <w:rPr>
          <w:sz w:val="20"/>
          <w:szCs w:val="20"/>
          <w:color w:val="auto"/>
        </w:rPr>
      </w:pPr>
    </w:p>
    <w:p>
      <w:pPr>
        <w:ind w:left="360" w:right="420" w:firstLine="490"/>
        <w:spacing w:after="0" w:line="242" w:lineRule="auto"/>
        <w:rPr>
          <w:sz w:val="20"/>
          <w:szCs w:val="20"/>
          <w:color w:val="auto"/>
        </w:rPr>
      </w:pPr>
      <w:r>
        <w:rPr>
          <w:rFonts w:ascii="Times New Roman" w:cs="Times New Roman" w:eastAsia="Times New Roman" w:hAnsi="Times New Roman"/>
          <w:sz w:val="20"/>
          <w:szCs w:val="20"/>
          <w:color w:val="auto"/>
        </w:rPr>
        <w:t>To obtain regulatory approval of a product under the European Union's regulatory system, we are required to submit a marketing authorization application ("MAA"), to be assessed in either the centralized procedure or a national authorization procedure. The centralized procedure allows applicants to obtain a marketing authorization ("MA") that is valid throughout the European Union and the additional Member States of the European Area (Iceland, Liechtenstein and Norway) ("EEA"). It is compulsory for medicinal products manufactured using biotechnological processes, for orphan medicinal products, for advance therapy medicinal products (gene-therapy, somatic cell-therapy or tissue-engineered medicines) and for human products containing a new active substance which are not authorized in the European Union and which are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in the European Union. When a company wishes to place on the market a medicinal product that is eligible for the centralized procedure, it sends an application directly to the EMA, to be assessed by the Committee for Medicinal Products for Human Use ("CHMP"). The CHMP is responsible for conducting the assessment of whether a medicine meets the required quality, safety and efficacy requirements, and whether the product has a positive risk/benefit/risk profile.</w:t>
      </w:r>
    </w:p>
    <w:p>
      <w:pPr>
        <w:spacing w:after="0" w:line="89" w:lineRule="exact"/>
        <w:rPr>
          <w:sz w:val="20"/>
          <w:szCs w:val="20"/>
          <w:color w:val="auto"/>
        </w:rPr>
      </w:pPr>
    </w:p>
    <w:p>
      <w:pPr>
        <w:ind w:left="360" w:right="400" w:firstLine="490"/>
        <w:spacing w:after="0" w:line="305" w:lineRule="auto"/>
        <w:rPr>
          <w:sz w:val="20"/>
          <w:szCs w:val="20"/>
          <w:color w:val="auto"/>
        </w:rPr>
      </w:pPr>
      <w:r>
        <w:rPr>
          <w:rFonts w:ascii="Times New Roman" w:cs="Times New Roman" w:eastAsia="Times New Roman" w:hAnsi="Times New Roman"/>
          <w:sz w:val="19"/>
          <w:szCs w:val="19"/>
          <w:color w:val="auto"/>
        </w:rPr>
        <w:t>The time limit for the evaluation procedure is 210 days (excluding clock stops, when additional written or oral information is to be provided by the applicant in response to questions asked by the CHMP). The EMA then has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960" w:h="17280" w:orient="portrait"/>
          <w:cols w:equalWidth="0" w:num="1">
            <w:col w:w="10080"/>
          </w:cols>
          <w:pgMar w:left="1440" w:top="1440" w:right="1440" w:bottom="895" w:gutter="0" w:footer="0" w:header="0"/>
          <w:type w:val="continuous"/>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500"/>
        <w:spacing w:after="0" w:line="277" w:lineRule="auto"/>
        <w:rPr>
          <w:sz w:val="20"/>
          <w:szCs w:val="20"/>
          <w:color w:val="auto"/>
        </w:rPr>
      </w:pPr>
      <w:r>
        <w:rPr>
          <w:rFonts w:ascii="Times New Roman" w:cs="Times New Roman" w:eastAsia="Times New Roman" w:hAnsi="Times New Roman"/>
          <w:sz w:val="20"/>
          <w:szCs w:val="20"/>
          <w:color w:val="auto"/>
        </w:rPr>
        <w:t>fifteen days to forward its opinion to the European Commission which will make a binding decision on the grant of an MA within 67 days of the receipt of the CHMP.</w:t>
      </w:r>
    </w:p>
    <w:p>
      <w:pPr>
        <w:spacing w:after="0" w:line="49" w:lineRule="exact"/>
        <w:rPr>
          <w:sz w:val="20"/>
          <w:szCs w:val="20"/>
          <w:color w:val="auto"/>
        </w:rPr>
      </w:pPr>
    </w:p>
    <w:p>
      <w:pPr>
        <w:ind w:left="360" w:right="380" w:firstLine="490"/>
        <w:spacing w:after="0" w:line="247" w:lineRule="auto"/>
        <w:rPr>
          <w:sz w:val="20"/>
          <w:szCs w:val="20"/>
          <w:color w:val="auto"/>
        </w:rPr>
      </w:pPr>
      <w:r>
        <w:rPr>
          <w:rFonts w:ascii="Times New Roman" w:cs="Times New Roman" w:eastAsia="Times New Roman" w:hAnsi="Times New Roman"/>
          <w:sz w:val="20"/>
          <w:szCs w:val="20"/>
          <w:color w:val="auto"/>
        </w:rPr>
        <w:t>There are two other procedures in the European Union for the grant of an MA in multiple European Union Member States, where a product does not fall within the mandatory scope of the centralized procedure. If a product has already been authorized for marketing in a European Union Member State, this national MA can be recognized in another European Union Member State through the mutual recognition procedure. If the product has not received a national MA in any European Union Member State at the time of application, it can be approved simultaneously in various Member States through the decentralized procedure.</w:t>
      </w:r>
    </w:p>
    <w:p>
      <w:pPr>
        <w:spacing w:after="0" w:line="80" w:lineRule="exact"/>
        <w:rPr>
          <w:sz w:val="20"/>
          <w:szCs w:val="20"/>
          <w:color w:val="auto"/>
        </w:rPr>
      </w:pPr>
    </w:p>
    <w:p>
      <w:pPr>
        <w:ind w:left="360" w:right="520" w:firstLine="490"/>
        <w:spacing w:after="0" w:line="244" w:lineRule="auto"/>
        <w:rPr>
          <w:sz w:val="20"/>
          <w:szCs w:val="20"/>
          <w:color w:val="auto"/>
        </w:rPr>
      </w:pPr>
      <w:r>
        <w:rPr>
          <w:rFonts w:ascii="Times New Roman" w:cs="Times New Roman" w:eastAsia="Times New Roman" w:hAnsi="Times New Roman"/>
          <w:sz w:val="20"/>
          <w:szCs w:val="20"/>
          <w:color w:val="auto"/>
        </w:rPr>
        <w:t>Regulation (EC) No. 141/2000, provides that a product may be designated as an orphan medicinal product if its sponsor can establish that it is intended for the diagnosis, prevention, or treatment of life-threatening or chronically debilitating condition that affects not more than 5 in 10,000 persons in the European Union when the application is made. In addition, orphan designation can be granted if the product is intended for a life threatening, seriously debilitating, or serious and chronic condition in the European Union where without incentives derived from orphan designation.it is unlikely that sales of the product in the European Union would be sufficient to justify the necessary investment in its development. Orphan designation is only available if there is no other satisfactory method approved in the European Union of diagnosing, preventing, or treating the condition, or if such a method exists, the proposed orphan product will be of significant benefit to patients over the existing options. We have obtained orphan designation in the European Union for nomlabofusp.</w:t>
      </w:r>
    </w:p>
    <w:p>
      <w:pPr>
        <w:spacing w:after="0" w:line="82" w:lineRule="exact"/>
        <w:rPr>
          <w:sz w:val="20"/>
          <w:szCs w:val="20"/>
          <w:color w:val="auto"/>
        </w:rPr>
      </w:pPr>
    </w:p>
    <w:p>
      <w:pPr>
        <w:ind w:left="360" w:right="400" w:firstLine="490"/>
        <w:spacing w:after="0" w:line="243" w:lineRule="auto"/>
        <w:rPr>
          <w:sz w:val="20"/>
          <w:szCs w:val="20"/>
          <w:color w:val="auto"/>
        </w:rPr>
      </w:pPr>
      <w:r>
        <w:rPr>
          <w:rFonts w:ascii="Times New Roman" w:cs="Times New Roman" w:eastAsia="Times New Roman" w:hAnsi="Times New Roman"/>
          <w:sz w:val="20"/>
          <w:szCs w:val="20"/>
          <w:color w:val="auto"/>
        </w:rPr>
        <w:t>Orphan designation provides opportunities for fee reductions, protocol assistance and access to the centralized procedure in the European Union. Fee reductions are not limited to the first year after an MA is granted, except for small and medium enterprises. In addition, if a product which has an orphan designation subsequently receives a centralized MA for the indication for which it has such designation, the product is entitled to orphan market exclusivity, which means the regulatory authorities in the European Union may not approve any other application to market a "similar medicinal product" for the same indication as the authorized orphan product for a period of 10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at the end of the fifth year, its is determined that the designation criteria are no longer met, including where it is shown that the product is sufficiently profitable not to justify maintenance of market exclusivity. Additionally, an MA may be granted to a similar medicinal product for the same indication as an authorized orphan product if:</w:t>
      </w:r>
    </w:p>
    <w:p>
      <w:pPr>
        <w:spacing w:after="0" w:line="100" w:lineRule="exact"/>
        <w:rPr>
          <w:sz w:val="20"/>
          <w:szCs w:val="20"/>
          <w:color w:val="auto"/>
        </w:rPr>
      </w:pPr>
    </w:p>
    <w:p>
      <w:pPr>
        <w:ind w:left="1220" w:right="600" w:hanging="370"/>
        <w:spacing w:after="0" w:line="276" w:lineRule="auto"/>
        <w:tabs>
          <w:tab w:leader="none" w:pos="12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second applicant can establish that its product, although similar to the authorized orphan product, is safer, more effective or otherwise clinically superior;</w:t>
      </w:r>
    </w:p>
    <w:p>
      <w:pPr>
        <w:spacing w:after="0" w:line="64" w:lineRule="exact"/>
        <w:rPr>
          <w:rFonts w:ascii="Arial" w:cs="Arial" w:eastAsia="Arial" w:hAnsi="Arial"/>
          <w:sz w:val="20"/>
          <w:szCs w:val="20"/>
          <w:color w:val="auto"/>
        </w:rPr>
      </w:pPr>
    </w:p>
    <w:p>
      <w:pPr>
        <w:ind w:left="1220" w:right="1220" w:hanging="370"/>
        <w:spacing w:after="0" w:line="276" w:lineRule="auto"/>
        <w:tabs>
          <w:tab w:leader="none" w:pos="12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MA holder of the authorized orphan product consents to a second orphan medicinal product application; or</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 MA holder of the authorized orphan product cannot supply enough orphan medicinal product.</w:t>
      </w:r>
    </w:p>
    <w:p>
      <w:pPr>
        <w:spacing w:after="0" w:line="119" w:lineRule="exact"/>
        <w:rPr>
          <w:sz w:val="20"/>
          <w:szCs w:val="20"/>
          <w:color w:val="auto"/>
        </w:rPr>
      </w:pPr>
    </w:p>
    <w:p>
      <w:pPr>
        <w:ind w:left="360" w:right="400" w:firstLine="490"/>
        <w:spacing w:after="0" w:line="246" w:lineRule="auto"/>
        <w:rPr>
          <w:sz w:val="20"/>
          <w:szCs w:val="20"/>
          <w:color w:val="auto"/>
        </w:rPr>
      </w:pPr>
      <w:r>
        <w:rPr>
          <w:rFonts w:ascii="Times New Roman" w:cs="Times New Roman" w:eastAsia="Times New Roman" w:hAnsi="Times New Roman"/>
          <w:sz w:val="20"/>
          <w:szCs w:val="20"/>
          <w:color w:val="auto"/>
        </w:rPr>
        <w:t>The EMA offers a scheme to facilitate development of product candidates in indications, often rare, for which few or no therapies currently exist. The PRIority MEdicines, or PRIME, scheme is intended to encourage drug development in areas of unmet medical need and is intended to reinforce early dialogue with, and regulatory support from, the EMA in order to stimulate innovation, optimize development and enable accelerated assessment of such product candidates. It is intended to build upon the scientific advice scheme and accelerated assessment procedure offered by the EMA. The scheme is voluntary and eligibility criteria must be met for a medicine to qualify for PRIME.</w:t>
      </w:r>
    </w:p>
    <w:p>
      <w:pPr>
        <w:spacing w:after="0" w:line="80" w:lineRule="exact"/>
        <w:rPr>
          <w:sz w:val="20"/>
          <w:szCs w:val="20"/>
          <w:color w:val="auto"/>
        </w:rPr>
      </w:pPr>
    </w:p>
    <w:p>
      <w:pPr>
        <w:ind w:left="360" w:right="440" w:firstLine="490"/>
        <w:spacing w:after="0" w:line="259" w:lineRule="auto"/>
        <w:rPr>
          <w:sz w:val="20"/>
          <w:szCs w:val="20"/>
          <w:color w:val="auto"/>
        </w:rPr>
      </w:pPr>
      <w:r>
        <w:rPr>
          <w:rFonts w:ascii="Times New Roman" w:cs="Times New Roman" w:eastAsia="Times New Roman" w:hAnsi="Times New Roman"/>
          <w:sz w:val="19"/>
          <w:szCs w:val="19"/>
          <w:color w:val="auto"/>
        </w:rPr>
        <w:t>The PRIME scheme is open to medicines under development and for which the applicant intends to apply for an MA through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 enterprises) may submit an eligibility request at an earlier stage of development if compelling non-clinical data in a</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960" w:h="17280" w:orient="portrait"/>
          <w:cols w:equalWidth="0" w:num="1">
            <w:col w:w="10080"/>
          </w:cols>
          <w:pgMar w:left="1440" w:top="1440" w:right="1440" w:bottom="895" w:gutter="0" w:footer="0" w:header="0"/>
          <w:type w:val="continuous"/>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540"/>
        <w:spacing w:after="0" w:line="277" w:lineRule="auto"/>
        <w:rPr>
          <w:sz w:val="20"/>
          <w:szCs w:val="20"/>
          <w:color w:val="auto"/>
        </w:rPr>
      </w:pPr>
      <w:r>
        <w:rPr>
          <w:rFonts w:ascii="Times New Roman" w:cs="Times New Roman" w:eastAsia="Times New Roman" w:hAnsi="Times New Roman"/>
          <w:sz w:val="20"/>
          <w:szCs w:val="20"/>
          <w:color w:val="auto"/>
        </w:rPr>
        <w:t>relevant model provide early evidence of promising activity to establish proof of principle, and first in man studies indicate adequate exposure for the desired pharmacotherapeutic effects and tolerability.</w:t>
      </w:r>
    </w:p>
    <w:p>
      <w:pPr>
        <w:spacing w:after="0" w:line="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If a medicine is selected for the PRIME scheme, the EMA:</w:t>
      </w:r>
    </w:p>
    <w:p>
      <w:pPr>
        <w:spacing w:after="0" w:line="134" w:lineRule="exact"/>
        <w:rPr>
          <w:sz w:val="20"/>
          <w:szCs w:val="20"/>
          <w:color w:val="auto"/>
        </w:rPr>
      </w:pPr>
    </w:p>
    <w:p>
      <w:pPr>
        <w:ind w:left="1220" w:right="840" w:hanging="370"/>
        <w:spacing w:after="0" w:line="258" w:lineRule="auto"/>
        <w:tabs>
          <w:tab w:leader="none" w:pos="1220" w:val="left"/>
        </w:tabs>
        <w:numPr>
          <w:ilvl w:val="1"/>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Appoints a rapporteur from the CHMP or from the Committee for Advanced Therapies ("CAT") to provide continuous support and to build up knowledge of the medicine in advance of the filing of an MAA;</w:t>
      </w:r>
    </w:p>
    <w:p>
      <w:pPr>
        <w:spacing w:after="0" w:line="81" w:lineRule="exact"/>
        <w:rPr>
          <w:rFonts w:ascii="Arial" w:cs="Arial" w:eastAsia="Arial" w:hAnsi="Arial"/>
          <w:sz w:val="20"/>
          <w:szCs w:val="20"/>
          <w:color w:val="auto"/>
        </w:rPr>
      </w:pPr>
    </w:p>
    <w:p>
      <w:pPr>
        <w:ind w:left="1220" w:hanging="370"/>
        <w:spacing w:after="0"/>
        <w:tabs>
          <w:tab w:leader="none" w:pos="1220" w:val="left"/>
        </w:tabs>
        <w:numPr>
          <w:ilvl w:val="1"/>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Issues guidance on the applicant’s overall development plan and regulatory strategy;</w:t>
      </w:r>
    </w:p>
    <w:p>
      <w:pPr>
        <w:spacing w:after="0" w:line="133" w:lineRule="exact"/>
        <w:rPr>
          <w:rFonts w:ascii="Arial" w:cs="Arial" w:eastAsia="Arial" w:hAnsi="Arial"/>
          <w:sz w:val="20"/>
          <w:szCs w:val="20"/>
          <w:color w:val="auto"/>
        </w:rPr>
      </w:pPr>
    </w:p>
    <w:p>
      <w:pPr>
        <w:ind w:left="1220" w:right="1040" w:hanging="370"/>
        <w:spacing w:after="0" w:line="276" w:lineRule="auto"/>
        <w:tabs>
          <w:tab w:leader="none" w:pos="1220" w:val="left"/>
        </w:tabs>
        <w:numPr>
          <w:ilvl w:val="1"/>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Organizes a kick-off meeting with the rapporteur and experts from relevant EMA committees and working groups; Provides a dedicated EMA contact person; and</w:t>
      </w:r>
    </w:p>
    <w:p>
      <w:pPr>
        <w:spacing w:after="0" w:line="64" w:lineRule="exact"/>
        <w:rPr>
          <w:rFonts w:ascii="Arial" w:cs="Arial" w:eastAsia="Arial" w:hAnsi="Arial"/>
          <w:sz w:val="20"/>
          <w:szCs w:val="20"/>
          <w:color w:val="auto"/>
        </w:rPr>
      </w:pPr>
    </w:p>
    <w:p>
      <w:pPr>
        <w:ind w:left="860" w:right="660" w:hanging="370"/>
        <w:spacing w:after="0" w:line="276" w:lineRule="auto"/>
        <w:tabs>
          <w:tab w:leader="none" w:pos="8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Provides scientific advice at key development milestones, involving additional stakeholders, such as health technology assessment bodies and patients, as needed.</w:t>
      </w:r>
    </w:p>
    <w:p>
      <w:pPr>
        <w:spacing w:after="0" w:line="50" w:lineRule="exact"/>
        <w:rPr>
          <w:rFonts w:ascii="Arial" w:cs="Arial" w:eastAsia="Arial" w:hAnsi="Arial"/>
          <w:sz w:val="20"/>
          <w:szCs w:val="20"/>
          <w:color w:val="auto"/>
        </w:rPr>
      </w:pPr>
    </w:p>
    <w:p>
      <w:pPr>
        <w:ind w:left="860"/>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For SMEs who enter the scheme based on data showing proof of principle, the appointment of the rapporteur</w:t>
      </w:r>
    </w:p>
    <w:p>
      <w:pPr>
        <w:spacing w:after="0" w:line="28" w:lineRule="exact"/>
        <w:rPr>
          <w:sz w:val="20"/>
          <w:szCs w:val="20"/>
          <w:color w:val="auto"/>
        </w:rPr>
      </w:pPr>
    </w:p>
    <w:p>
      <w:pPr>
        <w:ind w:left="360" w:right="620"/>
        <w:spacing w:after="0" w:line="248" w:lineRule="auto"/>
        <w:rPr>
          <w:sz w:val="20"/>
          <w:szCs w:val="20"/>
          <w:color w:val="auto"/>
        </w:rPr>
      </w:pPr>
      <w:r>
        <w:rPr>
          <w:rFonts w:ascii="Times New Roman" w:cs="Times New Roman" w:eastAsia="Times New Roman" w:hAnsi="Times New Roman"/>
          <w:sz w:val="20"/>
          <w:szCs w:val="20"/>
          <w:color w:val="auto"/>
        </w:rPr>
        <w:t>occurs once they have generated data confirming eligibility at proof of concept stage. They are required to submit relevant data and justification as the product development reaches this stage.</w:t>
      </w:r>
    </w:p>
    <w:p>
      <w:pPr>
        <w:spacing w:after="0" w:line="77" w:lineRule="exact"/>
        <w:rPr>
          <w:sz w:val="20"/>
          <w:szCs w:val="20"/>
          <w:color w:val="auto"/>
        </w:rPr>
      </w:pPr>
    </w:p>
    <w:p>
      <w:pPr>
        <w:ind w:left="360" w:right="900" w:firstLine="490"/>
        <w:spacing w:after="0" w:line="252" w:lineRule="auto"/>
        <w:rPr>
          <w:sz w:val="20"/>
          <w:szCs w:val="20"/>
          <w:color w:val="auto"/>
        </w:rPr>
      </w:pPr>
      <w:r>
        <w:rPr>
          <w:rFonts w:ascii="Times New Roman" w:cs="Times New Roman" w:eastAsia="Times New Roman" w:hAnsi="Times New Roman"/>
          <w:sz w:val="20"/>
          <w:szCs w:val="20"/>
          <w:color w:val="auto"/>
        </w:rPr>
        <w:t>Medicines that are selected for the PRIME scheme are also expected to benefit from EMA’s accelerated assessment procedure at the time of application for marketing authorization. Where, during the course of development, a medicine no longer meets the eligibility criteria, support under the PRIME scheme may be withdrawn.</w:t>
      </w:r>
    </w:p>
    <w:p>
      <w:pPr>
        <w:spacing w:after="0" w:line="74" w:lineRule="exact"/>
        <w:rPr>
          <w:sz w:val="20"/>
          <w:szCs w:val="20"/>
          <w:color w:val="auto"/>
        </w:rPr>
      </w:pPr>
    </w:p>
    <w:p>
      <w:pPr>
        <w:ind w:left="360" w:right="420" w:firstLine="490"/>
        <w:spacing w:after="0" w:line="243" w:lineRule="auto"/>
        <w:rPr>
          <w:sz w:val="20"/>
          <w:szCs w:val="20"/>
          <w:color w:val="auto"/>
        </w:rPr>
      </w:pPr>
      <w:r>
        <w:rPr>
          <w:rFonts w:ascii="Times New Roman" w:cs="Times New Roman" w:eastAsia="Times New Roman" w:hAnsi="Times New Roman"/>
          <w:sz w:val="20"/>
          <w:szCs w:val="20"/>
          <w:color w:val="auto"/>
        </w:rPr>
        <w:t>A Pediatric Investigation Plan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study results are deferred, or the medicine is exempt because of a waiver. This requirement also applies when a marketing-authorization holder wants to add a new indication, pharmaceutical form, or route of administration for a medicine that is already authorized. Several rewards and incentives for the development of pediatric medicines for children are available in the EU Medicines authorized across the EU with the results of studies from a PIP included in the product information are eligible for an extension of their supplementary protection certificate ("SPC")by six months(provided an application for such extension is made at the same time as filing the SPC application for the product, or at any point up to two years before the SPC expires). This is the case even when the studies’ results are negative. For orphan medicines, the incentive is an additional two years of market exclusivity. Scientific advice and protocol assistance at the EMA are free of charge for questions relating to the development of pediatric medicines.</w:t>
      </w:r>
    </w:p>
    <w:p>
      <w:pPr>
        <w:spacing w:after="0" w:line="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All of the aforementioned European Union rules are generally applicable in the EEA.</w:t>
      </w:r>
    </w:p>
    <w:p>
      <w:pPr>
        <w:spacing w:after="0" w:line="120" w:lineRule="exact"/>
        <w:rPr>
          <w:sz w:val="20"/>
          <w:szCs w:val="20"/>
          <w:color w:val="auto"/>
        </w:rPr>
      </w:pPr>
    </w:p>
    <w:p>
      <w:pPr>
        <w:ind w:left="360" w:right="360" w:firstLine="490"/>
        <w:spacing w:after="0" w:line="242" w:lineRule="auto"/>
        <w:rPr>
          <w:sz w:val="20"/>
          <w:szCs w:val="20"/>
          <w:color w:val="auto"/>
        </w:rPr>
      </w:pPr>
      <w:r>
        <w:rPr>
          <w:rFonts w:ascii="Times New Roman" w:cs="Times New Roman" w:eastAsia="Times New Roman" w:hAnsi="Times New Roman"/>
          <w:sz w:val="20"/>
          <w:szCs w:val="20"/>
          <w:color w:val="auto"/>
        </w:rPr>
        <w:t>The UK left the European Union on January 31, 2020. As a result of the Northern Ireland protocol following Brexit, the EMA remained responsible for approving novel medicines for supply in Northern Ireland, the European Union regulatory framework continues to apply in Northern Ireland under the EU centralized procedure, and as separate authorization was required to supply the same medicine in Great Britain (England, Wales and Scotland). On February 27, 2023, the UK government and the European Commission announced a political agreement in principle to replace the Northern Ireland Protocol with a new set of arrangements, known as the “Windsor Framework”. This new framework fundamentally changes the previous system under the Northern Ireland Protocol, including with respect to the regulation of medicinal products in the UK. In particular, the MHRA is now responsible for approving all medicinal products destined for the UK market (Great Britain and Northern Ireland), and the EMA no longer has any role in approving medicinal products destined for Northern Ireland through the EU centralized procedure. A single UK-wide MA will be granted by the MHRA for all novel medicinal products to be sold in the UK, enabling products to be sold in a single pack and under a single authorization throughout the UK. In addition, the new arrangements require all medicines placed on the UK market to be labeled “UK only” indicating they are not for sale in the EU.</w:t>
      </w:r>
    </w:p>
    <w:p>
      <w:pPr>
        <w:spacing w:after="0" w:line="93" w:lineRule="exact"/>
        <w:rPr>
          <w:sz w:val="20"/>
          <w:szCs w:val="20"/>
          <w:color w:val="auto"/>
        </w:rPr>
      </w:pPr>
    </w:p>
    <w:p>
      <w:pPr>
        <w:ind w:left="360" w:right="420" w:firstLine="490"/>
        <w:spacing w:after="0" w:line="278" w:lineRule="auto"/>
        <w:rPr>
          <w:sz w:val="20"/>
          <w:szCs w:val="20"/>
          <w:color w:val="auto"/>
        </w:rPr>
      </w:pPr>
      <w:r>
        <w:rPr>
          <w:rFonts w:ascii="Times New Roman" w:cs="Times New Roman" w:eastAsia="Times New Roman" w:hAnsi="Times New Roman"/>
          <w:sz w:val="19"/>
          <w:szCs w:val="19"/>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On January 1, 2024, a new international recognition framework came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960" w:h="17280" w:orient="portrait"/>
          <w:cols w:equalWidth="0" w:num="1">
            <w:col w:w="10080"/>
          </w:cols>
          <w:pgMar w:left="1440" w:top="1440" w:right="1440" w:bottom="895" w:gutter="0" w:footer="0" w:header="0"/>
          <w:type w:val="continuous"/>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700"/>
        <w:spacing w:after="0" w:line="277" w:lineRule="auto"/>
        <w:rPr>
          <w:sz w:val="20"/>
          <w:szCs w:val="20"/>
          <w:color w:val="auto"/>
        </w:rPr>
      </w:pPr>
      <w:r>
        <w:rPr>
          <w:rFonts w:ascii="Times New Roman" w:cs="Times New Roman" w:eastAsia="Times New Roman" w:hAnsi="Times New Roman"/>
          <w:sz w:val="20"/>
          <w:szCs w:val="20"/>
          <w:color w:val="auto"/>
        </w:rPr>
        <w:t>into effect in the UK under which the MHRA may have regard to decisions on the approval of MAs made by the EMA and certain other regulators when determining an application for a new UK MA.</w:t>
      </w:r>
    </w:p>
    <w:p>
      <w:pPr>
        <w:spacing w:after="0" w:line="49" w:lineRule="exact"/>
        <w:rPr>
          <w:sz w:val="20"/>
          <w:szCs w:val="20"/>
          <w:color w:val="auto"/>
        </w:rPr>
      </w:pPr>
    </w:p>
    <w:p>
      <w:pPr>
        <w:jc w:val="both"/>
        <w:ind w:left="360" w:right="520" w:firstLine="490"/>
        <w:spacing w:after="0" w:line="249" w:lineRule="auto"/>
        <w:rPr>
          <w:sz w:val="20"/>
          <w:szCs w:val="20"/>
          <w:color w:val="auto"/>
        </w:rPr>
      </w:pPr>
      <w:r>
        <w:rPr>
          <w:rFonts w:ascii="Times New Roman" w:cs="Times New Roman" w:eastAsia="Times New Roman" w:hAnsi="Times New Roman"/>
          <w:sz w:val="20"/>
          <w:szCs w:val="20"/>
          <w:color w:val="auto"/>
        </w:rPr>
        <w:t>There is now no pre-marketing authorization orphan designation in the UK. Instead, the MHRA will review applications for orphan designation in parallel to the corresponding MA application. The criteria are essentially the same, but have been tailored for the UK market, i.e. the prevalence of the condition in the UK (rather than the EU) must not be more than 5 in 10,000. Should an orphan designation be granted, the period or market exclusivity will be set from the date of first approval of the product in the UK.</w:t>
      </w:r>
    </w:p>
    <w:p>
      <w:pPr>
        <w:spacing w:after="0" w:line="77" w:lineRule="exact"/>
        <w:rPr>
          <w:sz w:val="20"/>
          <w:szCs w:val="20"/>
          <w:color w:val="auto"/>
        </w:rPr>
      </w:pPr>
    </w:p>
    <w:p>
      <w:pPr>
        <w:ind w:left="360" w:right="380" w:firstLine="490"/>
        <w:spacing w:after="0" w:line="242" w:lineRule="auto"/>
        <w:rPr>
          <w:sz w:val="20"/>
          <w:szCs w:val="20"/>
          <w:color w:val="auto"/>
        </w:rPr>
      </w:pPr>
      <w:r>
        <w:rPr>
          <w:rFonts w:ascii="Times New Roman" w:cs="Times New Roman" w:eastAsia="Times New Roman" w:hAnsi="Times New Roman"/>
          <w:sz w:val="20"/>
          <w:szCs w:val="20"/>
          <w:color w:val="auto"/>
        </w:rPr>
        <w:t>In September 2024, we received access to the UK’s Medicines and Healthcare Regulatory Agency ("MHRA") Innovative Licensing and Access Pathway (“ILAP”) which for the treatment of adults and children with FA. We may also apply for access to the UK’s Innovative Licensing and Access Pathway (“ILAP”) for the treatment of adults and children with FA. This Scheme aims to accelerate the time to market and facilitate patient access to certain types of medicinal products in development which target a life-threatening or seriously debilitating condition, or where there is a significant patient or public health need in the UK. To access the ILAP, an applicant applies for an Innovation Passport designation. Once an Innovation Passport designation is granted, the MHRA and its partner agencies (including The All Wales Therapeutics and Toxicology Centre, National Institute for Health and Care Excellence and the Scottish Medicines Consortium) will work with the Innovation Passport designee to define a Target Development Profile, (“TDP”). The TDP sets out a unique product-specific roadmap towards patient access in the UK and provides access to a toolkit to support all stages of the design, development and approvals process, including continuous benefit-risk assessment, increased support for novel development approaches and enhanced patient engagement. However, although the goal of the ILAP is to reduce the time to market and enable earlier patient access, access does not accelerate conduct of clinical trials or mean that the regulatory requirements are less stringent, nor does it ensure that a marketing authorization application will be approved or that any approval will be granted within a particular timeframe or at all.</w:t>
      </w:r>
    </w:p>
    <w:p>
      <w:pPr>
        <w:spacing w:after="0" w:line="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Healthcare Laws and Regulations</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Coverage and Reimbursement</w:t>
      </w:r>
    </w:p>
    <w:p>
      <w:pPr>
        <w:spacing w:after="0" w:line="118" w:lineRule="exact"/>
        <w:rPr>
          <w:sz w:val="20"/>
          <w:szCs w:val="20"/>
          <w:color w:val="auto"/>
        </w:rPr>
      </w:pPr>
    </w:p>
    <w:p>
      <w:pPr>
        <w:ind w:left="360" w:right="540" w:firstLine="490"/>
        <w:spacing w:after="0" w:line="246" w:lineRule="auto"/>
        <w:rPr>
          <w:sz w:val="20"/>
          <w:szCs w:val="20"/>
          <w:color w:val="auto"/>
        </w:rPr>
      </w:pPr>
      <w:r>
        <w:rPr>
          <w:rFonts w:ascii="Times New Roman" w:cs="Times New Roman" w:eastAsia="Times New Roman" w:hAnsi="Times New Roman"/>
          <w:sz w:val="20"/>
          <w:szCs w:val="20"/>
          <w:color w:val="auto"/>
        </w:rPr>
        <w:t>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80" w:lineRule="exact"/>
        <w:rPr>
          <w:sz w:val="20"/>
          <w:szCs w:val="20"/>
          <w:color w:val="auto"/>
        </w:rPr>
      </w:pPr>
    </w:p>
    <w:p>
      <w:pPr>
        <w:ind w:left="360" w:right="400" w:firstLine="490"/>
        <w:spacing w:after="0" w:line="244" w:lineRule="auto"/>
        <w:rPr>
          <w:sz w:val="20"/>
          <w:szCs w:val="20"/>
          <w:color w:val="auto"/>
        </w:rPr>
      </w:pPr>
      <w:r>
        <w:rPr>
          <w:rFonts w:ascii="Times New Roman" w:cs="Times New Roman" w:eastAsia="Times New Roman" w:hAnsi="Times New Roman"/>
          <w:sz w:val="20"/>
          <w:szCs w:val="20"/>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tend to follow CMS to a substantial degree. Factors payors consider in determining reimbursement are based on whether the product is a covered benefit under its health plan; safe, effective and medically necessary; appropriate for the specific patient; cost-effective; and neither experimental nor investigational. Increasingly, third-party payors are requiring that drug companies provide them with predetermined discounts from list prices and are challenging the prices charged for medical products.</w:t>
      </w:r>
    </w:p>
    <w:p>
      <w:pPr>
        <w:spacing w:after="0" w:line="82"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We cannot be sure that reimbursement will be available for any of our product candidates that we commercialize and, if reimbursement is available, the level of reimbursement.</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960" w:h="17280" w:orient="portrait"/>
          <w:cols w:equalWidth="0" w:num="1">
            <w:col w:w="10080"/>
          </w:cols>
          <w:pgMar w:left="1440" w:top="1440" w:right="1440" w:bottom="895" w:gutter="0" w:footer="0" w:header="0"/>
          <w:type w:val="continuous"/>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Other Healthcare Laws</w:t>
      </w:r>
    </w:p>
    <w:p>
      <w:pPr>
        <w:spacing w:after="0" w:line="118" w:lineRule="exact"/>
        <w:rPr>
          <w:sz w:val="20"/>
          <w:szCs w:val="20"/>
          <w:color w:val="auto"/>
        </w:rPr>
      </w:pPr>
    </w:p>
    <w:p>
      <w:pPr>
        <w:ind w:left="360" w:right="420" w:firstLine="490"/>
        <w:spacing w:after="0" w:line="252" w:lineRule="auto"/>
        <w:rPr>
          <w:sz w:val="20"/>
          <w:szCs w:val="20"/>
          <w:color w:val="auto"/>
        </w:rPr>
      </w:pPr>
      <w:r>
        <w:rPr>
          <w:rFonts w:ascii="Times New Roman" w:cs="Times New Roman" w:eastAsia="Times New Roman" w:hAnsi="Times New Roman"/>
          <w:sz w:val="20"/>
          <w:szCs w:val="20"/>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88" w:lineRule="exact"/>
        <w:rPr>
          <w:sz w:val="20"/>
          <w:szCs w:val="20"/>
          <w:color w:val="auto"/>
        </w:rPr>
      </w:pPr>
    </w:p>
    <w:p>
      <w:pPr>
        <w:ind w:left="1220" w:right="520" w:hanging="370"/>
        <w:spacing w:after="0" w:line="249" w:lineRule="auto"/>
        <w:tabs>
          <w:tab w:leader="none" w:pos="12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Anti-Kickback Statute prohibits, among other things knowingly and willfully, directly or indirectly, soliciting, receiving, offering, or paying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90" w:lineRule="exact"/>
        <w:rPr>
          <w:rFonts w:ascii="Arial" w:cs="Arial" w:eastAsia="Arial" w:hAnsi="Arial"/>
          <w:sz w:val="20"/>
          <w:szCs w:val="20"/>
          <w:color w:val="auto"/>
        </w:rPr>
      </w:pPr>
    </w:p>
    <w:p>
      <w:pPr>
        <w:ind w:left="1220" w:right="420" w:hanging="370"/>
        <w:spacing w:after="0" w:line="252" w:lineRule="auto"/>
        <w:tabs>
          <w:tab w:leader="none" w:pos="12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Patient Protection and Affordable Care Act as amended by the Health Care and Education Reconciliation Act (collectively, the “ACA”), amended the intent element of the federal Anti-Kickback Statute so that a person or entity no longer needs to have actual knowledge of the statute or specific intent to violate it in order to commit a violation;</w:t>
      </w:r>
    </w:p>
    <w:p>
      <w:pPr>
        <w:spacing w:after="0" w:line="87" w:lineRule="exact"/>
        <w:rPr>
          <w:rFonts w:ascii="Arial" w:cs="Arial" w:eastAsia="Arial" w:hAnsi="Arial"/>
          <w:sz w:val="20"/>
          <w:szCs w:val="20"/>
          <w:color w:val="auto"/>
        </w:rPr>
      </w:pPr>
    </w:p>
    <w:p>
      <w:pPr>
        <w:ind w:left="1220" w:right="660" w:hanging="370"/>
        <w:spacing w:after="0" w:line="247" w:lineRule="auto"/>
        <w:tabs>
          <w:tab w:leader="none" w:pos="12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The ACA amended the federal Anti-Kickback Statute such that a violation of that statute can serve as a basis for liability under the federal civil False Claims Act;</w:t>
      </w:r>
    </w:p>
    <w:p>
      <w:pPr>
        <w:spacing w:after="0" w:line="93" w:lineRule="exact"/>
        <w:rPr>
          <w:rFonts w:ascii="Arial" w:cs="Arial" w:eastAsia="Arial" w:hAnsi="Arial"/>
          <w:sz w:val="20"/>
          <w:szCs w:val="20"/>
          <w:color w:val="auto"/>
        </w:rPr>
      </w:pPr>
    </w:p>
    <w:p>
      <w:pPr>
        <w:ind w:left="1220" w:right="540" w:hanging="370"/>
        <w:spacing w:after="0" w:line="249" w:lineRule="auto"/>
        <w:tabs>
          <w:tab w:leader="none" w:pos="12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 Insurance Portability and Accountability Act of 1996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90" w:lineRule="exact"/>
        <w:rPr>
          <w:rFonts w:ascii="Arial" w:cs="Arial" w:eastAsia="Arial" w:hAnsi="Arial"/>
          <w:sz w:val="20"/>
          <w:szCs w:val="20"/>
          <w:color w:val="auto"/>
        </w:rPr>
      </w:pPr>
    </w:p>
    <w:p>
      <w:pPr>
        <w:ind w:left="1220" w:right="380" w:hanging="370"/>
        <w:spacing w:after="0" w:line="243" w:lineRule="auto"/>
        <w:tabs>
          <w:tab w:leader="none" w:pos="12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of 2009 ("HITECH") and their implementing regulations, impose obligations on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01" w:lineRule="exact"/>
        <w:rPr>
          <w:rFonts w:ascii="Arial" w:cs="Arial" w:eastAsia="Arial" w:hAnsi="Arial"/>
          <w:sz w:val="20"/>
          <w:szCs w:val="20"/>
          <w:color w:val="auto"/>
        </w:rPr>
      </w:pPr>
    </w:p>
    <w:p>
      <w:pPr>
        <w:ind w:left="1220" w:right="400" w:hanging="370"/>
        <w:spacing w:after="0" w:line="243" w:lineRule="auto"/>
        <w:tabs>
          <w:tab w:leader="none" w:pos="12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Payments Sunshine Act enacted as part of the ACA, and its implementing regulations requires certain manufacturers of approved drugs, devices, biologics and medical supplies for which payment is available under Medicare, Medicaid or the Children’s Health Insurance Program, with specific exceptions, to collect and report annually to the Centers for Medicare and Medicaid Services, the agency that administers the Medicare and Medicaid programs ("CMS") information related to payments or other transfers of value made to physicians (defined to include doctors, dentists, optometrists, podiatrists and chiropractors), physician assistants, nurse practitioners, clinical nurse specialists, certified nurse anesthetists, certified nurse-midwives) and teaching hospitals, as well as ownership and investment interests held by physicians and their immediate family members. The reported data is made available in searchable form on a public website on an annual basis. Failure to submit required information may result in civil monetary penalties; and</w:t>
      </w:r>
    </w:p>
    <w:p>
      <w:pPr>
        <w:spacing w:after="0" w:line="101" w:lineRule="exact"/>
        <w:rPr>
          <w:rFonts w:ascii="Arial" w:cs="Arial" w:eastAsia="Arial" w:hAnsi="Arial"/>
          <w:sz w:val="20"/>
          <w:szCs w:val="20"/>
          <w:color w:val="auto"/>
        </w:rPr>
      </w:pPr>
    </w:p>
    <w:p>
      <w:pPr>
        <w:ind w:left="1220" w:right="540" w:hanging="370"/>
        <w:spacing w:after="0" w:line="252" w:lineRule="auto"/>
        <w:tabs>
          <w:tab w:leader="none" w:pos="12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960" w:h="17280" w:orient="portrait"/>
          <w:cols w:equalWidth="0" w:num="1">
            <w:col w:w="10080"/>
          </w:cols>
          <w:pgMar w:left="1440" w:top="1440" w:right="1440" w:bottom="895" w:gutter="0" w:footer="0" w:header="0"/>
          <w:type w:val="continuous"/>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 w:right="380" w:firstLine="490"/>
        <w:spacing w:after="0" w:line="234" w:lineRule="auto"/>
        <w:rPr>
          <w:sz w:val="20"/>
          <w:szCs w:val="20"/>
          <w:color w:val="auto"/>
        </w:rPr>
      </w:pPr>
      <w:r>
        <w:rPr>
          <w:rFonts w:ascii="Times New Roman" w:cs="Times New Roman" w:eastAsia="Times New Roman" w:hAnsi="Times New Roman"/>
          <w:sz w:val="20"/>
          <w:szCs w:val="20"/>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Certain states and local jurisdictions also require the registration of pharmaceutical sales representatives. Further, certain states require the posting of information relating to clinical studies and their outcomes. A growing number of states require the reporting of certain drug pricing information, including information pertaining to and justifying price increases and the price set for newly launched drugs, or to prohibit prescription drug price gouging. We may also be subject to state and foreign laws governing the privacy and security of health information, many of which differ from each other in significant ways and often are not preempted by HIPAA.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new laws continue to be proposed. At the state level, numerous states have or are in the process of enacting or considering comprehensive state-level data privacy and security laws, rules and regulations while other states have focused on more narrow aspects of privacy. In the state of Washington, for example, the My Health My Data Act will require regulated entities to obtain consent to collect health information, grant consumers certain rights, including to request deletion of their information, and provide for robust enforcement mechanisms, including enforcement by the Washington state attorney-general and a private right of action for consumer claims. Other states have also enacted, proposed, or are considering proposing, data privacy laws, which could further complicate compliance efforts, increase our potential liability and adversely affect our business. Additionally, to the extent that our product is sold in a foreign country, we may be subject to similar foreign laws.</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Healthcare Reform</w:t>
      </w:r>
    </w:p>
    <w:p>
      <w:pPr>
        <w:spacing w:after="0" w:line="111" w:lineRule="exact"/>
        <w:rPr>
          <w:sz w:val="20"/>
          <w:szCs w:val="20"/>
          <w:color w:val="auto"/>
        </w:rPr>
      </w:pPr>
    </w:p>
    <w:p>
      <w:pPr>
        <w:ind w:left="360" w:right="400" w:firstLine="490"/>
        <w:spacing w:after="0" w:line="236" w:lineRule="auto"/>
        <w:rPr>
          <w:sz w:val="20"/>
          <w:szCs w:val="20"/>
          <w:color w:val="auto"/>
        </w:rPr>
      </w:pPr>
      <w:r>
        <w:rPr>
          <w:rFonts w:ascii="Times New Roman" w:cs="Times New Roman" w:eastAsia="Times New Roman" w:hAnsi="Times New Roman"/>
          <w:sz w:val="20"/>
          <w:szCs w:val="20"/>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CMS also has authority to revise reimbursement rates and to implement coverage restrictions for some drugs.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although private payors have their own methods and approval process apart from Medicare determinations, any reduction in reimbursement that results from federal legislation or regulation may result in a similar reduction in payments from private payors.</w:t>
      </w:r>
    </w:p>
    <w:p>
      <w:pPr>
        <w:spacing w:after="0" w:line="80" w:lineRule="exact"/>
        <w:rPr>
          <w:sz w:val="20"/>
          <w:szCs w:val="20"/>
          <w:color w:val="auto"/>
        </w:rPr>
      </w:pPr>
    </w:p>
    <w:p>
      <w:pPr>
        <w:ind w:left="360" w:right="360" w:firstLine="490"/>
        <w:spacing w:after="0" w:line="235" w:lineRule="auto"/>
        <w:rPr>
          <w:sz w:val="20"/>
          <w:szCs w:val="20"/>
          <w:color w:val="auto"/>
        </w:rPr>
      </w:pPr>
      <w:r>
        <w:rPr>
          <w:rFonts w:ascii="Times New Roman" w:cs="Times New Roman" w:eastAsia="Times New Roman" w:hAnsi="Times New Roman"/>
          <w:sz w:val="20"/>
          <w:szCs w:val="20"/>
          <w:color w:val="auto"/>
        </w:rPr>
        <w:t>The Affordable Care Act substantially changed the way healthcare is financed by both governmental and private insurers, included provisions that affected the pharmaceutical industry. Among other things, the Affordable Care Act expanded manufacturers’ rebate liability under the Medicaid Drug Rebate Program, expanded the 340B program, and increased the amount of Medicaid drug rebates manufacturers are required to pay to states. Since that time, there have been multiple healthcare reform measures, including the Inflation Reduction Act of 2022 (“IRA”) which, among other things, allows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small molecule drugs) can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A drug or biological product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960" w:h="17280" w:orient="portrait"/>
          <w:cols w:equalWidth="0" w:num="1">
            <w:col w:w="10080"/>
          </w:cols>
          <w:pgMar w:left="1440" w:top="1440" w:right="1440" w:bottom="895"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 w:right="420"/>
        <w:spacing w:after="0" w:line="236" w:lineRule="auto"/>
        <w:rPr>
          <w:sz w:val="20"/>
          <w:szCs w:val="20"/>
          <w:color w:val="auto"/>
        </w:rPr>
      </w:pPr>
      <w:r>
        <w:rPr>
          <w:rFonts w:ascii="Times New Roman" w:cs="Times New Roman" w:eastAsia="Times New Roman" w:hAnsi="Times New Roman"/>
          <w:sz w:val="20"/>
          <w:szCs w:val="20"/>
          <w:color w:val="auto"/>
        </w:rPr>
        <w:t>rare disease or condition, unless such additional designation or such disqualifying approvals are withdrawn by the time CMS evaluates the drug for selection for negotiation. The IRA also imposes rebates on Medicare Part B and Part D drugs whose prices have increased at a rate greater than the rate of inflation, and in November 2024, CMS finalized regulations for these inflation rebates. The IRA also extends enhanced subsidies for individuals purchasing health insurance coverage in ACA marketplaces through plan year 2025.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have been and may continue to be subject to legal challenges. For example, the provisions related to the negotiation of selling prices of high-expenditure single-source drugs and biologics have been challenged in multiple lawsuits brought by pharmaceutical manufacturers. Thus, while it is unclear how the IRA will be implemented, it will likely have a significant impact on the biopharmaceutical industry and the pricing of prescription drug products.</w:t>
      </w:r>
    </w:p>
    <w:p>
      <w:pPr>
        <w:spacing w:after="0" w:line="91" w:lineRule="exact"/>
        <w:rPr>
          <w:sz w:val="20"/>
          <w:szCs w:val="20"/>
          <w:color w:val="auto"/>
        </w:rPr>
      </w:pPr>
    </w:p>
    <w:p>
      <w:pPr>
        <w:ind w:left="360" w:right="420" w:firstLine="490"/>
        <w:spacing w:after="0" w:line="245"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FDA authorized the first such plan in Florida in January 2024.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82" w:lineRule="exact"/>
        <w:rPr>
          <w:sz w:val="20"/>
          <w:szCs w:val="20"/>
          <w:color w:val="auto"/>
        </w:rPr>
      </w:pPr>
    </w:p>
    <w:p>
      <w:pPr>
        <w:ind w:left="360" w:right="580" w:firstLine="490"/>
        <w:spacing w:after="0" w:line="252" w:lineRule="auto"/>
        <w:rPr>
          <w:sz w:val="20"/>
          <w:szCs w:val="20"/>
          <w:color w:val="auto"/>
        </w:rPr>
      </w:pPr>
      <w:r>
        <w:rPr>
          <w:rFonts w:ascii="Times New Roman" w:cs="Times New Roman" w:eastAsia="Times New Roman" w:hAnsi="Times New Roman"/>
          <w:sz w:val="20"/>
          <w:szCs w:val="20"/>
          <w:color w:val="auto"/>
        </w:rPr>
        <w:t>Additional federal, state and foreign healthcare reform measures may be adopted in the future, any of which could limit the amounts that federal and state governments will pay for healthcare products and services, which could result in limited coverage and reimbursement and reduced demand for prescription drug products, once approved, or additional pricing pressures.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960" w:h="17280" w:orient="portrait"/>
          <w:cols w:equalWidth="0" w:num="1">
            <w:col w:w="10080"/>
          </w:cols>
          <w:pgMar w:left="1440" w:top="1440" w:right="1440" w:bottom="895" w:gutter="0" w:footer="0" w:header="0"/>
          <w:type w:val="continuous"/>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6" w:lineRule="exact"/>
        <w:rPr>
          <w:sz w:val="20"/>
          <w:szCs w:val="20"/>
          <w:color w:val="auto"/>
        </w:rPr>
      </w:pPr>
    </w:p>
    <w:p>
      <w:pPr>
        <w:ind w:left="360" w:right="380" w:firstLine="490"/>
        <w:spacing w:after="0" w:line="245" w:lineRule="auto"/>
        <w:rPr>
          <w:sz w:val="20"/>
          <w:szCs w:val="20"/>
          <w:color w:val="auto"/>
        </w:rPr>
      </w:pPr>
      <w:r>
        <w:rPr>
          <w:rFonts w:ascii="Times New Roman" w:cs="Times New Roman" w:eastAsia="Times New Roman" w:hAnsi="Times New Roman"/>
          <w:sz w:val="20"/>
          <w:szCs w:val="20"/>
          <w:i w:val="1"/>
          <w:iCs w:val="1"/>
          <w:color w:val="auto"/>
        </w:rPr>
        <w:t>You should consider carefully the following risks and uncertainties when reading this Annual Report on Form 10-K, as well as the other information contained herein, including our audited consolidated financial statements and the related notes and the section titled “Management’s Discussion and Analysis of Financial Condition and Results of Operation.” If any of the following risks occur, our business, financial condition and results of operations could be materially and adversely affected. Although we believe that we have identified and discussed below the key risk factors affecting our business, there may be additional risks and uncertainties that are not presently known or that are not currently believed to be significant that may adversely affect our performance or financial condition. In that event, the trading price of our common stock could decline.</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Capital</w:t>
      </w:r>
    </w:p>
    <w:p>
      <w:pPr>
        <w:spacing w:after="0" w:line="124" w:lineRule="exact"/>
        <w:rPr>
          <w:sz w:val="20"/>
          <w:szCs w:val="20"/>
          <w:color w:val="auto"/>
        </w:rPr>
      </w:pPr>
    </w:p>
    <w:p>
      <w:pPr>
        <w:ind w:left="360"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losses since our inception and anticipate that we will incur continued losses for the foreseeable future.</w:t>
      </w:r>
    </w:p>
    <w:p>
      <w:pPr>
        <w:spacing w:after="0" w:line="49" w:lineRule="exact"/>
        <w:rPr>
          <w:sz w:val="20"/>
          <w:szCs w:val="20"/>
          <w:color w:val="auto"/>
        </w:rPr>
      </w:pPr>
    </w:p>
    <w:p>
      <w:pPr>
        <w:ind w:left="360" w:right="360" w:firstLine="490"/>
        <w:spacing w:after="0" w:line="249" w:lineRule="auto"/>
        <w:rPr>
          <w:sz w:val="20"/>
          <w:szCs w:val="20"/>
          <w:color w:val="auto"/>
        </w:rPr>
      </w:pPr>
      <w:r>
        <w:rPr>
          <w:rFonts w:ascii="Times New Roman" w:cs="Times New Roman" w:eastAsia="Times New Roman" w:hAnsi="Times New Roman"/>
          <w:sz w:val="20"/>
          <w:szCs w:val="20"/>
          <w:color w:val="auto"/>
        </w:rPr>
        <w:t>Since our inception we have devoted substantially all of our resources to the development of nomlabofusp. We have incurred significant losses in each year of operation since our inception in 2016. For the years ended December 31, 2024 and 2023, we had net losses of $80.6 million and $36.9 million, respectively, and, as of December 31, 2024, we had an accumulated deficit of $269.2 million and we expect to continue to incur significant expenses and net operating losses ("NOLs") for the foreseeable future.</w:t>
      </w:r>
    </w:p>
    <w:p>
      <w:pPr>
        <w:spacing w:after="0" w:line="77" w:lineRule="exact"/>
        <w:rPr>
          <w:sz w:val="20"/>
          <w:szCs w:val="20"/>
          <w:color w:val="auto"/>
        </w:rPr>
      </w:pPr>
    </w:p>
    <w:p>
      <w:pPr>
        <w:ind w:left="360" w:right="640" w:firstLine="490"/>
        <w:spacing w:after="0" w:line="252" w:lineRule="auto"/>
        <w:rPr>
          <w:sz w:val="20"/>
          <w:szCs w:val="20"/>
          <w:color w:val="auto"/>
        </w:rPr>
      </w:pPr>
      <w:r>
        <w:rPr>
          <w:rFonts w:ascii="Times New Roman" w:cs="Times New Roman" w:eastAsia="Times New Roman" w:hAnsi="Times New Roman"/>
          <w:sz w:val="20"/>
          <w:szCs w:val="20"/>
          <w:color w:val="auto"/>
        </w:rPr>
        <w:t>We have devoted substantially all of our financial resources and efforts to research and development, including non-clinical studies, our clinical development program, the development of manufacturing processes as well as the manufacture of initial lots of clinical trial material. We expect to incur significant losses for the foreseeable future to further develop and commercialize our lead drug candidate, nomlabofusp.</w:t>
      </w:r>
    </w:p>
    <w:p>
      <w:pPr>
        <w:spacing w:after="0" w:line="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We expect that our expenses will increase substantially if and as we:</w:t>
      </w:r>
    </w:p>
    <w:p>
      <w:pPr>
        <w:spacing w:after="0" w:line="134" w:lineRule="exact"/>
        <w:rPr>
          <w:sz w:val="20"/>
          <w:szCs w:val="20"/>
          <w:color w:val="auto"/>
        </w:rPr>
      </w:pPr>
    </w:p>
    <w:p>
      <w:pPr>
        <w:ind w:left="1080" w:hanging="360"/>
        <w:spacing w:after="0"/>
        <w:tabs>
          <w:tab w:leader="none" w:pos="10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continue clinical development efforts for nomlabofusp;</w:t>
      </w:r>
    </w:p>
    <w:p>
      <w:pPr>
        <w:spacing w:after="0" w:line="133" w:lineRule="exact"/>
        <w:rPr>
          <w:rFonts w:ascii="Arial" w:cs="Arial" w:eastAsia="Arial" w:hAnsi="Arial"/>
          <w:sz w:val="20"/>
          <w:szCs w:val="20"/>
          <w:color w:val="auto"/>
        </w:rPr>
      </w:pPr>
    </w:p>
    <w:p>
      <w:pPr>
        <w:ind w:left="1080" w:right="660" w:hanging="360"/>
        <w:spacing w:after="0" w:line="276" w:lineRule="auto"/>
        <w:tabs>
          <w:tab w:leader="none" w:pos="10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seek regulatory and marketing approvals in the United States and in foreign jurisdictions for our product candidates that successfully complete clinical trials, if any;</w:t>
      </w:r>
    </w:p>
    <w:p>
      <w:pPr>
        <w:spacing w:after="0" w:line="64" w:lineRule="exact"/>
        <w:rPr>
          <w:rFonts w:ascii="Arial" w:cs="Arial" w:eastAsia="Arial" w:hAnsi="Arial"/>
          <w:sz w:val="20"/>
          <w:szCs w:val="20"/>
          <w:color w:val="auto"/>
        </w:rPr>
      </w:pPr>
    </w:p>
    <w:p>
      <w:pPr>
        <w:ind w:left="1080" w:right="940" w:hanging="360"/>
        <w:spacing w:after="0" w:line="276" w:lineRule="auto"/>
        <w:tabs>
          <w:tab w:leader="none" w:pos="10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sales, marketing, distribution and other commercial infrastructure to commercialize various products for which we may obtain marketing approval, if any;</w:t>
      </w:r>
    </w:p>
    <w:p>
      <w:pPr>
        <w:spacing w:after="0" w:line="64" w:lineRule="exact"/>
        <w:rPr>
          <w:rFonts w:ascii="Arial" w:cs="Arial" w:eastAsia="Arial" w:hAnsi="Arial"/>
          <w:sz w:val="20"/>
          <w:szCs w:val="20"/>
          <w:color w:val="auto"/>
        </w:rPr>
      </w:pPr>
    </w:p>
    <w:p>
      <w:pPr>
        <w:ind w:left="1080" w:right="1060" w:hanging="360"/>
        <w:spacing w:after="0" w:line="276" w:lineRule="auto"/>
        <w:tabs>
          <w:tab w:leader="none" w:pos="10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contract for the manufacture of larger quantities of product candidates for clinical development and potentially commercialization;</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133" w:lineRule="exact"/>
        <w:rPr>
          <w:rFonts w:ascii="Arial" w:cs="Arial" w:eastAsia="Arial" w:hAnsi="Arial"/>
          <w:sz w:val="20"/>
          <w:szCs w:val="20"/>
          <w:color w:val="auto"/>
        </w:rPr>
      </w:pPr>
    </w:p>
    <w:p>
      <w:pPr>
        <w:ind w:left="1080" w:right="580" w:hanging="360"/>
        <w:spacing w:after="0" w:line="276" w:lineRule="auto"/>
        <w:tabs>
          <w:tab w:leader="none" w:pos="10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expand our operational, financial and management systems and hire and retain additional personnel, such as clinical, manufacturing, quality control, regulatory and finance personnel; and;</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any delays or encounter issues with any of the above.</w:t>
      </w:r>
    </w:p>
    <w:p>
      <w:pPr>
        <w:spacing w:after="0" w:line="119" w:lineRule="exact"/>
        <w:rPr>
          <w:sz w:val="20"/>
          <w:szCs w:val="20"/>
          <w:color w:val="auto"/>
        </w:rPr>
      </w:pPr>
    </w:p>
    <w:p>
      <w:pPr>
        <w:ind w:left="360" w:right="460" w:firstLine="490"/>
        <w:spacing w:after="0" w:line="270" w:lineRule="auto"/>
        <w:rPr>
          <w:sz w:val="20"/>
          <w:szCs w:val="20"/>
          <w:color w:val="auto"/>
        </w:rPr>
      </w:pPr>
      <w:r>
        <w:rPr>
          <w:rFonts w:ascii="Times New Roman" w:cs="Times New Roman" w:eastAsia="Times New Roman" w:hAnsi="Times New Roman"/>
          <w:sz w:val="19"/>
          <w:szCs w:val="19"/>
          <w:color w:val="auto"/>
        </w:rPr>
        <w:t>We currently have no sales, marketing or medical affairs infrastructure and have no experience in the sales, marketing, or distribution of pharmaceutical products. Assuming nomlabofusp ultimately is approved for marketing in the US and elsewhere, we will need to establish commercial capabilities as well as customer service and support, logistics, and other related functions, or make arrangements with third parties to perform these services.</w:t>
      </w:r>
    </w:p>
    <w:p>
      <w:pPr>
        <w:spacing w:after="0" w:line="57" w:lineRule="exact"/>
        <w:rPr>
          <w:sz w:val="20"/>
          <w:szCs w:val="20"/>
          <w:color w:val="auto"/>
        </w:rPr>
      </w:pPr>
    </w:p>
    <w:p>
      <w:pPr>
        <w:ind w:left="360" w:right="480" w:firstLine="490"/>
        <w:spacing w:after="0" w:line="277" w:lineRule="auto"/>
        <w:rPr>
          <w:sz w:val="20"/>
          <w:szCs w:val="20"/>
          <w:color w:val="auto"/>
        </w:rPr>
      </w:pPr>
      <w:r>
        <w:rPr>
          <w:rFonts w:ascii="Times New Roman" w:cs="Times New Roman" w:eastAsia="Times New Roman" w:hAnsi="Times New Roman"/>
          <w:sz w:val="20"/>
          <w:szCs w:val="20"/>
          <w:color w:val="auto"/>
        </w:rPr>
        <w:t>Net losses and negative cash flows have had, and will continue to have, an adverse effect on our liquidity and potentially the ability for us to raise capital due to our unfavorable operating results.</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We have no commercial revenue and may never become profitable.</w:t>
      </w:r>
    </w:p>
    <w:p>
      <w:pPr>
        <w:spacing w:after="0" w:line="120" w:lineRule="exact"/>
        <w:rPr>
          <w:sz w:val="20"/>
          <w:szCs w:val="20"/>
          <w:color w:val="auto"/>
        </w:rPr>
      </w:pPr>
    </w:p>
    <w:p>
      <w:pPr>
        <w:ind w:left="360" w:right="1120" w:firstLine="490"/>
        <w:spacing w:after="0" w:line="278" w:lineRule="auto"/>
        <w:rPr>
          <w:sz w:val="20"/>
          <w:szCs w:val="20"/>
          <w:color w:val="auto"/>
        </w:rPr>
      </w:pPr>
      <w:r>
        <w:rPr>
          <w:rFonts w:ascii="Times New Roman" w:cs="Times New Roman" w:eastAsia="Times New Roman" w:hAnsi="Times New Roman"/>
          <w:sz w:val="19"/>
          <w:szCs w:val="19"/>
          <w:color w:val="auto"/>
        </w:rPr>
        <w:t>To date, we have not generated any commercial revenue. Our ability to generate revenue and become profitable depends upon our ability to obtain regulatory approval for, and to successfully commercialize, nomlabofusp or other product candidates that we may develop, in-license or acquire in the future.</w:t>
      </w:r>
    </w:p>
    <w:p>
      <w:pPr>
        <w:spacing w:after="0" w:line="51" w:lineRule="exact"/>
        <w:rPr>
          <w:sz w:val="20"/>
          <w:szCs w:val="20"/>
          <w:color w:val="auto"/>
        </w:rPr>
      </w:pPr>
    </w:p>
    <w:p>
      <w:pPr>
        <w:ind w:left="360" w:right="480" w:firstLine="490"/>
        <w:spacing w:after="0" w:line="258" w:lineRule="auto"/>
        <w:rPr>
          <w:sz w:val="20"/>
          <w:szCs w:val="20"/>
          <w:color w:val="auto"/>
        </w:rPr>
      </w:pPr>
      <w:r>
        <w:rPr>
          <w:rFonts w:ascii="Times New Roman" w:cs="Times New Roman" w:eastAsia="Times New Roman" w:hAnsi="Times New Roman"/>
          <w:sz w:val="20"/>
          <w:szCs w:val="20"/>
          <w:color w:val="auto"/>
        </w:rPr>
        <w:t>This will require success in a range of challenging activities, including completing numerous clinical trials of nomlabofusp or any future product candidates, obtaining marketing approval for nomlabofusp and any future product candidates, manufacturing, marketing and selling those products for which we, or any future collaborators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960" w:h="17280" w:orient="portrait"/>
          <w:cols w:equalWidth="0" w:num="1">
            <w:col w:w="10080"/>
          </w:cols>
          <w:pgMar w:left="1440" w:top="1440" w:right="1440" w:bottom="895" w:gutter="0" w:footer="0" w:header="0"/>
          <w:type w:val="continuous"/>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00"/>
        <w:spacing w:after="0" w:line="261" w:lineRule="auto"/>
        <w:rPr>
          <w:sz w:val="20"/>
          <w:szCs w:val="20"/>
          <w:color w:val="auto"/>
        </w:rPr>
      </w:pPr>
      <w:r>
        <w:rPr>
          <w:rFonts w:ascii="Times New Roman" w:cs="Times New Roman" w:eastAsia="Times New Roman" w:hAnsi="Times New Roman"/>
          <w:sz w:val="19"/>
          <w:szCs w:val="19"/>
          <w:color w:val="auto"/>
        </w:rPr>
        <w:t>or partners, may obtain marketing approval, satisfying any post-marketing requirements and obtaining reimbursement for our products from private insurance and/or government payors. Even if we are able to successfully achieve the above, we do not know what the reimbursement status of nomlabofusp or any other future product candidates will be or when any of these products will generate revenue for us, if at all. We have not generated, and do not expect to generate, any product revenue for the foreseeable future, and expect to continue to incur significant operating losses for the foreseeable future due to the cost of research and development, non-clinical studies and clinical trials and the regulatory approval process for nomlabofusp and any future product candidates.</w:t>
      </w:r>
    </w:p>
    <w:p>
      <w:pPr>
        <w:spacing w:after="0" w:line="67" w:lineRule="exact"/>
        <w:rPr>
          <w:sz w:val="20"/>
          <w:szCs w:val="20"/>
          <w:color w:val="auto"/>
        </w:rPr>
      </w:pPr>
    </w:p>
    <w:p>
      <w:pPr>
        <w:ind w:left="360" w:right="440" w:firstLine="490"/>
        <w:spacing w:after="0" w:line="277" w:lineRule="auto"/>
        <w:rPr>
          <w:sz w:val="20"/>
          <w:szCs w:val="20"/>
          <w:color w:val="auto"/>
        </w:rPr>
      </w:pPr>
      <w:r>
        <w:rPr>
          <w:rFonts w:ascii="Times New Roman" w:cs="Times New Roman" w:eastAsia="Times New Roman" w:hAnsi="Times New Roman"/>
          <w:sz w:val="20"/>
          <w:szCs w:val="20"/>
          <w:color w:val="auto"/>
        </w:rPr>
        <w:t>Our ability to generate revenue from nomlabofusp or any future product candidates also depends on a number of additional factors, including our ability to:</w:t>
      </w:r>
    </w:p>
    <w:p>
      <w:pPr>
        <w:spacing w:after="0" w:line="45" w:lineRule="exact"/>
        <w:rPr>
          <w:sz w:val="20"/>
          <w:szCs w:val="20"/>
          <w:color w:val="auto"/>
        </w:rPr>
      </w:pPr>
    </w:p>
    <w:p>
      <w:pPr>
        <w:ind w:left="1080" w:right="740" w:hanging="360"/>
        <w:spacing w:after="0" w:line="252" w:lineRule="auto"/>
        <w:tabs>
          <w:tab w:leader="none" w:pos="10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complete development activities, including the remaining non-clinical studies and planned clinical trials for our product candidates;</w:t>
      </w:r>
    </w:p>
    <w:p>
      <w:pPr>
        <w:spacing w:after="0" w:line="64" w:lineRule="exact"/>
        <w:rPr>
          <w:rFonts w:ascii="Arial" w:cs="Arial" w:eastAsia="Arial" w:hAnsi="Arial"/>
          <w:sz w:val="20"/>
          <w:szCs w:val="20"/>
          <w:color w:val="auto"/>
        </w:rPr>
      </w:pPr>
    </w:p>
    <w:p>
      <w:pPr>
        <w:ind w:left="1080" w:right="1140" w:hanging="360"/>
        <w:spacing w:after="0" w:line="252" w:lineRule="auto"/>
        <w:tabs>
          <w:tab w:leader="none" w:pos="10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complete and submit BLAs to the FDA and MAAs to the EMA and obtain regulatory approval for indications for which there is a commercial market;</w:t>
      </w:r>
    </w:p>
    <w:p>
      <w:pPr>
        <w:spacing w:after="0" w:line="64" w:lineRule="exact"/>
        <w:rPr>
          <w:rFonts w:ascii="Arial" w:cs="Arial" w:eastAsia="Arial" w:hAnsi="Arial"/>
          <w:sz w:val="20"/>
          <w:szCs w:val="20"/>
          <w:color w:val="auto"/>
        </w:rPr>
      </w:pPr>
    </w:p>
    <w:p>
      <w:pPr>
        <w:ind w:left="1080" w:right="1100" w:hanging="360"/>
        <w:spacing w:after="0" w:line="252" w:lineRule="auto"/>
        <w:tabs>
          <w:tab w:leader="none" w:pos="10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complete and submit applications to, and obtain regulatory approval from, other foreign regulatory authorities;</w:t>
      </w:r>
    </w:p>
    <w:p>
      <w:pPr>
        <w:spacing w:after="0" w:line="64" w:lineRule="exact"/>
        <w:rPr>
          <w:rFonts w:ascii="Arial" w:cs="Arial" w:eastAsia="Arial" w:hAnsi="Arial"/>
          <w:sz w:val="20"/>
          <w:szCs w:val="20"/>
          <w:color w:val="auto"/>
        </w:rPr>
      </w:pPr>
    </w:p>
    <w:p>
      <w:pPr>
        <w:ind w:left="1080" w:right="560" w:hanging="360"/>
        <w:spacing w:after="0" w:line="252" w:lineRule="auto"/>
        <w:tabs>
          <w:tab w:leader="none" w:pos="10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manufacture or have manufactured any approved products in commercial quantities and on commercially reasonable terms;</w:t>
      </w:r>
    </w:p>
    <w:p>
      <w:pPr>
        <w:spacing w:after="0" w:line="64" w:lineRule="exact"/>
        <w:rPr>
          <w:rFonts w:ascii="Arial" w:cs="Arial" w:eastAsia="Arial" w:hAnsi="Arial"/>
          <w:sz w:val="20"/>
          <w:szCs w:val="20"/>
          <w:color w:val="auto"/>
        </w:rPr>
      </w:pPr>
    </w:p>
    <w:p>
      <w:pPr>
        <w:ind w:left="1080" w:right="1000" w:hanging="360"/>
        <w:spacing w:after="0" w:line="252" w:lineRule="auto"/>
        <w:tabs>
          <w:tab w:leader="none" w:pos="10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develop a commercial organization, or find suitable partners, to market, sell and distribute approved products in the markets in which we have retained commercialization rights;</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achieve acceptance among patients, clinicians and advocacy groups for any products we develop;</w:t>
      </w:r>
    </w:p>
    <w:p>
      <w:pPr>
        <w:spacing w:after="0" w:line="110" w:lineRule="exact"/>
        <w:rPr>
          <w:rFonts w:ascii="Arial" w:cs="Arial" w:eastAsia="Arial" w:hAnsi="Arial"/>
          <w:sz w:val="20"/>
          <w:szCs w:val="20"/>
          <w:color w:val="auto"/>
        </w:rPr>
      </w:pPr>
    </w:p>
    <w:p>
      <w:pPr>
        <w:ind w:left="1080" w:hanging="360"/>
        <w:spacing w:after="0"/>
        <w:tabs>
          <w:tab w:leader="none" w:pos="10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obtain coverage and adequate reimbursement from third parties, including government payors; and</w:t>
      </w:r>
    </w:p>
    <w:p>
      <w:pPr>
        <w:spacing w:after="0" w:line="110" w:lineRule="exact"/>
        <w:rPr>
          <w:rFonts w:ascii="Arial" w:cs="Arial" w:eastAsia="Arial" w:hAnsi="Arial"/>
          <w:sz w:val="20"/>
          <w:szCs w:val="20"/>
          <w:color w:val="auto"/>
        </w:rPr>
      </w:pPr>
    </w:p>
    <w:p>
      <w:pPr>
        <w:ind w:left="1080" w:hanging="360"/>
        <w:spacing w:after="0"/>
        <w:tabs>
          <w:tab w:leader="none" w:pos="10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set a commercially viable price for any products for which we may receive approval.</w:t>
      </w:r>
    </w:p>
    <w:p>
      <w:pPr>
        <w:spacing w:after="0" w:line="115"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Because of the uncertainties and risks associated with these activities, we are unable to accurately predict the timing and amount of increased expenses, and if or when we might achieve or maintain profitability. We and any future collaborators may never succeed in these activities and, even if we do, or any future collaborators do, we may never generate revenues that are large enough for us to achieve profitability. Even if we are able to complete the processes described above, we anticipate incurring significant costs associated with commercializing nomlabofusp or any of our future product candidates. Even if we achieve profitability in the future, we may not be able to sustain profitability in subsequent periods. Our failure to become and remain profitable could decrease the value of our business and could impair our ability to raise capital, maintain our discovery and 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88" w:lineRule="exact"/>
        <w:rPr>
          <w:sz w:val="20"/>
          <w:szCs w:val="20"/>
          <w:color w:val="auto"/>
        </w:rPr>
      </w:pPr>
    </w:p>
    <w:p>
      <w:pPr>
        <w:jc w:val="both"/>
        <w:ind w:left="360" w:right="6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need to raise additional funding to complete the development and commercialization of nomlabofusp. This funding may not be available on acceptable terms, or at all. Failure to obtain this necessary capital when needed would force us to delay, limit or terminate our product development efforts or other operations.</w:t>
      </w:r>
    </w:p>
    <w:p>
      <w:pPr>
        <w:spacing w:after="0" w:line="68" w:lineRule="exact"/>
        <w:rPr>
          <w:sz w:val="20"/>
          <w:szCs w:val="20"/>
          <w:color w:val="auto"/>
        </w:rPr>
      </w:pPr>
    </w:p>
    <w:p>
      <w:pPr>
        <w:ind w:left="360" w:right="50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2024, our existing cash, cash equivalents and marketable securities were $183.5 million, which we anticipate will fund our operations into the second quarter of 2026.</w:t>
      </w:r>
    </w:p>
    <w:p>
      <w:pPr>
        <w:spacing w:after="0" w:line="49" w:lineRule="exact"/>
        <w:rPr>
          <w:sz w:val="20"/>
          <w:szCs w:val="20"/>
          <w:color w:val="auto"/>
        </w:rPr>
      </w:pPr>
    </w:p>
    <w:p>
      <w:pPr>
        <w:ind w:left="360" w:right="380" w:firstLine="490"/>
        <w:spacing w:after="0" w:line="257" w:lineRule="auto"/>
        <w:rPr>
          <w:sz w:val="20"/>
          <w:szCs w:val="20"/>
          <w:color w:val="auto"/>
        </w:rPr>
      </w:pPr>
      <w:r>
        <w:rPr>
          <w:rFonts w:ascii="Times New Roman" w:cs="Times New Roman" w:eastAsia="Times New Roman" w:hAnsi="Times New Roman"/>
          <w:sz w:val="19"/>
          <w:szCs w:val="19"/>
          <w:color w:val="auto"/>
        </w:rPr>
        <w:t>We expect to continue to spend substantial and increasing amounts to conduct clinical trials of nomlabofusp and further research and development activities for nomlabofusp, and for any additional product candidates that we may develop, in-license or acquire in the future. In addition, raising funds in the current economic environment may present substantial challenges, for example, any sustained disruption in the capital markets from adverse macroeconomic conditions, such as the disruption and uncertainty caused by inflationary pressures, rising interest rates, banking instability, monetary policy changes, changes in trade policies, including tariffs (including tariffs that have been or may in the future be imposed by the U.S. or other countries), economic slowdowns or recessions, could negatively impact our ability to raise capital and we cannot predict the extent or duration of such macroeconomic disruptions. Additionally our expenses will increase as we expand, through development, in-license or acquisition, our pipeline of product candidates. If we obtain marketing approval for any of our product candidates, we will likely incur significant commercialization expenses related to product sales, marketing, manufacturing and distribution to the extent that such sales, marketing, manufacturing and distribution are not the responsibility of a future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960" w:h="17280" w:orient="portrait"/>
          <w:cols w:equalWidth="0" w:num="1">
            <w:col w:w="10080"/>
          </w:cols>
          <w:pgMar w:left="1440" w:top="1440" w:right="1440" w:bottom="895" w:gutter="0" w:footer="0" w:header="0"/>
          <w:type w:val="continuous"/>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360" w:right="560"/>
        <w:spacing w:after="0" w:line="262" w:lineRule="auto"/>
        <w:rPr>
          <w:sz w:val="20"/>
          <w:szCs w:val="20"/>
          <w:color w:val="auto"/>
        </w:rPr>
      </w:pPr>
      <w:r>
        <w:rPr>
          <w:rFonts w:ascii="Times New Roman" w:cs="Times New Roman" w:eastAsia="Times New Roman" w:hAnsi="Times New Roman"/>
          <w:sz w:val="19"/>
          <w:szCs w:val="19"/>
          <w:color w:val="auto"/>
        </w:rPr>
        <w:t>collaborator. Accordingly, we will need to obtain additional funding in connection with our continuing operations. Our current cash, cash equivalents and marketable securities may not be sufficient to fund all of the efforts that we plan to undertake or to fund the completion of the development and commercialization of nomlabofusp.</w:t>
      </w:r>
    </w:p>
    <w:p>
      <w:pPr>
        <w:spacing w:after="0" w:line="2" w:lineRule="exact"/>
        <w:rPr>
          <w:sz w:val="20"/>
          <w:szCs w:val="20"/>
          <w:color w:val="auto"/>
        </w:rPr>
      </w:pPr>
    </w:p>
    <w:p>
      <w:pPr>
        <w:ind w:left="360" w:right="440"/>
        <w:spacing w:after="0" w:line="241" w:lineRule="auto"/>
        <w:rPr>
          <w:sz w:val="20"/>
          <w:szCs w:val="20"/>
          <w:color w:val="auto"/>
        </w:rPr>
      </w:pPr>
      <w:r>
        <w:rPr>
          <w:rFonts w:ascii="Times New Roman" w:cs="Times New Roman" w:eastAsia="Times New Roman" w:hAnsi="Times New Roman"/>
          <w:sz w:val="20"/>
          <w:szCs w:val="20"/>
          <w:color w:val="auto"/>
        </w:rPr>
        <w:t>Accordingly, we may be required to obtain further funding through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85" w:lineRule="exact"/>
        <w:rPr>
          <w:sz w:val="20"/>
          <w:szCs w:val="20"/>
          <w:color w:val="auto"/>
        </w:rPr>
      </w:pPr>
    </w:p>
    <w:p>
      <w:pPr>
        <w:ind w:left="360" w:right="380" w:firstLine="490"/>
        <w:spacing w:after="0" w:line="242" w:lineRule="auto"/>
        <w:rPr>
          <w:sz w:val="20"/>
          <w:szCs w:val="20"/>
          <w:color w:val="auto"/>
        </w:rPr>
      </w:pPr>
      <w:r>
        <w:rPr>
          <w:rFonts w:ascii="Times New Roman" w:cs="Times New Roman" w:eastAsia="Times New Roman" w:hAnsi="Times New Roman"/>
          <w:sz w:val="20"/>
          <w:szCs w:val="20"/>
          <w:color w:val="auto"/>
        </w:rPr>
        <w:t>If additional capital is needed to complete the development and commercialization of nomlabofusp, there can be no assurance that we will be able to raise sufficient additional capital on acceptable terms or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financial condition and prospects. In addition, geopolitical tension including, for example, the broader impact of the ongoing conflict between Russia and Ukraine and the current conflict in Israel and Gaza (including any escalation or expansion), and the impact of a future pandemic, epidemic or outbreak of an infectious disease or liquidity constraints, failures and instability in U.S. and international financial banking systems on the global financial markets may reduce our ability to access capital, which could negatively affect our liquidity.</w:t>
      </w:r>
    </w:p>
    <w:p>
      <w:pPr>
        <w:spacing w:after="0" w:line="93" w:lineRule="exact"/>
        <w:rPr>
          <w:sz w:val="20"/>
          <w:szCs w:val="20"/>
          <w:color w:val="auto"/>
        </w:rPr>
      </w:pPr>
    </w:p>
    <w:p>
      <w:pPr>
        <w:ind w:left="360" w:right="400" w:firstLine="490"/>
        <w:spacing w:after="0" w:line="249" w:lineRule="auto"/>
        <w:rPr>
          <w:sz w:val="20"/>
          <w:szCs w:val="20"/>
          <w:color w:val="auto"/>
        </w:rPr>
      </w:pPr>
      <w:r>
        <w:rPr>
          <w:rFonts w:ascii="Times New Roman" w:cs="Times New Roman" w:eastAsia="Times New Roman" w:hAnsi="Times New Roman"/>
          <w:sz w:val="20"/>
          <w:szCs w:val="20"/>
          <w:color w:val="auto"/>
        </w:rPr>
        <w:t>If additional capital is needed to complete the development and commercialization of nomlabofusp, and if we are unable to obtain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w:t>
      </w:r>
    </w:p>
    <w:p>
      <w:pPr>
        <w:spacing w:after="0" w:line="77" w:lineRule="exact"/>
        <w:rPr>
          <w:sz w:val="20"/>
          <w:szCs w:val="20"/>
          <w:color w:val="auto"/>
        </w:rPr>
      </w:pPr>
    </w:p>
    <w:p>
      <w:pPr>
        <w:jc w:val="both"/>
        <w:ind w:left="360" w:right="3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existing stockholders, restrict our operations or require us to relinquish rights to our technologies, nomlabofusp or other product candidates that we may develop, in-license or acquire in the future.</w:t>
      </w:r>
    </w:p>
    <w:p>
      <w:pPr>
        <w:spacing w:after="0" w:line="68" w:lineRule="exact"/>
        <w:rPr>
          <w:sz w:val="20"/>
          <w:szCs w:val="20"/>
          <w:color w:val="auto"/>
        </w:rPr>
      </w:pPr>
    </w:p>
    <w:p>
      <w:pPr>
        <w:ind w:left="360" w:right="400" w:firstLine="490"/>
        <w:spacing w:after="0" w:line="247" w:lineRule="auto"/>
        <w:rPr>
          <w:sz w:val="20"/>
          <w:szCs w:val="20"/>
          <w:color w:val="auto"/>
        </w:rPr>
      </w:pPr>
      <w:r>
        <w:rPr>
          <w:rFonts w:ascii="Times New Roman" w:cs="Times New Roman" w:eastAsia="Times New Roman" w:hAnsi="Times New Roman"/>
          <w:sz w:val="20"/>
          <w:szCs w:val="20"/>
          <w:color w:val="auto"/>
        </w:rPr>
        <w:t>We may seek additional capital through a combination of private or public equity offerings, debt financings, collaborations and licensing arrangements or other sources. To the extent we raise additional capital through the sale of equity or convertible debt securities, existing ownership interests will be diluted and the terms of such financings may include liquidation or other preferences that adversely affect the rights of existing stockholders. Debt or equity financings may be coupled with an additional equity component, such as warrants to purchase shares, which could also result in dilution of our existing stockholders' ownership.</w:t>
      </w:r>
    </w:p>
    <w:p>
      <w:pPr>
        <w:spacing w:after="0" w:line="80" w:lineRule="exact"/>
        <w:rPr>
          <w:sz w:val="20"/>
          <w:szCs w:val="20"/>
          <w:color w:val="auto"/>
        </w:rPr>
      </w:pPr>
    </w:p>
    <w:p>
      <w:pPr>
        <w:ind w:left="360" w:right="460" w:firstLine="490"/>
        <w:spacing w:after="0" w:line="252" w:lineRule="auto"/>
        <w:rPr>
          <w:sz w:val="20"/>
          <w:szCs w:val="20"/>
          <w:color w:val="auto"/>
        </w:rPr>
      </w:pPr>
      <w:r>
        <w:rPr>
          <w:rFonts w:ascii="Times New Roman" w:cs="Times New Roman" w:eastAsia="Times New Roman" w:hAnsi="Times New Roman"/>
          <w:sz w:val="20"/>
          <w:szCs w:val="20"/>
          <w:color w:val="auto"/>
        </w:rPr>
        <w:t>If we raise additional funds through strategic partnerships and alliances and licensing arrangements with third parties, we may have to relinquish valuable rights, including future revenue streams, to nomlabofusp or other product candidates that we may develop, in-license or acquire in the future, or grant licenses on terms that are not favorable to us.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NOLs and certain other tax attributes may be limited.</w:t>
      </w:r>
    </w:p>
    <w:p>
      <w:pPr>
        <w:spacing w:after="0" w:line="120" w:lineRule="exact"/>
        <w:rPr>
          <w:sz w:val="20"/>
          <w:szCs w:val="20"/>
          <w:color w:val="auto"/>
        </w:rPr>
      </w:pPr>
    </w:p>
    <w:p>
      <w:pPr>
        <w:jc w:val="both"/>
        <w:ind w:left="360" w:right="660" w:firstLine="490"/>
        <w:spacing w:after="0" w:line="262" w:lineRule="auto"/>
        <w:rPr>
          <w:sz w:val="20"/>
          <w:szCs w:val="20"/>
          <w:color w:val="auto"/>
        </w:rPr>
      </w:pPr>
      <w:r>
        <w:rPr>
          <w:rFonts w:ascii="Times New Roman" w:cs="Times New Roman" w:eastAsia="Times New Roman" w:hAnsi="Times New Roman"/>
          <w:sz w:val="19"/>
          <w:szCs w:val="19"/>
          <w:color w:val="auto"/>
        </w:rPr>
        <w:t>As of December 31, 2024 we had NOL carryforwards that expire for U.S. federal income tax purposes of $ $198.2 million, a portion of which begin to expire in 2026. Our NOLs could expire unused and be unavailable to offset future income tax liabilities because of their limited duration or because of restrictions under U.S. tax law.</w:t>
      </w:r>
    </w:p>
    <w:p>
      <w:pPr>
        <w:spacing w:after="0" w:line="2" w:lineRule="exact"/>
        <w:rPr>
          <w:sz w:val="20"/>
          <w:szCs w:val="20"/>
          <w:color w:val="auto"/>
        </w:rPr>
      </w:pPr>
    </w:p>
    <w:p>
      <w:pPr>
        <w:ind w:left="360" w:right="360"/>
        <w:spacing w:after="0" w:line="242" w:lineRule="auto"/>
        <w:rPr>
          <w:sz w:val="20"/>
          <w:szCs w:val="20"/>
          <w:color w:val="auto"/>
        </w:rPr>
      </w:pPr>
      <w:r>
        <w:rPr>
          <w:rFonts w:ascii="Times New Roman" w:cs="Times New Roman" w:eastAsia="Times New Roman" w:hAnsi="Times New Roman"/>
          <w:sz w:val="20"/>
          <w:szCs w:val="20"/>
          <w:color w:val="auto"/>
        </w:rPr>
        <w:t>NOLs generated in taxable years beginning before January 1, 2018 are permitted to be carried forward for 20 taxable years under applicable U.S. federal income tax law. Under current U.S. federal income tax law, NOLs arising in tax years beginning after December 31, 2020 may not be carried back. Moreover, NOLs generated in taxable years beginning after December 31, 2017 may be carried forward indefinitely. As of December 31, 2024, the Company</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960" w:h="17280" w:orient="portrait"/>
          <w:cols w:equalWidth="0" w:num="1">
            <w:col w:w="10080"/>
          </w:cols>
          <w:pgMar w:left="1440" w:top="1440" w:right="1440" w:bottom="895" w:gutter="0" w:footer="0" w:header="0"/>
          <w:type w:val="continuous"/>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500"/>
        <w:spacing w:after="0" w:line="277" w:lineRule="auto"/>
        <w:rPr>
          <w:sz w:val="20"/>
          <w:szCs w:val="20"/>
          <w:color w:val="auto"/>
        </w:rPr>
      </w:pPr>
      <w:r>
        <w:rPr>
          <w:rFonts w:ascii="Times New Roman" w:cs="Times New Roman" w:eastAsia="Times New Roman" w:hAnsi="Times New Roman"/>
          <w:sz w:val="20"/>
          <w:szCs w:val="20"/>
          <w:color w:val="auto"/>
        </w:rPr>
        <w:t>had federal net operating loss carryforwards that were generated after December 31, 2017 of $159.5 million that do not expire, however these carryforwards are limited to 80% of the taxable income in any one tax period.</w:t>
      </w:r>
    </w:p>
    <w:p>
      <w:pPr>
        <w:spacing w:after="0" w:line="49" w:lineRule="exact"/>
        <w:rPr>
          <w:sz w:val="20"/>
          <w:szCs w:val="20"/>
          <w:color w:val="auto"/>
        </w:rPr>
      </w:pPr>
    </w:p>
    <w:p>
      <w:pPr>
        <w:ind w:left="360" w:right="360" w:firstLine="490"/>
        <w:spacing w:after="0" w:line="243" w:lineRule="auto"/>
        <w:rPr>
          <w:sz w:val="20"/>
          <w:szCs w:val="20"/>
          <w:color w:val="auto"/>
        </w:rPr>
      </w:pPr>
      <w:r>
        <w:rPr>
          <w:rFonts w:ascii="Times New Roman" w:cs="Times New Roman" w:eastAsia="Times New Roman" w:hAnsi="Times New Roman"/>
          <w:sz w:val="20"/>
          <w:szCs w:val="20"/>
          <w:color w:val="auto"/>
        </w:rPr>
        <w:t>In general, under Section 382 of the Internal Revenue Code (the "Code") if a corporation undergoes an “ownership change,” generally defined as a greater than 50% change (by value) in its equity ownership over a three-year period, the corporation’s ability to use its pre-change NOLs and other pre-change tax attributes (such as capitalized research and development costs and research tax credits) to offset its post-change income may be limited. We believe that as a result of our merger with Zafgen, our ability to utilize NOLs acquired in the transaction and our other NOLs is expected to be severely limited by Section 382 of the Code. Additionally, our July 2021, September 2022 and February 2024 equity transactions could also limit our ability to utilize NOLs in the future. We may also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 and would adversely affect our business, financial condition and results of operations.</w:t>
      </w:r>
    </w:p>
    <w:p>
      <w:pPr>
        <w:spacing w:after="0" w:line="83" w:lineRule="exact"/>
        <w:rPr>
          <w:sz w:val="20"/>
          <w:szCs w:val="20"/>
          <w:color w:val="auto"/>
        </w:rPr>
      </w:pPr>
    </w:p>
    <w:p>
      <w:pPr>
        <w:ind w:left="360"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and regulations may have a material adverse effect on our business, financial condition and results of operations.</w:t>
      </w:r>
    </w:p>
    <w:p>
      <w:pPr>
        <w:spacing w:after="0" w:line="49" w:lineRule="exact"/>
        <w:rPr>
          <w:sz w:val="20"/>
          <w:szCs w:val="20"/>
          <w:color w:val="auto"/>
        </w:rPr>
      </w:pPr>
    </w:p>
    <w:p>
      <w:pPr>
        <w:ind w:left="360" w:right="420" w:firstLine="490"/>
        <w:spacing w:after="0" w:line="244" w:lineRule="auto"/>
        <w:rPr>
          <w:sz w:val="20"/>
          <w:szCs w:val="20"/>
          <w:color w:val="auto"/>
        </w:rPr>
      </w:pPr>
      <w:r>
        <w:rPr>
          <w:rFonts w:ascii="Times New Roman" w:cs="Times New Roman" w:eastAsia="Times New Roman" w:hAnsi="Times New Roman"/>
          <w:sz w:val="20"/>
          <w:szCs w:val="20"/>
          <w:color w:val="auto"/>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For example, under Section 174 of the code, in taxable years beginning after December 31, 2021, expenses that are incurred for research and development in the U.S. are capitalized and amortized, which may have an adverse effect on our cash flow. In addition, it is unclear how these U.S. federal income tax changes will affect state and local taxation. Generally, future changes in applicable U.S. tax laws and regulations, or their interpretation and application could have an adverse effect on our business, financial conditions and results of operations.</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Product Development and Regulatory Approvals</w:t>
      </w:r>
    </w:p>
    <w:p>
      <w:pPr>
        <w:spacing w:after="0" w:line="124" w:lineRule="exact"/>
        <w:rPr>
          <w:sz w:val="20"/>
          <w:szCs w:val="20"/>
          <w:color w:val="auto"/>
        </w:rPr>
      </w:pPr>
    </w:p>
    <w:p>
      <w:pPr>
        <w:ind w:left="360" w:right="5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success is currently dependent upon the success of our lead product candidate, nomlabofusp. We cannot be certain that we will ultimately be successful with our clinical development or that we will ever be able to obtain regulatory approval for nomlabofusp.</w:t>
      </w:r>
    </w:p>
    <w:p>
      <w:pPr>
        <w:spacing w:after="0" w:line="68" w:lineRule="exact"/>
        <w:rPr>
          <w:sz w:val="20"/>
          <w:szCs w:val="20"/>
          <w:color w:val="auto"/>
        </w:rPr>
      </w:pPr>
    </w:p>
    <w:p>
      <w:pPr>
        <w:ind w:left="360" w:right="440" w:firstLine="490"/>
        <w:spacing w:after="0" w:line="249" w:lineRule="auto"/>
        <w:rPr>
          <w:sz w:val="20"/>
          <w:szCs w:val="20"/>
          <w:color w:val="auto"/>
        </w:rPr>
      </w:pPr>
      <w:r>
        <w:rPr>
          <w:rFonts w:ascii="Times New Roman" w:cs="Times New Roman" w:eastAsia="Times New Roman" w:hAnsi="Times New Roman"/>
          <w:sz w:val="20"/>
          <w:szCs w:val="20"/>
          <w:color w:val="auto"/>
        </w:rPr>
        <w:t>We currently have no drug products for sale and our business is currently wholly dependent on our successful clinical development, regulatory approval and commercialization of nomlabofusp, our lead product candidate and our only product candidate in clinical development, for which we have completed two Phase 1 studies and a four-week, placebo-controlled Phase 2 dose exploration study. We have an ongoing Phase 2 OLE trial in patients with FA and an ongoing PK run-in study in adolescent patients with FA.</w:t>
      </w:r>
    </w:p>
    <w:p>
      <w:pPr>
        <w:spacing w:after="0" w:line="77" w:lineRule="exact"/>
        <w:rPr>
          <w:sz w:val="20"/>
          <w:szCs w:val="20"/>
          <w:color w:val="auto"/>
        </w:rPr>
      </w:pPr>
    </w:p>
    <w:p>
      <w:pPr>
        <w:ind w:left="360" w:right="360" w:firstLine="490"/>
        <w:spacing w:after="0" w:line="247" w:lineRule="auto"/>
        <w:rPr>
          <w:sz w:val="20"/>
          <w:szCs w:val="20"/>
          <w:color w:val="auto"/>
        </w:rPr>
      </w:pPr>
      <w:r>
        <w:rPr>
          <w:rFonts w:ascii="Times New Roman" w:cs="Times New Roman" w:eastAsia="Times New Roman" w:hAnsi="Times New Roman"/>
          <w:sz w:val="20"/>
          <w:szCs w:val="20"/>
          <w:color w:val="auto"/>
        </w:rPr>
        <w:t>In addition to the regulatory and manufacturing hurdles faced by our product candidate, the administration of a protein such as nomlabofusp may cause an immune response, resulting in the creation of antibodies directed against the protein. These anti-drug antibodies can have no effect or can neutralize the effectiveness of the protein or require that higher doses be used to obtain a therapeutic effect. Neutralizing antibodies may be detected at a later date or upon longer exposure periods and there can be no assurance that neutralizing antibodies will not be detected in the future.</w:t>
      </w:r>
    </w:p>
    <w:p>
      <w:pPr>
        <w:spacing w:after="0" w:line="80" w:lineRule="exact"/>
        <w:rPr>
          <w:sz w:val="20"/>
          <w:szCs w:val="20"/>
          <w:color w:val="auto"/>
        </w:rPr>
      </w:pPr>
    </w:p>
    <w:p>
      <w:pPr>
        <w:ind w:left="360" w:right="540" w:firstLine="490"/>
        <w:spacing w:after="0" w:line="247" w:lineRule="auto"/>
        <w:rPr>
          <w:sz w:val="20"/>
          <w:szCs w:val="20"/>
          <w:color w:val="auto"/>
        </w:rPr>
      </w:pPr>
      <w:r>
        <w:rPr>
          <w:rFonts w:ascii="Times New Roman" w:cs="Times New Roman" w:eastAsia="Times New Roman" w:hAnsi="Times New Roman"/>
          <w:sz w:val="20"/>
          <w:szCs w:val="20"/>
          <w:color w:val="auto"/>
        </w:rPr>
        <w:t>Additionally, while nomlabofusp was selected by the FDA for participation in its Support for clinical Trials Advancing Rare disease Therapeutics (START) Pilot Program, it is unknown whether participation in the program will accelerate the development of nomlabofusp and whether the FDA will continue investing its resources in this program. If our efforts to develop and commercialize nomlabofusp for the treatment of FA are unsuccessful, or we experience significant delays in doing so, our business could also be substantially harmed. The success of nomlabofusp will depend on several factors, including the following:</w:t>
      </w:r>
    </w:p>
    <w:p>
      <w:pPr>
        <w:spacing w:after="0" w:line="94" w:lineRule="exact"/>
        <w:rPr>
          <w:sz w:val="20"/>
          <w:szCs w:val="20"/>
          <w:color w:val="auto"/>
        </w:rPr>
      </w:pPr>
    </w:p>
    <w:p>
      <w:pPr>
        <w:ind w:left="1080" w:hanging="360"/>
        <w:spacing w:after="0"/>
        <w:tabs>
          <w:tab w:leader="none" w:pos="10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our IND with the FDA in order to continue to conduct clinical trials in the United States;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960" w:h="17280" w:orient="portrait"/>
          <w:cols w:equalWidth="0" w:num="1">
            <w:col w:w="10080"/>
          </w:cols>
          <w:pgMar w:left="1440" w:top="1440" w:right="1440" w:bottom="895" w:gutter="0" w:footer="0" w:header="0"/>
          <w:type w:val="continuous"/>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submitting a BLA for accelerated approval;</w:t>
      </w:r>
    </w:p>
    <w:p>
      <w:pPr>
        <w:spacing w:after="0" w:line="133" w:lineRule="exact"/>
        <w:rPr>
          <w:rFonts w:ascii="Arial" w:cs="Arial" w:eastAsia="Arial" w:hAnsi="Arial"/>
          <w:sz w:val="20"/>
          <w:szCs w:val="20"/>
          <w:color w:val="auto"/>
        </w:rPr>
      </w:pPr>
    </w:p>
    <w:p>
      <w:pPr>
        <w:ind w:left="1080" w:right="560" w:hanging="360"/>
        <w:spacing w:after="0" w:line="276"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recruiting, enrolling and retaining patients in and completing any clinical trials, if allowed to continue, including trials in pediatric patients;</w:t>
      </w:r>
    </w:p>
    <w:p>
      <w:pPr>
        <w:spacing w:after="0" w:line="64" w:lineRule="exact"/>
        <w:rPr>
          <w:rFonts w:ascii="Arial" w:cs="Arial" w:eastAsia="Arial" w:hAnsi="Arial"/>
          <w:sz w:val="20"/>
          <w:szCs w:val="20"/>
          <w:color w:val="auto"/>
        </w:rPr>
      </w:pPr>
    </w:p>
    <w:p>
      <w:pPr>
        <w:ind w:left="1080" w:right="520" w:hanging="360"/>
        <w:spacing w:after="0" w:line="276"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demonstrating long-term chronic daily dosing safety, tolerability and efficacy profiles that are satisfactory to the FDA, EMA and other comparable regulatory authorities for marketing approval;</w:t>
      </w:r>
    </w:p>
    <w:p>
      <w:pPr>
        <w:spacing w:after="0" w:line="64" w:lineRule="exact"/>
        <w:rPr>
          <w:rFonts w:ascii="Arial" w:cs="Arial" w:eastAsia="Arial" w:hAnsi="Arial"/>
          <w:sz w:val="20"/>
          <w:szCs w:val="20"/>
          <w:color w:val="auto"/>
        </w:rPr>
      </w:pPr>
    </w:p>
    <w:p>
      <w:pPr>
        <w:ind w:left="1080" w:right="700" w:hanging="360"/>
        <w:spacing w:after="0" w:line="276"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completing all necessary toxicology studies to support clinical development and regulatory approval for nomlabofusp;</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receiving timely marketing approvals from applicable regulatory authorities;</w:t>
      </w:r>
    </w:p>
    <w:p>
      <w:pPr>
        <w:spacing w:after="0" w:line="133" w:lineRule="exact"/>
        <w:rPr>
          <w:rFonts w:ascii="Arial" w:cs="Arial" w:eastAsia="Arial" w:hAnsi="Arial"/>
          <w:sz w:val="20"/>
          <w:szCs w:val="20"/>
          <w:color w:val="auto"/>
        </w:rPr>
      </w:pPr>
    </w:p>
    <w:p>
      <w:pPr>
        <w:ind w:left="1080" w:right="1160" w:hanging="360"/>
        <w:spacing w:after="0" w:line="276"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managing the extent and cost of any required post-marketing approval commitments to applicable regulatory authorities;</w:t>
      </w:r>
    </w:p>
    <w:p>
      <w:pPr>
        <w:spacing w:after="0" w:line="64" w:lineRule="exact"/>
        <w:rPr>
          <w:rFonts w:ascii="Arial" w:cs="Arial" w:eastAsia="Arial" w:hAnsi="Arial"/>
          <w:sz w:val="20"/>
          <w:szCs w:val="20"/>
          <w:color w:val="auto"/>
        </w:rPr>
      </w:pPr>
    </w:p>
    <w:p>
      <w:pPr>
        <w:ind w:left="1080" w:right="380" w:hanging="360"/>
        <w:spacing w:after="0" w:line="258"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and maintaining arrangements with third-party manufacturers for nomlabofusp, including developing, validating and maintaining a commercially viable manufacturing process that is compliant with cGMPs;</w:t>
      </w:r>
    </w:p>
    <w:p>
      <w:pPr>
        <w:spacing w:after="0" w:line="81" w:lineRule="exact"/>
        <w:rPr>
          <w:rFonts w:ascii="Arial" w:cs="Arial" w:eastAsia="Arial" w:hAnsi="Arial"/>
          <w:sz w:val="20"/>
          <w:szCs w:val="20"/>
          <w:color w:val="auto"/>
        </w:rPr>
      </w:pPr>
    </w:p>
    <w:p>
      <w:pPr>
        <w:ind w:left="1080" w:right="400" w:hanging="360"/>
        <w:spacing w:after="0" w:line="276"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developing, validating and implementing a potency control strategy acceptable to the FDA, EMA and other comparable regulatory authorities;</w:t>
      </w:r>
    </w:p>
    <w:p>
      <w:pPr>
        <w:spacing w:after="0" w:line="64" w:lineRule="exact"/>
        <w:rPr>
          <w:rFonts w:ascii="Arial" w:cs="Arial" w:eastAsia="Arial" w:hAnsi="Arial"/>
          <w:sz w:val="20"/>
          <w:szCs w:val="20"/>
          <w:color w:val="auto"/>
        </w:rPr>
      </w:pPr>
    </w:p>
    <w:p>
      <w:pPr>
        <w:ind w:left="1080" w:right="660" w:hanging="360"/>
        <w:spacing w:after="0" w:line="276"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and growing an organization of scientists and business people who can develop our product candidates and technology;</w:t>
      </w:r>
    </w:p>
    <w:p>
      <w:pPr>
        <w:spacing w:after="0" w:line="64" w:lineRule="exact"/>
        <w:rPr>
          <w:rFonts w:ascii="Arial" w:cs="Arial" w:eastAsia="Arial" w:hAnsi="Arial"/>
          <w:sz w:val="20"/>
          <w:szCs w:val="20"/>
          <w:color w:val="auto"/>
        </w:rPr>
      </w:pPr>
    </w:p>
    <w:p>
      <w:pPr>
        <w:ind w:left="1080" w:right="720" w:hanging="360"/>
        <w:spacing w:after="0" w:line="276"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maintaining and protecting our patents, trade secrets and regulatory exclusivity in the United States and other countries;</w:t>
      </w:r>
    </w:p>
    <w:p>
      <w:pPr>
        <w:spacing w:after="0" w:line="64" w:lineRule="exact"/>
        <w:rPr>
          <w:rFonts w:ascii="Arial" w:cs="Arial" w:eastAsia="Arial" w:hAnsi="Arial"/>
          <w:sz w:val="20"/>
          <w:szCs w:val="20"/>
          <w:color w:val="auto"/>
        </w:rPr>
      </w:pPr>
    </w:p>
    <w:p>
      <w:pPr>
        <w:ind w:left="1080" w:right="980" w:hanging="360"/>
        <w:spacing w:after="0" w:line="276"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launching commercial sales following any marketing approval, including establishing a specialty sales organization, or successfully partnering with another organization, if applicable;</w:t>
      </w:r>
    </w:p>
    <w:p>
      <w:pPr>
        <w:spacing w:after="0" w:line="64" w:lineRule="exact"/>
        <w:rPr>
          <w:rFonts w:ascii="Arial" w:cs="Arial" w:eastAsia="Arial" w:hAnsi="Arial"/>
          <w:sz w:val="20"/>
          <w:szCs w:val="20"/>
          <w:color w:val="auto"/>
        </w:rPr>
      </w:pPr>
    </w:p>
    <w:p>
      <w:pPr>
        <w:ind w:left="1080" w:right="1020" w:hanging="360"/>
        <w:spacing w:after="0" w:line="258" w:lineRule="auto"/>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commercial acceptance of our product candidates, if approved, by patients, the medical community and third-party payors and obtaining and maintaining healthcare coverage and adequate reimbursement;</w:t>
      </w:r>
    </w:p>
    <w:p>
      <w:pPr>
        <w:spacing w:after="0" w:line="81" w:lineRule="exact"/>
        <w:rPr>
          <w:rFonts w:ascii="Arial" w:cs="Arial" w:eastAsia="Arial" w:hAnsi="Arial"/>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an acceptable safety profile following any marketing approval; and</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competing with other therapies.</w:t>
      </w:r>
    </w:p>
    <w:p>
      <w:pPr>
        <w:spacing w:after="0" w:line="119" w:lineRule="exact"/>
        <w:rPr>
          <w:sz w:val="20"/>
          <w:szCs w:val="20"/>
          <w:color w:val="auto"/>
        </w:rPr>
      </w:pPr>
    </w:p>
    <w:p>
      <w:pPr>
        <w:ind w:left="360" w:right="400" w:firstLine="490"/>
        <w:spacing w:after="0" w:line="243" w:lineRule="auto"/>
        <w:rPr>
          <w:sz w:val="20"/>
          <w:szCs w:val="20"/>
          <w:color w:val="auto"/>
        </w:rPr>
      </w:pPr>
      <w:r>
        <w:rPr>
          <w:rFonts w:ascii="Times New Roman" w:cs="Times New Roman" w:eastAsia="Times New Roman" w:hAnsi="Times New Roman"/>
          <w:sz w:val="20"/>
          <w:szCs w:val="20"/>
          <w:color w:val="auto"/>
        </w:rPr>
        <w:t>Many of these factors are outside of our control, including the clinical development and regulatory approval processes, results of non-clinical and toxicology studies and clinical trials, potential threats to our intellectual property rights and the manufacturing, marketing and sales efforts, respectively. The process of obtaining regulatory approval is expensive and time consuming. The FDA and foreign regulatory authorities may never approve nomlabofusp for sale and marketing, and even if nomlabofusp is ultimately approved, regulatory approval may be delayed or limited in the United States or in other jurisdictions. Even if we are authorized to sell and market nomlabofusp in one or more markets, there is no assurance that we will be able to successfully market nomlabofusp or that nomlabofusp will achieve market acceptance sufficient to generate profits. If we are unable to successfully develop and commercialize nomlabofusp due to failure to obtain regulatory approval for nomlabofusp, to successfully market nomlabofusp, to generate profits from the sale of nomlabofusp, or due to other risk factors outlined in this report, it would have material adverse effects on our business, financial condition, and results of operations as nomlabofusp is currently our sole product candidate.</w:t>
      </w:r>
    </w:p>
    <w:p>
      <w:pPr>
        <w:spacing w:after="0" w:line="86" w:lineRule="exact"/>
        <w:rPr>
          <w:sz w:val="20"/>
          <w:szCs w:val="20"/>
          <w:color w:val="auto"/>
        </w:rPr>
      </w:pPr>
    </w:p>
    <w:p>
      <w:pPr>
        <w:ind w:left="360" w:right="3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spacing w:after="0" w:line="68" w:lineRule="exact"/>
        <w:rPr>
          <w:sz w:val="20"/>
          <w:szCs w:val="20"/>
          <w:color w:val="auto"/>
        </w:rPr>
      </w:pPr>
    </w:p>
    <w:p>
      <w:pPr>
        <w:ind w:left="360" w:right="500" w:firstLine="490"/>
        <w:spacing w:after="0" w:line="263" w:lineRule="auto"/>
        <w:rPr>
          <w:sz w:val="20"/>
          <w:szCs w:val="20"/>
          <w:color w:val="auto"/>
        </w:rPr>
      </w:pPr>
      <w:r>
        <w:rPr>
          <w:rFonts w:ascii="Times New Roman" w:cs="Times New Roman" w:eastAsia="Times New Roman" w:hAnsi="Times New Roman"/>
          <w:sz w:val="19"/>
          <w:szCs w:val="19"/>
          <w:color w:val="auto"/>
        </w:rPr>
        <w:t>Clinical development is expensive and can take many years to complete, and its outcome is inherently uncertain. We cannot guarantee that any non-clinical studies, toxicology studies or clinical trials will be conducted as planned or completed on schedule, if at all, and failure can occur at any time during the non-clinical study, toxicology study or clinical trial process. Despite promising non-clinical, toxicology or clinical results, any product candidate can unexpectedly fail at any stage of non-clinical, toxicology or clinical development. The historical failure rate for product candidates in our industry is high, especially for products in early stages of development.</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960" w:h="17280" w:orient="portrait"/>
          <w:cols w:equalWidth="0" w:num="1">
            <w:col w:w="10080"/>
          </w:cols>
          <w:pgMar w:left="1440" w:top="1440" w:right="1440" w:bottom="895"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80" w:firstLine="490"/>
        <w:spacing w:after="0" w:line="245" w:lineRule="auto"/>
        <w:rPr>
          <w:sz w:val="20"/>
          <w:szCs w:val="20"/>
          <w:color w:val="auto"/>
        </w:rPr>
      </w:pPr>
      <w:r>
        <w:rPr>
          <w:rFonts w:ascii="Times New Roman" w:cs="Times New Roman" w:eastAsia="Times New Roman" w:hAnsi="Times New Roman"/>
          <w:sz w:val="20"/>
          <w:szCs w:val="20"/>
          <w:color w:val="auto"/>
        </w:rPr>
        <w:t>The results from non-clinical studies, toxicology studies or clinical trials of a product candidate may not predict the results of later non-clinical or clinical trials of the product candidate, or in clinical trials with different patient populations such as children and adolescents and interim results of a clinical trial are not necessarily indicative of final results. Product candidates in later stages of clinical trials may fail to show the desired safety and efficacy characteristics despite having progressed through non-clinical studies and initial clinical trials. It is not uncommon to observe results in clinical trials that are unexpected based on non-clinical studies and early clinical trials, and many product candidates fail in clinical trials despite very promising early results. Favorable safety and efficacy outcomes in adult clinical trials may not be seen in pediatric clinical trials.</w:t>
      </w:r>
    </w:p>
    <w:p>
      <w:pPr>
        <w:spacing w:after="0" w:line="82" w:lineRule="exact"/>
        <w:rPr>
          <w:sz w:val="20"/>
          <w:szCs w:val="20"/>
          <w:color w:val="auto"/>
        </w:rPr>
      </w:pPr>
    </w:p>
    <w:p>
      <w:pPr>
        <w:ind w:left="360" w:right="500" w:firstLine="490"/>
        <w:spacing w:after="0" w:line="243" w:lineRule="auto"/>
        <w:rPr>
          <w:sz w:val="20"/>
          <w:szCs w:val="20"/>
          <w:color w:val="auto"/>
        </w:rPr>
      </w:pPr>
      <w:r>
        <w:rPr>
          <w:rFonts w:ascii="Times New Roman" w:cs="Times New Roman" w:eastAsia="Times New Roman" w:hAnsi="Times New Roman"/>
          <w:sz w:val="20"/>
          <w:szCs w:val="20"/>
          <w:color w:val="auto"/>
        </w:rPr>
        <w:t>Moreover, current and future non-clinical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we cannot provide assurance that we will be able to successfully progress any future non-clinical programs from candidate identification to Phase 1 clinical development. As is typical in candidate development, we have a program of toxicology studies in animals for nomlabofusp and cannot provide assurance that the findings from such studies or any ongoing or future clinical trials will not adversely affect the clinical development of nomlabofusp. For the foregoing reasons, we cannot be certain that our non-clinical studies and clinical trials will be successful. If non-clinical studies or clinical trials for nomlabofusp or any future product candidates or indications fail to demonstrate safety or efficacy to the satisfaction of the FDA or the equivalent regulatory authorities in other countries, the FDA or equivalent regulatory authority will not approve our product candidates in those and other indications, which could have a material adverse effect on our business, financial condition results of operations and prospects.</w:t>
      </w:r>
    </w:p>
    <w:p>
      <w:pPr>
        <w:spacing w:after="0" w:line="86" w:lineRule="exact"/>
        <w:rPr>
          <w:sz w:val="20"/>
          <w:szCs w:val="20"/>
          <w:color w:val="auto"/>
        </w:rPr>
      </w:pPr>
    </w:p>
    <w:p>
      <w:pPr>
        <w:ind w:left="360" w:right="420" w:firstLine="490"/>
        <w:spacing w:after="0" w:line="247" w:lineRule="auto"/>
        <w:rPr>
          <w:sz w:val="20"/>
          <w:szCs w:val="20"/>
          <w:color w:val="auto"/>
        </w:rPr>
      </w:pPr>
      <w:r>
        <w:rPr>
          <w:rFonts w:ascii="Times New Roman" w:cs="Times New Roman" w:eastAsia="Times New Roman" w:hAnsi="Times New Roman"/>
          <w:sz w:val="20"/>
          <w:szCs w:val="20"/>
          <w:color w:val="auto"/>
        </w:rPr>
        <w:t>We do not know whether any ongoing or future clinical trials for nomlabofusp will be completed on schedule, if at all, as the commencement and completion of clinical trials can be delayed, prevented or terminated for a number of reasons, including as a result of safety concerns, or ambiguous or negative interim results. In addition, a clinical trial may be suspended or terminated by us, the FDA, other regulatory authorities, IRBs or ethics committees, an independent data monitoring committee, or safety review committee, overseeing the clinical trial at issue or other regulatory authorities due to a number of factors, including, among others:</w:t>
      </w:r>
    </w:p>
    <w:p>
      <w:pPr>
        <w:spacing w:after="0" w:line="94" w:lineRule="exact"/>
        <w:rPr>
          <w:sz w:val="20"/>
          <w:szCs w:val="20"/>
          <w:color w:val="auto"/>
        </w:rPr>
      </w:pPr>
    </w:p>
    <w:p>
      <w:pPr>
        <w:ind w:left="1080" w:hanging="360"/>
        <w:spacing w:after="0"/>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conduct the clinical trial in accordance with regulatory requirements or our clinical protocols;</w:t>
      </w:r>
    </w:p>
    <w:p>
      <w:pPr>
        <w:spacing w:after="0" w:line="133" w:lineRule="exact"/>
        <w:rPr>
          <w:rFonts w:ascii="Arial" w:cs="Arial" w:eastAsia="Arial" w:hAnsi="Arial"/>
          <w:sz w:val="20"/>
          <w:szCs w:val="20"/>
          <w:color w:val="auto"/>
        </w:rPr>
      </w:pPr>
    </w:p>
    <w:p>
      <w:pPr>
        <w:ind w:left="1080" w:right="480" w:hanging="360"/>
        <w:spacing w:after="0" w:line="258" w:lineRule="auto"/>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inspection of the clinical trial operations or trial sites by the FDA, the EMA, or other applicable regulatory authorities that reveals deficiencies or violations that require us to undertake corrective action, including the imposition of a partial clinical hold or a full clinical hold;</w:t>
      </w:r>
    </w:p>
    <w:p>
      <w:pPr>
        <w:spacing w:after="0" w:line="81" w:lineRule="exact"/>
        <w:rPr>
          <w:rFonts w:ascii="Arial" w:cs="Arial" w:eastAsia="Arial" w:hAnsi="Arial"/>
          <w:sz w:val="20"/>
          <w:szCs w:val="20"/>
          <w:color w:val="auto"/>
        </w:rPr>
      </w:pPr>
    </w:p>
    <w:p>
      <w:pPr>
        <w:ind w:left="1080" w:right="700" w:hanging="360"/>
        <w:spacing w:after="0" w:line="276" w:lineRule="auto"/>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unforeseen safety issues, including any that could be identified in our prior or future toxicology studies, adverse events or lack of effectiveness;</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government regulations or administrative actions;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problems with clinical supply materials;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lack of adequate funding to continue the clinical trial;</w:t>
      </w:r>
    </w:p>
    <w:p>
      <w:pPr>
        <w:spacing w:after="0" w:line="133" w:lineRule="exact"/>
        <w:rPr>
          <w:rFonts w:ascii="Arial" w:cs="Arial" w:eastAsia="Arial" w:hAnsi="Arial"/>
          <w:sz w:val="20"/>
          <w:szCs w:val="20"/>
          <w:color w:val="auto"/>
        </w:rPr>
      </w:pPr>
    </w:p>
    <w:p>
      <w:pPr>
        <w:ind w:left="1080" w:right="360" w:hanging="360"/>
        <w:spacing w:after="0" w:line="249" w:lineRule="auto"/>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in recruiting and enrolling patients to participate in clinical trials, including the size and nature of the patient population, such as pediatric patients, the proximity of patients to clinical trial sites, eligibility criteria for the clinical trial, the nature of the clinical trial protocol, the availability of approved effective treatments for the relevant disease and competition from FDA-approved therapeutics for FA and other clinical trial programs for similar indications;</w:t>
      </w:r>
    </w:p>
    <w:p>
      <w:pPr>
        <w:spacing w:after="0" w:line="90" w:lineRule="exact"/>
        <w:rPr>
          <w:rFonts w:ascii="Arial" w:cs="Arial" w:eastAsia="Arial" w:hAnsi="Arial"/>
          <w:sz w:val="20"/>
          <w:szCs w:val="20"/>
          <w:color w:val="auto"/>
        </w:rPr>
      </w:pPr>
    </w:p>
    <w:p>
      <w:pPr>
        <w:ind w:left="1080" w:hanging="360"/>
        <w:spacing w:after="0"/>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retaining or recruiting clinical investigators in our ongoing or future clinical trials;</w:t>
      </w:r>
    </w:p>
    <w:p>
      <w:pPr>
        <w:spacing w:after="0" w:line="133" w:lineRule="exact"/>
        <w:rPr>
          <w:rFonts w:ascii="Arial" w:cs="Arial" w:eastAsia="Arial" w:hAnsi="Arial"/>
          <w:sz w:val="20"/>
          <w:szCs w:val="20"/>
          <w:color w:val="auto"/>
        </w:rPr>
      </w:pPr>
    </w:p>
    <w:p>
      <w:pPr>
        <w:jc w:val="both"/>
        <w:ind w:left="1080" w:right="820" w:hanging="360"/>
        <w:spacing w:after="0" w:line="258" w:lineRule="auto"/>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retaining patients who have enrolled in a clinical trial but may be prone to withdraw due to rigors of the clinical trial, perceived lack of efficacy, side effects, screening and monitoring measures, personal issues or loss of interest;</w:t>
      </w:r>
    </w:p>
    <w:p>
      <w:pPr>
        <w:spacing w:after="0" w:line="81" w:lineRule="exact"/>
        <w:rPr>
          <w:rFonts w:ascii="Arial" w:cs="Arial" w:eastAsia="Arial" w:hAnsi="Arial"/>
          <w:sz w:val="20"/>
          <w:szCs w:val="20"/>
          <w:color w:val="auto"/>
        </w:rPr>
      </w:pPr>
    </w:p>
    <w:p>
      <w:pPr>
        <w:ind w:left="1080" w:hanging="360"/>
        <w:spacing w:after="0"/>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severe, serious or unexpected drug-related adverse events experienced by patients in clinical trials;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unanticipated negative effects of chronic long-term daily patient dosing;</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960" w:h="17280" w:orient="portrait"/>
          <w:cols w:equalWidth="0" w:num="1">
            <w:col w:w="10080"/>
          </w:cols>
          <w:pgMar w:left="1440" w:top="1440" w:right="1440" w:bottom="895" w:gutter="0" w:footer="0" w:header="0"/>
          <w:type w:val="continuous"/>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80" w:right="460" w:hanging="360"/>
        <w:spacing w:after="0" w:line="258" w:lineRule="auto"/>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FDA, the EMA, or other applicable regulatory authorities may disagree with our clinical trial designs, our interpretation of data from clinical trials, or may change the requirements for approval even after it has reviewed and commented on the design for our clinical trials;</w:t>
      </w:r>
    </w:p>
    <w:p>
      <w:pPr>
        <w:spacing w:after="0" w:line="81" w:lineRule="exact"/>
        <w:rPr>
          <w:rFonts w:ascii="Arial" w:cs="Arial" w:eastAsia="Arial" w:hAnsi="Arial"/>
          <w:sz w:val="20"/>
          <w:szCs w:val="20"/>
          <w:color w:val="auto"/>
        </w:rPr>
      </w:pPr>
    </w:p>
    <w:p>
      <w:pPr>
        <w:ind w:left="1080" w:hanging="360"/>
        <w:spacing w:after="0"/>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clinical sites and subjects may deviate from trial protocol or drop out of a trial; and</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reports from non-clinical studies or clinical testing of other therapies that raise safety or efficacy concerns.</w:t>
      </w:r>
    </w:p>
    <w:p>
      <w:pPr>
        <w:spacing w:after="0" w:line="111" w:lineRule="exact"/>
        <w:rPr>
          <w:sz w:val="20"/>
          <w:szCs w:val="20"/>
          <w:color w:val="auto"/>
        </w:rPr>
      </w:pPr>
    </w:p>
    <w:p>
      <w:pPr>
        <w:ind w:left="360" w:right="46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Failures or delays in the completion of our clinical trials could result in increased costs and could delay, prevent or limit our ability to generate revenue and continue our business.</w:t>
      </w:r>
    </w:p>
    <w:p>
      <w:pPr>
        <w:spacing w:after="0" w:line="49" w:lineRule="exact"/>
        <w:rPr>
          <w:sz w:val="20"/>
          <w:szCs w:val="20"/>
          <w:color w:val="auto"/>
        </w:rPr>
      </w:pPr>
    </w:p>
    <w:p>
      <w:pPr>
        <w:ind w:left="360" w:right="380" w:firstLine="490"/>
        <w:spacing w:after="0" w:line="235" w:lineRule="auto"/>
        <w:rPr>
          <w:sz w:val="20"/>
          <w:szCs w:val="20"/>
          <w:color w:val="auto"/>
        </w:rPr>
      </w:pPr>
      <w:r>
        <w:rPr>
          <w:rFonts w:ascii="Times New Roman" w:cs="Times New Roman" w:eastAsia="Times New Roman" w:hAnsi="Times New Roman"/>
          <w:sz w:val="20"/>
          <w:szCs w:val="20"/>
          <w:color w:val="auto"/>
        </w:rPr>
        <w:t>For our lead product candidate nomlabofusp, we have completed two Phase 1 clinical trials in patients with FA and our four-week, placebo-controlled Phase 2 dose exploration study. We have an ongoing Phase 2 OLE trial in patients with FA and an ongoing run-in study in adolescent patients with FA. Our clinical trials may be delayed or terminated as a result of safety issues in non-clinical or clinical trials, ambiguous or negative interim results or events outside of our control. If future clinical trials of nomlabofusp fail or further delays occur in the United States and or other countries, we may not be able to develop and commercialize nomlabofusp and could fail to realize the potential advantages of doing so, and it could materially adversely affect our business, financial condition and results of operations.</w:t>
      </w:r>
    </w:p>
    <w:p>
      <w:pPr>
        <w:spacing w:after="0" w:line="82" w:lineRule="exact"/>
        <w:rPr>
          <w:sz w:val="20"/>
          <w:szCs w:val="20"/>
          <w:color w:val="auto"/>
        </w:rPr>
      </w:pPr>
    </w:p>
    <w:p>
      <w:pPr>
        <w:ind w:left="360" w:right="380" w:firstLine="490"/>
        <w:spacing w:after="0" w:line="233" w:lineRule="auto"/>
        <w:rPr>
          <w:sz w:val="20"/>
          <w:szCs w:val="20"/>
          <w:color w:val="auto"/>
        </w:rPr>
      </w:pPr>
      <w:r>
        <w:rPr>
          <w:rFonts w:ascii="Times New Roman" w:cs="Times New Roman" w:eastAsia="Times New Roman" w:hAnsi="Times New Roman"/>
          <w:sz w:val="20"/>
          <w:szCs w:val="20"/>
          <w:color w:val="auto"/>
        </w:rPr>
        <w:t>In addition, disruptions caused by future pandemic, epidemic or outbreak of an infectious disease, may increase the likelihood that we encounter such difficulties or delays in initiating, enrolling, conducting or completing our planned and ongoing clinical trials. Further, FA is a rare disease and as a result, there are a limited number of patients in close proximity to clinical trial sites and clinical trial patients may need to travel from other countries to the clinical trial sites in order to participate. In addition, given the limited number of FA patients, the approval of a competing therapy for the treatment of FA may make patients less likely to enroll in our clinical trials or less likely to be eligible for our clinical trials. 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identify, discover or acquire additional product candidates.</w:t>
      </w:r>
    </w:p>
    <w:p>
      <w:pPr>
        <w:spacing w:after="0" w:line="110" w:lineRule="exact"/>
        <w:rPr>
          <w:sz w:val="20"/>
          <w:szCs w:val="20"/>
          <w:color w:val="auto"/>
        </w:rPr>
      </w:pPr>
    </w:p>
    <w:p>
      <w:pPr>
        <w:ind w:left="360" w:right="440" w:firstLine="490"/>
        <w:spacing w:after="0" w:line="236" w:lineRule="auto"/>
        <w:rPr>
          <w:sz w:val="20"/>
          <w:szCs w:val="20"/>
          <w:color w:val="auto"/>
        </w:rPr>
      </w:pPr>
      <w:r>
        <w:rPr>
          <w:rFonts w:ascii="Times New Roman" w:cs="Times New Roman" w:eastAsia="Times New Roman" w:hAnsi="Times New Roman"/>
          <w:sz w:val="20"/>
          <w:szCs w:val="20"/>
          <w:color w:val="auto"/>
        </w:rPr>
        <w:t>We currently only have one product candidate nomlabofusp in clinical development, although we have other product candidates in pre-clinical development. Therefore, the success of our business largely depends upon our ability to identify, develop, in-license or acquire and commercialize products targeting rare diseases. We may focus our efforts and resources on potential programs or product candidates that ultimately prove to be unsuccessful. In addition,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80" w:lineRule="exact"/>
        <w:rPr>
          <w:sz w:val="20"/>
          <w:szCs w:val="20"/>
          <w:color w:val="auto"/>
        </w:rPr>
      </w:pPr>
    </w:p>
    <w:p>
      <w:pPr>
        <w:ind w:left="360" w:right="360" w:firstLine="490"/>
        <w:spacing w:after="0" w:line="239" w:lineRule="auto"/>
        <w:rPr>
          <w:sz w:val="20"/>
          <w:szCs w:val="20"/>
          <w:color w:val="auto"/>
        </w:rPr>
      </w:pPr>
      <w:r>
        <w:rPr>
          <w:rFonts w:ascii="Times New Roman" w:cs="Times New Roman" w:eastAsia="Times New Roman" w:hAnsi="Times New Roman"/>
          <w:sz w:val="20"/>
          <w:szCs w:val="20"/>
          <w:color w:val="auto"/>
        </w:rPr>
        <w:t>Research programs to identify new product candidates require substantial technical, financial and human resources. We may focus our efforts and resources on potential programs or product candidates that ultimately prove to be unsuccessful. If any of these events occur, we may be forced to abandon our development efforts for a program or programs, which would have a material adverse effect on our business, financial condition and results of operations.</w:t>
      </w:r>
    </w:p>
    <w:p>
      <w:pPr>
        <w:spacing w:after="0" w:line="77" w:lineRule="exact"/>
        <w:rPr>
          <w:sz w:val="20"/>
          <w:szCs w:val="20"/>
          <w:color w:val="auto"/>
        </w:rPr>
      </w:pPr>
    </w:p>
    <w:p>
      <w:pPr>
        <w:ind w:left="360" w:right="9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We have no marketed proprietary products and have not yet advanced a product candidate beyond Phase 2 clinical trials, which makes it difficult to assess our ability to develop nomlabofusp or any future product candidates and commercialize any resulting products independently.</w:t>
      </w:r>
    </w:p>
    <w:p>
      <w:pPr>
        <w:spacing w:after="0" w:line="68" w:lineRule="exact"/>
        <w:rPr>
          <w:sz w:val="20"/>
          <w:szCs w:val="20"/>
          <w:color w:val="auto"/>
        </w:rPr>
      </w:pPr>
    </w:p>
    <w:p>
      <w:pPr>
        <w:ind w:left="360" w:right="460" w:firstLine="490"/>
        <w:spacing w:after="0" w:line="237" w:lineRule="auto"/>
        <w:rPr>
          <w:sz w:val="20"/>
          <w:szCs w:val="20"/>
          <w:color w:val="auto"/>
        </w:rPr>
      </w:pPr>
      <w:r>
        <w:rPr>
          <w:rFonts w:ascii="Times New Roman" w:cs="Times New Roman" w:eastAsia="Times New Roman" w:hAnsi="Times New Roman"/>
          <w:sz w:val="20"/>
          <w:szCs w:val="20"/>
          <w:color w:val="auto"/>
        </w:rPr>
        <w:t>We have little experience in later stage clinical development, and related regulatory requirements or the commercialization of products. As a result, we have not yet demonstrated our ability to independently and repeatedly conduct clinical development after Phase 1, successfully conduct an international multi-center clinical trial, conduct a pivotal clinical trial, obtain regulatory approval, manufacture drug product on a commercial scale or arrange for a third party to do so on our behalf, and commercialize therapeutic products. We will need to develop such abilities if we are to execute on our business strategy to develop and independently commercialize product</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960" w:h="17280" w:orient="portrait"/>
          <w:cols w:equalWidth="0" w:num="1">
            <w:col w:w="10080"/>
          </w:cols>
          <w:pgMar w:left="1440" w:top="1440" w:right="1440" w:bottom="895" w:gutter="0" w:footer="0" w:header="0"/>
          <w:type w:val="continuous"/>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right="660"/>
        <w:spacing w:after="0" w:line="267" w:lineRule="auto"/>
        <w:rPr>
          <w:sz w:val="20"/>
          <w:szCs w:val="20"/>
          <w:color w:val="auto"/>
        </w:rPr>
      </w:pPr>
      <w:r>
        <w:rPr>
          <w:rFonts w:ascii="Times New Roman" w:cs="Times New Roman" w:eastAsia="Times New Roman" w:hAnsi="Times New Roman"/>
          <w:sz w:val="20"/>
          <w:szCs w:val="20"/>
          <w:color w:val="auto"/>
        </w:rPr>
        <w:t>candidates for orphan and niche indications. To execute on our business plan for the development of independent programs, we will need to successfully:</w:t>
      </w:r>
    </w:p>
    <w:p>
      <w:pPr>
        <w:spacing w:after="0" w:line="71" w:lineRule="exact"/>
        <w:rPr>
          <w:sz w:val="20"/>
          <w:szCs w:val="20"/>
          <w:color w:val="auto"/>
        </w:rPr>
      </w:pPr>
    </w:p>
    <w:p>
      <w:pPr>
        <w:ind w:left="1080" w:hanging="360"/>
        <w:spacing w:after="0"/>
        <w:tabs>
          <w:tab w:leader="none" w:pos="10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execute our clinical development plans for product candidates;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obtain required regulatory approvals in each jurisdiction in which we will seek to commercialize products;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build and maintain appropriate sales, distribution and marketing capabilities;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gain market acceptance, including reimbursement, for our future products, if any; and</w:t>
      </w:r>
    </w:p>
    <w:p>
      <w:pPr>
        <w:spacing w:after="0" w:line="133" w:lineRule="exact"/>
        <w:rPr>
          <w:rFonts w:ascii="Arial" w:cs="Arial" w:eastAsia="Arial" w:hAnsi="Arial"/>
          <w:sz w:val="20"/>
          <w:szCs w:val="20"/>
          <w:color w:val="auto"/>
        </w:rPr>
      </w:pPr>
    </w:p>
    <w:p>
      <w:pPr>
        <w:ind w:left="1080" w:right="1080" w:hanging="360"/>
        <w:spacing w:after="0" w:line="276" w:lineRule="auto"/>
        <w:tabs>
          <w:tab w:leader="none" w:pos="10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manage our spending as costs and expenses increase due to clinical trials, regulatory approvals and commercialization activities.</w:t>
      </w:r>
    </w:p>
    <w:p>
      <w:pPr>
        <w:spacing w:after="0" w:line="50" w:lineRule="exact"/>
        <w:rPr>
          <w:sz w:val="20"/>
          <w:szCs w:val="20"/>
          <w:color w:val="auto"/>
        </w:rPr>
      </w:pPr>
    </w:p>
    <w:p>
      <w:pPr>
        <w:jc w:val="both"/>
        <w:ind w:left="360" w:right="620" w:firstLine="490"/>
        <w:spacing w:after="0" w:line="258" w:lineRule="auto"/>
        <w:rPr>
          <w:sz w:val="20"/>
          <w:szCs w:val="20"/>
          <w:color w:val="auto"/>
        </w:rPr>
      </w:pPr>
      <w:r>
        <w:rPr>
          <w:rFonts w:ascii="Times New Roman" w:cs="Times New Roman" w:eastAsia="Times New Roman" w:hAnsi="Times New Roman"/>
          <w:sz w:val="20"/>
          <w:szCs w:val="20"/>
          <w:color w:val="auto"/>
        </w:rPr>
        <w:t>If we are unsuccessful in accomplishing these objectives, we will not be able to develop and commercialize any product candidates independently and could fail to realize the potential advantages of doing so, and it would materially adversely affect our business, financial condition and results of operations.</w:t>
      </w:r>
    </w:p>
    <w:p>
      <w:pPr>
        <w:spacing w:after="0" w:line="68" w:lineRule="exact"/>
        <w:rPr>
          <w:sz w:val="20"/>
          <w:szCs w:val="20"/>
          <w:color w:val="auto"/>
        </w:rPr>
      </w:pPr>
    </w:p>
    <w:p>
      <w:pPr>
        <w:ind w:left="360" w:right="7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cannot be certain that we will be able to successfully complete clinical trials for nomlabofusp or any other product candidates.</w:t>
      </w:r>
    </w:p>
    <w:p>
      <w:pPr>
        <w:spacing w:after="0" w:line="49" w:lineRule="exact"/>
        <w:rPr>
          <w:sz w:val="20"/>
          <w:szCs w:val="20"/>
          <w:color w:val="auto"/>
        </w:rPr>
      </w:pPr>
    </w:p>
    <w:p>
      <w:pPr>
        <w:ind w:left="360" w:right="360" w:firstLine="490"/>
        <w:spacing w:after="0" w:line="252" w:lineRule="auto"/>
        <w:rPr>
          <w:sz w:val="20"/>
          <w:szCs w:val="20"/>
          <w:color w:val="auto"/>
        </w:rPr>
      </w:pPr>
      <w:r>
        <w:rPr>
          <w:rFonts w:ascii="Times New Roman" w:cs="Times New Roman" w:eastAsia="Times New Roman" w:hAnsi="Times New Roman"/>
          <w:sz w:val="20"/>
          <w:szCs w:val="20"/>
          <w:color w:val="auto"/>
        </w:rPr>
        <w:t>We have advanced only one product candidate into clinical development, nomlabofusp. Our business currently depends primarily on nomlabofusp’s successful clinical development, regulatory approval and commercialization. We submitted our IND and it was accepted, permitting the conduct of clinical trials. We completed two Phase 1 and our four-week, placebo-controlled Phase 2 dose exploration study.</w:t>
      </w:r>
    </w:p>
    <w:p>
      <w:pPr>
        <w:spacing w:after="0" w:line="74" w:lineRule="exact"/>
        <w:rPr>
          <w:sz w:val="20"/>
          <w:szCs w:val="20"/>
          <w:color w:val="auto"/>
        </w:rPr>
      </w:pPr>
    </w:p>
    <w:p>
      <w:pPr>
        <w:ind w:left="360" w:right="560" w:firstLine="490"/>
        <w:spacing w:after="0" w:line="249" w:lineRule="auto"/>
        <w:rPr>
          <w:sz w:val="20"/>
          <w:szCs w:val="20"/>
          <w:color w:val="auto"/>
        </w:rPr>
      </w:pPr>
      <w:r>
        <w:rPr>
          <w:rFonts w:ascii="Times New Roman" w:cs="Times New Roman" w:eastAsia="Times New Roman" w:hAnsi="Times New Roman"/>
          <w:sz w:val="20"/>
          <w:szCs w:val="20"/>
          <w:color w:val="auto"/>
        </w:rPr>
        <w:t>In clinical development of any product candidate, the outcome of toxicology studies and early clinical trials may not be positive and may not be predictive of the success of later non-clinical studies or clinical trials. Adverse toxicology or safety results could lead to clinical holds or other developmental delays. Interim results of clinical trials do not necessarily predict success in those or future clinical trials. Success in adult clinical trials may not predict the outcome of pediatric clinical trials.</w:t>
      </w:r>
    </w:p>
    <w:p>
      <w:pPr>
        <w:spacing w:after="0" w:line="77" w:lineRule="exact"/>
        <w:rPr>
          <w:sz w:val="20"/>
          <w:szCs w:val="20"/>
          <w:color w:val="auto"/>
        </w:rPr>
      </w:pPr>
    </w:p>
    <w:p>
      <w:pPr>
        <w:ind w:left="360" w:right="360" w:firstLine="490"/>
        <w:spacing w:after="0" w:line="242" w:lineRule="auto"/>
        <w:rPr>
          <w:sz w:val="20"/>
          <w:szCs w:val="20"/>
          <w:color w:val="auto"/>
        </w:rPr>
      </w:pPr>
      <w:r>
        <w:rPr>
          <w:rFonts w:ascii="Times New Roman" w:cs="Times New Roman" w:eastAsia="Times New Roman" w:hAnsi="Times New Roman"/>
          <w:sz w:val="20"/>
          <w:szCs w:val="20"/>
          <w:color w:val="auto"/>
        </w:rPr>
        <w:t>Published clinical data or case reports from third parties or early clinical trial data of nomlabofusp or any future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or different patient populations, such as pediatric patients, may fail to show the desired safety or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different patient population, number of patients, patient selection criteria, trial duration, drug dosage and formulation and lack of statistical power. These uncertainties are enhanced where the diseases under study lack established clinical endpoints, validated measures of efficacy, as is often the case with orphan diseases for which no drugs have been developed previously and where the product candidates target novel mechanisms. For example, to our knowledge, nomlabofusp is the only protein replacement therapy being developed for the treatment of FA and therefore non-clinical studies may not be adequate to predict efficacy in a clinical trial due to our novel protein replacement therapy platform.</w:t>
      </w:r>
    </w:p>
    <w:p>
      <w:pPr>
        <w:spacing w:after="0" w:line="93" w:lineRule="exact"/>
        <w:rPr>
          <w:sz w:val="20"/>
          <w:szCs w:val="20"/>
          <w:color w:val="auto"/>
        </w:rPr>
      </w:pPr>
    </w:p>
    <w:p>
      <w:pPr>
        <w:ind w:left="360" w:right="480" w:firstLine="490"/>
        <w:spacing w:after="0" w:line="261" w:lineRule="auto"/>
        <w:rPr>
          <w:sz w:val="20"/>
          <w:szCs w:val="20"/>
          <w:color w:val="auto"/>
        </w:rPr>
      </w:pPr>
      <w:r>
        <w:rPr>
          <w:rFonts w:ascii="Times New Roman" w:cs="Times New Roman" w:eastAsia="Times New Roman" w:hAnsi="Times New Roman"/>
          <w:sz w:val="19"/>
          <w:szCs w:val="19"/>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such as pediatric patients, variability of the disease being studied, changes in and adherence to the dosing regimen and other clinical trial protocols and the rate of dropout among clinical trial participants. If we fail to ultimately receive positive results in clinical trials of nomlabofusp, the development timeline and regulatory approval and commercialization prospects for nomlabofusp, and, correspondingly, our business, financial prospects and results of operation would be negatively impacted.</w:t>
      </w:r>
    </w:p>
    <w:p>
      <w:pPr>
        <w:spacing w:after="0" w:line="67" w:lineRule="exact"/>
        <w:rPr>
          <w:sz w:val="20"/>
          <w:szCs w:val="20"/>
          <w:color w:val="auto"/>
        </w:rPr>
      </w:pPr>
    </w:p>
    <w:p>
      <w:pPr>
        <w:ind w:left="360" w:right="380" w:firstLine="490"/>
        <w:spacing w:after="0" w:line="263" w:lineRule="auto"/>
        <w:rPr>
          <w:sz w:val="20"/>
          <w:szCs w:val="20"/>
          <w:color w:val="auto"/>
        </w:rPr>
      </w:pPr>
      <w:r>
        <w:rPr>
          <w:rFonts w:ascii="Times New Roman" w:cs="Times New Roman" w:eastAsia="Times New Roman" w:hAnsi="Times New Roman"/>
          <w:sz w:val="19"/>
          <w:szCs w:val="19"/>
          <w:color w:val="auto"/>
        </w:rPr>
        <w:t>Further, nomlabofusp or any future product candidates may not be approved even if they achieve their primary endpoint in clinical trials. The FDA, EMA or foreign regulatory authorities may disagree with our trial design and our interpretation of data from non-clinical studies and clinical trials. In addition, FDA, EMA or foreign regulatory authorities may disagree with the extent of population exposure to assess clinical safety. Any of these regulatory authorities may change its requirements for the approval of a product candidate even after reviewing and providing comments or advice on a protocol for a pivotal clinical trial that, if successful, would potentially form the basis for</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960" w:h="17280" w:orient="portrait"/>
          <w:cols w:equalWidth="0" w:num="1">
            <w:col w:w="10080"/>
          </w:cols>
          <w:pgMar w:left="1440" w:top="1440" w:right="1440" w:bottom="895" w:gutter="0" w:footer="0" w:header="0"/>
          <w:type w:val="continuous"/>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80"/>
        <w:spacing w:after="0" w:line="244" w:lineRule="auto"/>
        <w:rPr>
          <w:sz w:val="20"/>
          <w:szCs w:val="20"/>
          <w:color w:val="auto"/>
        </w:rPr>
      </w:pPr>
      <w:r>
        <w:rPr>
          <w:rFonts w:ascii="Times New Roman" w:cs="Times New Roman" w:eastAsia="Times New Roman" w:hAnsi="Times New Roman"/>
          <w:sz w:val="20"/>
          <w:szCs w:val="20"/>
          <w:color w:val="auto"/>
        </w:rPr>
        <w:t>an application for approval by the FDA, EMA or another regulatory authority. Furthermore, any of these regulatory authorities may also approve nomlabofusp or any future product candidates for a narrower indication than we may request or may grant approval contingent on the performance of costly post-marketing clinical trials. The FDA and other comparable foreign authorities have substantial discretion in the approval process and determining when or whether regulatory approval will be granted for any product candidate that we develop and may decide that our data are insufficient for approval or require additional non-clinical, clinical, or other data.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86" w:lineRule="exact"/>
        <w:rPr>
          <w:sz w:val="20"/>
          <w:szCs w:val="20"/>
          <w:color w:val="auto"/>
        </w:rPr>
      </w:pPr>
    </w:p>
    <w:p>
      <w:pPr>
        <w:ind w:left="360" w:right="38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may experience difficulties identifying and enrolling patients in our clinical trials given the limited number of patients who have the disease for which nomlabofusp is being studied or for any other product candidate we may study in the future. Difficulty in enrolling patients could delay or prevent clinical trials of nomlabofusp or any future product candidate. There are also competing FA therapeutics, other competing studies and potentially other FA therapeutics that could be approved that may also limit the availability of prospective participants in nomlabofusp clinical trials.</w:t>
      </w:r>
    </w:p>
    <w:p>
      <w:pPr>
        <w:spacing w:after="0" w:line="80" w:lineRule="exact"/>
        <w:rPr>
          <w:sz w:val="20"/>
          <w:szCs w:val="20"/>
          <w:color w:val="auto"/>
        </w:rPr>
      </w:pPr>
    </w:p>
    <w:p>
      <w:pPr>
        <w:ind w:left="360" w:right="380" w:firstLine="490"/>
        <w:spacing w:after="0" w:line="252" w:lineRule="auto"/>
        <w:rPr>
          <w:sz w:val="20"/>
          <w:szCs w:val="20"/>
          <w:color w:val="auto"/>
        </w:rPr>
      </w:pPr>
      <w:r>
        <w:rPr>
          <w:rFonts w:ascii="Times New Roman" w:cs="Times New Roman" w:eastAsia="Times New Roman" w:hAnsi="Times New Roman"/>
          <w:sz w:val="20"/>
          <w:szCs w:val="20"/>
          <w:color w:val="auto"/>
        </w:rPr>
        <w:t>Identifying and qualifying patients to participate in clinical trials of nomlabofusp is critical to our success. The timing of our clinical trials depends in part on the speed at which we can recruit patients to participate in testing nomlabofusp, and we may experience delays in our clinical trials if we encounter difficulties in enrollment, such as difficulties with enrollment in pediatric clinical trials.</w:t>
      </w:r>
    </w:p>
    <w:p>
      <w:pPr>
        <w:spacing w:after="0" w:line="74" w:lineRule="exact"/>
        <w:rPr>
          <w:sz w:val="20"/>
          <w:szCs w:val="20"/>
          <w:color w:val="auto"/>
        </w:rPr>
      </w:pPr>
    </w:p>
    <w:p>
      <w:pPr>
        <w:ind w:left="360" w:right="360" w:firstLine="490"/>
        <w:spacing w:after="0" w:line="244" w:lineRule="auto"/>
        <w:rPr>
          <w:sz w:val="20"/>
          <w:szCs w:val="20"/>
          <w:color w:val="auto"/>
        </w:rPr>
      </w:pPr>
      <w:r>
        <w:rPr>
          <w:rFonts w:ascii="Times New Roman" w:cs="Times New Roman" w:eastAsia="Times New Roman" w:hAnsi="Times New Roman"/>
          <w:sz w:val="20"/>
          <w:szCs w:val="20"/>
          <w:color w:val="auto"/>
        </w:rPr>
        <w:t>The conditions for which we are planning to evaluate nomlabofusp and any product candidates we may evaluate in the future, are rare genetic diseases. Accordingly, there are limited patient pools from which to draw for clinical trials. Arranging for investigative sites and recruiting patients for clinical trials in this disease may be very difficult. The recent FDA approval of a product for the treatment of FA may impact our ability to enroll patients in our clinical trials as patients using other FA treatments may be excluded from participation in our nomlabofusp studies or may be less likely to participate in our nomlabofusp clinical trials due to the availability of another FA therapy. If other companies are studying their investigational products in Friedreich’s ataxia and/or if other companies have their products approved for the treatment of FA, it may be more difficult to enroll eligible patients into our clinical trials. Competing priorities at sites and participation of subjects in other studies may limit our ability to execute clinical trials in a timely fashion, if at all.</w:t>
      </w:r>
    </w:p>
    <w:p>
      <w:pPr>
        <w:spacing w:after="0" w:line="82" w:lineRule="exact"/>
        <w:rPr>
          <w:sz w:val="20"/>
          <w:szCs w:val="20"/>
          <w:color w:val="auto"/>
        </w:rPr>
      </w:pPr>
    </w:p>
    <w:p>
      <w:pPr>
        <w:ind w:left="360" w:right="400" w:firstLine="490"/>
        <w:spacing w:after="0" w:line="242" w:lineRule="auto"/>
        <w:rPr>
          <w:sz w:val="20"/>
          <w:szCs w:val="20"/>
          <w:color w:val="auto"/>
        </w:rPr>
      </w:pPr>
      <w:r>
        <w:rPr>
          <w:rFonts w:ascii="Times New Roman" w:cs="Times New Roman" w:eastAsia="Times New Roman" w:hAnsi="Times New Roman"/>
          <w:sz w:val="20"/>
          <w:szCs w:val="20"/>
          <w:color w:val="auto"/>
        </w:rPr>
        <w:t>In addition to the rarity of FA and other diseases that we are studying, the eligibility criteria of our clinical trials will further limit the pool of available study participants as it will require patients to have specific characteristics that we can measure to assure their disease is either severe enough or not too advanced to include them in a clinical trial. The process of finding and diagnosing patients may prove costly, especially since the diseases we are studying are rare.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approved and competing therapies and clinical trials can also adversely impact enrollment. Furthermore, our inability to enroll a sufficient number of patients for our clinical trials, including pediatric clinical trials, could result in significant delays or may require us to abandon one or more clinical trials altogether. Enrollment delays in our clinical trials may result in increased development costs for nomlabofusp or any future product candidates, and jeopardize our ability to achieve our clinical development timeline and goals, including the dates by which we will commence, complete and receive results from clinical trials. If patients are unwilling to participate in our trials for any reason, the timeline for recruiting patients, conducting trials, and obtaining regulatory approval of potential products may be delayed. Enrollment delays in our clinical trials may also jeopardize our ability to commence sales of and generate revenues from nomlabofusp, which could cause the value of our company to decline and limit our ability to obtain additional financing, if needed. Any of these occurrences may harm our business, financial condition, and prospects significantly.</w:t>
      </w:r>
    </w:p>
    <w:p>
      <w:pPr>
        <w:spacing w:after="0" w:line="84" w:lineRule="exact"/>
        <w:rPr>
          <w:sz w:val="20"/>
          <w:szCs w:val="20"/>
          <w:color w:val="auto"/>
        </w:rPr>
      </w:pPr>
    </w:p>
    <w:p>
      <w:pPr>
        <w:ind w:left="360" w:right="10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FA has no FDA-approved therapies that address frataxin deficiency, which is the underlying cause of the disease, and clinical endpoints required to obtain approval are not well defined.</w:t>
      </w:r>
    </w:p>
    <w:p>
      <w:pPr>
        <w:spacing w:after="0" w:line="49" w:lineRule="exact"/>
        <w:rPr>
          <w:sz w:val="20"/>
          <w:szCs w:val="20"/>
          <w:color w:val="auto"/>
        </w:rPr>
      </w:pPr>
    </w:p>
    <w:p>
      <w:pPr>
        <w:ind w:left="360" w:right="600" w:firstLine="490"/>
        <w:spacing w:after="0" w:line="278" w:lineRule="auto"/>
        <w:rPr>
          <w:sz w:val="20"/>
          <w:szCs w:val="20"/>
          <w:color w:val="auto"/>
        </w:rPr>
      </w:pPr>
      <w:r>
        <w:rPr>
          <w:rFonts w:ascii="Times New Roman" w:cs="Times New Roman" w:eastAsia="Times New Roman" w:hAnsi="Times New Roman"/>
          <w:sz w:val="19"/>
          <w:szCs w:val="19"/>
          <w:color w:val="auto"/>
        </w:rPr>
        <w:t>There are currently no FDA-approved products to treat FA that are designed to increase frataxin levels. We have concentrated our research and development efforts on developing a novel, FA therapy designed to address frataxin deficiency, which is the underlying cause of the disease, and our future success depends on the success of</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960" w:h="17280" w:orient="portrait"/>
          <w:cols w:equalWidth="0" w:num="1">
            <w:col w:w="10080"/>
          </w:cols>
          <w:pgMar w:left="1440" w:top="1440" w:right="1440" w:bottom="895"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500"/>
        <w:spacing w:after="0" w:line="258" w:lineRule="auto"/>
        <w:rPr>
          <w:sz w:val="20"/>
          <w:szCs w:val="20"/>
          <w:color w:val="auto"/>
        </w:rPr>
      </w:pPr>
      <w:r>
        <w:rPr>
          <w:rFonts w:ascii="Times New Roman" w:cs="Times New Roman" w:eastAsia="Times New Roman" w:hAnsi="Times New Roman"/>
          <w:sz w:val="20"/>
          <w:szCs w:val="20"/>
          <w:color w:val="auto"/>
        </w:rPr>
        <w:t>this therapeutic approach.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w:t>
      </w:r>
    </w:p>
    <w:p>
      <w:pPr>
        <w:spacing w:after="0" w:line="68" w:lineRule="exact"/>
        <w:rPr>
          <w:sz w:val="20"/>
          <w:szCs w:val="20"/>
          <w:color w:val="auto"/>
        </w:rPr>
      </w:pPr>
    </w:p>
    <w:p>
      <w:pPr>
        <w:ind w:left="360" w:right="400" w:firstLine="490"/>
        <w:spacing w:after="0" w:line="243" w:lineRule="auto"/>
        <w:rPr>
          <w:sz w:val="20"/>
          <w:szCs w:val="20"/>
          <w:color w:val="auto"/>
        </w:rPr>
      </w:pPr>
      <w:r>
        <w:rPr>
          <w:rFonts w:ascii="Times New Roman" w:cs="Times New Roman" w:eastAsia="Times New Roman" w:hAnsi="Times New Roman"/>
          <w:sz w:val="20"/>
          <w:szCs w:val="20"/>
          <w:color w:val="auto"/>
        </w:rPr>
        <w:t>We have had discussions with the FDA regarding the use of tissue FXN levels as a novel surrogate endpoint. The FDA acknowledged that frataxin deficiency appears to be critical to the pathogenic mechanism of FA, and that there continues to be an unmet need for treatments for FA patients that address the underlying disease pathophysiology. In March 2025, we announced that FDA stated in written correspondence associated with a meeting through the START pilot program that they are open to considering the use of FXN concentration as a reasonably likely surrogate endpoint ("RLSE") and the acceptability of FXN’s use as an RLSE would ultimately be a matter of review of the data in a future marketing application. We intend to pursue an accelerated approval using FXN levels, supportive PD and clinical information, and safety data from the OLE study, along with non-clinical pharmacology information needed to support the novel surrogate endpoint approach. We are beginning to plan for a confirmatory study and are targeting a BLA submission by the end of 2025. The FDA or other regulatory authorities may not agree with this approach.</w:t>
      </w:r>
    </w:p>
    <w:p>
      <w:pPr>
        <w:spacing w:after="0" w:line="88" w:lineRule="exact"/>
        <w:rPr>
          <w:sz w:val="20"/>
          <w:szCs w:val="20"/>
          <w:color w:val="auto"/>
        </w:rPr>
      </w:pPr>
    </w:p>
    <w:p>
      <w:pPr>
        <w:ind w:left="360" w:right="500" w:firstLine="490"/>
        <w:spacing w:after="0" w:line="245" w:lineRule="auto"/>
        <w:rPr>
          <w:sz w:val="20"/>
          <w:szCs w:val="20"/>
          <w:color w:val="auto"/>
        </w:rPr>
      </w:pPr>
      <w:r>
        <w:rPr>
          <w:rFonts w:ascii="Times New Roman" w:cs="Times New Roman" w:eastAsia="Times New Roman" w:hAnsi="Times New Roman"/>
          <w:sz w:val="20"/>
          <w:szCs w:val="20"/>
          <w:color w:val="auto"/>
        </w:rPr>
        <w:t>Regulatory authorities in the United States, the United Kingdom and the European Union have not issued definitive guidance as to how to measure and achieve efficacy in treatments for FA. As a result, the design and conduct of clinical trials of nomlabofusp may take longer, be more costly or be less effective as part of the novelty of development in FA. The FDA may not accept that the supportive PD and clinical information, and safety data from the OLE study, along with additional non-clinical pharmacology data we ultimately submit in our BLA, adequately supports the use of FXN levels as a novel surrogate endpoint. Even if the FDA supports the use of FXN levels as a novel surrogate endpoint, the FDA may not agree with the adequacy of the design of clinical trials intended to assess this novel surrogate endpoint.</w:t>
      </w:r>
    </w:p>
    <w:p>
      <w:pPr>
        <w:spacing w:after="0" w:line="82" w:lineRule="exact"/>
        <w:rPr>
          <w:sz w:val="20"/>
          <w:szCs w:val="20"/>
          <w:color w:val="auto"/>
        </w:rPr>
      </w:pPr>
    </w:p>
    <w:p>
      <w:pPr>
        <w:jc w:val="both"/>
        <w:ind w:left="360" w:right="680" w:firstLine="490"/>
        <w:spacing w:after="0" w:line="258" w:lineRule="auto"/>
        <w:rPr>
          <w:sz w:val="20"/>
          <w:szCs w:val="20"/>
          <w:color w:val="auto"/>
        </w:rPr>
      </w:pPr>
      <w:r>
        <w:rPr>
          <w:rFonts w:ascii="Times New Roman" w:cs="Times New Roman" w:eastAsia="Times New Roman" w:hAnsi="Times New Roman"/>
          <w:sz w:val="20"/>
          <w:szCs w:val="20"/>
          <w:color w:val="auto"/>
        </w:rPr>
        <w:t>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68" w:lineRule="exact"/>
        <w:rPr>
          <w:sz w:val="20"/>
          <w:szCs w:val="20"/>
          <w:color w:val="auto"/>
        </w:rPr>
      </w:pPr>
    </w:p>
    <w:p>
      <w:pPr>
        <w:jc w:val="both"/>
        <w:ind w:left="360" w:right="66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Nomlabofusp, including the effects of long-term daily patient dosing, may cause adverse events or undesirable side effects in clinical trials that could delay or prevent its regulatory approval, limit the commercial profile of approved labeling, or result in significant negative consequences following regulatory approval, if any.</w:t>
      </w:r>
    </w:p>
    <w:p>
      <w:pPr>
        <w:spacing w:after="0" w:line="51" w:lineRule="exact"/>
        <w:rPr>
          <w:sz w:val="20"/>
          <w:szCs w:val="20"/>
          <w:color w:val="auto"/>
        </w:rPr>
      </w:pPr>
    </w:p>
    <w:p>
      <w:pPr>
        <w:ind w:left="360" w:right="440" w:firstLine="490"/>
        <w:spacing w:after="0" w:line="242" w:lineRule="auto"/>
        <w:rPr>
          <w:sz w:val="20"/>
          <w:szCs w:val="20"/>
          <w:color w:val="auto"/>
        </w:rPr>
      </w:pPr>
      <w:r>
        <w:rPr>
          <w:rFonts w:ascii="Times New Roman" w:cs="Times New Roman" w:eastAsia="Times New Roman" w:hAnsi="Times New Roman"/>
          <w:sz w:val="20"/>
          <w:szCs w:val="20"/>
          <w:color w:val="auto"/>
        </w:rPr>
        <w:t>Any adverse events or undesirable side effects caused by, or other unexpected properties of, nomlabofusp in non-clinical or clinical studies could cause us, any future collaborators, an IRB or ethics committee or regulatory authorities to interrupt, delay or halt clinical trials of our product candidate and could result in a more restrictive label or the delay or denial of regulatory approval by the FDA or other regulatory authorities. It is possible that as we progress nomlabofusp through clinical trials and toxicology studies, or as the use of nomlabofusp becomes more widespread if it receives regulatory approval, illnesses, injuries, discomforts and other adverse events that were not observed in earlier trials, as well as conditions that did not occur or went undetected in previous trials, may be reported by patients. For example, recently our Safety Monitoring Team deemed anaphylaxis as an adverse drug reaction likely associated with nomlabofusp. To reduce the risk of allergic reactions, including anaphylaxis, we amended the OLE protocol to administer premedication for the first month of dosing. If such side effects become known or their incidence increases later in development or after approval, such findings may harm our business, financial condition and prospects significantly. Further, if a serious safety issue is identified in connection with the use of nomlabofusp commercially or in third-party clinical trials elsewhere, such issues may adversely affect the development potential of nomlabofusp elsewhere or result in regulatory authorities restricting our ability to develop or commercialize nomlabofusp, if approved.</w:t>
      </w:r>
    </w:p>
    <w:p>
      <w:pPr>
        <w:spacing w:after="0" w:line="91" w:lineRule="exact"/>
        <w:rPr>
          <w:sz w:val="20"/>
          <w:szCs w:val="20"/>
          <w:color w:val="auto"/>
        </w:rPr>
      </w:pPr>
    </w:p>
    <w:p>
      <w:pPr>
        <w:ind w:left="360" w:right="460" w:firstLine="490"/>
        <w:spacing w:after="0" w:line="258" w:lineRule="auto"/>
        <w:rPr>
          <w:sz w:val="20"/>
          <w:szCs w:val="20"/>
          <w:color w:val="auto"/>
        </w:rPr>
      </w:pPr>
      <w:r>
        <w:rPr>
          <w:rFonts w:ascii="Times New Roman" w:cs="Times New Roman" w:eastAsia="Times New Roman" w:hAnsi="Times New Roman"/>
          <w:sz w:val="20"/>
          <w:szCs w:val="20"/>
          <w:color w:val="auto"/>
        </w:rPr>
        <w:t>Further, if nomlabofusp were to receive marketing approval and we or others identify undesirable side effects caused by the product (or any other product) after the approval, a number of potentially significant negative consequences could result, including:</w:t>
      </w:r>
    </w:p>
    <w:p>
      <w:pPr>
        <w:spacing w:after="0" w:line="83" w:lineRule="exact"/>
        <w:rPr>
          <w:sz w:val="20"/>
          <w:szCs w:val="20"/>
          <w:color w:val="auto"/>
        </w:rPr>
      </w:pPr>
    </w:p>
    <w:p>
      <w:pPr>
        <w:ind w:left="1080" w:right="480" w:hanging="360"/>
        <w:spacing w:after="0" w:line="276"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request that we recall or withdraw the product from the market or may limit the approval of the product through labeling or other means;</w:t>
      </w:r>
    </w:p>
    <w:p>
      <w:pPr>
        <w:spacing w:after="0" w:line="64" w:lineRule="exact"/>
        <w:rPr>
          <w:rFonts w:ascii="Arial" w:cs="Arial" w:eastAsia="Arial" w:hAnsi="Arial"/>
          <w:sz w:val="20"/>
          <w:szCs w:val="20"/>
          <w:color w:val="auto"/>
        </w:rPr>
      </w:pPr>
    </w:p>
    <w:p>
      <w:pPr>
        <w:ind w:left="1080" w:right="860" w:hanging="360"/>
        <w:spacing w:after="0" w:line="276" w:lineRule="auto"/>
        <w:tabs>
          <w:tab w:leader="none" w:pos="10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require the addition of labeling statements, such as a “boxed” warning or a contraindication or a precaution, or labeling restrictions based on patient population;</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960" w:h="17280" w:orient="portrait"/>
          <w:cols w:equalWidth="0" w:num="1">
            <w:col w:w="10080"/>
          </w:cols>
          <w:pgMar w:left="1440" w:top="1440" w:right="1440" w:bottom="895" w:gutter="0" w:footer="0" w:header="0"/>
          <w:type w:val="continuous"/>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80" w:right="1000" w:hanging="360"/>
        <w:spacing w:after="0" w:line="276" w:lineRule="auto"/>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change the way the product is distributed or administered, conduct additional clinical trials or change the labeling of the product;</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may decide to recall or remove the product from the marketplace;</w:t>
      </w:r>
    </w:p>
    <w:p>
      <w:pPr>
        <w:spacing w:after="0" w:line="133" w:lineRule="exact"/>
        <w:rPr>
          <w:rFonts w:ascii="Arial" w:cs="Arial" w:eastAsia="Arial" w:hAnsi="Arial"/>
          <w:sz w:val="20"/>
          <w:szCs w:val="20"/>
          <w:color w:val="auto"/>
        </w:rPr>
      </w:pPr>
    </w:p>
    <w:p>
      <w:pPr>
        <w:ind w:left="1080" w:right="1300" w:hanging="360"/>
        <w:spacing w:after="0" w:line="276" w:lineRule="auto"/>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sued or held liable for injury caused to individuals exposed to or taking our product candidates;</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required to conduct expensive post-marketing studies;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could lose our commercial market opportunity and our revenues could decrease substantially;</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damage to the public perception of the safety of nomlabofusp; and</w:t>
      </w:r>
    </w:p>
    <w:p>
      <w:pPr>
        <w:spacing w:after="0" w:line="133" w:lineRule="exact"/>
        <w:rPr>
          <w:rFonts w:ascii="Arial" w:cs="Arial" w:eastAsia="Arial" w:hAnsi="Arial"/>
          <w:sz w:val="20"/>
          <w:szCs w:val="20"/>
          <w:color w:val="auto"/>
        </w:rPr>
      </w:pPr>
    </w:p>
    <w:p>
      <w:pPr>
        <w:ind w:left="1080" w:right="700" w:hanging="360"/>
        <w:spacing w:after="0" w:line="276" w:lineRule="auto"/>
        <w:tabs>
          <w:tab w:leader="none" w:pos="10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our reputation may suffer and physicians or patients might be less likely to use our product or may refer patients to products produced by our competitors.</w:t>
      </w:r>
    </w:p>
    <w:p>
      <w:pPr>
        <w:spacing w:after="0" w:line="50" w:lineRule="exact"/>
        <w:rPr>
          <w:sz w:val="20"/>
          <w:szCs w:val="20"/>
          <w:color w:val="auto"/>
        </w:rPr>
      </w:pPr>
    </w:p>
    <w:p>
      <w:pPr>
        <w:ind w:left="360" w:right="380" w:firstLine="490"/>
        <w:spacing w:after="0" w:line="246"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 In addition, the patient populations under investigation with nomlabofusp have many co-morbidities that may cause severe illness or death unrelated to our product candidate, which may be attributed to nomlabofusp in a manner that negatively affects the safety profile of our product candidate.</w:t>
      </w:r>
    </w:p>
    <w:p>
      <w:pPr>
        <w:spacing w:after="0" w:line="80" w:lineRule="exact"/>
        <w:rPr>
          <w:sz w:val="20"/>
          <w:szCs w:val="20"/>
          <w:color w:val="auto"/>
        </w:rPr>
      </w:pPr>
    </w:p>
    <w:p>
      <w:pPr>
        <w:jc w:val="both"/>
        <w:ind w:left="360" w:right="5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68" w:lineRule="exact"/>
        <w:rPr>
          <w:sz w:val="20"/>
          <w:szCs w:val="20"/>
          <w:color w:val="auto"/>
        </w:rPr>
      </w:pPr>
    </w:p>
    <w:p>
      <w:pPr>
        <w:ind w:left="360" w:right="380" w:firstLine="490"/>
        <w:spacing w:after="0" w:line="245" w:lineRule="auto"/>
        <w:rPr>
          <w:sz w:val="20"/>
          <w:szCs w:val="20"/>
          <w:color w:val="auto"/>
        </w:rPr>
      </w:pPr>
      <w:r>
        <w:rPr>
          <w:rFonts w:ascii="Times New Roman" w:cs="Times New Roman" w:eastAsia="Times New Roman" w:hAnsi="Times New Roman"/>
          <w:sz w:val="20"/>
          <w:szCs w:val="20"/>
          <w:color w:val="auto"/>
        </w:rPr>
        <w:t>From time to time, we may publish interim, preliminary or “top-line”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interim, preliminary or “top-line” data and final data could significantly harm our business, financial condition, results of operations and prospects.</w:t>
      </w:r>
    </w:p>
    <w:p>
      <w:pPr>
        <w:spacing w:after="0" w:line="100" w:lineRule="exact"/>
        <w:rPr>
          <w:sz w:val="20"/>
          <w:szCs w:val="20"/>
          <w:color w:val="auto"/>
        </w:rPr>
      </w:pPr>
    </w:p>
    <w:p>
      <w:pPr>
        <w:ind w:left="360" w:right="8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approach to discover and develop fusion proteins for delivering proteins is novel and may never lead to marketable products.</w:t>
      </w:r>
    </w:p>
    <w:p>
      <w:pPr>
        <w:spacing w:after="0" w:line="49" w:lineRule="exact"/>
        <w:rPr>
          <w:sz w:val="20"/>
          <w:szCs w:val="20"/>
          <w:color w:val="auto"/>
        </w:rPr>
      </w:pPr>
    </w:p>
    <w:p>
      <w:pPr>
        <w:ind w:left="360" w:right="460" w:firstLine="490"/>
        <w:spacing w:after="0" w:line="252" w:lineRule="auto"/>
        <w:rPr>
          <w:sz w:val="20"/>
          <w:szCs w:val="20"/>
          <w:color w:val="auto"/>
        </w:rPr>
      </w:pPr>
      <w:r>
        <w:rPr>
          <w:rFonts w:ascii="Times New Roman" w:cs="Times New Roman" w:eastAsia="Times New Roman" w:hAnsi="Times New Roman"/>
          <w:sz w:val="20"/>
          <w:szCs w:val="20"/>
          <w:color w:val="auto"/>
        </w:rPr>
        <w:t>We have concentrated our efforts and research and development activities on delivering proteins (FXN or other) to intracellular targets. Our future success depends on the successful development and manufacturing of such therapeutics and the effectiveness of our platform. The scientific discoveries that form the basis for our research are relatively new.</w:t>
      </w:r>
    </w:p>
    <w:p>
      <w:pPr>
        <w:spacing w:after="0" w:line="74" w:lineRule="exact"/>
        <w:rPr>
          <w:sz w:val="20"/>
          <w:szCs w:val="20"/>
          <w:color w:val="auto"/>
        </w:rPr>
      </w:pPr>
    </w:p>
    <w:p>
      <w:pPr>
        <w:ind w:left="360" w:right="400" w:firstLine="490"/>
        <w:spacing w:after="0" w:line="258" w:lineRule="auto"/>
        <w:rPr>
          <w:sz w:val="20"/>
          <w:szCs w:val="20"/>
          <w:color w:val="auto"/>
        </w:rPr>
      </w:pPr>
      <w:r>
        <w:rPr>
          <w:rFonts w:ascii="Times New Roman" w:cs="Times New Roman" w:eastAsia="Times New Roman" w:hAnsi="Times New Roman"/>
          <w:sz w:val="20"/>
          <w:szCs w:val="20"/>
          <w:color w:val="auto"/>
        </w:rPr>
        <w:t>Nomlabofusp uses a novel and unproven approach and mechanism to treat FA and therefore its efficacy and safety are difficult to predict, and there is no guarantee that nomlabofusp will be approved by the FDA, the EMA, or any other regulatory authorities.</w:t>
      </w:r>
    </w:p>
    <w:p>
      <w:pPr>
        <w:spacing w:after="0" w:line="68" w:lineRule="exact"/>
        <w:rPr>
          <w:sz w:val="20"/>
          <w:szCs w:val="20"/>
          <w:color w:val="auto"/>
        </w:rPr>
      </w:pPr>
    </w:p>
    <w:p>
      <w:pPr>
        <w:ind w:left="360" w:right="440" w:firstLine="490"/>
        <w:spacing w:after="0" w:line="249" w:lineRule="auto"/>
        <w:rPr>
          <w:sz w:val="20"/>
          <w:szCs w:val="20"/>
          <w:color w:val="auto"/>
        </w:rPr>
      </w:pPr>
      <w:r>
        <w:rPr>
          <w:rFonts w:ascii="Times New Roman" w:cs="Times New Roman" w:eastAsia="Times New Roman" w:hAnsi="Times New Roman"/>
          <w:sz w:val="20"/>
          <w:szCs w:val="20"/>
          <w:color w:val="auto"/>
        </w:rPr>
        <w:t>If nomlabofusp proves to be ineffective, unsafe or commercially unviable, it is possible that our platform and pipeline would have little, if any, value, which would substantially harm our business, financial condition, results of operations and prospects. In addition, our approach may expose us to additional financial risks and make it more difficult to raise additional capital than other, more advanced proven technologies, which would materially adversely affect our business, financial condition and results of operations.</w:t>
      </w:r>
    </w:p>
    <w:p>
      <w:pPr>
        <w:spacing w:after="0" w:line="58" w:lineRule="exact"/>
        <w:rPr>
          <w:sz w:val="20"/>
          <w:szCs w:val="20"/>
          <w:color w:val="auto"/>
        </w:rPr>
      </w:pPr>
    </w:p>
    <w:p>
      <w:pPr>
        <w:jc w:val="both"/>
        <w:ind w:left="360" w:right="140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Protein replacement therapies are novel, complex and difficult to manufacture. We could experience manufacturing problems that result in delays in the development or commercialization of our protein replacement therapy platform or product candidates or otherwise harm our business.</w:t>
      </w:r>
    </w:p>
    <w:p>
      <w:pPr>
        <w:spacing w:after="0" w:line="81" w:lineRule="exact"/>
        <w:rPr>
          <w:sz w:val="20"/>
          <w:szCs w:val="20"/>
          <w:color w:val="auto"/>
        </w:rPr>
      </w:pPr>
    </w:p>
    <w:p>
      <w:pPr>
        <w:ind w:left="360" w:right="500" w:firstLine="490"/>
        <w:spacing w:after="0" w:line="258" w:lineRule="auto"/>
        <w:rPr>
          <w:sz w:val="20"/>
          <w:szCs w:val="20"/>
          <w:color w:val="auto"/>
        </w:rPr>
      </w:pPr>
      <w:r>
        <w:rPr>
          <w:rFonts w:ascii="Times New Roman" w:cs="Times New Roman" w:eastAsia="Times New Roman" w:hAnsi="Times New Roman"/>
          <w:sz w:val="20"/>
          <w:szCs w:val="20"/>
          <w:color w:val="auto"/>
        </w:rPr>
        <w:t>The manufacture of fusion proteins, such as nomlabofusp and any fusion protein candidates, is technically complex and necessitates substantial expertise and capital investment. Production difficulties caused by unforeseen events may delay the availability of material for clinical trials and commercial products for nomlabofusp or any</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960" w:h="17280" w:orient="portrait"/>
          <w:cols w:equalWidth="0" w:num="1">
            <w:col w:w="10080"/>
          </w:cols>
          <w:pgMar w:left="1440" w:top="1440" w:right="1440" w:bottom="895"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560"/>
        <w:spacing w:after="0" w:line="252" w:lineRule="auto"/>
        <w:rPr>
          <w:sz w:val="20"/>
          <w:szCs w:val="20"/>
          <w:color w:val="auto"/>
        </w:rPr>
      </w:pPr>
      <w:r>
        <w:rPr>
          <w:rFonts w:ascii="Times New Roman" w:cs="Times New Roman" w:eastAsia="Times New Roman" w:hAnsi="Times New Roman"/>
          <w:sz w:val="20"/>
          <w:szCs w:val="20"/>
          <w:color w:val="auto"/>
        </w:rPr>
        <w:t>fusion protein product that may receive regulatory approval in the future. Additionally, because biologic products are complex, the manufacture of such products and product candidates is more difficult and costly. We may not be able to have such products reliably manufactured in accordance with the applicable regulatory requirements in sufficient quantities to support our development programs and, if ultimately approved, commercial supply.</w:t>
      </w:r>
    </w:p>
    <w:p>
      <w:pPr>
        <w:spacing w:after="0" w:line="74" w:lineRule="exact"/>
        <w:rPr>
          <w:sz w:val="20"/>
          <w:szCs w:val="20"/>
          <w:color w:val="auto"/>
        </w:rPr>
      </w:pPr>
    </w:p>
    <w:p>
      <w:pPr>
        <w:ind w:left="360" w:right="420" w:firstLine="490"/>
        <w:spacing w:after="0" w:line="245" w:lineRule="auto"/>
        <w:rPr>
          <w:sz w:val="20"/>
          <w:szCs w:val="20"/>
          <w:color w:val="auto"/>
        </w:rPr>
      </w:pPr>
      <w:r>
        <w:rPr>
          <w:rFonts w:ascii="Times New Roman" w:cs="Times New Roman" w:eastAsia="Times New Roman" w:hAnsi="Times New Roman"/>
          <w:sz w:val="20"/>
          <w:szCs w:val="20"/>
          <w:color w:val="auto"/>
        </w:rPr>
        <w:t>There are a limited number of contract manufacturers who specialize in the manufacture of biologic products and those that do may still be developing appropriate processes, controls and facilities for large-scale production. While we believe that there will be sufficient sources of supply that can satisfy our clinical and commercial requirements, we cannot be certain that we will be able to identify and establish additional relationships with such sources, if necessary, in a timely manner or at all, and what the terms and costs of such new arrangements would be, or that such suppliers would be able to supply our potential commercial needs. Furthermore, in the event our primary manufacturer cannot meet our needs, any switch to an alternative manufacturer, if available, would result in a significant delay, would require FDA approval, and cause material additional costs.</w:t>
      </w:r>
    </w:p>
    <w:p>
      <w:pPr>
        <w:spacing w:after="0" w:line="82" w:lineRule="exact"/>
        <w:rPr>
          <w:sz w:val="20"/>
          <w:szCs w:val="20"/>
          <w:color w:val="auto"/>
        </w:rPr>
      </w:pPr>
    </w:p>
    <w:p>
      <w:pPr>
        <w:ind w:left="360" w:right="360" w:firstLine="490"/>
        <w:spacing w:after="0" w:line="243" w:lineRule="auto"/>
        <w:rPr>
          <w:sz w:val="20"/>
          <w:szCs w:val="20"/>
          <w:color w:val="auto"/>
        </w:rPr>
      </w:pPr>
      <w:r>
        <w:rPr>
          <w:rFonts w:ascii="Times New Roman" w:cs="Times New Roman" w:eastAsia="Times New Roman" w:hAnsi="Times New Roman"/>
          <w:sz w:val="20"/>
          <w:szCs w:val="20"/>
          <w:color w:val="auto"/>
        </w:rPr>
        <w:t>As further described in these risk factors, the manufacturers of biologic products must comply with strictly enforced cGMP requirements, state and federal regulations, as well as foreign requirements when applicable. Any failure by us or our contract manufacturing organizations to adhere to or document compliance to such regulatory requirements could lead to a delay or interruption in the availability of our program materials for clinical trials or commercial use, among other consequences. If we or our manufacturers fail to comply with the FDA, EMA, or other regulatory authorities, it could result in sanctions being imposed on us, including fines, injunctions, civil penalties, delays, suspension or withdrawal of approvals, clinical holds or termination of clinical trials, Form 483s,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 candidates and our business, financial conditions and results of operations could be materially adversely affected.</w:t>
      </w:r>
    </w:p>
    <w:p>
      <w:pPr>
        <w:spacing w:after="0" w:line="86" w:lineRule="exact"/>
        <w:rPr>
          <w:sz w:val="20"/>
          <w:szCs w:val="20"/>
          <w:color w:val="auto"/>
        </w:rPr>
      </w:pPr>
    </w:p>
    <w:p>
      <w:pPr>
        <w:jc w:val="both"/>
        <w:ind w:left="360" w:right="460" w:firstLine="490"/>
        <w:spacing w:after="0" w:line="258" w:lineRule="auto"/>
        <w:rPr>
          <w:sz w:val="20"/>
          <w:szCs w:val="20"/>
          <w:color w:val="auto"/>
        </w:rPr>
      </w:pPr>
      <w:r>
        <w:rPr>
          <w:rFonts w:ascii="Times New Roman" w:cs="Times New Roman" w:eastAsia="Times New Roman" w:hAnsi="Times New Roman"/>
          <w:sz w:val="20"/>
          <w:szCs w:val="20"/>
          <w:color w:val="auto"/>
        </w:rPr>
        <w:t>Our current dependence upon others for the manufacture of our product candidates may also adversely affect our business, results of operations, financial condition, and our ability to commercialize any product candidates that receive regulatory approval on a timely and competitive basis.</w:t>
      </w:r>
    </w:p>
    <w:p>
      <w:pPr>
        <w:spacing w:after="0" w:line="50" w:lineRule="exact"/>
        <w:rPr>
          <w:sz w:val="20"/>
          <w:szCs w:val="20"/>
          <w:color w:val="auto"/>
        </w:rPr>
      </w:pPr>
    </w:p>
    <w:p>
      <w:pPr>
        <w:jc w:val="both"/>
        <w:ind w:left="360" w:right="104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Fast track designation by the FDA or any future expedited program designations may not lead to a faster development, regulatory review or approval process and it does not increase the likelihood that any of our product candidates will receive marketing approval.</w:t>
      </w:r>
    </w:p>
    <w:p>
      <w:pPr>
        <w:spacing w:after="0" w:line="81" w:lineRule="exact"/>
        <w:rPr>
          <w:sz w:val="20"/>
          <w:szCs w:val="20"/>
          <w:color w:val="auto"/>
        </w:rPr>
      </w:pPr>
    </w:p>
    <w:p>
      <w:pPr>
        <w:ind w:left="360" w:right="400" w:firstLine="490"/>
        <w:spacing w:after="0" w:line="242" w:lineRule="auto"/>
        <w:rPr>
          <w:sz w:val="20"/>
          <w:szCs w:val="20"/>
          <w:color w:val="auto"/>
        </w:rPr>
      </w:pPr>
      <w:r>
        <w:rPr>
          <w:rFonts w:ascii="Times New Roman" w:cs="Times New Roman" w:eastAsia="Times New Roman" w:hAnsi="Times New Roman"/>
          <w:sz w:val="20"/>
          <w:szCs w:val="20"/>
          <w:color w:val="auto"/>
        </w:rPr>
        <w:t>We have received fast track therapy designation for nomlabofusp for the treatment of FA. We may, in the future, apply for other expedited program designations from the FDA (such as breakthrough therapy) for nomlabofusp or future product candidates. Designation for these programs is within the discretion of the FDA. Accordingly, even if we believe nomlabofusp or a future product candidate meets the criteria for designation, the FDA may disagree. The receipt of a designation may not result in a faster development process, review or approval compared to products considered for approval without these expedited program designations and, in any event, does not assure ultimate approval by the FDA. In addition, even though nomlabofusp has obtained fast track designation, the FDA may later decide that it no longer meets the criteria for designation and revoke it. Approval of other therapies for the treatment Friedreich’s ataxia could negatively impact our continued fast track therapy designation for nomlabofusp for the treatment of FA. In addition, if we apply to the FDA for other designations for nomlabofusp or future product candidates, the FDA might not grant such designations. If we apply for any similar programs in foreign countries for nomlabofusp or future product candidates, those designations also might not be granted by the regulatory authorities of those countries. Any of the above could adversely affect our business, financial condition and results of operations.</w:t>
      </w:r>
    </w:p>
    <w:p>
      <w:pPr>
        <w:spacing w:after="0" w:line="93" w:lineRule="exact"/>
        <w:rPr>
          <w:sz w:val="20"/>
          <w:szCs w:val="20"/>
          <w:color w:val="auto"/>
        </w:rPr>
      </w:pPr>
    </w:p>
    <w:p>
      <w:pPr>
        <w:ind w:left="360" w:right="40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intend to pursue accelerated approval from FDA for nomlabofusp for the treatment of Friedreich’s ataxia, however this may not lead to a faster development or regulatory review or approval process and does not increase the likelihood that we will receive marketing approval. If we are unable to obtain approval under an accelerated pathway, we may be required to conduct additional clinical trials beyond those that we contemplate, which could increase the expense of obtaining, reduce the likelihood of obtaining, and/or delay the timing of obtaining, necessary marketing approvals.</w:t>
      </w:r>
    </w:p>
    <w:p>
      <w:pPr>
        <w:spacing w:after="0" w:line="80" w:lineRule="exact"/>
        <w:rPr>
          <w:sz w:val="20"/>
          <w:szCs w:val="20"/>
          <w:color w:val="auto"/>
        </w:rPr>
      </w:pPr>
    </w:p>
    <w:p>
      <w:pPr>
        <w:jc w:val="both"/>
        <w:ind w:left="360" w:right="520" w:firstLine="490"/>
        <w:spacing w:after="0" w:line="258" w:lineRule="auto"/>
        <w:rPr>
          <w:sz w:val="20"/>
          <w:szCs w:val="20"/>
          <w:color w:val="auto"/>
        </w:rPr>
      </w:pPr>
      <w:r>
        <w:rPr>
          <w:rFonts w:ascii="Times New Roman" w:cs="Times New Roman" w:eastAsia="Times New Roman" w:hAnsi="Times New Roman"/>
          <w:sz w:val="20"/>
          <w:szCs w:val="20"/>
          <w:color w:val="auto"/>
        </w:rPr>
        <w:t>We intend to pursue an accelerated approval from FDA for nomlabofusp for the treatment of FA using FXN concentrations as a surrogate endpoint, supportive pharmacodynamic and clinical information and safety data from the OLE study, along with non-clinical pharmacology information needed to support our surrogate biomarker</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960" w:h="17280" w:orient="portrait"/>
          <w:cols w:equalWidth="0" w:num="1">
            <w:col w:w="10080"/>
          </w:cols>
          <w:pgMar w:left="1440" w:top="1440" w:right="1440" w:bottom="895"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80"/>
        <w:spacing w:after="0" w:line="242" w:lineRule="auto"/>
        <w:rPr>
          <w:sz w:val="20"/>
          <w:szCs w:val="20"/>
          <w:color w:val="auto"/>
        </w:rPr>
      </w:pPr>
      <w:r>
        <w:rPr>
          <w:rFonts w:ascii="Times New Roman" w:cs="Times New Roman" w:eastAsia="Times New Roman" w:hAnsi="Times New Roman"/>
          <w:sz w:val="20"/>
          <w:szCs w:val="20"/>
          <w:color w:val="auto"/>
        </w:rPr>
        <w:t>approach. Under the FDA’s accelerated approval program, the FDA may approve a drug or biologic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stated in written correspondence associated with a meeting through the START pilot program that they are open to considering the use of FXN concentration as an RLSE and the acceptability of FXN’s use as an RLSE would ultimately be a matter of review of the data. There can be no assurance that data we intend to generate will be successful in establishing that increases in FXN concentrations are reasonably likely to predict clinical benefit or that increases in FXN concentrations due to treatment with nomlabofusp meet the legal standards to support approval of a marketing application. In addition, non-clinical pharmacology and clinical studies may not provide adequate information or may fail to support the predictive value of increases in FXN and, therefore, its ability to serve as a surrogate endpoint, or may fail to support that increases in FXN are the result of treatment with nomlabofusp. Even if these evidentiary requirements are met, we may not be able to accrue adequate exposures to assess clinical safety or expedite the scale up of manufacturing or meet other CMC requirements in a timeframe commensurate with the expedited assessment of clinical efficacy.</w:t>
      </w:r>
    </w:p>
    <w:p>
      <w:pPr>
        <w:spacing w:after="0" w:line="89" w:lineRule="exact"/>
        <w:rPr>
          <w:sz w:val="20"/>
          <w:szCs w:val="20"/>
          <w:color w:val="auto"/>
        </w:rPr>
      </w:pPr>
    </w:p>
    <w:p>
      <w:pPr>
        <w:ind w:left="360" w:right="420" w:firstLine="490"/>
        <w:spacing w:after="0" w:line="247" w:lineRule="auto"/>
        <w:rPr>
          <w:sz w:val="20"/>
          <w:szCs w:val="20"/>
          <w:color w:val="auto"/>
        </w:rPr>
      </w:pPr>
      <w:r>
        <w:rPr>
          <w:rFonts w:ascii="Times New Roman" w:cs="Times New Roman" w:eastAsia="Times New Roman" w:hAnsi="Times New Roman"/>
          <w:sz w:val="20"/>
          <w:szCs w:val="20"/>
          <w:color w:val="auto"/>
        </w:rPr>
        <w:t>Approval of other therapies for the treatment of FA, including the approval of omaveloxolone for the treatment of FA, could negatively impact our ability to utilize the accelerated approval pathway, and/or get approval for nomlabofusp. For drugs or biologics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w:t>
      </w:r>
    </w:p>
    <w:p>
      <w:pPr>
        <w:spacing w:after="0" w:line="80" w:lineRule="exact"/>
        <w:rPr>
          <w:sz w:val="20"/>
          <w:szCs w:val="20"/>
          <w:color w:val="auto"/>
        </w:rPr>
      </w:pPr>
    </w:p>
    <w:p>
      <w:pPr>
        <w:ind w:left="360" w:right="380" w:firstLine="490"/>
        <w:spacing w:after="0" w:line="277" w:lineRule="auto"/>
        <w:rPr>
          <w:sz w:val="20"/>
          <w:szCs w:val="20"/>
          <w:color w:val="auto"/>
        </w:rPr>
      </w:pPr>
      <w:r>
        <w:rPr>
          <w:rFonts w:ascii="Times New Roman" w:cs="Times New Roman" w:eastAsia="Times New Roman" w:hAnsi="Times New Roman"/>
          <w:sz w:val="20"/>
          <w:szCs w:val="20"/>
          <w:color w:val="auto"/>
        </w:rPr>
        <w:t>Moreover, the FDA may withdraw approval of any product candidate approved under the accelerated approval pathway if, for example:</w:t>
      </w:r>
    </w:p>
    <w:p>
      <w:pPr>
        <w:spacing w:after="0" w:line="81" w:lineRule="exact"/>
        <w:rPr>
          <w:sz w:val="20"/>
          <w:szCs w:val="20"/>
          <w:color w:val="auto"/>
        </w:rPr>
      </w:pPr>
    </w:p>
    <w:p>
      <w:pPr>
        <w:ind w:left="1220" w:right="760" w:hanging="370"/>
        <w:spacing w:after="0" w:line="258" w:lineRule="auto"/>
        <w:tabs>
          <w:tab w:leader="none" w:pos="12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trial or trials required to verify the predicted clinical benefit of the product candidate fail to verify such benefit or do not demonstrate sufficient clinical benefit to justify the risks associated with such product;</w:t>
      </w:r>
    </w:p>
    <w:p>
      <w:pPr>
        <w:spacing w:after="0" w:line="81" w:lineRule="exact"/>
        <w:rPr>
          <w:rFonts w:ascii="Arial" w:cs="Arial" w:eastAsia="Arial" w:hAnsi="Arial"/>
          <w:sz w:val="20"/>
          <w:szCs w:val="20"/>
          <w:color w:val="auto"/>
        </w:rPr>
      </w:pPr>
    </w:p>
    <w:p>
      <w:pPr>
        <w:ind w:left="1220" w:right="820" w:hanging="370"/>
        <w:spacing w:after="0" w:line="276" w:lineRule="auto"/>
        <w:tabs>
          <w:tab w:leader="none" w:pos="12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other evidence demonstrates that the product candidate is not shown to be safe or effective under the conditions of use;</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we fail to conduct any required post-approval trial of our product candidate with due diligence; or</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we disseminate false or misleading promotional materials relating to the relevant product candidate.</w:t>
      </w:r>
    </w:p>
    <w:p>
      <w:pPr>
        <w:spacing w:after="0" w:line="129" w:lineRule="exact"/>
        <w:rPr>
          <w:sz w:val="20"/>
          <w:szCs w:val="20"/>
          <w:color w:val="auto"/>
        </w:rPr>
      </w:pPr>
    </w:p>
    <w:p>
      <w:pPr>
        <w:ind w:left="360" w:right="400" w:firstLine="490"/>
        <w:spacing w:after="0" w:line="233" w:lineRule="auto"/>
        <w:rPr>
          <w:sz w:val="20"/>
          <w:szCs w:val="20"/>
          <w:color w:val="auto"/>
        </w:rPr>
      </w:pPr>
      <w:r>
        <w:rPr>
          <w:rFonts w:ascii="Times New Roman" w:cs="Times New Roman" w:eastAsia="Times New Roman" w:hAnsi="Times New Roman"/>
          <w:sz w:val="20"/>
          <w:szCs w:val="20"/>
          <w:color w:val="auto"/>
        </w:rPr>
        <w:t>In addition, the FDA may terminate the accelerated approval program or change the standards under which accelerated approvals are considered and granted in response to public pressure or other concerns regarding the accelerated approval program. Changes to or termination of the accelerated approval program could prevent or limit our ability to obtain accelerated approval of any of our clinical development programs. Recently, the accelerated approval pathway has come under scrutiny within the FDA and by Congress. The FDA has put increased focus on ensuring that confirmatory studies are conducted with diligence and, ultimately, that such studies confirm the benefit. In addition, the Food and Drug Omnibus Reform Act (“FDORA”), included provisions related to the accelerated approval pathway. Pursuant to FDORA, the FDA is authorized to require, as appropriate, that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also gives the FDA increased authority to withdraw approval of a drug or biologic granted accelerated approval on an expedited basis if the sponsor fails to verify the drug or biologic’s predicted clinical benefit. FDORA enables the FDA to initiate enforcement action for a sponsor's failure to conduct with due diligence a required post-approval study, including a failure to meet any required conditions specified by the FDA or to submit timely reports.</w:t>
      </w:r>
    </w:p>
    <w:p>
      <w:pPr>
        <w:spacing w:after="0" w:line="89" w:lineRule="exact"/>
        <w:rPr>
          <w:sz w:val="20"/>
          <w:szCs w:val="20"/>
          <w:color w:val="auto"/>
        </w:rPr>
      </w:pPr>
    </w:p>
    <w:p>
      <w:pPr>
        <w:ind w:left="360" w:right="68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orphan drug designation or other regulatory exclusivity for nomlabofusp or obtain such exclusivity for any of our other product candidates in the future, our competitive position would be harmed.</w:t>
      </w:r>
    </w:p>
    <w:p>
      <w:pPr>
        <w:spacing w:after="0" w:line="49" w:lineRule="exact"/>
        <w:rPr>
          <w:sz w:val="20"/>
          <w:szCs w:val="20"/>
          <w:color w:val="auto"/>
        </w:rPr>
      </w:pPr>
    </w:p>
    <w:p>
      <w:pPr>
        <w:ind w:left="360" w:right="360" w:firstLine="490"/>
        <w:spacing w:after="0" w:line="242" w:lineRule="auto"/>
        <w:rPr>
          <w:sz w:val="20"/>
          <w:szCs w:val="20"/>
          <w:color w:val="auto"/>
        </w:rPr>
      </w:pPr>
      <w:r>
        <w:rPr>
          <w:rFonts w:ascii="Times New Roman" w:cs="Times New Roman" w:eastAsia="Times New Roman" w:hAnsi="Times New Roman"/>
          <w:sz w:val="20"/>
          <w:szCs w:val="20"/>
          <w:color w:val="auto"/>
        </w:rPr>
        <w:t>We received orphan drug designation from the FDA for nomlabofusp for the treatment of FA in July 2017. In the United States, orphan drug designation entitles a party to financial incentives such as tax advantages and user-fee waivers. In addition, if a product candidate that has orphan drug designation subsequently receives the first FDA approval for the disease for which it has such designation, the product is entitled to orphan drug exclusivity, which</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960" w:h="17280" w:orient="portrait"/>
          <w:cols w:equalWidth="0" w:num="1">
            <w:col w:w="10080"/>
          </w:cols>
          <w:pgMar w:left="1440" w:top="1440" w:right="1440" w:bottom="895" w:gutter="0" w:footer="0" w:header="0"/>
          <w:type w:val="continuous"/>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right="580"/>
        <w:spacing w:after="0" w:line="236" w:lineRule="auto"/>
        <w:rPr>
          <w:sz w:val="20"/>
          <w:szCs w:val="20"/>
          <w:color w:val="auto"/>
        </w:rPr>
      </w:pPr>
      <w:r>
        <w:rPr>
          <w:rFonts w:ascii="Times New Roman" w:cs="Times New Roman" w:eastAsia="Times New Roman" w:hAnsi="Times New Roman"/>
          <w:sz w:val="20"/>
          <w:szCs w:val="20"/>
          <w:color w:val="auto"/>
        </w:rPr>
        <w:t>means that the FDA may not approve any other applications, including an NDA or BLA, to market the same drug for the same disease or condition for seven years, except in limited circumstances, including if the FDA concludes that the later drug is clinically superior to the approved drug. A drug is clinically superior if it is safer, more effective, or makes a major contribution to patient care. In the case of a biological product, whether a drug is the same drug is based on the principal molecular structural features of the product. Orphan drug designation neither shortens the development time or regulatory review time of a drug nor gives the drug any advantage in the regulatory review or approval process.</w:t>
      </w:r>
    </w:p>
    <w:p>
      <w:pPr>
        <w:spacing w:after="0" w:line="88" w:lineRule="exact"/>
        <w:rPr>
          <w:sz w:val="20"/>
          <w:szCs w:val="20"/>
          <w:color w:val="auto"/>
        </w:rPr>
      </w:pPr>
    </w:p>
    <w:p>
      <w:pPr>
        <w:jc w:val="both"/>
        <w:ind w:left="360" w:right="440" w:firstLine="490"/>
        <w:spacing w:after="0" w:line="262" w:lineRule="auto"/>
        <w:rPr>
          <w:sz w:val="20"/>
          <w:szCs w:val="20"/>
          <w:color w:val="auto"/>
        </w:rPr>
      </w:pPr>
      <w:r>
        <w:rPr>
          <w:rFonts w:ascii="Times New Roman" w:cs="Times New Roman" w:eastAsia="Times New Roman" w:hAnsi="Times New Roman"/>
          <w:sz w:val="19"/>
          <w:szCs w:val="19"/>
          <w:color w:val="auto"/>
        </w:rPr>
        <w:t>Additionally, we may lose orphan drug exclusivity if we are unable to assure sufficient quantity of the drug to meet the needs of patients with the rare disease or condition. Moreover, orphan drug exclusivity may not effectively protect our product candidates from competition because different drugs can be approved for the same condition.</w:t>
      </w:r>
    </w:p>
    <w:p>
      <w:pPr>
        <w:spacing w:after="0" w:line="2" w:lineRule="exact"/>
        <w:rPr>
          <w:sz w:val="20"/>
          <w:szCs w:val="20"/>
          <w:color w:val="auto"/>
        </w:rPr>
      </w:pPr>
    </w:p>
    <w:p>
      <w:pPr>
        <w:ind w:left="360" w:right="520"/>
        <w:spacing w:after="0" w:line="242" w:lineRule="auto"/>
        <w:rPr>
          <w:sz w:val="20"/>
          <w:szCs w:val="20"/>
          <w:color w:val="auto"/>
        </w:rPr>
      </w:pPr>
      <w:r>
        <w:rPr>
          <w:rFonts w:ascii="Times New Roman" w:cs="Times New Roman" w:eastAsia="Times New Roman" w:hAnsi="Times New Roman"/>
          <w:sz w:val="20"/>
          <w:szCs w:val="20"/>
          <w:color w:val="auto"/>
        </w:rPr>
        <w:t>Further, even after an orphan drug is approved, the FDA or comparable foreign regulatory authority can subsequently approve another drug for the same condition if such regulatory authority concludes that the later drug is clinically superior, which means that it is shown to be safer, more effective or makes a major contribution to patient care.</w:t>
      </w:r>
    </w:p>
    <w:p>
      <w:pPr>
        <w:spacing w:after="0" w:line="84" w:lineRule="exact"/>
        <w:rPr>
          <w:sz w:val="20"/>
          <w:szCs w:val="20"/>
          <w:color w:val="auto"/>
        </w:rPr>
      </w:pPr>
    </w:p>
    <w:p>
      <w:pPr>
        <w:ind w:left="360" w:right="360" w:firstLine="490"/>
        <w:spacing w:after="0" w:line="242" w:lineRule="auto"/>
        <w:rPr>
          <w:sz w:val="20"/>
          <w:szCs w:val="20"/>
          <w:color w:val="auto"/>
        </w:rPr>
      </w:pPr>
      <w:r>
        <w:rPr>
          <w:rFonts w:ascii="Times New Roman" w:cs="Times New Roman" w:eastAsia="Times New Roman" w:hAnsi="Times New Roman"/>
          <w:sz w:val="20"/>
          <w:szCs w:val="20"/>
          <w:color w:val="auto"/>
        </w:rPr>
        <w:t>We have also received orphan designation for nomlabofusp in the European Union. In the European Union, the European Commission may grant orphan designation in respect of products that are intended for the diagnosis, prevention or treatment of a life threatening or chronically debilitating condition affecting not more than five in 10,000 persons in the European Union. Additionally, designation is granted for products intended for the diagnosis, prevention or treatment of a life threatening, seriously debilitating or serious and chronic condition and when, without incentives, it is unlikely that sales of the drug in the European Union would be sufficient to justify the necessary investment in developing the drug. In each case, orphan designation is only available if there is no other satisfactory method approved in the European Union of diagnosing, preventing, or treating the condition, or if such a method exists, the proposed orphan product will be of significant benefit to patients over the existing options. In the European Union, orphan drug designation also entitles a party to financial incentives such as reduction of fees or fee waivers and ten years of market exclusivity following the grant of marketing authorization. This period may be reduced to six years if the orphan drug designation criteria are no longer met, including where it is shown that the product is sufficiently profitable so that market exclusivity is no longer justified. Loss of orphan drug designation for nomlabofusp or the failure to obtain such designation in other countries or for any future product candidates could adversely affect our business, financial condition and results of operation.</w:t>
      </w:r>
    </w:p>
    <w:p>
      <w:pPr>
        <w:spacing w:after="0" w:line="91" w:lineRule="exact"/>
        <w:rPr>
          <w:sz w:val="20"/>
          <w:szCs w:val="20"/>
          <w:color w:val="auto"/>
        </w:rPr>
      </w:pPr>
    </w:p>
    <w:p>
      <w:pPr>
        <w:ind w:left="360" w:right="440" w:firstLine="490"/>
        <w:spacing w:after="0" w:line="247" w:lineRule="auto"/>
        <w:rPr>
          <w:sz w:val="20"/>
          <w:szCs w:val="20"/>
          <w:color w:val="auto"/>
        </w:rPr>
      </w:pPr>
      <w:r>
        <w:rPr>
          <w:rFonts w:ascii="Times New Roman" w:cs="Times New Roman" w:eastAsia="Times New Roman" w:hAnsi="Times New Roman"/>
          <w:sz w:val="20"/>
          <w:szCs w:val="20"/>
          <w:color w:val="auto"/>
        </w:rPr>
        <w:t>If another product has received approval in the indications for which we have received orphan drug designation, we may still receive approval in that indication if we can demonstrate that our product candidate is clinically superior to the existing orphan product. This demonstration of clinical superiority may be done at the time of initial approval or in post-approval studies, depending on the type of marketing authorization granted. Having to comply with these additional requirements to obtain orphan drug exclusivity could adversely affect our business, financial condition and results of operation.</w:t>
      </w:r>
    </w:p>
    <w:p>
      <w:pPr>
        <w:spacing w:after="0" w:line="80" w:lineRule="exact"/>
        <w:rPr>
          <w:sz w:val="20"/>
          <w:szCs w:val="20"/>
          <w:color w:val="auto"/>
        </w:rPr>
      </w:pPr>
    </w:p>
    <w:p>
      <w:pPr>
        <w:jc w:val="both"/>
        <w:ind w:left="360" w:right="4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Although we have obtained rare pediatric disease designation for nomlabofusp, we may not be eligible to receive a priority review voucher in the event the FDA determines we no longer meet the criteria for designation, revokes the designation or FDA approval does not occur prior to September 30, 2026.</w:t>
      </w:r>
    </w:p>
    <w:p>
      <w:pPr>
        <w:spacing w:after="0" w:line="68"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The sponsor of an application for a rare pediatric disease drug product may be eligible for a voucher that can be used or sold to obtain a priority review for a subsequent application submitted under section 505(b)(1) of the FDCA or section 351 of the PHS Act. The rare pediatric disease priority review voucher program began to sunset on December 20, 2024, due to failure to pass a continuing resolution package that included its reauthorization. Under the amended statutory sunset provisions, after December 20, 2024, the FDA may award a priority review voucher for an approved rare pediatric disease product application only if the sponsor has rare pediatric disease designation for the drug and if that designation was granted by December 20, 2024. After September 30, 2026, the FDA may not award any rare pediatric disease priority review vouchers. Congress may vote to reauthorize this program, but its future remains unknown at this time. We received rare pediatric disease designation from the FDA for nomlabofusp in 2019. We may, in the future, apply for rare pediatric disease designation from the FDA for future product candidates that may qualify for designation if Congress reauthorizes the program. Vouchers for rare pediatric disease drugs are awarded for qualifying applications when the drug receives approval.</w:t>
      </w:r>
    </w:p>
    <w:p>
      <w:pPr>
        <w:spacing w:after="0" w:line="86" w:lineRule="exact"/>
        <w:rPr>
          <w:sz w:val="20"/>
          <w:szCs w:val="20"/>
          <w:color w:val="auto"/>
        </w:rPr>
      </w:pPr>
    </w:p>
    <w:p>
      <w:pPr>
        <w:jc w:val="both"/>
        <w:ind w:left="360" w:right="360" w:firstLine="490"/>
        <w:spacing w:after="0" w:line="258" w:lineRule="auto"/>
        <w:rPr>
          <w:sz w:val="20"/>
          <w:szCs w:val="20"/>
          <w:color w:val="auto"/>
        </w:rPr>
      </w:pPr>
      <w:r>
        <w:rPr>
          <w:rFonts w:ascii="Times New Roman" w:cs="Times New Roman" w:eastAsia="Times New Roman" w:hAnsi="Times New Roman"/>
          <w:sz w:val="20"/>
          <w:szCs w:val="20"/>
          <w:color w:val="auto"/>
        </w:rPr>
        <w:t>Although nomlabofusp has received rare pediatric disease designation, nomlabofusp may not receive a priority review voucher for a number of reasons: nomlabofusp may not receive approval; nomlabofusp may receive approval in adults, but not pediatric patients; nomlabofusp may not meet the eligibility requirements for a priority voucher at</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960" w:h="17280" w:orient="portrait"/>
          <w:cols w:equalWidth="0" w:num="1">
            <w:col w:w="10080"/>
          </w:cols>
          <w:pgMar w:left="1440" w:top="1440" w:right="1440" w:bottom="895" w:gutter="0" w:footer="0" w:header="0"/>
          <w:type w:val="continuous"/>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00"/>
        <w:spacing w:after="0" w:line="245" w:lineRule="auto"/>
        <w:rPr>
          <w:sz w:val="20"/>
          <w:szCs w:val="20"/>
          <w:color w:val="auto"/>
        </w:rPr>
      </w:pPr>
      <w:r>
        <w:rPr>
          <w:rFonts w:ascii="Times New Roman" w:cs="Times New Roman" w:eastAsia="Times New Roman" w:hAnsi="Times New Roman"/>
          <w:sz w:val="20"/>
          <w:szCs w:val="20"/>
          <w:color w:val="auto"/>
        </w:rPr>
        <w:t>the time we seek approval for nomlabofusp; or we may not meet the current deadline for receiving a priority review voucher (September 30, 2026), in which case we would not be able to obtain a voucher unless Congress further reauthorizes the program. Finally, a rare pediatric disease designation does not necessarily lead to faster development or regulatory review of the product or increase the likelihood that it will receive marketing approval. If the program is reauthorized and we apply for designation for future product candidates as drugs for rare pediatric diseases, the FDA may not grant the designation. The failure to maintain rare pediatric disease designation for nomlabofusp or if FDA approval does not occur prior to September 30, 2026 could result in the inability to receive a priority review voucher which could adversely affect our business, financial condition and results of operations.</w:t>
      </w:r>
    </w:p>
    <w:p>
      <w:pPr>
        <w:spacing w:after="0" w:line="74" w:lineRule="exact"/>
        <w:rPr>
          <w:sz w:val="20"/>
          <w:szCs w:val="20"/>
          <w:color w:val="auto"/>
        </w:rPr>
      </w:pPr>
    </w:p>
    <w:p>
      <w:pPr>
        <w:ind w:left="360" w:right="80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PRIME designation in the European Union for nomlabofusp, our competitive position could be harmed.</w:t>
      </w:r>
    </w:p>
    <w:p>
      <w:pPr>
        <w:spacing w:after="0" w:line="49" w:lineRule="exact"/>
        <w:rPr>
          <w:sz w:val="20"/>
          <w:szCs w:val="20"/>
          <w:color w:val="auto"/>
        </w:rPr>
      </w:pPr>
    </w:p>
    <w:p>
      <w:pPr>
        <w:ind w:left="360" w:right="420" w:firstLine="490"/>
        <w:spacing w:after="0" w:line="234" w:lineRule="auto"/>
        <w:rPr>
          <w:sz w:val="20"/>
          <w:szCs w:val="20"/>
          <w:color w:val="auto"/>
        </w:rPr>
      </w:pPr>
      <w:r>
        <w:rPr>
          <w:rFonts w:ascii="Times New Roman" w:cs="Times New Roman" w:eastAsia="Times New Roman" w:hAnsi="Times New Roman"/>
          <w:sz w:val="20"/>
          <w:szCs w:val="20"/>
          <w:color w:val="auto"/>
        </w:rPr>
        <w:t>The PRIME scheme is open to medicines under development and for which the applicant intends to apply for an MA through the centralized procedure. Eligible products must target conditions for which where is an unmet medical need (there is no satisfactory method of diagnosis, prevention or treatment in the European Union or, if there is, the new medicine will bring a major therapeutic advantage in comparison to existing therapies)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may submit an eligibility request at an earlier stage of development if compelling non-clinical data in a relevant model provide early evidence of promising activity to establish proof of principle, and first in man studies indicate adequate exposure for the desired pharmacotherapeutic effects and tolerability.</w:t>
      </w:r>
    </w:p>
    <w:p>
      <w:pPr>
        <w:spacing w:after="0" w:line="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If a medicine is selected for the PRIME scheme, the EMA:</w:t>
      </w:r>
    </w:p>
    <w:p>
      <w:pPr>
        <w:spacing w:after="0" w:line="125" w:lineRule="exact"/>
        <w:rPr>
          <w:sz w:val="20"/>
          <w:szCs w:val="20"/>
          <w:color w:val="auto"/>
        </w:rPr>
      </w:pPr>
    </w:p>
    <w:p>
      <w:pPr>
        <w:ind w:left="1220" w:right="720" w:hanging="370"/>
        <w:spacing w:after="0" w:line="266" w:lineRule="auto"/>
        <w:tabs>
          <w:tab w:leader="none" w:pos="12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appoints a rapporteur from the CHMP or from the CAT to provide continuous support and to build up knowledge of the medicine in advance of the filing of an MMA;</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issues guidance on the applicant’s overall development plan and regulatory strategy;</w:t>
      </w:r>
    </w:p>
    <w:p>
      <w:pPr>
        <w:spacing w:after="0" w:line="123" w:lineRule="exact"/>
        <w:rPr>
          <w:rFonts w:ascii="Arial" w:cs="Arial" w:eastAsia="Arial" w:hAnsi="Arial"/>
          <w:sz w:val="20"/>
          <w:szCs w:val="20"/>
          <w:color w:val="auto"/>
        </w:rPr>
      </w:pPr>
    </w:p>
    <w:p>
      <w:pPr>
        <w:ind w:left="1220" w:right="380" w:hanging="370"/>
        <w:spacing w:after="0" w:line="266" w:lineRule="auto"/>
        <w:tabs>
          <w:tab w:leader="none" w:pos="12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organizes a kick-off meeting with the rapporteur and experts from relevant EMA committees and working groups;</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provides a dedicated EMA contact person; and</w:t>
      </w:r>
    </w:p>
    <w:p>
      <w:pPr>
        <w:spacing w:after="0" w:line="123" w:lineRule="exact"/>
        <w:rPr>
          <w:rFonts w:ascii="Arial" w:cs="Arial" w:eastAsia="Arial" w:hAnsi="Arial"/>
          <w:sz w:val="20"/>
          <w:szCs w:val="20"/>
          <w:color w:val="auto"/>
        </w:rPr>
      </w:pPr>
    </w:p>
    <w:p>
      <w:pPr>
        <w:ind w:left="1220" w:right="860" w:hanging="370"/>
        <w:spacing w:after="0" w:line="266" w:lineRule="auto"/>
        <w:tabs>
          <w:tab w:leader="none" w:pos="12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provides scientific advice at key development milestones, involving additional stakeholders, such as health technology assessment bodies and patients, as needed.</w:t>
      </w:r>
    </w:p>
    <w:p>
      <w:pPr>
        <w:spacing w:after="0" w:line="50" w:lineRule="exact"/>
        <w:rPr>
          <w:sz w:val="20"/>
          <w:szCs w:val="20"/>
          <w:color w:val="auto"/>
        </w:rPr>
      </w:pPr>
    </w:p>
    <w:p>
      <w:pPr>
        <w:jc w:val="both"/>
        <w:ind w:left="360" w:right="500" w:firstLine="490"/>
        <w:spacing w:after="0" w:line="248" w:lineRule="auto"/>
        <w:rPr>
          <w:sz w:val="20"/>
          <w:szCs w:val="20"/>
          <w:color w:val="auto"/>
        </w:rPr>
      </w:pPr>
      <w:r>
        <w:rPr>
          <w:rFonts w:ascii="Times New Roman" w:cs="Times New Roman" w:eastAsia="Times New Roman" w:hAnsi="Times New Roman"/>
          <w:sz w:val="20"/>
          <w:szCs w:val="20"/>
          <w:color w:val="auto"/>
        </w:rPr>
        <w:t>For SMEs who enter the scheme based on data showing proof of principle, the appointment of the rapporteur occurs once they have generated data confirming eligibility at proof of concept stage. They are required to submit relevant data and justification as the product development reaches this stage.</w:t>
      </w:r>
    </w:p>
    <w:p>
      <w:pPr>
        <w:spacing w:after="0" w:line="68" w:lineRule="exact"/>
        <w:rPr>
          <w:sz w:val="20"/>
          <w:szCs w:val="20"/>
          <w:color w:val="auto"/>
        </w:rPr>
      </w:pPr>
    </w:p>
    <w:p>
      <w:pPr>
        <w:ind w:left="360" w:right="380" w:firstLine="490"/>
        <w:spacing w:after="0" w:line="235" w:lineRule="auto"/>
        <w:rPr>
          <w:sz w:val="20"/>
          <w:szCs w:val="20"/>
          <w:color w:val="auto"/>
        </w:rPr>
      </w:pPr>
      <w:r>
        <w:rPr>
          <w:rFonts w:ascii="Times New Roman" w:cs="Times New Roman" w:eastAsia="Times New Roman" w:hAnsi="Times New Roman"/>
          <w:sz w:val="20"/>
          <w:szCs w:val="20"/>
          <w:color w:val="auto"/>
        </w:rPr>
        <w:t>Medicines that are selected for the PRIME scheme are also expected to benefit from EMA’s accelerated assessment procedure at the time of application for marketing authorization. Where, during the course of development, a medicine no longer meets the eligibility criteria, or if a medicine granted early access to the PRIME scheme cannot later demonstrate proof of concept, support under the PRIME scheme may be withdrawn. Approval of other therapies for the treatment Friedreich’s ataxia, including the approval of omaveloxolone could negatively impact our continued access to this and similar programs. Loss of PRIME designation for nomlabofusp or the failure to obtain such designation for any future product candidates could adversely affect our business, financial condition and results of operation.</w:t>
      </w:r>
    </w:p>
    <w:p>
      <w:pPr>
        <w:spacing w:after="0" w:line="82" w:lineRule="exact"/>
        <w:rPr>
          <w:sz w:val="20"/>
          <w:szCs w:val="20"/>
          <w:color w:val="auto"/>
        </w:rPr>
      </w:pPr>
    </w:p>
    <w:p>
      <w:pPr>
        <w:ind w:left="360" w:right="38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Changes in regulatory requirements, FDA guidance, guidance from other regulatory authorities or unanticipated events during our non-clinical or clinical trials of nomlabofusp or future product candidates may result in changes to clinical trial protocols or additional non-clinical or clinical trial requirements, which could result in increased costs to us and could delay our development timeline.</w:t>
      </w:r>
    </w:p>
    <w:p>
      <w:pPr>
        <w:spacing w:after="0" w:line="74" w:lineRule="exact"/>
        <w:rPr>
          <w:sz w:val="20"/>
          <w:szCs w:val="20"/>
          <w:color w:val="auto"/>
        </w:rPr>
      </w:pPr>
    </w:p>
    <w:p>
      <w:pPr>
        <w:ind w:left="360" w:right="380" w:firstLine="490"/>
        <w:spacing w:after="0" w:line="237" w:lineRule="auto"/>
        <w:rPr>
          <w:sz w:val="20"/>
          <w:szCs w:val="20"/>
          <w:color w:val="auto"/>
        </w:rPr>
      </w:pPr>
      <w:r>
        <w:rPr>
          <w:rFonts w:ascii="Times New Roman" w:cs="Times New Roman" w:eastAsia="Times New Roman" w:hAnsi="Times New Roman"/>
          <w:sz w:val="20"/>
          <w:szCs w:val="20"/>
          <w:color w:val="auto"/>
        </w:rPr>
        <w:t>Changes in regulatory requirements, FDA guidance or guidance from EMA or unanticipated events during our non-clinical or clinical trials may force us to terminate or adjust our clinical programs. The FDA, or other applicable regulatory authorities may impose additional clinical trial and/or non-clinical study requirements. Amendments to our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960" w:h="17280" w:orient="portrait"/>
          <w:cols w:equalWidth="0" w:num="1">
            <w:col w:w="10080"/>
          </w:cols>
          <w:pgMar w:left="1440" w:top="1440" w:right="1440" w:bottom="895" w:gutter="0" w:footer="0" w:header="0"/>
          <w:type w:val="continuous"/>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right="560"/>
        <w:spacing w:after="0" w:line="242" w:lineRule="auto"/>
        <w:rPr>
          <w:sz w:val="20"/>
          <w:szCs w:val="20"/>
          <w:color w:val="auto"/>
        </w:rPr>
      </w:pPr>
      <w:r>
        <w:rPr>
          <w:rFonts w:ascii="Times New Roman" w:cs="Times New Roman" w:eastAsia="Times New Roman" w:hAnsi="Times New Roman"/>
          <w:sz w:val="20"/>
          <w:szCs w:val="20"/>
          <w:color w:val="auto"/>
        </w:rPr>
        <w:t>we are required to conduct additional clinical trials, or non-clinical studies and/or post-market studies, the commercial prospects for nomlabofusp or any other potential product candidates may be harmed and our ability to generate product revenue will be delayed or eliminated, and it would materially adversely affect our business, financial condition and results of operations.</w:t>
      </w:r>
    </w:p>
    <w:p>
      <w:pPr>
        <w:spacing w:after="0" w:line="82" w:lineRule="exact"/>
        <w:rPr>
          <w:sz w:val="20"/>
          <w:szCs w:val="20"/>
          <w:color w:val="auto"/>
        </w:rPr>
      </w:pPr>
    </w:p>
    <w:p>
      <w:pPr>
        <w:ind w:left="360" w:right="480" w:firstLine="490"/>
        <w:spacing w:after="0" w:line="245" w:lineRule="auto"/>
        <w:rPr>
          <w:sz w:val="20"/>
          <w:szCs w:val="20"/>
          <w:color w:val="auto"/>
        </w:rPr>
      </w:pPr>
      <w:r>
        <w:rPr>
          <w:rFonts w:ascii="Times New Roman" w:cs="Times New Roman" w:eastAsia="Times New Roman" w:hAnsi="Times New Roman"/>
          <w:sz w:val="20"/>
          <w:szCs w:val="20"/>
          <w:color w:val="auto"/>
        </w:rPr>
        <w:t>In order to market any product outside of the United States, we must comply with numerous and varying regulatory requirements of other countries regarding drug development and commercialization. The approval processes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 Even if we receive marketing approval for nomlabofusp in the United States, we may never receive regulatory approval to market nomlabofusp outside of the United States.</w:t>
      </w:r>
    </w:p>
    <w:p>
      <w:pPr>
        <w:spacing w:after="0" w:line="82" w:lineRule="exact"/>
        <w:rPr>
          <w:sz w:val="20"/>
          <w:szCs w:val="20"/>
          <w:color w:val="auto"/>
        </w:rPr>
      </w:pPr>
    </w:p>
    <w:p>
      <w:pPr>
        <w:ind w:left="360" w:right="4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Changes in the FDA, other government agencies or comparable regulatory authorities could hinder their ability to hire and retain key leadership and other personnel, prevent new products and services from being developed, approved or commercialized in a timely manner or otherwise prevent those agencies from performing normal business functions on which the operation of our business may rely, which could negatively impact our business.</w:t>
      </w:r>
    </w:p>
    <w:p>
      <w:pPr>
        <w:spacing w:after="0" w:line="74" w:lineRule="exact"/>
        <w:rPr>
          <w:sz w:val="20"/>
          <w:szCs w:val="20"/>
          <w:color w:val="auto"/>
        </w:rPr>
      </w:pPr>
    </w:p>
    <w:p>
      <w:pPr>
        <w:ind w:left="360" w:right="360" w:firstLine="490"/>
        <w:spacing w:after="0" w:line="244" w:lineRule="auto"/>
        <w:rPr>
          <w:sz w:val="20"/>
          <w:szCs w:val="20"/>
          <w:color w:val="auto"/>
        </w:rPr>
      </w:pPr>
      <w:r>
        <w:rPr>
          <w:rFonts w:ascii="Times New Roman" w:cs="Times New Roman" w:eastAsia="Times New Roman" w:hAnsi="Times New Roman"/>
          <w:sz w:val="20"/>
          <w:szCs w:val="20"/>
          <w:color w:val="auto"/>
        </w:rPr>
        <w:t>The current administration is focused on reducing costs of the federal government generally, including significantly reducing the number of government employees. Without appropriation of additional funding to federal agencies, our business operations related to our product development activities for the U.S. market could be impacted. The ability of the FDA or comparable foreign regulatory authorities to review and approve new products can be affected by a variety of factors, including government budget and funding levels, ability to hire and retain key personnel, and accept the payment of user fees, statutory, regulatory and policy changes. In addition, government funding of other government agencies or comparable foreign regulatory authorities on which our operations may rely, including those that fund research and development activities is subject to the political process, which is inherently fluid and unpredictable.</w:t>
      </w:r>
    </w:p>
    <w:p>
      <w:pPr>
        <w:spacing w:after="0" w:line="86" w:lineRule="exact"/>
        <w:rPr>
          <w:sz w:val="20"/>
          <w:szCs w:val="20"/>
          <w:color w:val="auto"/>
        </w:rPr>
      </w:pPr>
    </w:p>
    <w:p>
      <w:pPr>
        <w:ind w:left="360" w:right="360" w:firstLine="490"/>
        <w:spacing w:after="0" w:line="245" w:lineRule="auto"/>
        <w:rPr>
          <w:sz w:val="20"/>
          <w:szCs w:val="20"/>
          <w:color w:val="auto"/>
        </w:rPr>
      </w:pPr>
      <w:r>
        <w:rPr>
          <w:rFonts w:ascii="Times New Roman" w:cs="Times New Roman" w:eastAsia="Times New Roman" w:hAnsi="Times New Roman"/>
          <w:sz w:val="20"/>
          <w:szCs w:val="20"/>
          <w:color w:val="auto"/>
        </w:rPr>
        <w:t>Disruptions at the FDA, other agencies or comparable foreign regulatory authorities may also slow the time necessary for new drugs to be reviewed and/or approved by necessary government agencies,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Similar consequences would also result in the event of another significant shutdown of the federal government. As an example, over the last several years, the U.S. government has shut down several times and certain regulatory agencies, such as the FDA and the SEC have had to furlough critical employees and stop critical activities.</w:t>
      </w:r>
    </w:p>
    <w:p>
      <w:pPr>
        <w:spacing w:after="0" w:line="82" w:lineRule="exact"/>
        <w:rPr>
          <w:sz w:val="20"/>
          <w:szCs w:val="20"/>
          <w:color w:val="auto"/>
        </w:rPr>
      </w:pPr>
    </w:p>
    <w:p>
      <w:pPr>
        <w:ind w:left="360" w:right="400" w:firstLine="490"/>
        <w:spacing w:after="0" w:line="249" w:lineRule="auto"/>
        <w:rPr>
          <w:sz w:val="20"/>
          <w:szCs w:val="20"/>
          <w:color w:val="auto"/>
        </w:rPr>
      </w:pPr>
      <w:r>
        <w:rPr>
          <w:rFonts w:ascii="Times New Roman" w:cs="Times New Roman" w:eastAsia="Times New Roman" w:hAnsi="Times New Roman"/>
          <w:sz w:val="20"/>
          <w:szCs w:val="20"/>
          <w:color w:val="auto"/>
        </w:rPr>
        <w:t>If a prolonged government shutdown occurs, including as a result of reaching the debt ceiling, if the FDA or SEC experiences significant decreases in funding or personnel it could significantly impact the ability of the FDA or other regulatory authorities to timely review and process our regulatory submissions, which could have a material adverse effect on our business and our timelines. Further, government shutdowns could impact our ability to access the public markets and obtain additional capital in the future.</w:t>
      </w:r>
    </w:p>
    <w:p>
      <w:pPr>
        <w:spacing w:after="0" w:line="77" w:lineRule="exact"/>
        <w:rPr>
          <w:sz w:val="20"/>
          <w:szCs w:val="20"/>
          <w:color w:val="auto"/>
        </w:rPr>
      </w:pPr>
    </w:p>
    <w:p>
      <w:pPr>
        <w:ind w:left="360" w:right="4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Regulatory requirements governing biologic products have changed frequently and may continue to change in the future. Such requirements may lengthen the regulatory review process, require us to perform additional non-clinical studies or clinical trials, and increase our costs, or may force us to delay, limit or terminate certain of our programs.</w:t>
      </w:r>
    </w:p>
    <w:p>
      <w:pPr>
        <w:spacing w:after="0" w:line="74"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Regulatory requirements governing biologic drug products are evolving and may continue to change in the future. As a result, it is difficult to determine how long it will take or how much it will cost to obtain regulatory approvals for nomlabofusp for the treatment of FA or any other future protein replacement therapy product candidates in any indication, if at all. Regulatory review agencies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our product candidates or lead to significant post-approval studies, limitations or restrictions.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960" w:h="17280" w:orient="portrait"/>
          <w:cols w:equalWidth="0" w:num="1">
            <w:col w:w="10080"/>
          </w:cols>
          <w:pgMar w:left="1440" w:top="1440" w:right="1440" w:bottom="895" w:gutter="0" w:footer="0" w:header="0"/>
          <w:type w:val="continuous"/>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40"/>
        <w:spacing w:after="0" w:line="258" w:lineRule="auto"/>
        <w:rPr>
          <w:sz w:val="20"/>
          <w:szCs w:val="20"/>
          <w:color w:val="auto"/>
        </w:rPr>
      </w:pPr>
      <w:r>
        <w:rPr>
          <w:rFonts w:ascii="Times New Roman" w:cs="Times New Roman" w:eastAsia="Times New Roman" w:hAnsi="Times New Roman"/>
          <w:sz w:val="20"/>
          <w:szCs w:val="20"/>
          <w:color w:val="auto"/>
        </w:rPr>
        <w:t>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68" w:lineRule="exact"/>
        <w:rPr>
          <w:sz w:val="20"/>
          <w:szCs w:val="20"/>
          <w:color w:val="auto"/>
        </w:rPr>
      </w:pPr>
    </w:p>
    <w:p>
      <w:pPr>
        <w:ind w:left="360" w:right="520" w:firstLine="490"/>
        <w:spacing w:after="0" w:line="258" w:lineRule="auto"/>
        <w:rPr>
          <w:sz w:val="20"/>
          <w:szCs w:val="20"/>
          <w:color w:val="auto"/>
        </w:rPr>
      </w:pPr>
      <w:r>
        <w:rPr>
          <w:rFonts w:ascii="Times New Roman" w:cs="Times New Roman" w:eastAsia="Times New Roman" w:hAnsi="Times New Roman"/>
          <w:sz w:val="20"/>
          <w:szCs w:val="20"/>
          <w:color w:val="auto"/>
        </w:rPr>
        <w:t>Delays, failure or unexpected costs in obtaining, the regulatory approval necessary to bring our product candidates to market could have a material adverse effect on our business, results of operations, financial condition and prospects.</w:t>
      </w:r>
    </w:p>
    <w:p>
      <w:pPr>
        <w:spacing w:after="0" w:line="68" w:lineRule="exact"/>
        <w:rPr>
          <w:sz w:val="20"/>
          <w:szCs w:val="20"/>
          <w:color w:val="auto"/>
        </w:rPr>
      </w:pPr>
    </w:p>
    <w:p>
      <w:pPr>
        <w:ind w:left="360" w:right="480" w:firstLine="490"/>
        <w:spacing w:after="0" w:line="249" w:lineRule="auto"/>
        <w:rPr>
          <w:sz w:val="20"/>
          <w:szCs w:val="20"/>
          <w:color w:val="auto"/>
        </w:rPr>
      </w:pPr>
      <w:r>
        <w:rPr>
          <w:rFonts w:ascii="Times New Roman" w:cs="Times New Roman" w:eastAsia="Times New Roman" w:hAnsi="Times New Roman"/>
          <w:sz w:val="20"/>
          <w:szCs w:val="20"/>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w:t>
      </w:r>
    </w:p>
    <w:p>
      <w:pPr>
        <w:spacing w:after="0" w:line="77" w:lineRule="exact"/>
        <w:rPr>
          <w:sz w:val="20"/>
          <w:szCs w:val="20"/>
          <w:color w:val="auto"/>
        </w:rPr>
      </w:pPr>
    </w:p>
    <w:p>
      <w:pPr>
        <w:ind w:left="360" w:right="4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clinical trials of nomlabofusp and any future product candidates are, and the manufacturing and marketing of nomlabofusp and any future product candidates, will be subject to extensive and rigorous review and regulation by numerous government authorities in the United States and in other countries, such as within the European Union, where we intend to seek regulatory approval of, and market, any product candidates.</w:t>
      </w:r>
    </w:p>
    <w:p>
      <w:pPr>
        <w:spacing w:after="0" w:line="74"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Before obtaining regulatory approvals for the commercial sale of any product candidate, we must demonstrate through non-clinical testing and clinical trials that the product candidate is safe and effective for use in each target indication. This process can take many years. In addition, approval policies, regulations, or the type and amount of clinical data necessary to gain approval may change during the course of a product candidate’s clinical development and may vary among jurisdictions, which may cause delays in the approval of or may result in the decision not to approve our product candidates. We have not obtained regulatory approval for nomlabofusp, and it is possible that this product candidate or any product candidates we may seek to develop in the future will never obtain regulatory approval. If marketing approval is obtained, it will likely include post-marketing studies, and other post-marketing requirements, and surveillance such as REMS which will require the expenditure of substantial resources beyond the proceeds we currently have on hand.</w:t>
      </w:r>
    </w:p>
    <w:p>
      <w:pPr>
        <w:spacing w:after="0" w:line="82" w:lineRule="exact"/>
        <w:rPr>
          <w:sz w:val="20"/>
          <w:szCs w:val="20"/>
          <w:color w:val="auto"/>
        </w:rPr>
      </w:pPr>
    </w:p>
    <w:p>
      <w:pPr>
        <w:ind w:left="360" w:right="440" w:firstLine="490"/>
        <w:spacing w:after="0" w:line="247" w:lineRule="auto"/>
        <w:rPr>
          <w:sz w:val="20"/>
          <w:szCs w:val="20"/>
          <w:color w:val="auto"/>
        </w:rPr>
      </w:pPr>
      <w:r>
        <w:rPr>
          <w:rFonts w:ascii="Times New Roman" w:cs="Times New Roman" w:eastAsia="Times New Roman" w:hAnsi="Times New Roman"/>
          <w:sz w:val="20"/>
          <w:szCs w:val="20"/>
          <w:color w:val="auto"/>
        </w:rPr>
        <w:t>Furthermore, we are not permitted to market nomlabofusp in the United States, or the European Union until we receive approval of a BLA from the FDA or the grant of an MA from the European Commission, or in any other foreign countries until we receive the requisite marketing approval from such countries. The development of drugs for FA or other rare diseases may require initial non-clinical studies, early and usually smaller, clinical trials and randomized, double-blind placebo controlled long-term safety and efficacy trials in order to test the safety and efficacy of the drug.</w:t>
      </w:r>
    </w:p>
    <w:p>
      <w:pPr>
        <w:spacing w:after="0" w:line="80" w:lineRule="exact"/>
        <w:rPr>
          <w:sz w:val="20"/>
          <w:szCs w:val="20"/>
          <w:color w:val="auto"/>
        </w:rPr>
      </w:pPr>
    </w:p>
    <w:p>
      <w:pPr>
        <w:ind w:left="360" w:right="580" w:firstLine="490"/>
        <w:spacing w:after="0" w:line="252" w:lineRule="auto"/>
        <w:rPr>
          <w:sz w:val="20"/>
          <w:szCs w:val="20"/>
          <w:color w:val="auto"/>
        </w:rPr>
      </w:pPr>
      <w:r>
        <w:rPr>
          <w:rFonts w:ascii="Times New Roman" w:cs="Times New Roman" w:eastAsia="Times New Roman" w:hAnsi="Times New Roman"/>
          <w:sz w:val="20"/>
          <w:szCs w:val="20"/>
          <w:color w:val="auto"/>
        </w:rPr>
        <w:t>Nomlabofusp requires substantial further clinical development before we can submit a BLA to the FDA. Development and/or regulatory programs for nomlabofusp in any countries other than the United States (such as a MAA to the EMA) are only in very preliminary stages and may require substantial further development in those countries prior to regulatory submissions seeking regulatory approval for marketing.</w:t>
      </w:r>
    </w:p>
    <w:p>
      <w:pPr>
        <w:spacing w:after="0" w:line="74" w:lineRule="exact"/>
        <w:rPr>
          <w:sz w:val="20"/>
          <w:szCs w:val="20"/>
          <w:color w:val="auto"/>
        </w:rPr>
      </w:pPr>
    </w:p>
    <w:p>
      <w:pPr>
        <w:ind w:left="360" w:right="500" w:firstLine="490"/>
        <w:spacing w:after="0" w:line="258" w:lineRule="auto"/>
        <w:rPr>
          <w:sz w:val="20"/>
          <w:szCs w:val="20"/>
          <w:color w:val="auto"/>
        </w:rPr>
      </w:pPr>
      <w:r>
        <w:rPr>
          <w:rFonts w:ascii="Times New Roman" w:cs="Times New Roman" w:eastAsia="Times New Roman" w:hAnsi="Times New Roman"/>
          <w:sz w:val="20"/>
          <w:szCs w:val="20"/>
          <w:color w:val="auto"/>
        </w:rPr>
        <w:t>Even after successful completion of clinical trials, there is a risk that the FDA or other regulatory agencies may request further information from us, disagree with our findings or otherwise undertake a lengthy review of our submission.</w:t>
      </w:r>
    </w:p>
    <w:p>
      <w:pPr>
        <w:spacing w:after="0" w:line="68" w:lineRule="exact"/>
        <w:rPr>
          <w:sz w:val="20"/>
          <w:szCs w:val="20"/>
          <w:color w:val="auto"/>
        </w:rPr>
      </w:pPr>
    </w:p>
    <w:p>
      <w:pPr>
        <w:ind w:left="360" w:right="1180" w:firstLine="490"/>
        <w:spacing w:after="0" w:line="277" w:lineRule="auto"/>
        <w:rPr>
          <w:sz w:val="20"/>
          <w:szCs w:val="20"/>
          <w:color w:val="auto"/>
        </w:rPr>
      </w:pPr>
      <w:r>
        <w:rPr>
          <w:rFonts w:ascii="Times New Roman" w:cs="Times New Roman" w:eastAsia="Times New Roman" w:hAnsi="Times New Roman"/>
          <w:sz w:val="20"/>
          <w:szCs w:val="20"/>
          <w:color w:val="auto"/>
        </w:rPr>
        <w:t>The FDA and certain European regulatory authorities may delay, limit or deny testing or approval of nomlabofusp for many reasons, including, among others:</w:t>
      </w:r>
    </w:p>
    <w:p>
      <w:pPr>
        <w:spacing w:after="0" w:line="63" w:lineRule="exact"/>
        <w:rPr>
          <w:sz w:val="20"/>
          <w:szCs w:val="20"/>
          <w:color w:val="auto"/>
        </w:rPr>
      </w:pPr>
    </w:p>
    <w:p>
      <w:pPr>
        <w:ind w:left="1080" w:right="480" w:hanging="360"/>
        <w:spacing w:after="0" w:line="276" w:lineRule="auto"/>
        <w:tabs>
          <w:tab w:leader="none" w:pos="10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demonstrate that nomlabofusp is safe and effective to the satisfaction of the FDA or the EMA;</w:t>
      </w:r>
    </w:p>
    <w:p>
      <w:pPr>
        <w:spacing w:after="0" w:line="64" w:lineRule="exact"/>
        <w:rPr>
          <w:rFonts w:ascii="Arial" w:cs="Arial" w:eastAsia="Arial" w:hAnsi="Arial"/>
          <w:sz w:val="20"/>
          <w:szCs w:val="20"/>
          <w:color w:val="auto"/>
        </w:rPr>
      </w:pPr>
    </w:p>
    <w:p>
      <w:pPr>
        <w:ind w:left="1080" w:right="540" w:hanging="360"/>
        <w:spacing w:after="0" w:line="276" w:lineRule="auto"/>
        <w:tabs>
          <w:tab w:leader="none" w:pos="10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our clinical trials may not meet the level of statistical or clinical significance required by the FDA or the EMA for marketing approval;</w:t>
      </w:r>
    </w:p>
    <w:p>
      <w:pPr>
        <w:spacing w:after="0" w:line="64" w:lineRule="exact"/>
        <w:rPr>
          <w:rFonts w:ascii="Arial" w:cs="Arial" w:eastAsia="Arial" w:hAnsi="Arial"/>
          <w:sz w:val="20"/>
          <w:szCs w:val="20"/>
          <w:color w:val="auto"/>
        </w:rPr>
      </w:pPr>
    </w:p>
    <w:p>
      <w:pPr>
        <w:ind w:left="1080" w:right="560" w:hanging="360"/>
        <w:spacing w:after="0" w:line="276" w:lineRule="auto"/>
        <w:tabs>
          <w:tab w:leader="none" w:pos="10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disagree with the number, design, size, duration, conduct or implementation of our clinical trials;</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require that we conduct additional non-clinical studies and/or clinical trials;</w:t>
      </w:r>
    </w:p>
    <w:p>
      <w:pPr>
        <w:spacing w:after="0" w:line="133" w:lineRule="exact"/>
        <w:rPr>
          <w:rFonts w:ascii="Arial" w:cs="Arial" w:eastAsia="Arial" w:hAnsi="Arial"/>
          <w:sz w:val="20"/>
          <w:szCs w:val="20"/>
          <w:color w:val="auto"/>
        </w:rPr>
      </w:pPr>
    </w:p>
    <w:p>
      <w:pPr>
        <w:ind w:left="1080" w:right="1020" w:hanging="360"/>
        <w:spacing w:after="0" w:line="276" w:lineRule="auto"/>
        <w:tabs>
          <w:tab w:leader="none" w:pos="10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not approve the formulation, manufacturing, labeling or specifications of nomlabofusp;</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960" w:h="17280" w:orient="portrait"/>
          <w:cols w:equalWidth="0" w:num="1">
            <w:col w:w="10080"/>
          </w:cols>
          <w:pgMar w:left="1440" w:top="1440" w:right="1440" w:bottom="895"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80" w:right="400" w:hanging="360"/>
        <w:spacing w:after="0" w:line="276"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CROs that we retain to conduct our clinical trials may take actions outside of our control that materially adversely impact our clinical trials;</w:t>
      </w:r>
    </w:p>
    <w:p>
      <w:pPr>
        <w:spacing w:after="0" w:line="64" w:lineRule="exact"/>
        <w:rPr>
          <w:rFonts w:ascii="Arial" w:cs="Arial" w:eastAsia="Arial" w:hAnsi="Arial"/>
          <w:sz w:val="20"/>
          <w:szCs w:val="20"/>
          <w:color w:val="auto"/>
        </w:rPr>
      </w:pPr>
    </w:p>
    <w:p>
      <w:pPr>
        <w:ind w:left="1080" w:right="1220" w:hanging="360"/>
        <w:spacing w:after="0" w:line="276"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find the data from non-clinical studies and clinical trials insufficient to demonstrate that nomlabofusp’s clinical and other benefits outweigh its safety risks;</w:t>
      </w:r>
    </w:p>
    <w:p>
      <w:pPr>
        <w:spacing w:after="0" w:line="64" w:lineRule="exact"/>
        <w:rPr>
          <w:rFonts w:ascii="Arial" w:cs="Arial" w:eastAsia="Arial" w:hAnsi="Arial"/>
          <w:sz w:val="20"/>
          <w:szCs w:val="20"/>
          <w:color w:val="auto"/>
        </w:rPr>
      </w:pPr>
    </w:p>
    <w:p>
      <w:pPr>
        <w:ind w:left="1080" w:right="520" w:hanging="360"/>
        <w:spacing w:after="0" w:line="276"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disagree with our interpretation of data from our non-clinical studies or clinical trials;</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not accept data generated at our clinical trial sites;</w:t>
      </w:r>
    </w:p>
    <w:p>
      <w:pPr>
        <w:spacing w:after="0" w:line="133" w:lineRule="exact"/>
        <w:rPr>
          <w:rFonts w:ascii="Arial" w:cs="Arial" w:eastAsia="Arial" w:hAnsi="Arial"/>
          <w:sz w:val="20"/>
          <w:szCs w:val="20"/>
          <w:color w:val="auto"/>
        </w:rPr>
      </w:pPr>
    </w:p>
    <w:p>
      <w:pPr>
        <w:jc w:val="both"/>
        <w:ind w:left="1080" w:right="440" w:hanging="360"/>
        <w:spacing w:after="0" w:line="252"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if and when our BLA is submitted, the FDA could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87" w:lineRule="exact"/>
        <w:rPr>
          <w:rFonts w:ascii="Arial" w:cs="Arial" w:eastAsia="Arial" w:hAnsi="Arial"/>
          <w:sz w:val="20"/>
          <w:szCs w:val="20"/>
          <w:color w:val="auto"/>
        </w:rPr>
      </w:pPr>
    </w:p>
    <w:p>
      <w:pPr>
        <w:ind w:left="1080" w:right="400" w:hanging="360"/>
        <w:spacing w:after="0" w:line="258"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could require development of a REMS as a condition of approval or post-approval, or may not agree with our proposed REMS, or may impose additional requirements, including requirements that limit the promotion, advertising, distribution, or sales of nomlabofusp;</w:t>
      </w:r>
    </w:p>
    <w:p>
      <w:pPr>
        <w:spacing w:after="0" w:line="81" w:lineRule="exact"/>
        <w:rPr>
          <w:rFonts w:ascii="Arial" w:cs="Arial" w:eastAsia="Arial" w:hAnsi="Arial"/>
          <w:sz w:val="20"/>
          <w:szCs w:val="20"/>
          <w:color w:val="auto"/>
        </w:rPr>
      </w:pPr>
    </w:p>
    <w:p>
      <w:pPr>
        <w:ind w:left="1080" w:right="400" w:hanging="360"/>
        <w:spacing w:after="0" w:line="276"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find deficiencies with or not approve the manufacturing processes or facilities of third-party manufacturers with which we contract; or</w:t>
      </w:r>
    </w:p>
    <w:p>
      <w:pPr>
        <w:spacing w:after="0" w:line="64" w:lineRule="exact"/>
        <w:rPr>
          <w:rFonts w:ascii="Arial" w:cs="Arial" w:eastAsia="Arial" w:hAnsi="Arial"/>
          <w:sz w:val="20"/>
          <w:szCs w:val="20"/>
          <w:color w:val="auto"/>
        </w:rPr>
      </w:pPr>
    </w:p>
    <w:p>
      <w:pPr>
        <w:ind w:left="1080" w:right="640" w:hanging="360"/>
        <w:spacing w:after="0" w:line="276" w:lineRule="auto"/>
        <w:tabs>
          <w:tab w:leader="none" w:pos="10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change their approval policies or adopt new regulations rendering our clinical data insufficient for approval.</w:t>
      </w:r>
    </w:p>
    <w:p>
      <w:pPr>
        <w:spacing w:after="0" w:line="50" w:lineRule="exact"/>
        <w:rPr>
          <w:sz w:val="20"/>
          <w:szCs w:val="20"/>
          <w:color w:val="auto"/>
        </w:rPr>
      </w:pPr>
    </w:p>
    <w:p>
      <w:pPr>
        <w:ind w:left="360" w:right="480" w:firstLine="490"/>
        <w:spacing w:after="0" w:line="258" w:lineRule="auto"/>
        <w:rPr>
          <w:sz w:val="20"/>
          <w:szCs w:val="20"/>
          <w:color w:val="auto"/>
        </w:rPr>
      </w:pPr>
      <w:r>
        <w:rPr>
          <w:rFonts w:ascii="Times New Roman" w:cs="Times New Roman" w:eastAsia="Times New Roman" w:hAnsi="Times New Roman"/>
          <w:sz w:val="19"/>
          <w:szCs w:val="19"/>
          <w:color w:val="auto"/>
        </w:rPr>
        <w:t>Any of these factors, many of which are beyond our control, could jeopardize our ability to obtain and/or maintain regulatory approval for and successfully market nomlabofusp. Any delay or failure in obtaining required approvals could have a material adverse effect on our business, financial condition and results of operations. This process can take many years and will likely require the expenditure of substantial resources. Of the large number of drugs in development in the United States, only a small percentage will successfully complete the FDA regulatory approval process and be commercialized. It is possible that the FDA or other regulatory agencies will not approve any application that we submit. It is possible that our product candidates may not obtain appropriate regulatory approvals necessary for us to commence clinical trials for our product candidates. Accordingly, even if we are able to obtain the requisite financing to continue to fund our development and clinical trials, we cannot ensure that nomlabofusp, or any other of our potential product candidates will be successfully developed or commercialized.</w:t>
      </w:r>
    </w:p>
    <w:p>
      <w:pPr>
        <w:spacing w:after="0" w:line="71" w:lineRule="exact"/>
        <w:rPr>
          <w:sz w:val="20"/>
          <w:szCs w:val="20"/>
          <w:color w:val="auto"/>
        </w:rPr>
      </w:pPr>
    </w:p>
    <w:p>
      <w:pPr>
        <w:ind w:left="360" w:right="3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68" w:lineRule="exact"/>
        <w:rPr>
          <w:sz w:val="20"/>
          <w:szCs w:val="20"/>
          <w:color w:val="auto"/>
        </w:rPr>
      </w:pPr>
    </w:p>
    <w:p>
      <w:pPr>
        <w:ind w:left="360" w:right="520" w:firstLine="490"/>
        <w:spacing w:after="0" w:line="245" w:lineRule="auto"/>
        <w:rPr>
          <w:sz w:val="20"/>
          <w:szCs w:val="20"/>
          <w:color w:val="auto"/>
        </w:rPr>
      </w:pPr>
      <w:r>
        <w:rPr>
          <w:rFonts w:ascii="Times New Roman" w:cs="Times New Roman" w:eastAsia="Times New Roman" w:hAnsi="Times New Roman"/>
          <w:sz w:val="20"/>
          <w:szCs w:val="20"/>
          <w:color w:val="auto"/>
        </w:rPr>
        <w:t>Healthcare providers, physicians and others will play a primary role in the recommendation and prescription of nomlabofusp or any potential product candidates, if approved. Our future arrangements with third-party payors will expose us broadly to applicable fraud and abuse and other healthcare laws and regulations that may constrain the business or financial arrangements and relationships through which we market, sell and distribute nomlabofusp or potential product candidates, if we obtain marketing approval. In addition, we may be subject to patient privacy regulation by both the federal government and the states or other countries in which we conduct our business. For more information, see the section of this report titled “Business – Healthcare Laws and Regulations – Other Healthcare Laws.”</w:t>
      </w:r>
    </w:p>
    <w:p>
      <w:pPr>
        <w:spacing w:after="0" w:line="82" w:lineRule="exact"/>
        <w:rPr>
          <w:sz w:val="20"/>
          <w:szCs w:val="20"/>
          <w:color w:val="auto"/>
        </w:rPr>
      </w:pPr>
    </w:p>
    <w:p>
      <w:pPr>
        <w:ind w:left="360" w:right="400" w:firstLine="490"/>
        <w:spacing w:after="0" w:line="244" w:lineRule="auto"/>
        <w:rPr>
          <w:sz w:val="20"/>
          <w:szCs w:val="20"/>
          <w:color w:val="auto"/>
        </w:rPr>
      </w:pPr>
      <w:r>
        <w:rPr>
          <w:rFonts w:ascii="Times New Roman" w:cs="Times New Roman" w:eastAsia="Times New Roman" w:hAnsi="Times New Roman"/>
          <w:sz w:val="20"/>
          <w:szCs w:val="20"/>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and would materially adversely affect our business, financial condition and results of operations. If any of the physicians or other providers or entities with whom we expect to do business is found not to be in compliance with applicable laws, they may be subject to criminal, civil or administrative sanctions, including</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960" w:h="17280" w:orient="portrait"/>
          <w:cols w:equalWidth="0" w:num="1">
            <w:col w:w="10080"/>
          </w:cols>
          <w:pgMar w:left="1440" w:top="1440" w:right="1440" w:bottom="895" w:gutter="0" w:footer="0" w:header="0"/>
          <w:type w:val="continuous"/>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1060"/>
        <w:spacing w:after="0" w:line="277" w:lineRule="auto"/>
        <w:rPr>
          <w:sz w:val="20"/>
          <w:szCs w:val="20"/>
          <w:color w:val="auto"/>
        </w:rPr>
      </w:pPr>
      <w:r>
        <w:rPr>
          <w:rFonts w:ascii="Times New Roman" w:cs="Times New Roman" w:eastAsia="Times New Roman" w:hAnsi="Times New Roman"/>
          <w:sz w:val="20"/>
          <w:szCs w:val="20"/>
          <w:color w:val="auto"/>
        </w:rPr>
        <w:t>exclusions from government funded healthcare programs, which could have a material adverse effect on our business, results of operations, financial condition and prospects.</w:t>
      </w:r>
    </w:p>
    <w:p>
      <w:pPr>
        <w:spacing w:after="0" w:line="49" w:lineRule="exact"/>
        <w:rPr>
          <w:sz w:val="20"/>
          <w:szCs w:val="20"/>
          <w:color w:val="auto"/>
        </w:rPr>
      </w:pPr>
    </w:p>
    <w:p>
      <w:pPr>
        <w:ind w:left="360" w:right="8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68" w:lineRule="exact"/>
        <w:rPr>
          <w:sz w:val="20"/>
          <w:szCs w:val="20"/>
          <w:color w:val="auto"/>
        </w:rPr>
      </w:pPr>
    </w:p>
    <w:p>
      <w:pPr>
        <w:ind w:left="360" w:right="380" w:firstLine="490"/>
        <w:spacing w:after="0" w:line="241" w:lineRule="auto"/>
        <w:rPr>
          <w:sz w:val="20"/>
          <w:szCs w:val="20"/>
          <w:color w:val="auto"/>
        </w:rPr>
      </w:pPr>
      <w:r>
        <w:rPr>
          <w:rFonts w:ascii="Times New Roman" w:cs="Times New Roman" w:eastAsia="Times New Roman" w:hAnsi="Times New Roman"/>
          <w:sz w:val="20"/>
          <w:szCs w:val="20"/>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The pharmaceutical industry has been a particular focus of these efforts and has been significantly affected by major legislative initiatives. Previously, in March 2010, the ACA was enacted, which was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Healthcare reform initiatives recently culminated in the enactment of the IRA, which, among other things, allow allows HHS to directly negotiate the ceiling price of a statutorily specified number of drugs and biologic each year that CMS reimburses under Medicare Part B and Part D, requires the payment of rebates on Medicare Part B and Part D drugs whose prices have increased at a rate faster than the rate of inflation, and redesign the Medicare Part D cost sharing structure, including revising manufacturer financial liability for covered products. For more information, see the section of this report titled “Business – Healthcare Laws and Regulations – Healthcare Reform.” Moreover, the Creating and Restoring Equal Access to Equivalent Samples Act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spacing w:after="0" w:line="94" w:lineRule="exact"/>
        <w:rPr>
          <w:sz w:val="20"/>
          <w:szCs w:val="20"/>
          <w:color w:val="auto"/>
        </w:rPr>
      </w:pPr>
    </w:p>
    <w:p>
      <w:pPr>
        <w:ind w:left="360" w:right="520" w:firstLine="490"/>
        <w:spacing w:after="0" w:line="252" w:lineRule="auto"/>
        <w:rPr>
          <w:sz w:val="20"/>
          <w:szCs w:val="20"/>
          <w:color w:val="auto"/>
        </w:rPr>
      </w:pPr>
      <w:r>
        <w:rPr>
          <w:rFonts w:ascii="Times New Roman" w:cs="Times New Roman" w:eastAsia="Times New Roman" w:hAnsi="Times New Roman"/>
          <w:sz w:val="20"/>
          <w:szCs w:val="20"/>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55" w:lineRule="exact"/>
        <w:rPr>
          <w:sz w:val="20"/>
          <w:szCs w:val="20"/>
          <w:color w:val="auto"/>
        </w:rPr>
      </w:pPr>
    </w:p>
    <w:p>
      <w:pPr>
        <w:ind w:left="360" w:right="4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Even if approved, reimbursement policies could limit our ability to sell product candidates that we elect to sell on our own.</w:t>
      </w:r>
    </w:p>
    <w:p>
      <w:pPr>
        <w:spacing w:after="0" w:line="68"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nomlabofusp, if approved, or future product candidates that we elect to sell on our own and, if reimbursement is available, the level of such reimbursement. Reimbursement may impact the demand for, or the price of, product candidates that we elect to sell. If reimbursement is not available or is available only at limited levels, we may not be able to successfully commercialize product candidates that we elect to sell. For more information, see the section of this report titled “Business – Healthcare Laws and Regulations – Coverage and Reimbursement.”</w:t>
      </w:r>
    </w:p>
    <w:p>
      <w:pPr>
        <w:spacing w:after="0" w:line="86" w:lineRule="exact"/>
        <w:rPr>
          <w:sz w:val="20"/>
          <w:szCs w:val="20"/>
          <w:color w:val="auto"/>
        </w:rPr>
      </w:pPr>
    </w:p>
    <w:p>
      <w:pPr>
        <w:ind w:left="360" w:right="420" w:firstLine="490"/>
        <w:spacing w:after="0" w:line="278" w:lineRule="auto"/>
        <w:rPr>
          <w:sz w:val="20"/>
          <w:szCs w:val="20"/>
          <w:color w:val="auto"/>
        </w:rPr>
      </w:pPr>
      <w:r>
        <w:rPr>
          <w:rFonts w:ascii="Times New Roman" w:cs="Times New Roman" w:eastAsia="Times New Roman" w:hAnsi="Times New Roman"/>
          <w:sz w:val="19"/>
          <w:szCs w:val="19"/>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960" w:h="17280" w:orient="portrait"/>
          <w:cols w:equalWidth="0" w:num="1">
            <w:col w:w="10080"/>
          </w:cols>
          <w:pgMar w:left="1440" w:top="1440" w:right="1440" w:bottom="895" w:gutter="0" w:footer="0" w:header="0"/>
          <w:type w:val="continuous"/>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580"/>
        <w:spacing w:after="0" w:line="247" w:lineRule="auto"/>
        <w:rPr>
          <w:sz w:val="20"/>
          <w:szCs w:val="20"/>
          <w:color w:val="auto"/>
        </w:rPr>
      </w:pPr>
      <w:r>
        <w:rPr>
          <w:rFonts w:ascii="Times New Roman" w:cs="Times New Roman" w:eastAsia="Times New Roman" w:hAnsi="Times New Roman"/>
          <w:sz w:val="20"/>
          <w:szCs w:val="20"/>
          <w:color w:val="auto"/>
        </w:rPr>
        <w:t>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business, financial conditions and results of operations could be materially adversely affected.</w:t>
      </w:r>
    </w:p>
    <w:p>
      <w:pPr>
        <w:spacing w:after="0" w:line="80" w:lineRule="exact"/>
        <w:rPr>
          <w:sz w:val="20"/>
          <w:szCs w:val="20"/>
          <w:color w:val="auto"/>
        </w:rPr>
      </w:pPr>
    </w:p>
    <w:p>
      <w:pPr>
        <w:ind w:left="360" w:right="8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Even if we obtain marketing approval for a product candidate, our product candidates will remain subject to regulatory oversight.</w:t>
      </w:r>
    </w:p>
    <w:p>
      <w:pPr>
        <w:spacing w:after="0" w:line="49" w:lineRule="exact"/>
        <w:rPr>
          <w:sz w:val="20"/>
          <w:szCs w:val="20"/>
          <w:color w:val="auto"/>
        </w:rPr>
      </w:pPr>
    </w:p>
    <w:p>
      <w:pPr>
        <w:ind w:left="360" w:right="400" w:firstLine="490"/>
        <w:spacing w:after="0" w:line="242" w:lineRule="auto"/>
        <w:rPr>
          <w:sz w:val="20"/>
          <w:szCs w:val="20"/>
          <w:color w:val="auto"/>
        </w:rPr>
      </w:pPr>
      <w:r>
        <w:rPr>
          <w:rFonts w:ascii="Times New Roman" w:cs="Times New Roman" w:eastAsia="Times New Roman" w:hAnsi="Times New Roman"/>
          <w:sz w:val="20"/>
          <w:szCs w:val="20"/>
          <w:color w:val="auto"/>
        </w:rPr>
        <w:t>Even if we receive marketing approval for nomlabofusp or a future product candidate, regulatory authorities may still impose significant restrictions on the indicated uses or marketing or impose ongoing requirements for potentially costly post-approval studies. Nomlabofusp or future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An unsuccessful post-marketing study or failure to complete such a study could result in the withdrawal of marketing approval. Any regulatory approvals that we receive for nomlabofusp may also be subject to a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or NDA is obligated to monitor and report adverse events and any failure of a product to meet the specifications in the BLA or NDA. The holder of an approved BLA or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87" w:lineRule="exact"/>
        <w:rPr>
          <w:sz w:val="20"/>
          <w:szCs w:val="20"/>
          <w:color w:val="auto"/>
        </w:rPr>
      </w:pPr>
    </w:p>
    <w:p>
      <w:pPr>
        <w:ind w:left="360" w:right="380" w:firstLine="490"/>
        <w:spacing w:after="0" w:line="245" w:lineRule="auto"/>
        <w:rPr>
          <w:sz w:val="20"/>
          <w:szCs w:val="20"/>
          <w:color w:val="auto"/>
        </w:rPr>
      </w:pPr>
      <w:r>
        <w:rPr>
          <w:rFonts w:ascii="Times New Roman" w:cs="Times New Roman" w:eastAsia="Times New Roman" w:hAnsi="Times New Roman"/>
          <w:sz w:val="20"/>
          <w:szCs w:val="20"/>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NDA or foreign marketing application. If we, or a regulatory authority, discover(s) previously unknown problems with a product, such as adverse events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82" w:lineRule="exact"/>
        <w:rPr>
          <w:sz w:val="20"/>
          <w:szCs w:val="20"/>
          <w:color w:val="auto"/>
        </w:rPr>
      </w:pPr>
    </w:p>
    <w:p>
      <w:pPr>
        <w:ind w:left="360" w:right="1140" w:firstLine="490"/>
        <w:spacing w:after="0" w:line="277" w:lineRule="auto"/>
        <w:rPr>
          <w:sz w:val="20"/>
          <w:szCs w:val="20"/>
          <w:color w:val="auto"/>
        </w:rPr>
      </w:pPr>
      <w:r>
        <w:rPr>
          <w:rFonts w:ascii="Times New Roman" w:cs="Times New Roman" w:eastAsia="Times New Roman" w:hAnsi="Times New Roman"/>
          <w:sz w:val="20"/>
          <w:szCs w:val="20"/>
          <w:color w:val="auto"/>
        </w:rPr>
        <w:t>If we or our contractors fail to comply with applicable regulatory requirements following approval of nomlabofusp, a regulatory authority may:</w:t>
      </w:r>
    </w:p>
    <w:p>
      <w:pPr>
        <w:spacing w:after="0" w:line="63" w:lineRule="exact"/>
        <w:rPr>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issue a warning letter, or untitled letter asserting that we are in violation of the law;</w:t>
      </w:r>
    </w:p>
    <w:p>
      <w:pPr>
        <w:spacing w:after="0" w:line="133" w:lineRule="exact"/>
        <w:rPr>
          <w:rFonts w:ascii="Arial" w:cs="Arial" w:eastAsia="Arial" w:hAnsi="Arial"/>
          <w:sz w:val="20"/>
          <w:szCs w:val="20"/>
          <w:color w:val="auto"/>
        </w:rPr>
      </w:pPr>
    </w:p>
    <w:p>
      <w:pPr>
        <w:ind w:left="1080" w:right="400" w:hanging="360"/>
        <w:spacing w:after="0" w:line="276" w:lineRule="auto"/>
        <w:tabs>
          <w:tab w:leader="none" w:pos="10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require us to enter into a consent decree, which can include imposition of various fines, reimbursements for inspection costs, required due dates for specific actions and penalties for non-compliance;</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request voluntary product recalls;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seek an injunction or impose administrative, civil or criminal penalties or monetary fines;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suspend or withdraw regulatory approval;</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suspend any ongoing clinical trials;</w:t>
      </w:r>
    </w:p>
    <w:p>
      <w:pPr>
        <w:spacing w:after="0" w:line="133" w:lineRule="exact"/>
        <w:rPr>
          <w:rFonts w:ascii="Arial" w:cs="Arial" w:eastAsia="Arial" w:hAnsi="Arial"/>
          <w:sz w:val="20"/>
          <w:szCs w:val="20"/>
          <w:color w:val="auto"/>
        </w:rPr>
      </w:pPr>
    </w:p>
    <w:p>
      <w:pPr>
        <w:ind w:left="1080" w:right="1380" w:hanging="360"/>
        <w:spacing w:after="0" w:line="276" w:lineRule="auto"/>
        <w:tabs>
          <w:tab w:leader="none" w:pos="10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refuse to approve a pending BLA or NDA or comparable foreign marketing application (or any supplements thereto) submitted by us;</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restrict the marketing or manufacturing of the product;</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seize or detain the product or otherwise require the withdrawal of the product from the market;</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refuse to permit the import or export of product candidates; or</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960" w:h="17280" w:orient="portrait"/>
          <w:cols w:equalWidth="0" w:num="1">
            <w:col w:w="10080"/>
          </w:cols>
          <w:pgMar w:left="1440" w:top="1440" w:right="1440" w:bottom="895" w:gutter="0" w:footer="0" w:header="0"/>
          <w:type w:val="continuous"/>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refuse to allow us to enter into supply contracts, including government contracts.</w:t>
      </w:r>
    </w:p>
    <w:p>
      <w:pPr>
        <w:spacing w:after="0" w:line="119" w:lineRule="exact"/>
        <w:rPr>
          <w:sz w:val="20"/>
          <w:szCs w:val="20"/>
          <w:color w:val="auto"/>
        </w:rPr>
      </w:pPr>
    </w:p>
    <w:p>
      <w:pPr>
        <w:ind w:left="360" w:right="380" w:firstLine="490"/>
        <w:spacing w:after="0" w:line="252" w:lineRule="auto"/>
        <w:rPr>
          <w:sz w:val="20"/>
          <w:szCs w:val="20"/>
          <w:color w:val="auto"/>
        </w:rPr>
      </w:pPr>
      <w:r>
        <w:rPr>
          <w:rFonts w:ascii="Times New Roman" w:cs="Times New Roman" w:eastAsia="Times New Roman" w:hAnsi="Times New Roman"/>
          <w:sz w:val="20"/>
          <w:szCs w:val="20"/>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nomlabofusp, if approved, and adversely affect our business, financial condition, results of operations and prospects.</w:t>
      </w:r>
    </w:p>
    <w:p>
      <w:pPr>
        <w:spacing w:after="0" w:line="74" w:lineRule="exact"/>
        <w:rPr>
          <w:sz w:val="20"/>
          <w:szCs w:val="20"/>
          <w:color w:val="auto"/>
        </w:rPr>
      </w:pPr>
    </w:p>
    <w:p>
      <w:pPr>
        <w:ind w:left="360" w:right="380" w:firstLine="490"/>
        <w:spacing w:after="0" w:line="245" w:lineRule="auto"/>
        <w:rPr>
          <w:sz w:val="20"/>
          <w:szCs w:val="20"/>
          <w:color w:val="auto"/>
        </w:rPr>
      </w:pPr>
      <w:r>
        <w:rPr>
          <w:rFonts w:ascii="Times New Roman" w:cs="Times New Roman" w:eastAsia="Times New Roman" w:hAnsi="Times New Roman"/>
          <w:sz w:val="20"/>
          <w:szCs w:val="20"/>
          <w:color w:val="auto"/>
        </w:rPr>
        <w:t>In addition, the FDA’s policies, and those of equivalent foreign regulatory agencies, may change and additional government regulations may be enacted that could prevent, limit or delay regulatory approval of nomlabofusp.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82" w:lineRule="exact"/>
        <w:rPr>
          <w:sz w:val="20"/>
          <w:szCs w:val="20"/>
          <w:color w:val="auto"/>
        </w:rPr>
      </w:pPr>
    </w:p>
    <w:p>
      <w:pPr>
        <w:ind w:left="360" w:right="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marketing approval for nomlabofusp in the United States, we may never receive regulatory approval to market nomlabofusp outside of the United States.</w:t>
      </w:r>
    </w:p>
    <w:p>
      <w:pPr>
        <w:spacing w:after="0" w:line="49" w:lineRule="exact"/>
        <w:rPr>
          <w:sz w:val="20"/>
          <w:szCs w:val="20"/>
          <w:color w:val="auto"/>
        </w:rPr>
      </w:pPr>
    </w:p>
    <w:p>
      <w:pPr>
        <w:ind w:left="360" w:right="420" w:firstLine="490"/>
        <w:spacing w:after="0" w:line="242" w:lineRule="auto"/>
        <w:rPr>
          <w:sz w:val="20"/>
          <w:szCs w:val="20"/>
          <w:color w:val="auto"/>
        </w:rPr>
      </w:pPr>
      <w:r>
        <w:rPr>
          <w:rFonts w:ascii="Times New Roman" w:cs="Times New Roman" w:eastAsia="Times New Roman" w:hAnsi="Times New Roman"/>
          <w:sz w:val="20"/>
          <w:szCs w:val="20"/>
          <w:color w:val="auto"/>
        </w:rPr>
        <w:t>We may pursue marketing approval for nomlabofusp in the United States, the European Union and in other jurisdictions worldwide. In order to market any product outside of the United States, we must establish and comply with the numerous and varying safety, efficacy and other regulatory requirements of other jurisdictions, including potential additional clinical trials and/or non-clinical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89" w:lineRule="exact"/>
        <w:rPr>
          <w:sz w:val="20"/>
          <w:szCs w:val="20"/>
          <w:color w:val="auto"/>
        </w:rPr>
      </w:pPr>
    </w:p>
    <w:p>
      <w:pPr>
        <w:ind w:left="360" w:right="7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future growth depends, in part, on our ability to penetrate foreign markets, where we would be subject to additional regulatory burdens and other risks and uncertainties.</w:t>
      </w:r>
    </w:p>
    <w:p>
      <w:pPr>
        <w:spacing w:after="0" w:line="49" w:lineRule="exact"/>
        <w:rPr>
          <w:sz w:val="20"/>
          <w:szCs w:val="20"/>
          <w:color w:val="auto"/>
        </w:rPr>
      </w:pPr>
    </w:p>
    <w:p>
      <w:pPr>
        <w:jc w:val="both"/>
        <w:ind w:left="360" w:right="400" w:firstLine="490"/>
        <w:spacing w:after="0" w:line="249" w:lineRule="auto"/>
        <w:rPr>
          <w:sz w:val="20"/>
          <w:szCs w:val="20"/>
          <w:color w:val="auto"/>
        </w:rPr>
      </w:pPr>
      <w:r>
        <w:rPr>
          <w:rFonts w:ascii="Times New Roman" w:cs="Times New Roman" w:eastAsia="Times New Roman" w:hAnsi="Times New Roman"/>
          <w:sz w:val="20"/>
          <w:szCs w:val="20"/>
          <w:color w:val="auto"/>
        </w:rPr>
        <w:t>The prevalence of FA is estimated to be approximately three times greater in the European Union than in the United States, and, therefore, represents our largest potential market for nomlabofusp. Our future profitability will depend, in part, on our ability to commercialize nomlabofusp and future product candidates in the European Union and other foreign markets for which we may rely on collaborations with third parties. If we commercialize a product candidate in foreign markets, we would be subject to additional risks and uncertainties, including:</w:t>
      </w:r>
    </w:p>
    <w:p>
      <w:pPr>
        <w:spacing w:after="0" w:line="91" w:lineRule="exact"/>
        <w:rPr>
          <w:sz w:val="20"/>
          <w:szCs w:val="20"/>
          <w:color w:val="auto"/>
        </w:rPr>
      </w:pPr>
    </w:p>
    <w:p>
      <w:pPr>
        <w:ind w:left="1080" w:hanging="360"/>
        <w:spacing w:after="0"/>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customers’ ability to obtain reimbursement for a product candidate in foreign markets;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the FCPA;</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directly control commercial activities because we may need to rely on third parties;</w:t>
      </w:r>
    </w:p>
    <w:p>
      <w:pPr>
        <w:spacing w:after="0" w:line="133" w:lineRule="exact"/>
        <w:rPr>
          <w:rFonts w:ascii="Arial" w:cs="Arial" w:eastAsia="Arial" w:hAnsi="Arial"/>
          <w:sz w:val="20"/>
          <w:szCs w:val="20"/>
          <w:color w:val="auto"/>
        </w:rPr>
      </w:pPr>
    </w:p>
    <w:p>
      <w:pPr>
        <w:ind w:left="1080" w:right="1160" w:hanging="360"/>
        <w:spacing w:after="0" w:line="276" w:lineRule="auto"/>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burden of complying with complex and changing foreign regulatory, tax, accounting and legal requirements;</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different medical practices and customs in foreign countries affecting acceptance in the marketplace;</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import or export licensing requirements;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longer accounts receivable collection times;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longer lead times for shipping;</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960" w:h="17280" w:orient="portrait"/>
          <w:cols w:equalWidth="0" w:num="1">
            <w:col w:w="10080"/>
          </w:cols>
          <w:pgMar w:left="1440" w:top="1440" w:right="1440" w:bottom="895" w:gutter="0" w:footer="0" w:header="0"/>
          <w:type w:val="continuous"/>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80" w:hanging="360"/>
        <w:spacing w:after="0"/>
        <w:tabs>
          <w:tab w:leader="none" w:pos="10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language barriers for technical training;</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reduced protection of intellectual property rights in some foreign countries;</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foreign currency exchange rate fluctuations; and</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the interpretation of contractual provisions governed by foreign laws in the event of a contract dispute.</w:t>
      </w:r>
    </w:p>
    <w:p>
      <w:pPr>
        <w:spacing w:after="0" w:line="119" w:lineRule="exact"/>
        <w:rPr>
          <w:sz w:val="20"/>
          <w:szCs w:val="20"/>
          <w:color w:val="auto"/>
        </w:rPr>
      </w:pPr>
    </w:p>
    <w:p>
      <w:pPr>
        <w:ind w:left="360" w:right="380" w:firstLine="490"/>
        <w:spacing w:after="0" w:line="258" w:lineRule="auto"/>
        <w:rPr>
          <w:sz w:val="20"/>
          <w:szCs w:val="20"/>
          <w:color w:val="auto"/>
        </w:rPr>
      </w:pPr>
      <w:r>
        <w:rPr>
          <w:rFonts w:ascii="Times New Roman" w:cs="Times New Roman" w:eastAsia="Times New Roman" w:hAnsi="Times New Roman"/>
          <w:sz w:val="20"/>
          <w:szCs w:val="20"/>
          <w:color w:val="auto"/>
        </w:rPr>
        <w:t>Sales in the European Union and other foreign markets of a product candidate could also be adversely affected by the imposition of governmental controls, political and economic instability, trade restrictions and changes in tariffs.</w:t>
      </w:r>
    </w:p>
    <w:p>
      <w:pPr>
        <w:spacing w:after="0" w:line="68" w:lineRule="exact"/>
        <w:rPr>
          <w:sz w:val="20"/>
          <w:szCs w:val="20"/>
          <w:color w:val="auto"/>
        </w:rPr>
      </w:pPr>
    </w:p>
    <w:p>
      <w:pPr>
        <w:ind w:left="360" w:right="9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sales and marketing capabilities or enter into agreements with third parties to market and sell nomlabofusp, if approved, we may not be able to generate any revenue.</w:t>
      </w:r>
    </w:p>
    <w:p>
      <w:pPr>
        <w:spacing w:after="0" w:line="49" w:lineRule="exact"/>
        <w:rPr>
          <w:sz w:val="20"/>
          <w:szCs w:val="20"/>
          <w:color w:val="auto"/>
        </w:rPr>
      </w:pPr>
    </w:p>
    <w:p>
      <w:pPr>
        <w:ind w:left="360" w:right="400" w:firstLine="490"/>
        <w:spacing w:after="0" w:line="246" w:lineRule="auto"/>
        <w:rPr>
          <w:sz w:val="20"/>
          <w:szCs w:val="20"/>
          <w:color w:val="auto"/>
        </w:rPr>
      </w:pPr>
      <w:r>
        <w:rPr>
          <w:rFonts w:ascii="Times New Roman" w:cs="Times New Roman" w:eastAsia="Times New Roman" w:hAnsi="Times New Roman"/>
          <w:sz w:val="20"/>
          <w:szCs w:val="20"/>
          <w:color w:val="auto"/>
        </w:rPr>
        <w:t>We do not currently have an established infrastructure for the sales, marketing and distribution of biologic or drug products in the United States or foreign countries. In order to market a product candidate, if approved by the FDA or any other regulatory authority,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80" w:lineRule="exact"/>
        <w:rPr>
          <w:sz w:val="20"/>
          <w:szCs w:val="20"/>
          <w:color w:val="auto"/>
        </w:rPr>
      </w:pPr>
    </w:p>
    <w:p>
      <w:pPr>
        <w:ind w:left="360" w:right="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marketing approval for nomlabofusp, we may not achieve broad market acceptance, which would limit the revenue that we generate from our sales.</w:t>
      </w:r>
    </w:p>
    <w:p>
      <w:pPr>
        <w:spacing w:after="0" w:line="49" w:lineRule="exact"/>
        <w:rPr>
          <w:sz w:val="20"/>
          <w:szCs w:val="20"/>
          <w:color w:val="auto"/>
        </w:rPr>
      </w:pPr>
    </w:p>
    <w:p>
      <w:pPr>
        <w:ind w:left="360" w:right="380" w:firstLine="490"/>
        <w:spacing w:after="0" w:line="270" w:lineRule="auto"/>
        <w:rPr>
          <w:sz w:val="20"/>
          <w:szCs w:val="20"/>
          <w:color w:val="auto"/>
        </w:rPr>
      </w:pPr>
      <w:r>
        <w:rPr>
          <w:rFonts w:ascii="Times New Roman" w:cs="Times New Roman" w:eastAsia="Times New Roman" w:hAnsi="Times New Roman"/>
          <w:sz w:val="19"/>
          <w:szCs w:val="19"/>
          <w:color w:val="auto"/>
        </w:rPr>
        <w:t>The commercial success of nomlabofusp, if developed and approved for marketing by the FDA or EMA or other applicable regulatory authorities, will depend upon the market size for, and the awareness and acceptance of nomlabofusp among the medical community, including physicians, patients, advocacy groups and healthcare payors. Market acceptance of nomlabofusp, if approved, will depend on a number of factors, including, among others:</w:t>
      </w:r>
    </w:p>
    <w:p>
      <w:pPr>
        <w:spacing w:after="0" w:line="71" w:lineRule="exact"/>
        <w:rPr>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if the actual number of patients with FA is lower than we believe;</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relative convenience and ease of subcutaneous injections as the necessary method of administration;</w:t>
      </w:r>
    </w:p>
    <w:p>
      <w:pPr>
        <w:spacing w:after="0" w:line="133"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adverse side effects associated with nomlabofusp;</w:t>
      </w:r>
    </w:p>
    <w:p>
      <w:pPr>
        <w:spacing w:after="0" w:line="133" w:lineRule="exact"/>
        <w:rPr>
          <w:rFonts w:ascii="Arial" w:cs="Arial" w:eastAsia="Arial" w:hAnsi="Arial"/>
          <w:sz w:val="20"/>
          <w:szCs w:val="20"/>
          <w:color w:val="auto"/>
        </w:rPr>
      </w:pPr>
    </w:p>
    <w:p>
      <w:pPr>
        <w:ind w:left="1080" w:right="520" w:hanging="360"/>
        <w:spacing w:after="0" w:line="258" w:lineRule="auto"/>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or warnings contained in the labeling approved for nomlabofusp by the FDA, EMA, or other regulatory authorities, such as a “boxed” warning or if any approval that we obtain is based on a narrower definition of possible patient populations;</w:t>
      </w:r>
    </w:p>
    <w:p>
      <w:pPr>
        <w:spacing w:after="0" w:line="81" w:lineRule="exact"/>
        <w:rPr>
          <w:rFonts w:ascii="Arial" w:cs="Arial" w:eastAsia="Arial" w:hAnsi="Arial"/>
          <w:sz w:val="20"/>
          <w:szCs w:val="20"/>
          <w:color w:val="auto"/>
        </w:rPr>
      </w:pPr>
    </w:p>
    <w:p>
      <w:pPr>
        <w:ind w:left="1080" w:right="540" w:hanging="360"/>
        <w:spacing w:after="0" w:line="304" w:lineRule="auto"/>
        <w:tabs>
          <w:tab w:leader="none" w:pos="1080" w:val="left"/>
        </w:tabs>
        <w:numPr>
          <w:ilvl w:val="0"/>
          <w:numId w:val="41"/>
        </w:numPr>
        <w:rPr>
          <w:rFonts w:ascii="Arial" w:cs="Arial" w:eastAsia="Arial" w:hAnsi="Arial"/>
          <w:sz w:val="19"/>
          <w:szCs w:val="19"/>
          <w:color w:val="auto"/>
        </w:rPr>
      </w:pPr>
      <w:r>
        <w:rPr>
          <w:rFonts w:ascii="Times New Roman" w:cs="Times New Roman" w:eastAsia="Times New Roman" w:hAnsi="Times New Roman"/>
          <w:sz w:val="19"/>
          <w:szCs w:val="19"/>
          <w:color w:val="auto"/>
        </w:rPr>
        <w:t>availability of alternative treatments, including any competitive FA therapies approved or in development that have been or could be approved or commercially launched prior to approval of nomlabofusp;</w:t>
      </w:r>
    </w:p>
    <w:p>
      <w:pPr>
        <w:spacing w:after="0" w:line="39" w:lineRule="exact"/>
        <w:rPr>
          <w:rFonts w:ascii="Arial" w:cs="Arial" w:eastAsia="Arial" w:hAnsi="Arial"/>
          <w:sz w:val="19"/>
          <w:szCs w:val="19"/>
          <w:color w:val="auto"/>
        </w:rPr>
      </w:pPr>
    </w:p>
    <w:p>
      <w:pPr>
        <w:ind w:left="1080" w:right="740" w:hanging="360"/>
        <w:spacing w:after="0" w:line="276" w:lineRule="auto"/>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new therapies and of physicians to prescribe these therapies;</w:t>
      </w:r>
    </w:p>
    <w:p>
      <w:pPr>
        <w:spacing w:after="0" w:line="64" w:lineRule="exact"/>
        <w:rPr>
          <w:rFonts w:ascii="Arial" w:cs="Arial" w:eastAsia="Arial" w:hAnsi="Arial"/>
          <w:sz w:val="20"/>
          <w:szCs w:val="20"/>
          <w:color w:val="auto"/>
        </w:rPr>
      </w:pPr>
    </w:p>
    <w:p>
      <w:pPr>
        <w:ind w:left="1080" w:right="1060" w:hanging="360"/>
        <w:spacing w:after="0" w:line="276" w:lineRule="auto"/>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of marketing and distribution support and timing of market introduction of competitive products;</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publicity concerning our products or competing products and treatments;</w:t>
      </w:r>
    </w:p>
    <w:p>
      <w:pPr>
        <w:spacing w:after="0" w:line="114"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pricing;</w:t>
      </w:r>
    </w:p>
    <w:p>
      <w:pPr>
        <w:spacing w:after="0" w:line="110"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patient acceptance of the cost and inconvenience associated with refrigerated storage for nomlabofusp;</w:t>
      </w:r>
    </w:p>
    <w:p>
      <w:pPr>
        <w:spacing w:after="0" w:line="110"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payor acceptance;</w:t>
      </w:r>
    </w:p>
    <w:p>
      <w:pPr>
        <w:spacing w:after="0" w:line="110"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political pressure on pharmaceutical pricing;</w:t>
      </w:r>
    </w:p>
    <w:p>
      <w:pPr>
        <w:spacing w:after="0" w:line="110"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pressure on orphan drug pricing for affected patient groups;</w:t>
      </w:r>
    </w:p>
    <w:p>
      <w:pPr>
        <w:spacing w:after="0" w:line="110" w:lineRule="exact"/>
        <w:rPr>
          <w:rFonts w:ascii="Arial" w:cs="Arial" w:eastAsia="Arial" w:hAnsi="Arial"/>
          <w:sz w:val="20"/>
          <w:szCs w:val="20"/>
          <w:color w:val="auto"/>
        </w:rPr>
      </w:pPr>
    </w:p>
    <w:p>
      <w:pPr>
        <w:ind w:left="1080" w:right="400" w:hanging="360"/>
        <w:spacing w:after="0" w:line="252" w:lineRule="auto"/>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any future changes in U.S. healthcare, including medical financial assistance or a transition to a single-payor system;</w:t>
      </w:r>
    </w:p>
    <w:p>
      <w:pPr>
        <w:spacing w:after="0" w:line="64"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effectiveness of our sales and marketing strategies;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960" w:h="17280" w:orient="portrait"/>
          <w:cols w:equalWidth="0" w:num="1">
            <w:col w:w="10080"/>
          </w:cols>
          <w:pgMar w:left="1440" w:top="1440" w:right="1440" w:bottom="895" w:gutter="0" w:footer="0" w:header="0"/>
          <w:type w:val="continuous"/>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80" w:hanging="360"/>
        <w:spacing w:after="0"/>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increase awareness of nomlabofusp through marketing efforts;</w:t>
      </w:r>
    </w:p>
    <w:p>
      <w:pPr>
        <w:spacing w:after="0" w:line="110" w:lineRule="exact"/>
        <w:rPr>
          <w:rFonts w:ascii="Arial" w:cs="Arial" w:eastAsia="Arial" w:hAnsi="Arial"/>
          <w:sz w:val="20"/>
          <w:szCs w:val="20"/>
          <w:color w:val="auto"/>
        </w:rPr>
      </w:pPr>
    </w:p>
    <w:p>
      <w:pPr>
        <w:ind w:left="1080" w:hanging="360"/>
        <w:spacing w:after="0"/>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sufficient third-party coverage or reimbursement;</w:t>
      </w:r>
    </w:p>
    <w:p>
      <w:pPr>
        <w:spacing w:after="0" w:line="110" w:lineRule="exact"/>
        <w:rPr>
          <w:rFonts w:ascii="Arial" w:cs="Arial" w:eastAsia="Arial" w:hAnsi="Arial"/>
          <w:sz w:val="20"/>
          <w:szCs w:val="20"/>
          <w:color w:val="auto"/>
        </w:rPr>
      </w:pPr>
    </w:p>
    <w:p>
      <w:pPr>
        <w:ind w:left="1080" w:hanging="360"/>
        <w:spacing w:after="0"/>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or ability of patients to pay out-of-pocket in the absence of third-party coverage; and</w:t>
      </w:r>
    </w:p>
    <w:p>
      <w:pPr>
        <w:spacing w:after="0" w:line="110" w:lineRule="exact"/>
        <w:rPr>
          <w:rFonts w:ascii="Arial" w:cs="Arial" w:eastAsia="Arial" w:hAnsi="Arial"/>
          <w:sz w:val="20"/>
          <w:szCs w:val="20"/>
          <w:color w:val="auto"/>
        </w:rPr>
      </w:pPr>
    </w:p>
    <w:p>
      <w:pPr>
        <w:ind w:left="1080" w:right="540" w:hanging="360"/>
        <w:spacing w:after="0" w:line="236" w:lineRule="auto"/>
        <w:tabs>
          <w:tab w:leader="none" w:pos="10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80" w:lineRule="exact"/>
        <w:rPr>
          <w:sz w:val="20"/>
          <w:szCs w:val="20"/>
          <w:color w:val="auto"/>
        </w:rPr>
      </w:pPr>
    </w:p>
    <w:p>
      <w:pPr>
        <w:ind w:left="360" w:right="420" w:firstLine="490"/>
        <w:spacing w:after="0" w:line="249" w:lineRule="auto"/>
        <w:rPr>
          <w:sz w:val="20"/>
          <w:szCs w:val="20"/>
          <w:color w:val="auto"/>
        </w:rPr>
      </w:pPr>
      <w:r>
        <w:rPr>
          <w:rFonts w:ascii="Times New Roman" w:cs="Times New Roman" w:eastAsia="Times New Roman" w:hAnsi="Times New Roman"/>
          <w:sz w:val="20"/>
          <w:szCs w:val="20"/>
          <w:color w:val="auto"/>
        </w:rPr>
        <w:t>If nomlabofusp is approved but does not achieve an adequate level of acceptance by patients, advocacy groups, physicians and payors, we may not generate sufficient revenue from nomlabofusp to become or remain profitable and our business, financial condition and results of operations could be materially adversely affected. Our efforts to educate the medical community and third-party payors about the benefits of nomlabofusp may require significant resources and may never be successful.</w:t>
      </w:r>
    </w:p>
    <w:p>
      <w:pPr>
        <w:spacing w:after="0" w:line="58" w:lineRule="exact"/>
        <w:rPr>
          <w:sz w:val="20"/>
          <w:szCs w:val="20"/>
          <w:color w:val="auto"/>
        </w:rPr>
      </w:pPr>
    </w:p>
    <w:p>
      <w:pPr>
        <w:jc w:val="both"/>
        <w:ind w:left="360" w:right="5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76" w:lineRule="exact"/>
        <w:rPr>
          <w:sz w:val="20"/>
          <w:szCs w:val="20"/>
          <w:color w:val="auto"/>
        </w:rPr>
      </w:pPr>
    </w:p>
    <w:p>
      <w:pPr>
        <w:ind w:left="360" w:right="360" w:firstLine="490"/>
        <w:spacing w:after="0" w:line="236" w:lineRule="auto"/>
        <w:rPr>
          <w:sz w:val="20"/>
          <w:szCs w:val="20"/>
          <w:color w:val="auto"/>
        </w:rPr>
      </w:pPr>
      <w:r>
        <w:rPr>
          <w:rFonts w:ascii="Times New Roman" w:cs="Times New Roman" w:eastAsia="Times New Roman" w:hAnsi="Times New Roman"/>
          <w:sz w:val="20"/>
          <w:szCs w:val="20"/>
          <w:color w:val="auto"/>
        </w:rPr>
        <w:t>The FDA and other regulatory agencies strictly regulate the promotional claims that may be made about prescription products, such as nomlabofusp or any potential product candidates, if approved. If we receive marketing approval for nomlabofusp, or any potential product candidates,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we cannot successfully manage the promotion of nomlabofusp or any potential product candidates, if approved, we could become subject to significant liability, which would materially adversely affect our business, financial condition and results of operations.</w:t>
      </w:r>
    </w:p>
    <w:p>
      <w:pPr>
        <w:spacing w:after="0" w:line="86" w:lineRule="exact"/>
        <w:rPr>
          <w:sz w:val="20"/>
          <w:szCs w:val="20"/>
          <w:color w:val="auto"/>
        </w:rPr>
      </w:pPr>
    </w:p>
    <w:p>
      <w:pPr>
        <w:ind w:left="360" w:right="600"/>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Additional competing technologies could emerge, adversely affecting our opportunity to generate revenue from the sale of nomlabofusp, if approved.</w:t>
      </w:r>
    </w:p>
    <w:p>
      <w:pPr>
        <w:spacing w:after="0" w:line="49" w:lineRule="exact"/>
        <w:rPr>
          <w:sz w:val="20"/>
          <w:szCs w:val="20"/>
          <w:color w:val="auto"/>
        </w:rPr>
      </w:pPr>
    </w:p>
    <w:p>
      <w:pPr>
        <w:jc w:val="both"/>
        <w:ind w:left="360" w:right="380" w:firstLine="490"/>
        <w:spacing w:after="0" w:line="255" w:lineRule="auto"/>
        <w:rPr>
          <w:sz w:val="20"/>
          <w:szCs w:val="20"/>
          <w:color w:val="auto"/>
        </w:rPr>
      </w:pPr>
      <w:r>
        <w:rPr>
          <w:rFonts w:ascii="Times New Roman" w:cs="Times New Roman" w:eastAsia="Times New Roman" w:hAnsi="Times New Roman"/>
          <w:sz w:val="19"/>
          <w:szCs w:val="19"/>
          <w:color w:val="auto"/>
        </w:rPr>
        <w:t>The biotechnology and pharmaceutical industries are intensely competitive and subject to rapid and significant technological change. For example, omaveloxolone, was approved for the treatment of FA in adults and adolescents aged 16 and older by the FDA and the European Commission in February 2023 and February 2024, respectively.</w:t>
      </w:r>
    </w:p>
    <w:p>
      <w:pPr>
        <w:spacing w:after="0" w:line="1" w:lineRule="exact"/>
        <w:rPr>
          <w:sz w:val="20"/>
          <w:szCs w:val="20"/>
          <w:color w:val="auto"/>
        </w:rPr>
      </w:pPr>
    </w:p>
    <w:p>
      <w:pPr>
        <w:ind w:left="360" w:right="360"/>
        <w:spacing w:after="0" w:line="233" w:lineRule="auto"/>
        <w:rPr>
          <w:sz w:val="20"/>
          <w:szCs w:val="20"/>
          <w:color w:val="auto"/>
        </w:rPr>
      </w:pPr>
      <w:r>
        <w:rPr>
          <w:rFonts w:ascii="Times New Roman" w:cs="Times New Roman" w:eastAsia="Times New Roman" w:hAnsi="Times New Roman"/>
          <w:sz w:val="20"/>
          <w:szCs w:val="20"/>
          <w:color w:val="auto"/>
        </w:rPr>
        <w:t>We expect nomlabofusp, if approved, will compete with omaveloxolone and other new, future approved products and may need to demonstrate compelling advantages in efficacy, convenience, tolerability and safety to be commercially successful. Other competitive factors, including biosimilar and gene therapy competition, could force us to lower prices or could result in reduced sales. Many of our current or potential competitors, either alone or with strategic partners, have significantly greater financial resources and expertise in research and development, manufacturing, non-clinical testing, conducting clinical trials, obtaining regulatory approvals, and marketing approved products than we do. New products developed by others could emerge as competitors to nomlabofusp or any other potential product candidates, resulting in nomlabofusp or other product candidates being obsolete before we are able to recover expenses incurred in connection with their development or realize revenues from any commercialized product. The pricing of our current product candidate, if and when approved for marketing, will depend, in part, on the pricing strategies adopted by our competitors. If these or other companies enact pricing strategies that impact the price we can charge for our product candidate, if approved, we may reduce our prices and our revenue and results of operations could be affected. Any new product could also affect our ability to recruit and retain clinical trial patients, to obtain and maintain designations or eligibility for expedited regulatory pathways, and to commercialize current and future product candidates. Given that we are still in a relatively early phase of development for nomlabofusp, the recent approval and commercialization of omaveloxolone and the approval of any future competing technologies could provide competitors with a significant competitive advantage and may create an additional barrier to market acceptance of nomlabofusp. If we are not able to compete effectively against our current and future competitors, our business will not grow and our financial condition and results of operations will be adversely affected.</w:t>
      </w:r>
    </w:p>
    <w:p>
      <w:pPr>
        <w:spacing w:after="0" w:line="92" w:lineRule="exact"/>
        <w:rPr>
          <w:sz w:val="20"/>
          <w:szCs w:val="20"/>
          <w:color w:val="auto"/>
        </w:rPr>
      </w:pPr>
    </w:p>
    <w:p>
      <w:pPr>
        <w:ind w:left="360" w:right="680" w:firstLine="490"/>
        <w:spacing w:after="0" w:line="297" w:lineRule="auto"/>
        <w:rPr>
          <w:sz w:val="20"/>
          <w:szCs w:val="20"/>
          <w:color w:val="auto"/>
        </w:rPr>
      </w:pPr>
      <w:r>
        <w:rPr>
          <w:rFonts w:ascii="Times New Roman" w:cs="Times New Roman" w:eastAsia="Times New Roman" w:hAnsi="Times New Roman"/>
          <w:sz w:val="19"/>
          <w:szCs w:val="19"/>
          <w:color w:val="auto"/>
        </w:rPr>
        <w:t>Mergers and acquisitions in the pharmaceutical and biotechnology industries may result in even more resources being concentrated among a smaller number of our competitors. Smaller or early-stage companies may</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960" w:h="17280" w:orient="portrait"/>
          <w:cols w:equalWidth="0" w:num="1">
            <w:col w:w="10080"/>
          </w:cols>
          <w:pgMar w:left="1440" w:top="1440" w:right="1440" w:bottom="895" w:gutter="0" w:footer="0" w:header="0"/>
          <w:type w:val="continuous"/>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 w:right="480"/>
        <w:spacing w:after="0" w:line="236" w:lineRule="auto"/>
        <w:rPr>
          <w:sz w:val="20"/>
          <w:szCs w:val="20"/>
          <w:color w:val="auto"/>
        </w:rPr>
      </w:pPr>
      <w:r>
        <w:rPr>
          <w:rFonts w:ascii="Times New Roman" w:cs="Times New Roman" w:eastAsia="Times New Roman" w:hAnsi="Times New Roman"/>
          <w:sz w:val="20"/>
          <w:szCs w:val="20"/>
          <w:color w:val="auto"/>
        </w:rPr>
        <w:t>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We may face competition from biosimilars and may face increasing competition over time.</w:t>
      </w:r>
    </w:p>
    <w:p>
      <w:pPr>
        <w:spacing w:after="0" w:line="113" w:lineRule="exact"/>
        <w:rPr>
          <w:sz w:val="20"/>
          <w:szCs w:val="20"/>
          <w:color w:val="auto"/>
        </w:rPr>
      </w:pPr>
    </w:p>
    <w:p>
      <w:pPr>
        <w:ind w:left="360" w:right="480" w:firstLine="490"/>
        <w:spacing w:after="0" w:line="239" w:lineRule="auto"/>
        <w:rPr>
          <w:sz w:val="20"/>
          <w:szCs w:val="20"/>
          <w:color w:val="auto"/>
        </w:rPr>
      </w:pPr>
      <w:r>
        <w:rPr>
          <w:rFonts w:ascii="Times New Roman" w:cs="Times New Roman" w:eastAsia="Times New Roman" w:hAnsi="Times New Roman"/>
          <w:sz w:val="20"/>
          <w:szCs w:val="20"/>
          <w:color w:val="auto"/>
        </w:rPr>
        <w:t>We may face competition from biosimilars in both the United States and Europe, and over time we may face increasing biosimilar competition. To the extent that governments adopt more permissive approval frameworks and competitors are able to obtain broader or expedited marketing approval for biosimilars, the rate of increased competition for our biologic drug products could accelerate. Expiration or successful challenge of applicable patent rights could trigger such competition, and we could face more litigation regarding the validity and/or scope of our patents. Our products may also experience greater competition from lower cost biosimilars or generics that come to market when branded products that compete with our products lose their own patent protection.</w:t>
      </w:r>
    </w:p>
    <w:p>
      <w:pPr>
        <w:spacing w:after="0" w:line="85" w:lineRule="exact"/>
        <w:rPr>
          <w:sz w:val="20"/>
          <w:szCs w:val="20"/>
          <w:color w:val="auto"/>
        </w:rPr>
      </w:pPr>
    </w:p>
    <w:p>
      <w:pPr>
        <w:ind w:left="360" w:right="360" w:firstLine="490"/>
        <w:spacing w:after="0" w:line="246" w:lineRule="auto"/>
        <w:rPr>
          <w:sz w:val="20"/>
          <w:szCs w:val="20"/>
          <w:color w:val="auto"/>
        </w:rPr>
      </w:pPr>
      <w:r>
        <w:rPr>
          <w:rFonts w:ascii="Times New Roman" w:cs="Times New Roman" w:eastAsia="Times New Roman" w:hAnsi="Times New Roman"/>
          <w:sz w:val="20"/>
          <w:szCs w:val="20"/>
          <w:color w:val="auto"/>
        </w:rPr>
        <w:t>In the European Union, the European Commission has granted marketing authorizations for biosimilars pursuant to a set of general and product class-specific guidelines for biosimilar approvals originally issued in 2005 and updated in 2014. In addition, in an effort to spur biosimilar utilization and/or increase potential healthcare savings, some countries in the European Union have adopted biosimilar uptake measures such as requiring physician prescribing quotas or promoting switching or pharmacy substitution of biosimilars for the corresponding reference products, and other countries may adopt similar measures. Some countries in the European Union may impose automatic price reductions upon market entry of the second or third biosimilar competitor.</w:t>
      </w:r>
    </w:p>
    <w:p>
      <w:pPr>
        <w:spacing w:after="0" w:line="80" w:lineRule="exact"/>
        <w:rPr>
          <w:sz w:val="20"/>
          <w:szCs w:val="20"/>
          <w:color w:val="auto"/>
        </w:rPr>
      </w:pPr>
    </w:p>
    <w:p>
      <w:pPr>
        <w:ind w:left="360" w:right="360" w:firstLine="490"/>
        <w:spacing w:after="0" w:line="242" w:lineRule="auto"/>
        <w:rPr>
          <w:sz w:val="20"/>
          <w:szCs w:val="20"/>
          <w:color w:val="auto"/>
        </w:rPr>
      </w:pPr>
      <w:r>
        <w:rPr>
          <w:rFonts w:ascii="Times New Roman" w:cs="Times New Roman" w:eastAsia="Times New Roman" w:hAnsi="Times New Roman"/>
          <w:sz w:val="20"/>
          <w:szCs w:val="20"/>
          <w:color w:val="auto"/>
        </w:rPr>
        <w:t>In the United States, the ACA authorized the FDA to license biosimilars via a separate, abbreviated pathway. A growing number of companies have announced that they are in varying stages of development of biosimilar versions of existing biotechnology products. Some companies pursuing development of biosimilars may challenge our patents well in advance of the expiration of our material patents. The U.S. pathway includes the option for biosimilar products meeting certain criteria to be approved as interchangeable with their reference products. Some companies developing biosimilars may seek to license their products as interchangeable biologics, which could make it easier for prescribers or pharmacists to substitute those biosimilars for our products. In addition, critics of the 12-year exclusivity period in the biosimilar pathway will likely continue to seek to shorten the data exclusivity period and/or to encourage the FDA to interpret narrowly the law’s provisions regarding which new products receive data exclusivity. While we are unable to predict the precise impact of biosimilars, we expect in the future for there to be greater competition in the United States as a result of biosimilars and downward pressure on product prices and sales. These biosimilars or generics may affect the tier designation by third party payors and may require prior authorization for use of nomlabofusp, thereby adding barriers to access. This additional competition could have a material adverse effect on our business, financial condition and results of operations.</w:t>
      </w:r>
    </w:p>
    <w:p>
      <w:pPr>
        <w:spacing w:after="0" w:line="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24" w:lineRule="exact"/>
        <w:rPr>
          <w:sz w:val="20"/>
          <w:szCs w:val="20"/>
          <w:color w:val="auto"/>
        </w:rPr>
      </w:pPr>
    </w:p>
    <w:p>
      <w:pPr>
        <w:ind w:left="360"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manage expected growth in the scale and complexity of our operations, including attracting and hiring additional qualified management, our performance may suffer.</w:t>
      </w:r>
    </w:p>
    <w:p>
      <w:pPr>
        <w:spacing w:after="0" w:line="49" w:lineRule="exact"/>
        <w:rPr>
          <w:sz w:val="20"/>
          <w:szCs w:val="20"/>
          <w:color w:val="auto"/>
        </w:rPr>
      </w:pPr>
    </w:p>
    <w:p>
      <w:pPr>
        <w:ind w:left="360" w:right="460" w:firstLine="490"/>
        <w:spacing w:after="0" w:line="244" w:lineRule="auto"/>
        <w:rPr>
          <w:sz w:val="20"/>
          <w:szCs w:val="20"/>
          <w:color w:val="auto"/>
        </w:rPr>
      </w:pPr>
      <w:r>
        <w:rPr>
          <w:rFonts w:ascii="Times New Roman" w:cs="Times New Roman" w:eastAsia="Times New Roman" w:hAnsi="Times New Roman"/>
          <w:sz w:val="20"/>
          <w:szCs w:val="20"/>
          <w:color w:val="auto"/>
        </w:rPr>
        <w:t>We are an early-stage clinical biotechnology company with a small number of employees, and our management systems currently in place are not likely to be adequate to support our future growth plans. As a result, we are highly dependent on our management and scientific personnel. The loss of the services of any of our executive officers, other key employees or consultants and other scientific advisors in the foreseeable future, might impede the achievement of our research, development and commercialization objectives. Competition for qualified personnel in the biopharmaceutical field is intense due to the limited number of individuals who possess the skills and experience required by our industry. We will need to continue to hire additional personnel as we expand our clinical development and if we initiate commercial activities. We may not be able to attract and retain quality personnel on acceptable terms, or at all. In addition, to the extent we hire personnel from competitors, we may be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960" w:h="17280" w:orient="portrait"/>
          <w:cols w:equalWidth="0" w:num="1">
            <w:col w:w="10080"/>
          </w:cols>
          <w:pgMar w:left="1440" w:top="1440" w:right="1440" w:bottom="895"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1020"/>
        <w:spacing w:after="0" w:line="277" w:lineRule="auto"/>
        <w:rPr>
          <w:sz w:val="20"/>
          <w:szCs w:val="20"/>
          <w:color w:val="auto"/>
        </w:rPr>
      </w:pPr>
      <w:r>
        <w:rPr>
          <w:rFonts w:ascii="Times New Roman" w:cs="Times New Roman" w:eastAsia="Times New Roman" w:hAnsi="Times New Roman"/>
          <w:sz w:val="20"/>
          <w:szCs w:val="20"/>
          <w:color w:val="auto"/>
        </w:rPr>
        <w:t>subject to allegations that they have been improperly solicited or that they have divulged proprietary or other confidential information, or that their former employers own their research output.</w:t>
      </w:r>
    </w:p>
    <w:p>
      <w:pPr>
        <w:spacing w:after="0" w:line="41" w:lineRule="exact"/>
        <w:rPr>
          <w:sz w:val="20"/>
          <w:szCs w:val="20"/>
          <w:color w:val="auto"/>
        </w:rPr>
      </w:pPr>
    </w:p>
    <w:p>
      <w:pPr>
        <w:ind w:left="360" w:right="420" w:firstLine="490"/>
        <w:spacing w:after="0" w:line="235" w:lineRule="auto"/>
        <w:rPr>
          <w:sz w:val="20"/>
          <w:szCs w:val="20"/>
          <w:color w:val="auto"/>
        </w:rPr>
      </w:pPr>
      <w:r>
        <w:rPr>
          <w:rFonts w:ascii="Times New Roman" w:cs="Times New Roman" w:eastAsia="Times New Roman" w:hAnsi="Times New Roman"/>
          <w:sz w:val="20"/>
          <w:szCs w:val="20"/>
          <w:color w:val="auto"/>
        </w:rPr>
        <w:t>We rely on consultants and advisors, including scientific, non-clinical, manufacturing and clinical advisors, to assist us in formulating our development and commercialization strategy. These consultants and advisors may be employed by other employers and may have commitments under consulting or advisory contracts with other entities that may limit their availability to us. In addition, a possible future pandemic, epidemic or outbreak of an infectious disease may pose a risk to our ability to retain and rely on our executive officers and key employees, including the potential that one or more of such employees or members of their families may contract the virus, which could impact the ability of such employees to perform as expected, which in turn would adversely impact our current and planned operations.</w:t>
      </w:r>
    </w:p>
    <w:p>
      <w:pPr>
        <w:spacing w:after="0" w:line="82" w:lineRule="exact"/>
        <w:rPr>
          <w:sz w:val="20"/>
          <w:szCs w:val="20"/>
          <w:color w:val="auto"/>
        </w:rPr>
      </w:pPr>
    </w:p>
    <w:p>
      <w:pPr>
        <w:ind w:left="360" w:right="440" w:firstLine="490"/>
        <w:spacing w:after="0" w:line="233" w:lineRule="auto"/>
        <w:rPr>
          <w:sz w:val="20"/>
          <w:szCs w:val="20"/>
          <w:color w:val="auto"/>
        </w:rPr>
      </w:pPr>
      <w:r>
        <w:rPr>
          <w:rFonts w:ascii="Times New Roman" w:cs="Times New Roman" w:eastAsia="Times New Roman" w:hAnsi="Times New Roman"/>
          <w:sz w:val="20"/>
          <w:szCs w:val="20"/>
          <w:color w:val="auto"/>
        </w:rPr>
        <w:t>Recruiting and retaining qualified scientific, medical clinical, manufacturing, quality assurance, regulatory, legal, public company financial, business, sales, marketing and commercial personnel and implementing and improving our operational, financial and management systems will be critical to our ability to grow and succeed. These demands also will require the hiring of additional executive or management-level personnel or the development of additional expertise by our senior management personnel. Hiring a significant number of additional employees, particularly those at the executive or management level, would increase our expenses significantly. In addition, we may not be able to attract and retain these personnel on acceptable terms given the competition among numerous pharmaceutical companies for similar personnel. We also experience competition for the hiring of scientific personnel from universities and research institutions. Moreover, delays or failures in clinical trials may also make it more challenging to recruit and retain qualified scientific personnel. If we are unable to continue to attract and retain high quality personnel, our ability to pursue our business strategy will be limited and our business, financial condition and results of operations would be adversely affected.</w:t>
      </w:r>
    </w:p>
    <w:p>
      <w:pPr>
        <w:spacing w:after="0" w:line="86" w:lineRule="exact"/>
        <w:rPr>
          <w:sz w:val="20"/>
          <w:szCs w:val="20"/>
          <w:color w:val="auto"/>
        </w:rPr>
      </w:pPr>
    </w:p>
    <w:p>
      <w:pPr>
        <w:ind w:left="360" w:right="420" w:firstLine="490"/>
        <w:spacing w:after="0" w:line="242" w:lineRule="auto"/>
        <w:rPr>
          <w:sz w:val="20"/>
          <w:szCs w:val="20"/>
          <w:color w:val="auto"/>
        </w:rPr>
      </w:pPr>
      <w:r>
        <w:rPr>
          <w:rFonts w:ascii="Times New Roman" w:cs="Times New Roman" w:eastAsia="Times New Roman" w:hAnsi="Times New Roman"/>
          <w:sz w:val="20"/>
          <w:szCs w:val="20"/>
          <w:color w:val="auto"/>
        </w:rPr>
        <w:t>Further, if we fail to expand and enhance our operational, financial, management and compliance systems in conjunction with potential future growth, such failure could have a material adverse effect on our business, financial condition and results of operations. We may be unable to successfully implement these tasks on a larger scale and, accordingly, may not achieve our research, development, business and growth goals.</w:t>
      </w:r>
    </w:p>
    <w:p>
      <w:pPr>
        <w:spacing w:after="0" w:line="74" w:lineRule="exact"/>
        <w:rPr>
          <w:sz w:val="20"/>
          <w:szCs w:val="20"/>
          <w:color w:val="auto"/>
        </w:rPr>
      </w:pPr>
    </w:p>
    <w:p>
      <w:pPr>
        <w:ind w:left="360" w:right="80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We may acquire businesses or products, or form strategic alliances, in the future, and we may not realize the benefits of such acquisitions or alliances.</w:t>
      </w:r>
    </w:p>
    <w:p>
      <w:pPr>
        <w:spacing w:after="0" w:line="49" w:lineRule="exact"/>
        <w:rPr>
          <w:sz w:val="20"/>
          <w:szCs w:val="20"/>
          <w:color w:val="auto"/>
        </w:rPr>
      </w:pPr>
    </w:p>
    <w:p>
      <w:pPr>
        <w:ind w:left="360" w:right="520" w:firstLine="490"/>
        <w:spacing w:after="0" w:line="242" w:lineRule="auto"/>
        <w:rPr>
          <w:sz w:val="20"/>
          <w:szCs w:val="20"/>
          <w:color w:val="auto"/>
        </w:rPr>
      </w:pPr>
      <w:r>
        <w:rPr>
          <w:rFonts w:ascii="Times New Roman" w:cs="Times New Roman" w:eastAsia="Times New Roman" w:hAnsi="Times New Roman"/>
          <w:sz w:val="20"/>
          <w:szCs w:val="20"/>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w:t>
      </w:r>
    </w:p>
    <w:p>
      <w:pPr>
        <w:spacing w:after="0" w:line="74" w:lineRule="exact"/>
        <w:rPr>
          <w:sz w:val="20"/>
          <w:szCs w:val="20"/>
          <w:color w:val="auto"/>
        </w:rPr>
      </w:pPr>
    </w:p>
    <w:p>
      <w:pPr>
        <w:ind w:left="360" w:right="540" w:firstLine="490"/>
        <w:spacing w:after="0" w:line="239" w:lineRule="auto"/>
        <w:rPr>
          <w:sz w:val="20"/>
          <w:szCs w:val="20"/>
          <w:color w:val="auto"/>
        </w:rPr>
      </w:pPr>
      <w:r>
        <w:rPr>
          <w:rFonts w:ascii="Times New Roman" w:cs="Times New Roman" w:eastAsia="Times New Roman" w:hAnsi="Times New Roman"/>
          <w:sz w:val="20"/>
          <w:szCs w:val="20"/>
          <w:color w:val="auto"/>
        </w:rPr>
        <w:t>We may encounter numerous difficulties in developing, manufacturing and marketing any new products resulting from a strategic alliance or acquisition that delays or prevents us from realizing their expected benefits or enhancing our business. We cannot be certain that, following any such transaction, we will achieve the expected synergies to justify the transaction and it could adversely affect our business, financial condition and results of operations.</w:t>
      </w:r>
    </w:p>
    <w:p>
      <w:pPr>
        <w:spacing w:after="0" w:line="77" w:lineRule="exact"/>
        <w:rPr>
          <w:sz w:val="20"/>
          <w:szCs w:val="20"/>
          <w:color w:val="auto"/>
        </w:rPr>
      </w:pPr>
    </w:p>
    <w:p>
      <w:pPr>
        <w:jc w:val="both"/>
        <w:ind w:left="360" w:right="7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68" w:lineRule="exact"/>
        <w:rPr>
          <w:sz w:val="20"/>
          <w:szCs w:val="20"/>
          <w:color w:val="auto"/>
        </w:rPr>
      </w:pPr>
    </w:p>
    <w:p>
      <w:pPr>
        <w:ind w:left="360" w:right="420" w:firstLine="490"/>
        <w:spacing w:after="0" w:line="242" w:lineRule="auto"/>
        <w:rPr>
          <w:sz w:val="20"/>
          <w:szCs w:val="20"/>
          <w:color w:val="auto"/>
        </w:rPr>
      </w:pPr>
      <w:r>
        <w:rPr>
          <w:rFonts w:ascii="Times New Roman" w:cs="Times New Roman" w:eastAsia="Times New Roman" w:hAnsi="Times New Roman"/>
          <w:sz w:val="20"/>
          <w:szCs w:val="20"/>
          <w:color w:val="auto"/>
        </w:rPr>
        <w:t>Our development programs and the potential commercialization of our product candidates will require substantial additional cash to fund expenses. For nomlabofusp, and any future product candidates, we may decide to collaborate with pharmaceutical and/or biotechnology companies for the development and potential commercialization of those product candidates in some or all markets.</w:t>
      </w:r>
    </w:p>
    <w:p>
      <w:pPr>
        <w:spacing w:after="0" w:line="74" w:lineRule="exact"/>
        <w:rPr>
          <w:sz w:val="20"/>
          <w:szCs w:val="20"/>
          <w:color w:val="auto"/>
        </w:rPr>
      </w:pPr>
    </w:p>
    <w:p>
      <w:pPr>
        <w:ind w:left="360" w:right="380" w:firstLine="490"/>
        <w:spacing w:after="0" w:line="235" w:lineRule="auto"/>
        <w:rPr>
          <w:sz w:val="20"/>
          <w:szCs w:val="20"/>
          <w:color w:val="auto"/>
        </w:rPr>
      </w:pPr>
      <w:r>
        <w:rPr>
          <w:rFonts w:ascii="Times New Roman" w:cs="Times New Roman" w:eastAsia="Times New Roman" w:hAnsi="Times New Roman"/>
          <w:sz w:val="20"/>
          <w:szCs w:val="20"/>
          <w:color w:val="auto"/>
        </w:rPr>
        <w:t>We face significant competition in seeking appropriate collaborators. Whether we reach a definitive agreement for a collaboration for nomlabofusp or other potential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960" w:h="17280" w:orient="portrait"/>
          <w:cols w:equalWidth="0" w:num="1">
            <w:col w:w="10080"/>
          </w:cols>
          <w:pgMar w:left="1440" w:top="1440" w:right="1440" w:bottom="895" w:gutter="0" w:footer="0" w:header="0"/>
          <w:type w:val="continuous"/>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right="600"/>
        <w:spacing w:after="0" w:line="248" w:lineRule="auto"/>
        <w:rPr>
          <w:sz w:val="20"/>
          <w:szCs w:val="20"/>
          <w:color w:val="auto"/>
        </w:rPr>
      </w:pPr>
      <w:r>
        <w:rPr>
          <w:rFonts w:ascii="Times New Roman" w:cs="Times New Roman" w:eastAsia="Times New Roman" w:hAnsi="Times New Roman"/>
          <w:sz w:val="20"/>
          <w:szCs w:val="20"/>
          <w:color w:val="auto"/>
        </w:rPr>
        <w:t>consider alternative product candidates or technologies for similar indications that may be available to collaborate on and whether such collaboration could be more attractive than the one with us for our product candidate. The terms of any collaboration or other arrangement that we may establish may not be favorable to us.</w:t>
      </w:r>
    </w:p>
    <w:p>
      <w:pPr>
        <w:spacing w:after="0" w:line="68" w:lineRule="exact"/>
        <w:rPr>
          <w:sz w:val="20"/>
          <w:szCs w:val="20"/>
          <w:color w:val="auto"/>
        </w:rPr>
      </w:pPr>
    </w:p>
    <w:p>
      <w:pPr>
        <w:ind w:left="360" w:right="560" w:firstLine="490"/>
        <w:spacing w:after="0" w:line="242" w:lineRule="auto"/>
        <w:rPr>
          <w:sz w:val="20"/>
          <w:szCs w:val="20"/>
          <w:color w:val="auto"/>
        </w:rPr>
      </w:pPr>
      <w:r>
        <w:rPr>
          <w:rFonts w:ascii="Times New Roman" w:cs="Times New Roman" w:eastAsia="Times New Roman" w:hAnsi="Times New Roman"/>
          <w:sz w:val="20"/>
          <w:szCs w:val="20"/>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4" w:lineRule="exact"/>
        <w:rPr>
          <w:sz w:val="20"/>
          <w:szCs w:val="20"/>
          <w:color w:val="auto"/>
        </w:rPr>
      </w:pPr>
    </w:p>
    <w:p>
      <w:pPr>
        <w:ind w:left="360" w:right="400" w:firstLine="490"/>
        <w:spacing w:after="0" w:line="234" w:lineRule="auto"/>
        <w:rPr>
          <w:sz w:val="20"/>
          <w:szCs w:val="20"/>
          <w:color w:val="auto"/>
        </w:rPr>
      </w:pPr>
      <w:r>
        <w:rPr>
          <w:rFonts w:ascii="Times New Roman" w:cs="Times New Roman" w:eastAsia="Times New Roman" w:hAnsi="Times New Roman"/>
          <w:sz w:val="20"/>
          <w:szCs w:val="20"/>
          <w:color w:val="auto"/>
        </w:rPr>
        <w:t>We may not be able to negotiate collaborations on a timely basis, on acceptable terms, or at all. If we are unable or unwilling to do so, we may have to curtail the development potential product candidates for which we are seeking to collaborate, reduce or delay our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if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activities.</w:t>
      </w:r>
    </w:p>
    <w:p>
      <w:pPr>
        <w:spacing w:after="0" w:line="78" w:lineRule="exact"/>
        <w:rPr>
          <w:sz w:val="20"/>
          <w:szCs w:val="20"/>
          <w:color w:val="auto"/>
        </w:rPr>
      </w:pPr>
    </w:p>
    <w:p>
      <w:pPr>
        <w:ind w:left="360" w:right="440" w:firstLine="490"/>
        <w:spacing w:after="0" w:line="234" w:lineRule="auto"/>
        <w:rPr>
          <w:sz w:val="20"/>
          <w:szCs w:val="20"/>
          <w:color w:val="auto"/>
        </w:rPr>
      </w:pPr>
      <w:r>
        <w:rPr>
          <w:rFonts w:ascii="Times New Roman" w:cs="Times New Roman" w:eastAsia="Times New Roman" w:hAnsi="Times New Roman"/>
          <w:sz w:val="20"/>
          <w:szCs w:val="20"/>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our business, financial condition, results of operations and could harm our business reputation.</w:t>
      </w:r>
    </w:p>
    <w:p>
      <w:pPr>
        <w:spacing w:after="0" w:line="82" w:lineRule="exact"/>
        <w:rPr>
          <w:sz w:val="20"/>
          <w:szCs w:val="20"/>
          <w:color w:val="auto"/>
        </w:rPr>
      </w:pPr>
    </w:p>
    <w:p>
      <w:pPr>
        <w:ind w:left="360" w:right="108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We face risks related to health epidemics, and/or other outbreaks of communicable diseases, which could significantly disrupt our operations and may materially and adversely affect our business and financial conditions.</w:t>
      </w:r>
    </w:p>
    <w:p>
      <w:pPr>
        <w:spacing w:after="0" w:line="68" w:lineRule="exact"/>
        <w:rPr>
          <w:sz w:val="20"/>
          <w:szCs w:val="20"/>
          <w:color w:val="auto"/>
        </w:rPr>
      </w:pPr>
    </w:p>
    <w:p>
      <w:pPr>
        <w:ind w:left="360" w:right="460" w:firstLine="490"/>
        <w:spacing w:after="0" w:line="233" w:lineRule="auto"/>
        <w:rPr>
          <w:sz w:val="20"/>
          <w:szCs w:val="20"/>
          <w:color w:val="auto"/>
        </w:rPr>
      </w:pPr>
      <w:r>
        <w:rPr>
          <w:rFonts w:ascii="Times New Roman" w:cs="Times New Roman" w:eastAsia="Times New Roman" w:hAnsi="Times New Roman"/>
          <w:sz w:val="20"/>
          <w:szCs w:val="20"/>
          <w:color w:val="auto"/>
        </w:rPr>
        <w:t>Our business could be adversely impacted by the effects of a global pandemic, epidemic or outbreak of an infectious disease. Such global outbreaks of communicable diseases globally could materially and adversely impact our operations, including without limitation, our manufacturing and supply chain for nomlabofusp and our planned clinical trials, which could continue to face, enrollment difficulties as hospitals or clinical trials sites experience closures. Because FA is a rare disease, there are a limited number of patients in close proximity to clinical trial sites and clinical trial patients travel from throughout the United States to clinical trial sites to participate. Any travel advisories or infection risks could present increased risks to patients traveling to a clinical trial site for dosing if clinical trials are allowed to continue. These events could delay our clinical trials, increase the cost of completing our clinical trials and negatively impact the integrity, reliability or robustness of the data from our clinical trials. In addition, employee health and availability could be impacted, which may have a material and adverse effect on our business, financial condition and results of operations. Future pandemics could adversely affect global economies and financial markets resulting in an economic downturn that could have a material adverse effect on our business and prospects.</w:t>
      </w:r>
    </w:p>
    <w:p>
      <w:pPr>
        <w:spacing w:after="0" w:line="83" w:lineRule="exact"/>
        <w:rPr>
          <w:sz w:val="20"/>
          <w:szCs w:val="20"/>
          <w:color w:val="auto"/>
        </w:rPr>
      </w:pPr>
    </w:p>
    <w:p>
      <w:pPr>
        <w:ind w:left="360" w:right="68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77" w:lineRule="exact"/>
        <w:rPr>
          <w:sz w:val="20"/>
          <w:szCs w:val="20"/>
          <w:color w:val="auto"/>
        </w:rPr>
      </w:pPr>
    </w:p>
    <w:p>
      <w:pPr>
        <w:ind w:left="360" w:right="420" w:firstLine="490"/>
        <w:spacing w:after="0" w:line="255" w:lineRule="auto"/>
        <w:rPr>
          <w:sz w:val="20"/>
          <w:szCs w:val="20"/>
          <w:color w:val="auto"/>
        </w:rPr>
      </w:pPr>
      <w:r>
        <w:rPr>
          <w:rFonts w:ascii="Times New Roman" w:cs="Times New Roman" w:eastAsia="Times New Roman" w:hAnsi="Times New Roman"/>
          <w:sz w:val="19"/>
          <w:szCs w:val="19"/>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sensitive third-party data, business plans, transactions, financial information and medical information collected by our patient access management team (collectively,</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960" w:h="17280" w:orient="portrait"/>
          <w:cols w:equalWidth="0" w:num="1">
            <w:col w:w="10080"/>
          </w:cols>
          <w:pgMar w:left="1440" w:top="1440" w:right="1440" w:bottom="895" w:gutter="0" w:footer="0" w:header="0"/>
          <w:type w:val="continuous"/>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right="580"/>
        <w:spacing w:after="0" w:line="248" w:lineRule="auto"/>
        <w:rPr>
          <w:sz w:val="20"/>
          <w:szCs w:val="20"/>
          <w:color w:val="auto"/>
        </w:rPr>
      </w:pPr>
      <w:r>
        <w:rPr>
          <w:rFonts w:ascii="Times New Roman" w:cs="Times New Roman" w:eastAsia="Times New Roman" w:hAnsi="Times New Roman"/>
          <w:sz w:val="20"/>
          <w:szCs w:val="20"/>
          <w:color w:val="auto"/>
        </w:rPr>
        <w:t>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68" w:lineRule="exact"/>
        <w:rPr>
          <w:sz w:val="20"/>
          <w:szCs w:val="20"/>
          <w:color w:val="auto"/>
        </w:rPr>
      </w:pPr>
    </w:p>
    <w:p>
      <w:pPr>
        <w:ind w:left="360" w:right="360" w:firstLine="490"/>
        <w:spacing w:after="0" w:line="232" w:lineRule="auto"/>
        <w:rPr>
          <w:sz w:val="20"/>
          <w:szCs w:val="20"/>
          <w:color w:val="auto"/>
        </w:rPr>
      </w:pPr>
      <w:r>
        <w:rPr>
          <w:rFonts w:ascii="Times New Roman" w:cs="Times New Roman" w:eastAsia="Times New Roman" w:hAnsi="Times New Roman"/>
          <w:sz w:val="20"/>
          <w:szCs w:val="20"/>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Additionally,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requires businesses to provide specific disclosures in privacy notices and honor requests of California residents to exercise certain privacy rights. The CCPA provides for fines of up to $7,500 per intentional violation and allows private litigants affected by certain data breaches to recover significant statutory damages. Although some U.S. comprehensive privacy laws exempt some data processed in the context of clinical trials, these laws may increase compliance costs and potential liability with respect to other personal data we may maintain about California residents. Similar laws are being considered in several other states, as well as at the federal and local levels, and we expect more jurisdictions to pass similar laws in the future.</w:t>
      </w:r>
    </w:p>
    <w:p>
      <w:pPr>
        <w:spacing w:after="0" w:line="80" w:lineRule="exact"/>
        <w:rPr>
          <w:sz w:val="20"/>
          <w:szCs w:val="20"/>
          <w:color w:val="auto"/>
        </w:rPr>
      </w:pPr>
    </w:p>
    <w:p>
      <w:pPr>
        <w:ind w:left="360" w:right="380" w:firstLine="490"/>
        <w:spacing w:after="0" w:line="233" w:lineRule="auto"/>
        <w:rPr>
          <w:sz w:val="20"/>
          <w:szCs w:val="20"/>
          <w:color w:val="auto"/>
        </w:rPr>
      </w:pPr>
      <w:r>
        <w:rPr>
          <w:rFonts w:ascii="Times New Roman" w:cs="Times New Roman" w:eastAsia="Times New Roman" w:hAnsi="Times New Roman"/>
          <w:sz w:val="20"/>
          <w:szCs w:val="20"/>
          <w:color w:val="auto"/>
        </w:rPr>
        <w:t>Outside the United States, an increasing number of laws, regulations, and industry standards may govern data privacy and security. For example, the European Union’s General Data Protection Regulation (EU GDPR), United Kingdom’s GDPR (UK GDPR) (collectively, the GDPR), Brazil’s General Data Protection Law (Lei Geral de Proteção de Dados Pessoais, or LGPD) (Law No. 13,709/2018), and China’s Personal Information Protection Law (PIPL) impose strict requirements for processing personal data. For example, the GDPR includes obligations requiring disclosures to individuals regarding data processing activities, requiring that safeguards are implemented to protect the security and confidentiality of personal data, limiting retention periods for personal data, creating mandatory data breach notification requirements in certain circumstances, and requiring that certain measures (including contractual requirements) are put in place when engaging third-party processors Companies that fail to comply with the GDPR may face temporary or definitive bans on data processing and other corrective actions; fines of up to 20 million Euros under the EU GDPR / 17.5 million pounds sterling under the UK GDPR or 4% of annual global revenue, whichever is greater; or private litigation related to processing of personal data brought by classes of data subjects or consumer protection organizations authorized at law to represent their interests.</w:t>
      </w:r>
    </w:p>
    <w:p>
      <w:pPr>
        <w:spacing w:after="0" w:line="83" w:lineRule="exact"/>
        <w:rPr>
          <w:sz w:val="20"/>
          <w:szCs w:val="20"/>
          <w:color w:val="auto"/>
        </w:rPr>
      </w:pPr>
    </w:p>
    <w:p>
      <w:pPr>
        <w:ind w:left="360" w:right="380" w:firstLine="490"/>
        <w:spacing w:after="0" w:line="237" w:lineRule="auto"/>
        <w:rPr>
          <w:sz w:val="20"/>
          <w:szCs w:val="20"/>
          <w:color w:val="auto"/>
        </w:rPr>
      </w:pPr>
      <w:r>
        <w:rPr>
          <w:rFonts w:ascii="Times New Roman" w:cs="Times New Roman" w:eastAsia="Times New Roman" w:hAnsi="Times New Roman"/>
          <w:sz w:val="20"/>
          <w:szCs w:val="20"/>
          <w:color w:val="auto"/>
        </w:rPr>
        <w:t>The Swiss Federal Act on Data Protection, or the FADP, also applies to the collection and processing of personal data, including health-related information, by companies located in Switzerland, or in certain circumstances, by companies located outside of Switzerland. The FADP has been revised and adopted by the Swiss Parliament. Companies must comply with the revised version of the FADP and its revised ordinances from September 1, 2023, which may result in an increase of costs of compliance, risks of noncompliance and penalties for noncompliance.</w:t>
      </w:r>
    </w:p>
    <w:p>
      <w:pPr>
        <w:spacing w:after="0" w:line="80" w:lineRule="exact"/>
        <w:rPr>
          <w:sz w:val="20"/>
          <w:szCs w:val="20"/>
          <w:color w:val="auto"/>
        </w:rPr>
      </w:pPr>
    </w:p>
    <w:p>
      <w:pPr>
        <w:ind w:left="360" w:right="400" w:firstLine="490"/>
        <w:spacing w:after="0" w:line="246" w:lineRule="auto"/>
        <w:rPr>
          <w:sz w:val="20"/>
          <w:szCs w:val="20"/>
          <w:color w:val="auto"/>
        </w:rPr>
      </w:pPr>
      <w:r>
        <w:rPr>
          <w:rFonts w:ascii="Times New Roman" w:cs="Times New Roman" w:eastAsia="Times New Roman" w:hAnsi="Times New Roman"/>
          <w:sz w:val="19"/>
          <w:szCs w:val="19"/>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countries whose privacy laws it believes are inadequate, including the United States in certain circumstances, unless a derogation exists or adequate international transfer safeguards are put in place (for example, the European Commission approved Standard Contractual Clauses, and the UK International Data Transfer Agreement/Addendum) and transfer impact assessments carried out. Other jurisdictions may adopt similarly stringent interpretations of their data localization and cross-border data transfer laws. If we are unable to transfer personal data from the EEA, the UK, or other jurisdictions to the United States, or if the requirements for a legally-compliant transfer are too onerous, we could face significant adverse consequences, including by limiting our ability to conduct clinical trial activities in Europe and elsewhere, the interruption or degradation of our operations, the need to relocate part of or all of our business or data processing activities to other jurisdictions (such as Europe) at</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960" w:h="17280" w:orient="portrait"/>
          <w:cols w:equalWidth="0" w:num="1">
            <w:col w:w="10080"/>
          </w:cols>
          <w:pgMar w:left="1440" w:top="1440" w:right="1440" w:bottom="895"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360" w:right="360"/>
        <w:spacing w:after="0" w:line="248" w:lineRule="auto"/>
        <w:rPr>
          <w:sz w:val="20"/>
          <w:szCs w:val="20"/>
          <w:color w:val="auto"/>
        </w:rPr>
      </w:pPr>
      <w:r>
        <w:rPr>
          <w:rFonts w:ascii="Times New Roman" w:cs="Times New Roman" w:eastAsia="Times New Roman" w:hAnsi="Times New Roman"/>
          <w:sz w:val="20"/>
          <w:szCs w:val="20"/>
          <w:color w:val="auto"/>
        </w:rPr>
        <w:t>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76" w:lineRule="exact"/>
        <w:rPr>
          <w:sz w:val="20"/>
          <w:szCs w:val="20"/>
          <w:color w:val="auto"/>
        </w:rPr>
      </w:pPr>
    </w:p>
    <w:p>
      <w:pPr>
        <w:ind w:left="360" w:right="360" w:firstLine="490"/>
        <w:spacing w:after="0" w:line="246" w:lineRule="auto"/>
        <w:rPr>
          <w:sz w:val="20"/>
          <w:szCs w:val="20"/>
          <w:color w:val="auto"/>
        </w:rPr>
      </w:pPr>
      <w:r>
        <w:rPr>
          <w:rFonts w:ascii="Times New Roman" w:cs="Times New Roman" w:eastAsia="Times New Roman" w:hAnsi="Times New Roman"/>
          <w:sz w:val="20"/>
          <w:szCs w:val="20"/>
          <w:color w:val="auto"/>
        </w:rPr>
        <w:t>In addition to data privacy and security laws, we may be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80" w:lineRule="exact"/>
        <w:rPr>
          <w:sz w:val="20"/>
          <w:szCs w:val="20"/>
          <w:color w:val="auto"/>
        </w:rPr>
      </w:pPr>
    </w:p>
    <w:p>
      <w:pPr>
        <w:ind w:left="360" w:right="380" w:firstLine="490"/>
        <w:spacing w:after="0" w:line="247" w:lineRule="auto"/>
        <w:rPr>
          <w:sz w:val="20"/>
          <w:szCs w:val="20"/>
          <w:color w:val="auto"/>
        </w:rPr>
      </w:pPr>
      <w:r>
        <w:rPr>
          <w:rFonts w:ascii="Times New Roman" w:cs="Times New Roman" w:eastAsia="Times New Roman" w:hAnsi="Times New Roman"/>
          <w:sz w:val="20"/>
          <w:szCs w:val="20"/>
          <w:color w:val="auto"/>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80" w:lineRule="exact"/>
        <w:rPr>
          <w:sz w:val="20"/>
          <w:szCs w:val="20"/>
          <w:color w:val="auto"/>
        </w:rPr>
      </w:pPr>
    </w:p>
    <w:p>
      <w:pPr>
        <w:ind w:left="360" w:right="460" w:firstLine="490"/>
        <w:spacing w:after="0" w:line="247" w:lineRule="auto"/>
        <w:rPr>
          <w:sz w:val="20"/>
          <w:szCs w:val="20"/>
          <w:color w:val="auto"/>
        </w:rPr>
      </w:pPr>
      <w:r>
        <w:rPr>
          <w:rFonts w:ascii="Times New Roman" w:cs="Times New Roman" w:eastAsia="Times New Roman" w:hAnsi="Times New Roman"/>
          <w:sz w:val="20"/>
          <w:szCs w:val="20"/>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80" w:lineRule="exact"/>
        <w:rPr>
          <w:sz w:val="20"/>
          <w:szCs w:val="20"/>
          <w:color w:val="auto"/>
        </w:rPr>
      </w:pPr>
    </w:p>
    <w:p>
      <w:pPr>
        <w:ind w:left="360" w:right="400" w:firstLine="490"/>
        <w:spacing w:after="0" w:line="242" w:lineRule="auto"/>
        <w:rPr>
          <w:sz w:val="20"/>
          <w:szCs w:val="20"/>
          <w:color w:val="auto"/>
        </w:rPr>
      </w:pPr>
      <w:r>
        <w:rPr>
          <w:rFonts w:ascii="Times New Roman" w:cs="Times New Roman" w:eastAsia="Times New Roman" w:hAnsi="Times New Roman"/>
          <w:sz w:val="20"/>
          <w:szCs w:val="20"/>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91" w:lineRule="exact"/>
        <w:rPr>
          <w:sz w:val="20"/>
          <w:szCs w:val="20"/>
          <w:color w:val="auto"/>
        </w:rPr>
      </w:pPr>
    </w:p>
    <w:p>
      <w:pPr>
        <w:ind w:left="360" w:right="5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as well as those of CROs, CMOs, vendors, contractors, and consultants, and potential collaborators may experience failures, unauthorized access, or security breaches, potentially causing a material disruption in our product development programs, operations, harm to our brand, significant liabilities, loss of revenue, and additional costs.</w:t>
      </w:r>
    </w:p>
    <w:p>
      <w:pPr>
        <w:spacing w:after="0" w:line="74" w:lineRule="exact"/>
        <w:rPr>
          <w:sz w:val="20"/>
          <w:szCs w:val="20"/>
          <w:color w:val="auto"/>
        </w:rPr>
      </w:pPr>
    </w:p>
    <w:p>
      <w:pPr>
        <w:ind w:left="360" w:right="400" w:firstLine="490"/>
        <w:spacing w:after="0" w:line="244" w:lineRule="auto"/>
        <w:rPr>
          <w:sz w:val="20"/>
          <w:szCs w:val="20"/>
          <w:color w:val="auto"/>
        </w:rPr>
      </w:pPr>
      <w:r>
        <w:rPr>
          <w:rFonts w:ascii="Times New Roman" w:cs="Times New Roman" w:eastAsia="Times New Roman" w:hAnsi="Times New Roman"/>
          <w:sz w:val="20"/>
          <w:szCs w:val="20"/>
          <w:color w:val="auto"/>
        </w:rPr>
        <w:t>Despite implementing comprehensive security measures, both our internal computer systems and those of our contracted third-party service providers are susceptible to various threats, including cyber-attacks, computer viruses, unauthorized access, natural disasters, terrorism, war, and telecommunication and electrical failures. The extensive use of mobile devices accessing confidential information further heightens the risks, leading to potential device loss, security incidents, and data breaches that could result in the loss of confidential information and intellectual property. Any system failure, accident, or security breach causing interruptions in our operations may lead to a material disruption in our product development programs and business operations, potentially requiring substantial resources for recovery. For instance, the loss of clinical trial data from completed trials could lead to delays in regulatory approval efforts and significantly increase costs for data recovery or reproduction.</w:t>
      </w:r>
    </w:p>
    <w:p>
      <w:pPr>
        <w:spacing w:after="0" w:line="86" w:lineRule="exact"/>
        <w:rPr>
          <w:sz w:val="20"/>
          <w:szCs w:val="20"/>
          <w:color w:val="auto"/>
        </w:rPr>
      </w:pPr>
    </w:p>
    <w:p>
      <w:pPr>
        <w:ind w:left="360" w:right="680" w:firstLine="490"/>
        <w:spacing w:after="0" w:line="305" w:lineRule="auto"/>
        <w:rPr>
          <w:sz w:val="20"/>
          <w:szCs w:val="20"/>
          <w:color w:val="auto"/>
        </w:rPr>
      </w:pPr>
      <w:r>
        <w:rPr>
          <w:rFonts w:ascii="Times New Roman" w:cs="Times New Roman" w:eastAsia="Times New Roman" w:hAnsi="Times New Roman"/>
          <w:sz w:val="19"/>
          <w:szCs w:val="19"/>
          <w:color w:val="auto"/>
        </w:rPr>
        <w:t>We are exposed to risks stemming from misappropriation, misuse, leakage, falsification, or intentional or accidental release or loss of information maintained in our information systems and networks, including personal</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960" w:h="17280" w:orient="portrait"/>
          <w:cols w:equalWidth="0" w:num="1">
            <w:col w:w="10080"/>
          </w:cols>
          <w:pgMar w:left="1440" w:top="1440" w:right="1440" w:bottom="895"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40"/>
        <w:spacing w:after="0" w:line="245" w:lineRule="auto"/>
        <w:rPr>
          <w:sz w:val="20"/>
          <w:szCs w:val="20"/>
          <w:color w:val="auto"/>
        </w:rPr>
      </w:pPr>
      <w:r>
        <w:rPr>
          <w:rFonts w:ascii="Times New Roman" w:cs="Times New Roman" w:eastAsia="Times New Roman" w:hAnsi="Times New Roman"/>
          <w:sz w:val="20"/>
          <w:szCs w:val="20"/>
          <w:color w:val="auto"/>
        </w:rPr>
        <w:t>information of our employees. External parties may attempt to penetrate our systems or induce our employees or those of our vendors to disclose sensitive information. As with other companies, we face threats to our data and systems, including malicious codes, viruses, and cyber-attacks. The increasing number and complexity of these threats over time pose a challenge. A material breach in our security or that of our vendors, contractors, or consultants could harm the market perception of our security measures, resulting in business loss and damage to our reputation and credibility. This could significantly adversely affect our business, financial condition, and results of operations, necessitating substantial amounts of money and resources to repair or replace information systems or networks. Despite our continuous efforts, the possibility of such events occurring cannot be entirely eliminated.</w:t>
      </w:r>
    </w:p>
    <w:p>
      <w:pPr>
        <w:spacing w:after="0" w:line="82" w:lineRule="exact"/>
        <w:rPr>
          <w:sz w:val="20"/>
          <w:szCs w:val="20"/>
          <w:color w:val="auto"/>
        </w:rPr>
      </w:pPr>
    </w:p>
    <w:p>
      <w:pPr>
        <w:ind w:left="360" w:right="420" w:firstLine="490"/>
        <w:spacing w:after="0" w:line="243" w:lineRule="auto"/>
        <w:rPr>
          <w:sz w:val="20"/>
          <w:szCs w:val="20"/>
          <w:color w:val="auto"/>
        </w:rPr>
      </w:pPr>
      <w:r>
        <w:rPr>
          <w:rFonts w:ascii="Times New Roman" w:cs="Times New Roman" w:eastAsia="Times New Roman" w:hAnsi="Times New Roman"/>
          <w:sz w:val="20"/>
          <w:szCs w:val="20"/>
          <w:color w:val="auto"/>
        </w:rPr>
        <w:t>In our endeavor to protect systems storing critical information, we have implemented security measures. However, given their size and complexity and the increasing amounts of information maintained, these systems, including our internal information technology systems and those of third-party entities like Contract Research Organizations, Contract Manufacturing Organizations, contractors, and consultants, remain potentially vulnerable to breakdowns, interruptions, and security breaches. Incidents such as service interruptions, system malfunctions, natural disasters, terrorism, war, telecommunication, and electrical failures, as well as security breaches from inadvertent or intentional actions by employees, contractors, consultants, and other third parties, including cyber-attacks by malicious entities, may compromise our system infrastructure. This could lead to the loss, destruction, alteration, or unauthorized access to our data, including trade secrets, confidential information, intellectual property, proprietary business information, and personal information, or data processed or maintained on our behalf. Such incidents could result in financial, legal, business, and reputational harm.</w:t>
      </w:r>
    </w:p>
    <w:p>
      <w:pPr>
        <w:spacing w:after="0" w:line="88" w:lineRule="exact"/>
        <w:rPr>
          <w:sz w:val="20"/>
          <w:szCs w:val="20"/>
          <w:color w:val="auto"/>
        </w:rPr>
      </w:pPr>
    </w:p>
    <w:p>
      <w:pPr>
        <w:ind w:left="360" w:right="420" w:firstLine="490"/>
        <w:spacing w:after="0" w:line="246" w:lineRule="auto"/>
        <w:rPr>
          <w:sz w:val="20"/>
          <w:szCs w:val="20"/>
          <w:color w:val="auto"/>
        </w:rPr>
      </w:pPr>
      <w:r>
        <w:rPr>
          <w:rFonts w:ascii="Times New Roman" w:cs="Times New Roman" w:eastAsia="Times New Roman" w:hAnsi="Times New Roman"/>
          <w:sz w:val="20"/>
          <w:szCs w:val="20"/>
          <w:color w:val="auto"/>
        </w:rPr>
        <w:t>The rise in phishing and social engineering attacks and the increase in remote working further elevate security threats. Any disruption or security incident could lead to loss, damage, or unauthorized access to data, potentially exposing us to litigation and governmental investigations, delaying the development and commercialization of our product candidates, and subjecting us to fines or penalties for noncompliance with privacy and security laws. Notifications and actions following a security incident could impact our reputation and incur significant costs, including legal expenses and remediation. Significant efforts and costs are expected for detection and prevention. Our reliance on third parties for manufacturing introduces an additional layer of risk to our business.</w:t>
      </w:r>
    </w:p>
    <w:p>
      <w:pPr>
        <w:spacing w:after="0" w:line="80" w:lineRule="exact"/>
        <w:rPr>
          <w:sz w:val="20"/>
          <w:szCs w:val="20"/>
          <w:color w:val="auto"/>
        </w:rPr>
      </w:pPr>
    </w:p>
    <w:p>
      <w:pPr>
        <w:jc w:val="both"/>
        <w:ind w:left="360" w:right="1000" w:firstLine="490"/>
        <w:spacing w:after="0" w:line="258" w:lineRule="auto"/>
        <w:rPr>
          <w:sz w:val="20"/>
          <w:szCs w:val="20"/>
          <w:color w:val="auto"/>
        </w:rPr>
      </w:pPr>
      <w:r>
        <w:rPr>
          <w:rFonts w:ascii="Times New Roman" w:cs="Times New Roman" w:eastAsia="Times New Roman" w:hAnsi="Times New Roman"/>
          <w:sz w:val="20"/>
          <w:szCs w:val="20"/>
          <w:color w:val="auto"/>
        </w:rPr>
        <w:t>Insurance policies, including a specific policy related to cybersecurity losses, may be insufficient, with potential availability issues in the future, high deductibles, and limitations in coverage, posing challenges in mitigating losses from disruptions, failures, or security breaches.</w:t>
      </w:r>
    </w:p>
    <w:p>
      <w:pPr>
        <w:spacing w:after="0" w:line="68" w:lineRule="exact"/>
        <w:rPr>
          <w:sz w:val="20"/>
          <w:szCs w:val="20"/>
          <w:color w:val="auto"/>
        </w:rPr>
      </w:pPr>
    </w:p>
    <w:p>
      <w:pPr>
        <w:jc w:val="both"/>
        <w:ind w:left="360" w:right="6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our information technology systems or data, and/or those of third parties upon which we rely, are or were compromised, we could experience adverse consequences resulting from such compromise, including but not limited to regulatory investigations or actions, interruptions to operations or clinical trials, reputational harm, litigation, fines and penalties, disruptions of our business operations, and a loss of customers or sales.</w:t>
      </w:r>
    </w:p>
    <w:p>
      <w:pPr>
        <w:spacing w:after="0" w:line="74" w:lineRule="exact"/>
        <w:rPr>
          <w:sz w:val="20"/>
          <w:szCs w:val="20"/>
          <w:color w:val="auto"/>
        </w:rPr>
      </w:pPr>
    </w:p>
    <w:p>
      <w:pPr>
        <w:ind w:left="360" w:right="420" w:firstLine="490"/>
        <w:spacing w:after="0" w:line="258" w:lineRule="auto"/>
        <w:rPr>
          <w:sz w:val="20"/>
          <w:szCs w:val="20"/>
          <w:color w:val="auto"/>
        </w:rPr>
      </w:pPr>
      <w:r>
        <w:rPr>
          <w:rFonts w:ascii="Times New Roman" w:cs="Times New Roman" w:eastAsia="Times New Roman" w:hAnsi="Times New Roman"/>
          <w:sz w:val="20"/>
          <w:szCs w:val="20"/>
          <w:color w:val="auto"/>
        </w:rPr>
        <w:t>In the ordinary course of our business, we, or the third parties upon which we rely, process proprietary, confidential, and sensitive data, including personal data (such as health-related data), intellectual property, and trade secrets.</w:t>
      </w:r>
    </w:p>
    <w:p>
      <w:pPr>
        <w:spacing w:after="0" w:line="68" w:lineRule="exact"/>
        <w:rPr>
          <w:sz w:val="20"/>
          <w:szCs w:val="20"/>
          <w:color w:val="auto"/>
        </w:rPr>
      </w:pPr>
    </w:p>
    <w:p>
      <w:pPr>
        <w:ind w:left="360" w:right="400" w:firstLine="490"/>
        <w:spacing w:after="0" w:line="243" w:lineRule="auto"/>
        <w:rPr>
          <w:sz w:val="20"/>
          <w:szCs w:val="20"/>
          <w:color w:val="auto"/>
        </w:rPr>
      </w:pPr>
      <w:r>
        <w:rPr>
          <w:rFonts w:ascii="Times New Roman" w:cs="Times New Roman" w:eastAsia="Times New Roman" w:hAnsi="Times New Roman"/>
          <w:sz w:val="20"/>
          <w:szCs w:val="20"/>
          <w:color w:val="auto"/>
        </w:rPr>
        <w:t>Cyberattacks, malicious internet-based activity, online and offline fraud and other similar activities threaten the confidentiality, integrity, and availability of our sensitive data and information technology systems, and those of the third parties upon which we rely. These threats are prevalent, continue to rise, and are becoming increasingly difficult to detect. These threats come from a variety of sources, including traditional computer “hackers,” hacktivists, threat actors, personnel misconduct or error (such as through theft or misuse), organized criminal threat actors,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spacing w:after="0" w:line="88" w:lineRule="exact"/>
        <w:rPr>
          <w:sz w:val="20"/>
          <w:szCs w:val="20"/>
          <w:color w:val="auto"/>
        </w:rPr>
      </w:pPr>
    </w:p>
    <w:p>
      <w:pPr>
        <w:ind w:left="360" w:right="560" w:firstLine="490"/>
        <w:spacing w:after="0" w:line="249" w:lineRule="auto"/>
        <w:rPr>
          <w:sz w:val="20"/>
          <w:szCs w:val="20"/>
          <w:color w:val="auto"/>
        </w:rPr>
      </w:pPr>
      <w:r>
        <w:rPr>
          <w:rFonts w:ascii="Times New Roman" w:cs="Times New Roman" w:eastAsia="Times New Roman" w:hAnsi="Times New Roman"/>
          <w:sz w:val="20"/>
          <w:szCs w:val="20"/>
          <w:color w:val="auto"/>
        </w:rPr>
        <w:t>We and the third parties upon which we rely are subject to a variety of evolving threats, including but not limited to, social 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960" w:h="17280" w:orient="portrait"/>
          <w:cols w:equalWidth="0" w:num="1">
            <w:col w:w="10080"/>
          </w:cols>
          <w:pgMar w:left="1440" w:top="1440" w:right="1440" w:bottom="895" w:gutter="0" w:footer="0" w:header="0"/>
          <w:type w:val="continuous"/>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880"/>
        <w:spacing w:after="0" w:line="277" w:lineRule="auto"/>
        <w:rPr>
          <w:sz w:val="20"/>
          <w:szCs w:val="20"/>
          <w:color w:val="auto"/>
        </w:rPr>
      </w:pPr>
      <w:r>
        <w:rPr>
          <w:rFonts w:ascii="Times New Roman" w:cs="Times New Roman" w:eastAsia="Times New Roman" w:hAnsi="Times New Roman"/>
          <w:sz w:val="20"/>
          <w:szCs w:val="20"/>
          <w:color w:val="auto"/>
        </w:rPr>
        <w:t>software or hardware failures, loss of data or other information technology assets, adware, attacks enhanced or facilitated by AI, telecommunications failures, earthquakes, fire, flood, and other similar threats.</w:t>
      </w:r>
    </w:p>
    <w:p>
      <w:pPr>
        <w:spacing w:after="0" w:line="44" w:lineRule="exact"/>
        <w:rPr>
          <w:sz w:val="20"/>
          <w:szCs w:val="20"/>
          <w:color w:val="auto"/>
        </w:rPr>
      </w:pPr>
    </w:p>
    <w:p>
      <w:pPr>
        <w:ind w:left="360" w:right="380" w:firstLine="490"/>
        <w:spacing w:after="0" w:line="236" w:lineRule="auto"/>
        <w:rPr>
          <w:sz w:val="20"/>
          <w:szCs w:val="20"/>
          <w:color w:val="auto"/>
        </w:rPr>
      </w:pPr>
      <w:r>
        <w:rPr>
          <w:rFonts w:ascii="Times New Roman" w:cs="Times New Roman" w:eastAsia="Times New Roman" w:hAnsi="Times New Roman"/>
          <w:sz w:val="20"/>
          <w:szCs w:val="20"/>
          <w:color w:val="auto"/>
        </w:rPr>
        <w:t>Ransomware attacks, including by organized criminal threat actors, nation-states, and nation-state-supported actors, are becoming increasingly prevalent and severe and can lead to significant interruptions, delays, or outages in our operations, disruption of clinical trials or otherwise affecting our ability to provide our products or product candidates, loss of sensitive data (including data related to clinical trials) and income, significant extra expenses to restore data or systems, reputational harm and the diversion of funds. Extortion payments may alleviate the negative impact of a ransomware attack, but we may be unwilling or unable to make such payments (including, for example, if applicable laws or regulations prohibit such payments). Remote work has become more common and has increased risks to our information technology systems and data, as more of our employees work from home, utilizing network connections, computers and devices outside our premises, including at home, while in transit or in public locations. Future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80" w:lineRule="exact"/>
        <w:rPr>
          <w:sz w:val="20"/>
          <w:szCs w:val="20"/>
          <w:color w:val="auto"/>
        </w:rPr>
      </w:pPr>
    </w:p>
    <w:p>
      <w:pPr>
        <w:ind w:left="360" w:right="400" w:firstLine="490"/>
        <w:spacing w:after="0" w:line="238" w:lineRule="auto"/>
        <w:rPr>
          <w:sz w:val="20"/>
          <w:szCs w:val="20"/>
          <w:color w:val="auto"/>
        </w:rPr>
      </w:pPr>
      <w:r>
        <w:rPr>
          <w:rFonts w:ascii="Times New Roman" w:cs="Times New Roman" w:eastAsia="Times New Roman" w:hAnsi="Times New Roman"/>
          <w:sz w:val="20"/>
          <w:szCs w:val="20"/>
          <w:color w:val="auto"/>
        </w:rPr>
        <w:t>We rely on third-party service providers and technologies to operate critical business systems to process sensitive data in a variety of contexts, including, without limitation, cloud-based infrastructure, drug suppliers, data center facilities, encryption and authentication technology, employee email, content delivery to customers, and other functions. Our ability to monitor these third parties’ information security practices and posture (including whether any unremediated vulnerabilities exist or have been exploited) is limited, and these third parties may not have adequate information security measures in place. In addition, supply-chain attacks have increased in frequency and severity, and we cannot guarantee that third parties’ infrastructure in our supply chain or our third-party partners’ supply chains have not been compromised.</w:t>
      </w:r>
    </w:p>
    <w:p>
      <w:pPr>
        <w:spacing w:after="0" w:line="82" w:lineRule="exact"/>
        <w:rPr>
          <w:sz w:val="20"/>
          <w:szCs w:val="20"/>
          <w:color w:val="auto"/>
        </w:rPr>
      </w:pPr>
    </w:p>
    <w:p>
      <w:pPr>
        <w:ind w:left="360" w:right="440" w:firstLine="490"/>
        <w:spacing w:after="0" w:line="237" w:lineRule="auto"/>
        <w:rPr>
          <w:sz w:val="20"/>
          <w:szCs w:val="20"/>
          <w:color w:val="auto"/>
        </w:rPr>
      </w:pPr>
      <w:r>
        <w:rPr>
          <w:rFonts w:ascii="Times New Roman" w:cs="Times New Roman" w:eastAsia="Times New Roman" w:hAnsi="Times New Roman"/>
          <w:sz w:val="20"/>
          <w:szCs w:val="20"/>
          <w:color w:val="auto"/>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upon which we rely). We and the third parties upon which may rely may not, however, detect and remediate all such vulnerabilities including on a timely basis. For example, we have identified certain vulnerabilities in our information systems, and we have taken steps to mitigate the risks associated with known vulnerabilities. These steps include implementing compensating controls and other protective measures. Further, we and the third parties upon which we rely may experience delays in developing and deploying remedial measures and patches designed to address identified vulnerabilities. Vulnerabilities could be exploited and result in a security incident.</w:t>
      </w:r>
    </w:p>
    <w:p>
      <w:pPr>
        <w:spacing w:after="0" w:line="86" w:lineRule="exact"/>
        <w:rPr>
          <w:sz w:val="20"/>
          <w:szCs w:val="20"/>
          <w:color w:val="auto"/>
        </w:rPr>
      </w:pPr>
    </w:p>
    <w:p>
      <w:pPr>
        <w:ind w:left="360" w:right="540" w:firstLine="490"/>
        <w:spacing w:after="0" w:line="242" w:lineRule="auto"/>
        <w:rPr>
          <w:sz w:val="20"/>
          <w:szCs w:val="20"/>
          <w:color w:val="auto"/>
        </w:rPr>
      </w:pPr>
      <w:r>
        <w:rPr>
          <w:rFonts w:ascii="Times New Roman" w:cs="Times New Roman" w:eastAsia="Times New Roman" w:hAnsi="Times New Roman"/>
          <w:sz w:val="20"/>
          <w:szCs w:val="20"/>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w:t>
      </w:r>
    </w:p>
    <w:p>
      <w:pPr>
        <w:spacing w:after="0" w:line="77" w:lineRule="exact"/>
        <w:rPr>
          <w:sz w:val="20"/>
          <w:szCs w:val="20"/>
          <w:color w:val="auto"/>
        </w:rPr>
      </w:pPr>
    </w:p>
    <w:p>
      <w:pPr>
        <w:ind w:left="360" w:right="400" w:firstLine="490"/>
        <w:spacing w:after="0" w:line="245" w:lineRule="auto"/>
        <w:rPr>
          <w:sz w:val="20"/>
          <w:szCs w:val="20"/>
          <w:color w:val="auto"/>
        </w:rPr>
      </w:pPr>
      <w:r>
        <w:rPr>
          <w:rFonts w:ascii="Times New Roman" w:cs="Times New Roman" w:eastAsia="Times New Roman" w:hAnsi="Times New Roman"/>
          <w:sz w:val="20"/>
          <w:szCs w:val="20"/>
          <w:color w:val="auto"/>
        </w:rPr>
        <w:t>We may expend significant resources or fundamentally change our business activities and practices (including our clinical trials) to try to protect against security incidents. Certain data privacy and security obligations may require us to implement and maintain specific security measures or industry-standard or reasonable security measures to protect our information technology systems and sensitive data.</w:t>
      </w:r>
    </w:p>
    <w:p>
      <w:pPr>
        <w:spacing w:after="0" w:line="74" w:lineRule="exact"/>
        <w:rPr>
          <w:sz w:val="20"/>
          <w:szCs w:val="20"/>
          <w:color w:val="auto"/>
        </w:rPr>
      </w:pPr>
    </w:p>
    <w:p>
      <w:pPr>
        <w:ind w:left="360" w:right="500" w:firstLine="490"/>
        <w:spacing w:after="0" w:line="236" w:lineRule="auto"/>
        <w:rPr>
          <w:sz w:val="20"/>
          <w:szCs w:val="20"/>
          <w:color w:val="auto"/>
        </w:rPr>
      </w:pPr>
      <w:r>
        <w:rPr>
          <w:rFonts w:ascii="Times New Roman" w:cs="Times New Roman" w:eastAsia="Times New Roman" w:hAnsi="Times New Roman"/>
          <w:sz w:val="20"/>
          <w:szCs w:val="20"/>
          <w:color w:val="auto"/>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products, deter new customers from using our products, and negatively impact our ability to grow and operate our business.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960" w:h="17280" w:orient="portrait"/>
          <w:cols w:equalWidth="0" w:num="1">
            <w:col w:w="10080"/>
          </w:cols>
          <w:pgMar w:left="1440" w:top="1440" w:right="1440" w:bottom="895" w:gutter="0" w:footer="0" w:header="0"/>
          <w:type w:val="continuous"/>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60" w:firstLine="490"/>
        <w:spacing w:after="0" w:line="249" w:lineRule="auto"/>
        <w:rPr>
          <w:sz w:val="20"/>
          <w:szCs w:val="20"/>
          <w:color w:val="auto"/>
        </w:rPr>
      </w:pPr>
      <w:r>
        <w:rPr>
          <w:rFonts w:ascii="Times New Roman" w:cs="Times New Roman" w:eastAsia="Times New Roman" w:hAnsi="Times New Roman"/>
          <w:sz w:val="20"/>
          <w:szCs w:val="20"/>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the use of generative AI technologies.</w:t>
      </w:r>
    </w:p>
    <w:p>
      <w:pPr>
        <w:spacing w:after="0" w:line="77" w:lineRule="exact"/>
        <w:rPr>
          <w:sz w:val="20"/>
          <w:szCs w:val="20"/>
          <w:color w:val="auto"/>
        </w:rPr>
      </w:pPr>
    </w:p>
    <w:p>
      <w:pPr>
        <w:jc w:val="both"/>
        <w:ind w:left="360" w:right="520" w:firstLine="490"/>
        <w:spacing w:after="0" w:line="258" w:lineRule="auto"/>
        <w:rPr>
          <w:sz w:val="20"/>
          <w:szCs w:val="20"/>
          <w:color w:val="auto"/>
        </w:rPr>
      </w:pPr>
      <w:r>
        <w:rPr>
          <w:rFonts w:ascii="Times New Roman" w:cs="Times New Roman" w:eastAsia="Times New Roman" w:hAnsi="Times New Roman"/>
          <w:sz w:val="20"/>
          <w:szCs w:val="20"/>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68" w:lineRule="exact"/>
        <w:rPr>
          <w:sz w:val="20"/>
          <w:szCs w:val="20"/>
          <w:color w:val="auto"/>
        </w:rPr>
      </w:pPr>
    </w:p>
    <w:p>
      <w:pPr>
        <w:ind w:left="360" w:right="480" w:firstLine="490"/>
        <w:spacing w:after="0" w:line="249" w:lineRule="auto"/>
        <w:rPr>
          <w:sz w:val="20"/>
          <w:szCs w:val="20"/>
          <w:color w:val="auto"/>
        </w:rPr>
      </w:pPr>
      <w:r>
        <w:rPr>
          <w:rFonts w:ascii="Times New Roman" w:cs="Times New Roman" w:eastAsia="Times New Roman" w:hAnsi="Times New Roman"/>
          <w:sz w:val="20"/>
          <w:szCs w:val="20"/>
          <w:color w:val="auto"/>
        </w:rPr>
        <w:t>In addition, our insurance coverage may not be adequate or sufficient in type or amount to protect us from or to mitigate liabilities arising out of our privacy and security practices.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We face risks related to information technology regulatory and compliance requirements</w:t>
      </w:r>
    </w:p>
    <w:p>
      <w:pPr>
        <w:spacing w:after="0" w:line="120"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We are subject to an evolving landscape of data privacy and security regulations, including the General Data Protection Regulation (GDPR), Health Insurance Portability and Accountability Act (HIPAA), California Consumer Privacy Act (CCPA), SEC cybersecurity disclosure requirements, among others. Failure to comply with these regulations may result in substantial fines, litigation, regulatory investigations, and reputational harm. The complexity of maintaining compliance across multiple jurisdictions increases our operational burden, requiring continuous updates to security policies, employee training, and IT infrastructure enhancements. Additionally, new or amended privacy laws may impose additional costs and operational challenges, impacting our ability to conduct business effectively. If we or one of our third-party service providers fail to adhere to regulatory requirements, we may be subject to enforcement actions, consent decrees, or restrictions on our ability to process sensitive data, potentially delaying our product development or commercialization efforts.</w:t>
      </w:r>
    </w:p>
    <w:p>
      <w:pPr>
        <w:spacing w:after="0" w:line="82" w:lineRule="exact"/>
        <w:rPr>
          <w:sz w:val="20"/>
          <w:szCs w:val="20"/>
          <w:color w:val="auto"/>
        </w:rPr>
      </w:pPr>
    </w:p>
    <w:p>
      <w:pPr>
        <w:ind w:left="360" w:right="380" w:firstLine="490"/>
        <w:spacing w:after="0" w:line="247" w:lineRule="auto"/>
        <w:rPr>
          <w:sz w:val="20"/>
          <w:szCs w:val="20"/>
          <w:color w:val="auto"/>
        </w:rPr>
      </w:pPr>
      <w:r>
        <w:rPr>
          <w:rFonts w:ascii="Times New Roman" w:cs="Times New Roman" w:eastAsia="Times New Roman" w:hAnsi="Times New Roman"/>
          <w:sz w:val="20"/>
          <w:szCs w:val="20"/>
          <w:color w:val="auto"/>
        </w:rPr>
        <w:t>Many of our critical IT systems and data storage rely on cloud service providers. While these providers implement security controls, misconfigurations, lack of visibility into shared responsibility models, or insider threats can lead to data exposure or service disruptions. Failure to comply with evolving global data privacy and security regulations, such as GDPR, HIPAA, CCPA, SEC cybersecurity rules, and industry-specific compliance requirements (e.g., FDA 21 CFR Part 11 for regulated data), could subject us to significant fines, legal liabilities, and reputational harm.</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We face the risk of shadow IT and unapproved software use by employees</w:t>
      </w:r>
    </w:p>
    <w:p>
      <w:pPr>
        <w:spacing w:after="0" w:line="120" w:lineRule="exact"/>
        <w:rPr>
          <w:sz w:val="20"/>
          <w:szCs w:val="20"/>
          <w:color w:val="auto"/>
        </w:rPr>
      </w:pPr>
    </w:p>
    <w:p>
      <w:pPr>
        <w:ind w:left="360" w:right="420" w:firstLine="490"/>
        <w:spacing w:after="0" w:line="244" w:lineRule="auto"/>
        <w:rPr>
          <w:sz w:val="20"/>
          <w:szCs w:val="20"/>
          <w:color w:val="auto"/>
        </w:rPr>
      </w:pPr>
      <w:r>
        <w:rPr>
          <w:rFonts w:ascii="Times New Roman" w:cs="Times New Roman" w:eastAsia="Times New Roman" w:hAnsi="Times New Roman"/>
          <w:sz w:val="20"/>
          <w:szCs w:val="20"/>
          <w:color w:val="auto"/>
        </w:rPr>
        <w:t>Employees or contractors may use unauthorized or unapproved software, cloud services, or personal devices to access, store, or transmit company data, a practice commonly referred to as "Shadow IT". The use of such unapproved technologies increases security risks, as these applications and services may not adhere to our established cybersecurity and compliance standards. Shadow IT may introduce vulnerabilities, expose sensitive data to unauthorized parties, or lead to misconfigurations that may increase the likelihood of cyberattacks or data breaches. Additionally, unvetted third-party applications may not comply with regulatory requirements, exposing us to compliance violations and potential legal liabilities. Despite our ongoing efforts to monitor and control the use of unauthorized software, we may not be able to eliminate all instances of Shadow IT, which could materially impact our security posture, regulatory compliance, and business operations.</w:t>
      </w:r>
    </w:p>
    <w:p>
      <w:pPr>
        <w:spacing w:after="0" w:line="86" w:lineRule="exact"/>
        <w:rPr>
          <w:sz w:val="20"/>
          <w:szCs w:val="20"/>
          <w:color w:val="auto"/>
        </w:rPr>
      </w:pPr>
    </w:p>
    <w:p>
      <w:pPr>
        <w:ind w:left="360" w:right="8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potential product liability exposure, and, if claims are brought against us, we may incur substantial liability.</w:t>
      </w:r>
    </w:p>
    <w:p>
      <w:pPr>
        <w:spacing w:after="0" w:line="49" w:lineRule="exact"/>
        <w:rPr>
          <w:sz w:val="20"/>
          <w:szCs w:val="20"/>
          <w:color w:val="auto"/>
        </w:rPr>
      </w:pPr>
    </w:p>
    <w:p>
      <w:pPr>
        <w:ind w:left="360" w:right="360" w:firstLine="490"/>
        <w:spacing w:after="0" w:line="244" w:lineRule="auto"/>
        <w:rPr>
          <w:sz w:val="20"/>
          <w:szCs w:val="20"/>
          <w:color w:val="auto"/>
        </w:rPr>
      </w:pPr>
      <w:r>
        <w:rPr>
          <w:rFonts w:ascii="Times New Roman" w:cs="Times New Roman" w:eastAsia="Times New Roman" w:hAnsi="Times New Roman"/>
          <w:sz w:val="20"/>
          <w:szCs w:val="20"/>
          <w:color w:val="auto"/>
        </w:rPr>
        <w:t>The use of nomlabofusp and other potential product candidates in clinical trials, if any, and the sale of nomlabofusp and other potential product candidates, if developed and approved, exposes us to the risk of product liability claims. Product liability claims might be brought against us by patients, healthcare providers or others selling or otherwise coming into contact with nomlabofusp or other potential product candidates. For example, we may be sued if any product we develop allegedly causes injury or death or is found to be otherwise unsuitable during product testing, manufacturing, marketing or sale.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Any such product liability claims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960" w:h="17280" w:orient="portrait"/>
          <w:cols w:equalWidth="0" w:num="1">
            <w:col w:w="10080"/>
          </w:cols>
          <w:pgMar w:left="1440" w:top="1440" w:right="1440" w:bottom="895"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40"/>
        <w:spacing w:after="0" w:line="247" w:lineRule="auto"/>
        <w:rPr>
          <w:sz w:val="20"/>
          <w:szCs w:val="20"/>
          <w:color w:val="auto"/>
        </w:rPr>
      </w:pPr>
      <w:r>
        <w:rPr>
          <w:rFonts w:ascii="Times New Roman" w:cs="Times New Roman" w:eastAsia="Times New Roman" w:hAnsi="Times New Roman"/>
          <w:sz w:val="20"/>
          <w:szCs w:val="20"/>
          <w:color w:val="auto"/>
        </w:rPr>
        <w:t>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consumer protection acts in other jurisdictions.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94" w:lineRule="exact"/>
        <w:rPr>
          <w:sz w:val="20"/>
          <w:szCs w:val="20"/>
          <w:color w:val="auto"/>
        </w:rPr>
      </w:pPr>
    </w:p>
    <w:p>
      <w:pPr>
        <w:ind w:left="1220" w:hanging="370"/>
        <w:spacing w:after="0"/>
        <w:tabs>
          <w:tab w:leader="none" w:pos="12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patients or clinical investigators from our clinical trials;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delay or termination of clinical trials;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patients or other claimants;</w:t>
      </w:r>
    </w:p>
    <w:p>
      <w:pPr>
        <w:spacing w:after="0" w:line="133" w:lineRule="exact"/>
        <w:rPr>
          <w:rFonts w:ascii="Arial" w:cs="Arial" w:eastAsia="Arial" w:hAnsi="Arial"/>
          <w:sz w:val="20"/>
          <w:szCs w:val="20"/>
          <w:color w:val="auto"/>
        </w:rPr>
      </w:pPr>
    </w:p>
    <w:p>
      <w:pPr>
        <w:ind w:left="1220" w:right="1040" w:hanging="370"/>
        <w:spacing w:after="0" w:line="276" w:lineRule="auto"/>
        <w:tabs>
          <w:tab w:leader="none" w:pos="12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nomlabofusp or our other potential product candidates following marketing approval, if obtained;</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damage to our reputation and exposure to adverse publicity;</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FDA warnings on product labels;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initiation of investigations by regulators or ethics committees;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product recalls, withdrawals, or labeling, marketing or promotional restrictions;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costs;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distraction of management’s attention from our primary business;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product liability costs;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 and</w:t>
      </w:r>
    </w:p>
    <w:p>
      <w:pPr>
        <w:spacing w:after="0" w:line="133" w:lineRule="exact"/>
        <w:rPr>
          <w:rFonts w:ascii="Arial" w:cs="Arial" w:eastAsia="Arial" w:hAnsi="Arial"/>
          <w:sz w:val="20"/>
          <w:szCs w:val="20"/>
          <w:color w:val="auto"/>
        </w:rPr>
      </w:pPr>
    </w:p>
    <w:p>
      <w:pPr>
        <w:ind w:left="1220" w:right="1140" w:hanging="370"/>
        <w:spacing w:after="0" w:line="276" w:lineRule="auto"/>
        <w:tabs>
          <w:tab w:leader="none" w:pos="12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successfully commercialize nomlabofusp or other potential product candidates, if approved.</w:t>
      </w:r>
    </w:p>
    <w:p>
      <w:pPr>
        <w:spacing w:after="0" w:line="50" w:lineRule="exact"/>
        <w:rPr>
          <w:sz w:val="20"/>
          <w:szCs w:val="20"/>
          <w:color w:val="auto"/>
        </w:rPr>
      </w:pPr>
    </w:p>
    <w:p>
      <w:pPr>
        <w:ind w:left="360" w:right="420" w:firstLine="490"/>
        <w:spacing w:after="0" w:line="243" w:lineRule="auto"/>
        <w:rPr>
          <w:sz w:val="20"/>
          <w:szCs w:val="20"/>
          <w:color w:val="auto"/>
        </w:rPr>
      </w:pPr>
      <w:r>
        <w:rPr>
          <w:rFonts w:ascii="Times New Roman" w:cs="Times New Roman" w:eastAsia="Times New Roman" w:hAnsi="Times New Roman"/>
          <w:sz w:val="20"/>
          <w:szCs w:val="20"/>
          <w:color w:val="auto"/>
        </w:rPr>
        <w:t>We maintain product liability insurance coverage for our clinical trials with a $5 million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we obtain marketing approval for nomlabofusp or other potential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results of operations and prospects could be materially adversely affected.</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124" w:lineRule="exact"/>
        <w:rPr>
          <w:sz w:val="20"/>
          <w:szCs w:val="20"/>
          <w:color w:val="auto"/>
        </w:rPr>
      </w:pPr>
    </w:p>
    <w:p>
      <w:pPr>
        <w:ind w:left="360"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limited experience in conducting or supervising clinical trials and must outsource all clinical trials. As a result, many important aspects of our drug development programs are outside of our direct control.</w:t>
      </w:r>
    </w:p>
    <w:p>
      <w:pPr>
        <w:spacing w:after="0" w:line="49" w:lineRule="exact"/>
        <w:rPr>
          <w:sz w:val="20"/>
          <w:szCs w:val="20"/>
          <w:color w:val="auto"/>
        </w:rPr>
      </w:pPr>
    </w:p>
    <w:p>
      <w:pPr>
        <w:ind w:left="360" w:right="400" w:firstLine="490"/>
        <w:spacing w:after="0" w:line="244" w:lineRule="auto"/>
        <w:rPr>
          <w:sz w:val="20"/>
          <w:szCs w:val="20"/>
          <w:color w:val="auto"/>
        </w:rPr>
      </w:pPr>
      <w:r>
        <w:rPr>
          <w:rFonts w:ascii="Times New Roman" w:cs="Times New Roman" w:eastAsia="Times New Roman" w:hAnsi="Times New Roman"/>
          <w:sz w:val="20"/>
          <w:szCs w:val="20"/>
          <w:color w:val="auto"/>
        </w:rPr>
        <w:t>We have limited experience in conducting or supervising clinical trials that must be performed to obtain data to submit in concert with applications for approval by the FDA, the EMA or other comparable foreign regulatory authorities. As a result, we expect to continue to rely on CROs, clinical trial sites, clinical data management organizations and consultants to design, conduct, supervise and monitor our non-clinical studies and clinical trials. We, our CROs, and contractors are required to comply with various regulations, including the FDA’s regulations regarding current Good Clinical Practices ("cGCPs") which are enforced by regulatory agencies, including the FDA, and comparable foreign regulatory authorities to ensure the health, safety and rights of patients are protected in clinical development and clinical trials, and that trial data integrity is assured. Regulatory authorities ensure compliance with these requirements through periodic inspections of trial sponsors, principal investigators and</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960" w:h="17280" w:orient="portrait"/>
          <w:cols w:equalWidth="0" w:num="1">
            <w:col w:w="10080"/>
          </w:cols>
          <w:pgMar w:left="1440" w:top="1440" w:right="1440" w:bottom="895"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500"/>
        <w:spacing w:after="0" w:line="243" w:lineRule="auto"/>
        <w:rPr>
          <w:sz w:val="20"/>
          <w:szCs w:val="20"/>
          <w:color w:val="auto"/>
        </w:rPr>
      </w:pPr>
      <w:r>
        <w:rPr>
          <w:rFonts w:ascii="Times New Roman" w:cs="Times New Roman" w:eastAsia="Times New Roman" w:hAnsi="Times New Roman"/>
          <w:sz w:val="20"/>
          <w:szCs w:val="20"/>
          <w:color w:val="auto"/>
        </w:rPr>
        <w:t>clinical trial sites. Our expected reliance on third parties that we do not control does not relieve us of these responsibilities and requirements. If we or any of our CROs, contractors, or clinical trial sites fail to comply with applicable requirements, the clinical data generated in our clinical trials may be deemed unreliable and the FDA, EMA or other comparable foreign regulatory authorities may require us to perform additional clinical trials before approving our marketing applications. We cannot ensure that upon inspection by a given regulatory authority, such regulatory authority will determine that any of our clinical trials comply with such requirements. In addition, our clinical trials must be conducted with products produced under cGMP requirements, which mandate, among other things, the methods, facilities and controls used in manufacturing, processing and packaging of a drug product to ensure its safety and identity. Failure to comply with these regulations may require us to repeat non-clinical studies and/or clinical trials, which would delay the regulatory approval process, and could also subject us to enforcement action, up to and including, civil and criminal penalties, which would materially adversely affect our business, financial condition and results of operations.</w:t>
      </w:r>
    </w:p>
    <w:p>
      <w:pPr>
        <w:spacing w:after="0" w:line="86"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Our CROs and contractors are not our employees, and except for remedies available to us under our agreements with such CROs and contractors, we cannot control whether or not they devote sufficient time and resources to our ongoing clinical and non-clinical programs. If our CROs and contractors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operations and the commercial prospects for our product candidates would be harmed, our costs could increase and our ability to generate revenue could be delayed or reduced. In addition, operations of our CROs and contractors could be affected by earthquakes, power shortages, telecommunications failures, water shortages, floods, hurricanes, typhoons, fires, extreme weather conditions, medical epidemics and other natural or man-made disasters or business interruptions. If their facilities are unable to operate because of an accident or incident, even for a short period of time, some or all of our research and development programs may be harmed or delayed, and our operations and financial condition could suffer.</w:t>
      </w:r>
    </w:p>
    <w:p>
      <w:pPr>
        <w:spacing w:after="0" w:line="83" w:lineRule="exact"/>
        <w:rPr>
          <w:sz w:val="20"/>
          <w:szCs w:val="20"/>
          <w:color w:val="auto"/>
        </w:rPr>
      </w:pPr>
    </w:p>
    <w:p>
      <w:pPr>
        <w:ind w:left="360" w:right="360" w:firstLine="490"/>
        <w:spacing w:after="0" w:line="245" w:lineRule="auto"/>
        <w:rPr>
          <w:sz w:val="20"/>
          <w:szCs w:val="20"/>
          <w:color w:val="auto"/>
        </w:rPr>
      </w:pPr>
      <w:r>
        <w:rPr>
          <w:rFonts w:ascii="Times New Roman" w:cs="Times New Roman" w:eastAsia="Times New Roman" w:hAnsi="Times New Roman"/>
          <w:sz w:val="20"/>
          <w:szCs w:val="20"/>
          <w:color w:val="auto"/>
        </w:rPr>
        <w:t>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and contractors does not relieve us of our regulatory responsibilities.</w:t>
      </w:r>
    </w:p>
    <w:p>
      <w:pPr>
        <w:spacing w:after="0" w:line="82" w:lineRule="exact"/>
        <w:rPr>
          <w:sz w:val="20"/>
          <w:szCs w:val="20"/>
          <w:color w:val="auto"/>
        </w:rPr>
      </w:pPr>
    </w:p>
    <w:p>
      <w:pPr>
        <w:ind w:left="360" w:right="400" w:firstLine="490"/>
        <w:spacing w:after="0" w:line="243" w:lineRule="auto"/>
        <w:rPr>
          <w:sz w:val="20"/>
          <w:szCs w:val="20"/>
          <w:color w:val="auto"/>
        </w:rPr>
      </w:pPr>
      <w:r>
        <w:rPr>
          <w:rFonts w:ascii="Times New Roman" w:cs="Times New Roman" w:eastAsia="Times New Roman" w:hAnsi="Times New Roman"/>
          <w:sz w:val="20"/>
          <w:szCs w:val="20"/>
          <w:color w:val="auto"/>
        </w:rPr>
        <w:t>In addition, we must, at times, share confidential information with third parties.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intellectual property, data from clinical studies and future development plans. Despite the contractual provisions employed when working with third parties, the need to share confidential information increases the risk that such confidential information become known by our competitors, are inadvertently incorporated into the technology of others, or are disclosed or used in violation of these agreements. Given that our proprietary position is based, in part, on our confidential information, a competitor’s discovery of our confidential information or other unauthorized use or disclosure would impair our competitive position and may have an adverse effect on our business.</w:t>
      </w:r>
    </w:p>
    <w:p>
      <w:pPr>
        <w:spacing w:after="0" w:line="86" w:lineRule="exact"/>
        <w:rPr>
          <w:sz w:val="20"/>
          <w:szCs w:val="20"/>
          <w:color w:val="auto"/>
        </w:rPr>
      </w:pPr>
    </w:p>
    <w:p>
      <w:pPr>
        <w:ind w:left="360" w:right="480" w:firstLine="490"/>
        <w:spacing w:after="0" w:line="244" w:lineRule="auto"/>
        <w:rPr>
          <w:sz w:val="20"/>
          <w:szCs w:val="20"/>
          <w:color w:val="auto"/>
        </w:rPr>
      </w:pPr>
      <w:r>
        <w:rPr>
          <w:rFonts w:ascii="Times New Roman" w:cs="Times New Roman" w:eastAsia="Times New Roman" w:hAnsi="Times New Roman"/>
          <w:sz w:val="20"/>
          <w:szCs w:val="20"/>
          <w:color w:val="auto"/>
        </w:rPr>
        <w:t>Moreover, because we have relied on third parties, our internal capacity to perform these functions is limited. Outsourcing these functions involves risk that third parties may not perform to our standards, may not produce results in a timely manner or may fail to perform at all. We currently have a small number of employees, which limits the internal resources we have available to engage new third-party providers, if necessary, and monitor existing third-party providers. To the extent we are unable to engage new third-party providers, if necessary, and successfully manage the performance of third-party service providers in the future, our business may be adversely affected. Though we carefully manage our relationships with CROs, and contractors there can be no assurance that we will not encounter similar challenges or delays in the future or that these delays or challenges will not have a material adverse impact on our business, financial condition, results of operation and prospects.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960" w:h="17280" w:orient="portrait"/>
          <w:cols w:equalWidth="0" w:num="1">
            <w:col w:w="10080"/>
          </w:cols>
          <w:pgMar w:left="1440" w:top="1440" w:right="1440" w:bottom="895"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360" w:right="5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rely on third-party supply and manufacturing partners for drug supplies for our research and development, non-clinical activities, and clinical activities, and may do the same for any commercial supplies of our product candidates.</w:t>
      </w:r>
    </w:p>
    <w:p>
      <w:pPr>
        <w:spacing w:after="0" w:line="68" w:lineRule="exact"/>
        <w:rPr>
          <w:sz w:val="20"/>
          <w:szCs w:val="20"/>
          <w:color w:val="auto"/>
        </w:rPr>
      </w:pPr>
    </w:p>
    <w:p>
      <w:pPr>
        <w:ind w:left="360" w:right="560" w:firstLine="490"/>
        <w:spacing w:after="0" w:line="246" w:lineRule="auto"/>
        <w:rPr>
          <w:sz w:val="20"/>
          <w:szCs w:val="20"/>
          <w:color w:val="auto"/>
        </w:rPr>
      </w:pPr>
      <w:r>
        <w:rPr>
          <w:rFonts w:ascii="Times New Roman" w:cs="Times New Roman" w:eastAsia="Times New Roman" w:hAnsi="Times New Roman"/>
          <w:sz w:val="20"/>
          <w:szCs w:val="20"/>
          <w:color w:val="auto"/>
        </w:rPr>
        <w:t>We rely on third-party supply and manufacturing partners to supply the materials and components for, and manufacture, our research and development, non-clinical and clinical study drug substance and drug product. We have not yet manufactured or formulated nomlabofusp or any other product candidate on a commercial scale and may not be able to do so for any of our product candidates. We will work to develop and optimize our manufacturing process; however, we cannot be sure that the process will result in therapies that are safe, potent or effective. Given our reliance on third parties and the risk of manufacturing commercial scale quantities, our ability to adequately commercially launch and/or supply nomlabofusp could be adversely affected.</w:t>
      </w:r>
    </w:p>
    <w:p>
      <w:pPr>
        <w:spacing w:after="0" w:line="80" w:lineRule="exact"/>
        <w:rPr>
          <w:sz w:val="20"/>
          <w:szCs w:val="20"/>
          <w:color w:val="auto"/>
        </w:rPr>
      </w:pPr>
    </w:p>
    <w:p>
      <w:pPr>
        <w:ind w:left="360" w:right="360" w:firstLine="490"/>
        <w:spacing w:after="0" w:line="242" w:lineRule="auto"/>
        <w:rPr>
          <w:sz w:val="20"/>
          <w:szCs w:val="20"/>
          <w:color w:val="auto"/>
        </w:rPr>
      </w:pPr>
      <w:r>
        <w:rPr>
          <w:rFonts w:ascii="Times New Roman" w:cs="Times New Roman" w:eastAsia="Times New Roman" w:hAnsi="Times New Roman"/>
          <w:sz w:val="20"/>
          <w:szCs w:val="20"/>
          <w:color w:val="auto"/>
        </w:rPr>
        <w:t>We do not own manufacturing facilities or supply sources for such components, non-clinical and clinical study drug substance, product and materials, including devices that may be required for administration, but may develop these capabilities in the future. There can be no assurance that our supply of research and development, non-clinical and clinical development of drugs and other materials will not be limited, interrupted, restricted in certain geographic regions or will be of satisfactory quality or continue to be available at acceptable prices. In particular, replacement of any product formulation manufacturer we may engage could require significant effort and expertise because there may be a limited number of qualified replacements. For example, we rely and expect to continue to rely on a small number of manufacturers to supply us with our requirements for drug substance and formulated drug product related to our nomlabofusp clinical program. The drug substance which is in frozen liquid form for nomlabofusp is currently manufactured for us by a third-party manufacturer, and the frozen liquid form of drug product is made at another manufacturer. We are undertaking a program with a third party manufacturer to begin to produce a lyophilized version of the drug product from the same drug substance, that, once available, we intend to use in certain of our future planned clinical trials. Our research and development programs could be adversely affected by a significant interruption in these manufacturing services or in the supply of drug substance and formulated drugs. In addition, because we rely on multiple manufacturers for our nomlabofusp clinical program, termination of our agreements with any of these manufacturers could significantly adversely impact our current and planned operations.</w:t>
      </w:r>
    </w:p>
    <w:p>
      <w:pPr>
        <w:spacing w:after="0" w:line="86" w:lineRule="exact"/>
        <w:rPr>
          <w:sz w:val="20"/>
          <w:szCs w:val="20"/>
          <w:color w:val="auto"/>
        </w:rPr>
      </w:pPr>
    </w:p>
    <w:p>
      <w:pPr>
        <w:ind w:left="360" w:right="500" w:firstLine="490"/>
        <w:spacing w:after="0" w:line="241" w:lineRule="auto"/>
        <w:rPr>
          <w:sz w:val="20"/>
          <w:szCs w:val="20"/>
          <w:color w:val="auto"/>
        </w:rPr>
      </w:pPr>
      <w:r>
        <w:rPr>
          <w:rFonts w:ascii="Times New Roman" w:cs="Times New Roman" w:eastAsia="Times New Roman" w:hAnsi="Times New Roman"/>
          <w:sz w:val="20"/>
          <w:szCs w:val="20"/>
          <w:color w:val="auto"/>
        </w:rPr>
        <w:t>In the event that any of our suppliers or manufacturers fails to perform their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83" w:lineRule="exact"/>
        <w:rPr>
          <w:sz w:val="20"/>
          <w:szCs w:val="20"/>
          <w:color w:val="auto"/>
        </w:rPr>
      </w:pPr>
    </w:p>
    <w:p>
      <w:pPr>
        <w:ind w:left="360" w:right="500" w:firstLine="490"/>
        <w:spacing w:after="0" w:line="247" w:lineRule="auto"/>
        <w:rPr>
          <w:sz w:val="20"/>
          <w:szCs w:val="20"/>
          <w:color w:val="auto"/>
        </w:rPr>
      </w:pPr>
      <w:r>
        <w:rPr>
          <w:rFonts w:ascii="Times New Roman" w:cs="Times New Roman" w:eastAsia="Times New Roman" w:hAnsi="Times New Roman"/>
          <w:sz w:val="20"/>
          <w:szCs w:val="20"/>
          <w:color w:val="auto"/>
        </w:rPr>
        <w:t>We also rely on third parties to store master and working cell banks. We currently have one master cell bank and one working cell bank for nomlabofusp and believe we would have adequate backup should any cell bank be lost in a catastrophic event. However, it is possible that we could lose multiple cell banks and have our manufacturing severely impacted by the need to replace the cell banks, which could materially and adversely affect our business, financial condition and results of operations.</w:t>
      </w:r>
    </w:p>
    <w:p>
      <w:pPr>
        <w:spacing w:after="0" w:line="77" w:lineRule="exact"/>
        <w:rPr>
          <w:sz w:val="20"/>
          <w:szCs w:val="20"/>
          <w:color w:val="auto"/>
        </w:rPr>
      </w:pPr>
    </w:p>
    <w:p>
      <w:pPr>
        <w:ind w:left="360" w:right="440" w:firstLine="490"/>
        <w:spacing w:after="0" w:line="245" w:lineRule="auto"/>
        <w:rPr>
          <w:sz w:val="20"/>
          <w:szCs w:val="20"/>
          <w:color w:val="auto"/>
        </w:rPr>
      </w:pPr>
      <w:r>
        <w:rPr>
          <w:rFonts w:ascii="Times New Roman" w:cs="Times New Roman" w:eastAsia="Times New Roman" w:hAnsi="Times New Roman"/>
          <w:sz w:val="20"/>
          <w:szCs w:val="20"/>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 party manufacturing for product candidates, or to do so on commercially reasonable terms, we may not be able to develop and commercialize our product candidates successfully. Our or a third party’s failure to execute on our</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960" w:h="17280" w:orient="portrait"/>
          <w:cols w:equalWidth="0" w:num="1">
            <w:col w:w="10080"/>
          </w:cols>
          <w:pgMar w:left="1440" w:top="1440" w:right="1440" w:bottom="895" w:gutter="0" w:footer="0" w:header="0"/>
          <w:type w:val="continuous"/>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0" w:right="640"/>
        <w:spacing w:after="0" w:line="275" w:lineRule="auto"/>
        <w:rPr>
          <w:sz w:val="20"/>
          <w:szCs w:val="20"/>
          <w:color w:val="auto"/>
        </w:rPr>
      </w:pPr>
      <w:r>
        <w:rPr>
          <w:rFonts w:ascii="Times New Roman" w:cs="Times New Roman" w:eastAsia="Times New Roman" w:hAnsi="Times New Roman"/>
          <w:sz w:val="20"/>
          <w:szCs w:val="20"/>
          <w:color w:val="auto"/>
        </w:rPr>
        <w:t>manufacturing requirements could adversely affect our business, financial condition and results of operations in a number of ways, including:</w:t>
      </w:r>
    </w:p>
    <w:p>
      <w:pPr>
        <w:spacing w:after="0" w:line="63" w:lineRule="exact"/>
        <w:rPr>
          <w:sz w:val="20"/>
          <w:szCs w:val="20"/>
          <w:color w:val="auto"/>
        </w:rPr>
      </w:pPr>
    </w:p>
    <w:p>
      <w:pPr>
        <w:ind w:left="1220" w:hanging="370"/>
        <w:spacing w:after="0"/>
        <w:tabs>
          <w:tab w:leader="none" w:pos="12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an inability to initiate or continue clinical trials of product candidates under development;</w:t>
      </w:r>
    </w:p>
    <w:p>
      <w:pPr>
        <w:spacing w:after="0" w:line="131" w:lineRule="exact"/>
        <w:rPr>
          <w:rFonts w:ascii="Arial" w:cs="Arial" w:eastAsia="Arial" w:hAnsi="Arial"/>
          <w:sz w:val="20"/>
          <w:szCs w:val="20"/>
          <w:color w:val="auto"/>
        </w:rPr>
      </w:pPr>
    </w:p>
    <w:p>
      <w:pPr>
        <w:ind w:left="1220" w:hanging="370"/>
        <w:spacing w:after="0"/>
        <w:tabs>
          <w:tab w:leader="none" w:pos="12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delay in submitting regulatory applications, or receiving regulatory approvals, for product candidates;</w:t>
      </w:r>
    </w:p>
    <w:p>
      <w:pPr>
        <w:spacing w:after="0" w:line="131" w:lineRule="exact"/>
        <w:rPr>
          <w:rFonts w:ascii="Arial" w:cs="Arial" w:eastAsia="Arial" w:hAnsi="Arial"/>
          <w:sz w:val="20"/>
          <w:szCs w:val="20"/>
          <w:color w:val="auto"/>
        </w:rPr>
      </w:pPr>
    </w:p>
    <w:p>
      <w:pPr>
        <w:ind w:left="1220" w:right="520" w:hanging="370"/>
        <w:spacing w:after="0" w:line="274" w:lineRule="auto"/>
        <w:tabs>
          <w:tab w:leader="none" w:pos="12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loss of the cooperation of a collaborator, including termination or nonrenewal of the agreement at a time that is costly or inconvenient for us;</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manufacturing associated with having to change manufacturers;</w:t>
      </w:r>
    </w:p>
    <w:p>
      <w:pPr>
        <w:spacing w:after="0" w:line="131" w:lineRule="exact"/>
        <w:rPr>
          <w:rFonts w:ascii="Arial" w:cs="Arial" w:eastAsia="Arial" w:hAnsi="Arial"/>
          <w:sz w:val="20"/>
          <w:szCs w:val="20"/>
          <w:color w:val="auto"/>
        </w:rPr>
      </w:pPr>
    </w:p>
    <w:p>
      <w:pPr>
        <w:ind w:left="1220" w:hanging="370"/>
        <w:spacing w:after="0"/>
        <w:tabs>
          <w:tab w:leader="none" w:pos="12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subjecting our product candidates to additional inspections by regulatory authorities;</w:t>
      </w:r>
    </w:p>
    <w:p>
      <w:pPr>
        <w:spacing w:after="0" w:line="131" w:lineRule="exact"/>
        <w:rPr>
          <w:rFonts w:ascii="Arial" w:cs="Arial" w:eastAsia="Arial" w:hAnsi="Arial"/>
          <w:sz w:val="20"/>
          <w:szCs w:val="20"/>
          <w:color w:val="auto"/>
        </w:rPr>
      </w:pPr>
    </w:p>
    <w:p>
      <w:pPr>
        <w:ind w:left="1220" w:hanging="370"/>
        <w:spacing w:after="0"/>
        <w:tabs>
          <w:tab w:leader="none" w:pos="12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requirements to cease distribution or to recall batches of our product candidates; and</w:t>
      </w:r>
    </w:p>
    <w:p>
      <w:pPr>
        <w:spacing w:after="0" w:line="131" w:lineRule="exact"/>
        <w:rPr>
          <w:rFonts w:ascii="Arial" w:cs="Arial" w:eastAsia="Arial" w:hAnsi="Arial"/>
          <w:sz w:val="20"/>
          <w:szCs w:val="20"/>
          <w:color w:val="auto"/>
        </w:rPr>
      </w:pPr>
    </w:p>
    <w:p>
      <w:pPr>
        <w:ind w:left="1220" w:right="1320" w:hanging="370"/>
        <w:spacing w:after="0" w:line="274" w:lineRule="auto"/>
        <w:tabs>
          <w:tab w:leader="none" w:pos="12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in the event of approval to market and commercialize a product candidate, an inability to meet commercial demands for our products.</w:t>
      </w:r>
    </w:p>
    <w:p>
      <w:pPr>
        <w:spacing w:after="0" w:line="46" w:lineRule="exact"/>
        <w:rPr>
          <w:sz w:val="20"/>
          <w:szCs w:val="20"/>
          <w:color w:val="auto"/>
        </w:rPr>
      </w:pPr>
    </w:p>
    <w:p>
      <w:pPr>
        <w:ind w:left="360" w:right="56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68" w:lineRule="exact"/>
        <w:rPr>
          <w:sz w:val="20"/>
          <w:szCs w:val="20"/>
          <w:color w:val="auto"/>
        </w:rPr>
      </w:pPr>
    </w:p>
    <w:p>
      <w:pPr>
        <w:ind w:left="360" w:right="360" w:firstLine="490"/>
        <w:spacing w:after="0" w:line="235" w:lineRule="auto"/>
        <w:rPr>
          <w:sz w:val="20"/>
          <w:szCs w:val="20"/>
          <w:color w:val="auto"/>
        </w:rPr>
      </w:pPr>
      <w:r>
        <w:rPr>
          <w:rFonts w:ascii="Times New Roman" w:cs="Times New Roman" w:eastAsia="Times New Roman" w:hAnsi="Times New Roman"/>
          <w:sz w:val="20"/>
          <w:szCs w:val="20"/>
          <w:color w:val="auto"/>
        </w:rPr>
        <w:t>All entities involved in the preparation of therapeutics for clinical trials or commercial sale, including our existing contract manufacturers for nomlabofusp, are subject to extensive regulation. Some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NDA on a timely basis and where required, must adhere to the FDA’s or other regulator’s GLPs and cGMP regulations enforced by the FDA or other regulators through facilities inspection programs. The facilities and quality systems of some or all of our third party contractors must pass a pre-approval inspection for compliance with the applicable regulations as a condition of regulatory approval of nomlabofusp or any of our other potential products. In addition, the regulatory authorities may, at any time, audit or inspect a manufacturing facility involved with the preparation of nomlabofusp or our other potential products or the associated quality systems for compliance with the regulations applicable to the activities being conducted. If these facilities do not pass a pre-approval plant inspection, the FDA or other regulatory approval of the products will not be granted.</w:t>
      </w:r>
    </w:p>
    <w:p>
      <w:pPr>
        <w:spacing w:after="0" w:line="88" w:lineRule="exact"/>
        <w:rPr>
          <w:sz w:val="20"/>
          <w:szCs w:val="20"/>
          <w:color w:val="auto"/>
        </w:rPr>
      </w:pPr>
    </w:p>
    <w:p>
      <w:pPr>
        <w:ind w:left="360" w:right="380" w:firstLine="490"/>
        <w:spacing w:after="0" w:line="238" w:lineRule="auto"/>
        <w:rPr>
          <w:sz w:val="20"/>
          <w:szCs w:val="20"/>
          <w:color w:val="auto"/>
        </w:rPr>
      </w:pPr>
      <w:r>
        <w:rPr>
          <w:rFonts w:ascii="Times New Roman" w:cs="Times New Roman" w:eastAsia="Times New Roman" w:hAnsi="Times New Roman"/>
          <w:sz w:val="20"/>
          <w:szCs w:val="20"/>
          <w:color w:val="auto"/>
        </w:rPr>
        <w:t>The regulatory authorities also may, at any time following approval of a product for sale, audit the manufacturing facilities of our third 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82" w:lineRule="exact"/>
        <w:rPr>
          <w:sz w:val="20"/>
          <w:szCs w:val="20"/>
          <w:color w:val="auto"/>
        </w:rPr>
      </w:pPr>
    </w:p>
    <w:p>
      <w:pPr>
        <w:ind w:left="360" w:right="540" w:firstLine="490"/>
        <w:spacing w:after="0" w:line="245" w:lineRule="auto"/>
        <w:rPr>
          <w:sz w:val="20"/>
          <w:szCs w:val="20"/>
          <w:color w:val="auto"/>
        </w:rPr>
      </w:pPr>
      <w:r>
        <w:rPr>
          <w:rFonts w:ascii="Times New Roman" w:cs="Times New Roman" w:eastAsia="Times New Roman" w:hAnsi="Times New Roman"/>
          <w:sz w:val="20"/>
          <w:szCs w:val="20"/>
          <w:color w:val="auto"/>
        </w:rPr>
        <w:t>If we or any of our third party manufacturers fail to maintain regulatory compliance, the FDA or other regulators can impose regulatory sanctions including, among other things, refusal to approve a pending application for a biologic product, or revocation of a pre-existing approval. As a result, our business, financial condition and results of operations may be materially harmed.</w:t>
      </w:r>
    </w:p>
    <w:p>
      <w:pPr>
        <w:spacing w:after="0" w:line="74" w:lineRule="exact"/>
        <w:rPr>
          <w:sz w:val="20"/>
          <w:szCs w:val="20"/>
          <w:color w:val="auto"/>
        </w:rPr>
      </w:pPr>
    </w:p>
    <w:p>
      <w:pPr>
        <w:ind w:left="360" w:right="380" w:firstLine="490"/>
        <w:spacing w:after="0" w:line="239" w:lineRule="auto"/>
        <w:rPr>
          <w:sz w:val="20"/>
          <w:szCs w:val="20"/>
          <w:color w:val="auto"/>
        </w:rPr>
      </w:pPr>
      <w:r>
        <w:rPr>
          <w:rFonts w:ascii="Times New Roman" w:cs="Times New Roman" w:eastAsia="Times New Roman" w:hAnsi="Times New Roman"/>
          <w:sz w:val="20"/>
          <w:szCs w:val="20"/>
          <w:color w:val="auto"/>
        </w:rPr>
        <w:t>Additionally, if supply from one approved manufacturer is interrupted, there could be a significant disruption in commercial supply. The number of manufacturers with the necessary manufacturing capabilities is limited. In addition, an alternative manufacturer would need to be qualified through a BLA or NDA supplement or similar regulatory submission which could result in further delay. The regulatory agencies may also require additional studies if a new manufacturer is relied upon for commercial production. The delays associated with the verification of a new manufacturer could negatively affect our ability to develop product candidates in a timely manner or within budget.</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960" w:h="17280" w:orient="portrait"/>
          <w:cols w:equalWidth="0" w:num="1">
            <w:col w:w="10080"/>
          </w:cols>
          <w:pgMar w:left="1440" w:top="1440" w:right="1440" w:bottom="895" w:gutter="0" w:footer="0" w:header="0"/>
          <w:type w:val="continuous"/>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60" w:firstLine="490"/>
        <w:spacing w:after="0" w:line="247" w:lineRule="auto"/>
        <w:rPr>
          <w:sz w:val="20"/>
          <w:szCs w:val="20"/>
          <w:color w:val="auto"/>
        </w:rPr>
      </w:pPr>
      <w:r>
        <w:rPr>
          <w:rFonts w:ascii="Times New Roman" w:cs="Times New Roman" w:eastAsia="Times New Roman" w:hAnsi="Times New Roman"/>
          <w:sz w:val="20"/>
          <w:szCs w:val="20"/>
          <w:color w:val="auto"/>
        </w:rPr>
        <w:t>These factors could also cause the delay of manufacturing development, clinical trials, regulatory submissions, required approvals or commercialization of nomlabofusp or any other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revenues. Any of the above would materially adversely affect our business, financial condition and results of operations.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Changes in methods of product candidate manufacturing may result in additional costs and/or delays.</w:t>
      </w:r>
    </w:p>
    <w:p>
      <w:pPr>
        <w:spacing w:after="0" w:line="120" w:lineRule="exact"/>
        <w:rPr>
          <w:sz w:val="20"/>
          <w:szCs w:val="20"/>
          <w:color w:val="auto"/>
        </w:rPr>
      </w:pPr>
    </w:p>
    <w:p>
      <w:pPr>
        <w:ind w:left="360" w:right="400" w:firstLine="490"/>
        <w:spacing w:after="0" w:line="244" w:lineRule="auto"/>
        <w:rPr>
          <w:sz w:val="20"/>
          <w:szCs w:val="20"/>
          <w:color w:val="auto"/>
        </w:rPr>
      </w:pPr>
      <w:r>
        <w:rPr>
          <w:rFonts w:ascii="Times New Roman" w:cs="Times New Roman" w:eastAsia="Times New Roman" w:hAnsi="Times New Roman"/>
          <w:sz w:val="20"/>
          <w:szCs w:val="20"/>
          <w:color w:val="auto"/>
        </w:rPr>
        <w:t>As product candidates progress through clinical to late-stage clinical trials to marketing approval and commercialization, it is common that various aspects of the development program, such as manufacturing methods, are altered along the way in an effort to optimize yield, manufacturing batch size, change drug product dosage form,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86" w:lineRule="exact"/>
        <w:rPr>
          <w:sz w:val="20"/>
          <w:szCs w:val="20"/>
          <w:color w:val="auto"/>
        </w:rPr>
      </w:pPr>
    </w:p>
    <w:p>
      <w:pPr>
        <w:jc w:val="both"/>
        <w:ind w:left="360" w:right="3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enter into various contracts in the normal course of our business in which we indemnify the other party to the contract. In the event we have to perform under these indemnification provisions, it could materially increase our costs and potential liability.</w:t>
      </w:r>
    </w:p>
    <w:p>
      <w:pPr>
        <w:spacing w:after="0" w:line="68" w:lineRule="exact"/>
        <w:rPr>
          <w:sz w:val="20"/>
          <w:szCs w:val="20"/>
          <w:color w:val="auto"/>
        </w:rPr>
      </w:pPr>
    </w:p>
    <w:p>
      <w:pPr>
        <w:ind w:left="360" w:right="440" w:firstLine="490"/>
        <w:spacing w:after="0" w:line="244" w:lineRule="auto"/>
        <w:rPr>
          <w:sz w:val="20"/>
          <w:szCs w:val="20"/>
          <w:color w:val="auto"/>
        </w:rPr>
      </w:pPr>
      <w:r>
        <w:rPr>
          <w:rFonts w:ascii="Times New Roman" w:cs="Times New Roman" w:eastAsia="Times New Roman" w:hAnsi="Times New Roman"/>
          <w:sz w:val="20"/>
          <w:szCs w:val="20"/>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and contract service agreements, we typically indemnify our collaborators from any third party product liability claims that could result from the production, use or consumption of the product, as well as for alleged infringements of any patent or other intellectual property right by a third party. With respect to consulting agreements, we typically indemnify consultants from claims arising from the good faith performance of their consulting services.</w:t>
      </w:r>
    </w:p>
    <w:p>
      <w:pPr>
        <w:spacing w:after="0" w:line="76" w:lineRule="exact"/>
        <w:rPr>
          <w:sz w:val="20"/>
          <w:szCs w:val="20"/>
          <w:color w:val="auto"/>
        </w:rPr>
      </w:pPr>
    </w:p>
    <w:p>
      <w:pPr>
        <w:ind w:left="360" w:right="460" w:firstLine="490"/>
        <w:spacing w:after="0"/>
        <w:rPr>
          <w:sz w:val="20"/>
          <w:szCs w:val="20"/>
          <w:color w:val="auto"/>
        </w:rPr>
      </w:pPr>
      <w:r>
        <w:rPr>
          <w:rFonts w:ascii="Times New Roman" w:cs="Times New Roman" w:eastAsia="Times New Roman" w:hAnsi="Times New Roman"/>
          <w:sz w:val="20"/>
          <w:szCs w:val="20"/>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their applicable insurance coverage, and if the collaborator does not have other assets available to indemnify us, our business, financial condition and results of operations could be adversely affected.</w:t>
      </w:r>
    </w:p>
    <w:p>
      <w:pPr>
        <w:spacing w:after="0" w:line="80" w:lineRule="exact"/>
        <w:rPr>
          <w:sz w:val="20"/>
          <w:szCs w:val="20"/>
          <w:color w:val="auto"/>
        </w:rPr>
      </w:pPr>
    </w:p>
    <w:p>
      <w:pPr>
        <w:ind w:left="360" w:right="660"/>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To the extent we are able to enter into collaborative arrangements or strategic alliances, we may be exposed to risks related to those collaborations and alliances.</w:t>
      </w:r>
    </w:p>
    <w:p>
      <w:pPr>
        <w:spacing w:after="0" w:line="49" w:lineRule="exact"/>
        <w:rPr>
          <w:sz w:val="20"/>
          <w:szCs w:val="20"/>
          <w:color w:val="auto"/>
        </w:rPr>
      </w:pPr>
    </w:p>
    <w:p>
      <w:pPr>
        <w:ind w:left="360" w:right="400" w:firstLine="490"/>
        <w:spacing w:after="0" w:line="238" w:lineRule="auto"/>
        <w:rPr>
          <w:sz w:val="20"/>
          <w:szCs w:val="20"/>
          <w:color w:val="auto"/>
        </w:rPr>
      </w:pPr>
      <w:r>
        <w:rPr>
          <w:rFonts w:ascii="Times New Roman" w:cs="Times New Roman" w:eastAsia="Times New Roman" w:hAnsi="Times New Roman"/>
          <w:sz w:val="20"/>
          <w:szCs w:val="20"/>
          <w:color w:val="auto"/>
        </w:rPr>
        <w:t>Biotechnology companies sometimes become dependent upon collaborative arrangements or strategic alliances to complete the development and commercialization of product candidates. In seeking collaborative arrangements and strategic partners, we face significant competition from other companies as well as public and private research institutions. There can be no assurance that we will be able to enter into or maintain strategic alliances on terms favorable to us, or at all. If we elect to enter into collaborative arrangements or strategic alliances, these arrangements may place the development of our product candidates outside our control, may require us to relinquish important rights or may otherwise be on terms unfavorable to us, which could adversely affect our business, financial condition and results of operations.</w:t>
      </w:r>
    </w:p>
    <w:p>
      <w:pPr>
        <w:spacing w:after="0" w:line="82" w:lineRule="exact"/>
        <w:rPr>
          <w:sz w:val="20"/>
          <w:szCs w:val="20"/>
          <w:color w:val="auto"/>
        </w:rPr>
      </w:pPr>
    </w:p>
    <w:p>
      <w:pPr>
        <w:ind w:left="360" w:right="980" w:firstLine="490"/>
        <w:spacing w:after="0" w:line="270" w:lineRule="auto"/>
        <w:rPr>
          <w:sz w:val="20"/>
          <w:szCs w:val="20"/>
          <w:color w:val="auto"/>
        </w:rPr>
      </w:pPr>
      <w:r>
        <w:rPr>
          <w:rFonts w:ascii="Times New Roman" w:cs="Times New Roman" w:eastAsia="Times New Roman" w:hAnsi="Times New Roman"/>
          <w:sz w:val="20"/>
          <w:szCs w:val="20"/>
          <w:color w:val="auto"/>
        </w:rPr>
        <w:t>Dependence on collaborative arrangements or strategic alliances would subject us to a number of risks, including the risk that:</w:t>
      </w:r>
    </w:p>
    <w:p>
      <w:pPr>
        <w:spacing w:after="0" w:line="63" w:lineRule="exact"/>
        <w:rPr>
          <w:sz w:val="20"/>
          <w:szCs w:val="20"/>
          <w:color w:val="auto"/>
        </w:rPr>
      </w:pPr>
    </w:p>
    <w:p>
      <w:pPr>
        <w:ind w:left="1220" w:right="380" w:hanging="370"/>
        <w:spacing w:after="0" w:line="269" w:lineRule="auto"/>
        <w:tabs>
          <w:tab w:leader="none" w:pos="12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control the amount and timing of resources that our collaborators may devote to the relevant product candidates;</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our collaborators may experience financial difficulties;</w:t>
      </w:r>
    </w:p>
    <w:p>
      <w:pPr>
        <w:spacing w:after="0" w:line="126" w:lineRule="exact"/>
        <w:rPr>
          <w:rFonts w:ascii="Arial" w:cs="Arial" w:eastAsia="Arial" w:hAnsi="Arial"/>
          <w:sz w:val="20"/>
          <w:szCs w:val="20"/>
          <w:color w:val="auto"/>
        </w:rPr>
      </w:pPr>
    </w:p>
    <w:p>
      <w:pPr>
        <w:ind w:left="1220" w:hanging="370"/>
        <w:spacing w:after="0"/>
        <w:tabs>
          <w:tab w:leader="none" w:pos="12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relinquish important rights, such as marketing and distribution rights;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960" w:h="17280" w:orient="portrait"/>
          <w:cols w:equalWidth="0" w:num="1">
            <w:col w:w="10080"/>
          </w:cols>
          <w:pgMar w:left="1440" w:top="1440" w:right="1440" w:bottom="895" w:gutter="0" w:footer="0" w:header="0"/>
          <w:type w:val="continuous"/>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20" w:right="760" w:hanging="370"/>
        <w:spacing w:after="0" w:line="296" w:lineRule="auto"/>
        <w:tabs>
          <w:tab w:leader="none" w:pos="1220" w:val="left"/>
        </w:tabs>
        <w:numPr>
          <w:ilvl w:val="0"/>
          <w:numId w:val="46"/>
        </w:numPr>
        <w:rPr>
          <w:rFonts w:ascii="Arial" w:cs="Arial" w:eastAsia="Arial" w:hAnsi="Arial"/>
          <w:sz w:val="19"/>
          <w:szCs w:val="19"/>
          <w:color w:val="auto"/>
        </w:rPr>
      </w:pPr>
      <w:r>
        <w:rPr>
          <w:rFonts w:ascii="Times New Roman" w:cs="Times New Roman" w:eastAsia="Times New Roman" w:hAnsi="Times New Roman"/>
          <w:sz w:val="19"/>
          <w:szCs w:val="19"/>
          <w:color w:val="auto"/>
        </w:rPr>
        <w:t>business combinations or significant changes in a collaborator’s business strategy may also adversely affect a collaborator’s willingness or ability to complete its obligations under any arrangement;</w:t>
      </w:r>
    </w:p>
    <w:p>
      <w:pPr>
        <w:spacing w:after="0" w:line="40" w:lineRule="exact"/>
        <w:rPr>
          <w:rFonts w:ascii="Arial" w:cs="Arial" w:eastAsia="Arial" w:hAnsi="Arial"/>
          <w:sz w:val="19"/>
          <w:szCs w:val="19"/>
          <w:color w:val="auto"/>
        </w:rPr>
      </w:pPr>
    </w:p>
    <w:p>
      <w:pPr>
        <w:ind w:left="1220" w:right="860" w:hanging="370"/>
        <w:spacing w:after="0" w:line="269" w:lineRule="auto"/>
        <w:tabs>
          <w:tab w:leader="none" w:pos="12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 collaborator could independently move forward with a competing drug candidate developed either independently or in collaboration with others, including our competitors; and</w:t>
      </w:r>
    </w:p>
    <w:p>
      <w:pPr>
        <w:spacing w:after="0" w:line="64" w:lineRule="exact"/>
        <w:rPr>
          <w:rFonts w:ascii="Arial" w:cs="Arial" w:eastAsia="Arial" w:hAnsi="Arial"/>
          <w:sz w:val="20"/>
          <w:szCs w:val="20"/>
          <w:color w:val="auto"/>
        </w:rPr>
      </w:pPr>
    </w:p>
    <w:p>
      <w:pPr>
        <w:ind w:left="1220" w:right="380" w:hanging="370"/>
        <w:spacing w:after="0" w:line="269" w:lineRule="auto"/>
        <w:tabs>
          <w:tab w:leader="none" w:pos="12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collaborative arrangements are often terminated or allowed to expire, which would delay the development and may increase the cost of developing our drug candidates.</w:t>
      </w:r>
    </w:p>
    <w:p>
      <w:pPr>
        <w:spacing w:after="0" w:line="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Rights</w:t>
      </w:r>
    </w:p>
    <w:p>
      <w:pPr>
        <w:spacing w:after="0" w:line="117" w:lineRule="exact"/>
        <w:rPr>
          <w:sz w:val="20"/>
          <w:szCs w:val="20"/>
          <w:color w:val="auto"/>
        </w:rPr>
      </w:pPr>
    </w:p>
    <w:p>
      <w:pPr>
        <w:ind w:left="360" w:right="4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in the United States and other countries, we are unable to adequately protect our proprietary technology or maintain issued patents which are sufficient to protect nomlabofusp or potential product candidates, third parties could compete against us more directly, which would have a material adverse impact on our business, results of operations, financial condition and prospects.</w:t>
      </w:r>
    </w:p>
    <w:p>
      <w:pPr>
        <w:spacing w:after="0" w:line="74" w:lineRule="exact"/>
        <w:rPr>
          <w:sz w:val="20"/>
          <w:szCs w:val="20"/>
          <w:color w:val="auto"/>
        </w:rPr>
      </w:pPr>
    </w:p>
    <w:p>
      <w:pPr>
        <w:ind w:left="360" w:right="420" w:firstLine="490"/>
        <w:spacing w:after="0" w:line="242" w:lineRule="auto"/>
        <w:rPr>
          <w:sz w:val="20"/>
          <w:szCs w:val="20"/>
          <w:color w:val="auto"/>
        </w:rPr>
      </w:pPr>
      <w:r>
        <w:rPr>
          <w:rFonts w:ascii="Times New Roman" w:cs="Times New Roman" w:eastAsia="Times New Roman" w:hAnsi="Times New Roman"/>
          <w:sz w:val="20"/>
          <w:szCs w:val="20"/>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77" w:lineRule="exact"/>
        <w:rPr>
          <w:sz w:val="20"/>
          <w:szCs w:val="20"/>
          <w:color w:val="auto"/>
        </w:rPr>
      </w:pPr>
    </w:p>
    <w:p>
      <w:pPr>
        <w:ind w:left="360" w:right="400" w:firstLine="490"/>
        <w:spacing w:after="0" w:line="238" w:lineRule="auto"/>
        <w:rPr>
          <w:sz w:val="20"/>
          <w:szCs w:val="20"/>
          <w:color w:val="auto"/>
        </w:rPr>
      </w:pPr>
      <w:r>
        <w:rPr>
          <w:rFonts w:ascii="Times New Roman" w:cs="Times New Roman" w:eastAsia="Times New Roman" w:hAnsi="Times New Roman"/>
          <w:sz w:val="20"/>
          <w:szCs w:val="20"/>
          <w:color w:val="auto"/>
        </w:rPr>
        <w:t>With respect to our patent portfolio, we in-license from WFUHS a certain issued U.S. patent that relates to the use of the TAT-FXN fusion protein for treating FA. We also in-license from IU United States patents and pending non-provisional applications in the United States and certain foreign countries that relate to the composition of nomlabofusp and methods of use, and certain U.S. patents relating to materials and methods of use relating to the development of nomlabofusp. We also own or co-own pending international PCT, foreign and United States non-provisional applications, United States Patents, and United States provisional applications relating to the development of nomlabofusp, including methods of use of nomlabofusp, biomarkers and to our peptide delivery platform technology.</w:t>
      </w:r>
    </w:p>
    <w:p>
      <w:pPr>
        <w:spacing w:after="0" w:line="82" w:lineRule="exact"/>
        <w:rPr>
          <w:sz w:val="20"/>
          <w:szCs w:val="20"/>
          <w:color w:val="auto"/>
        </w:rPr>
      </w:pPr>
    </w:p>
    <w:p>
      <w:pPr>
        <w:ind w:left="360" w:right="440" w:firstLine="490"/>
        <w:spacing w:after="0" w:line="242" w:lineRule="auto"/>
        <w:rPr>
          <w:sz w:val="20"/>
          <w:szCs w:val="20"/>
          <w:color w:val="auto"/>
        </w:rPr>
      </w:pPr>
      <w:r>
        <w:rPr>
          <w:rFonts w:ascii="Times New Roman" w:cs="Times New Roman" w:eastAsia="Times New Roman" w:hAnsi="Times New Roman"/>
          <w:sz w:val="20"/>
          <w:szCs w:val="20"/>
          <w:color w:val="auto"/>
        </w:rPr>
        <w:t>In some cases, we have only filed provisional patent applications on certain aspects of our technologies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w:t>
      </w:r>
    </w:p>
    <w:p>
      <w:pPr>
        <w:spacing w:after="0" w:line="82" w:lineRule="exact"/>
        <w:rPr>
          <w:sz w:val="20"/>
          <w:szCs w:val="20"/>
          <w:color w:val="auto"/>
        </w:rPr>
      </w:pPr>
    </w:p>
    <w:p>
      <w:pPr>
        <w:ind w:left="360" w:right="360" w:firstLine="490"/>
        <w:spacing w:after="0" w:line="258" w:lineRule="auto"/>
        <w:rPr>
          <w:sz w:val="20"/>
          <w:szCs w:val="20"/>
          <w:color w:val="auto"/>
        </w:rPr>
      </w:pPr>
      <w:r>
        <w:rPr>
          <w:rFonts w:ascii="Times New Roman" w:cs="Times New Roman" w:eastAsia="Times New Roman" w:hAnsi="Times New Roman"/>
          <w:sz w:val="20"/>
          <w:szCs w:val="20"/>
          <w:color w:val="auto"/>
        </w:rPr>
        <w:t>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68" w:lineRule="exact"/>
        <w:rPr>
          <w:sz w:val="20"/>
          <w:szCs w:val="20"/>
          <w:color w:val="auto"/>
        </w:rPr>
      </w:pPr>
    </w:p>
    <w:p>
      <w:pPr>
        <w:ind w:left="360" w:right="400" w:firstLine="490"/>
        <w:spacing w:after="0" w:line="255" w:lineRule="auto"/>
        <w:rPr>
          <w:sz w:val="20"/>
          <w:szCs w:val="20"/>
          <w:color w:val="auto"/>
        </w:rPr>
      </w:pPr>
      <w:r>
        <w:rPr>
          <w:rFonts w:ascii="Times New Roman" w:cs="Times New Roman" w:eastAsia="Times New Roman" w:hAnsi="Times New Roman"/>
          <w:sz w:val="19"/>
          <w:szCs w:val="19"/>
          <w:color w:val="auto"/>
        </w:rPr>
        <w:t>We cannot provide any assurances that any of our pending patent applications that mature into issued patents will include claims with a scope sufficient to protect nomlabofusp, or other potential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nomlabofusp, and other potential product candidates.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960" w:h="17280" w:orient="portrait"/>
          <w:cols w:equalWidth="0" w:num="1">
            <w:col w:w="10080"/>
          </w:cols>
          <w:pgMar w:left="1440" w:top="1440" w:right="1440" w:bottom="895"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00" w:firstLine="490"/>
        <w:spacing w:after="0" w:line="246" w:lineRule="auto"/>
        <w:rPr>
          <w:sz w:val="20"/>
          <w:szCs w:val="20"/>
          <w:color w:val="auto"/>
        </w:rPr>
      </w:pPr>
      <w:r>
        <w:rPr>
          <w:rFonts w:ascii="Times New Roman" w:cs="Times New Roman" w:eastAsia="Times New Roman" w:hAnsi="Times New Roman"/>
          <w:sz w:val="20"/>
          <w:szCs w:val="20"/>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80" w:lineRule="exact"/>
        <w:rPr>
          <w:sz w:val="20"/>
          <w:szCs w:val="20"/>
          <w:color w:val="auto"/>
        </w:rPr>
      </w:pPr>
    </w:p>
    <w:p>
      <w:pPr>
        <w:ind w:left="360" w:right="360" w:firstLine="490"/>
        <w:spacing w:after="0" w:line="246" w:lineRule="auto"/>
        <w:rPr>
          <w:sz w:val="20"/>
          <w:szCs w:val="20"/>
          <w:color w:val="auto"/>
        </w:rPr>
      </w:pPr>
      <w:r>
        <w:rPr>
          <w:rFonts w:ascii="Times New Roman" w:cs="Times New Roman" w:eastAsia="Times New Roman" w:hAnsi="Times New Roman"/>
          <w:sz w:val="20"/>
          <w:szCs w:val="20"/>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80" w:lineRule="exact"/>
        <w:rPr>
          <w:sz w:val="20"/>
          <w:szCs w:val="20"/>
          <w:color w:val="auto"/>
        </w:rPr>
      </w:pPr>
    </w:p>
    <w:p>
      <w:pPr>
        <w:ind w:left="360" w:right="420" w:firstLine="490"/>
        <w:spacing w:after="0" w:line="246" w:lineRule="auto"/>
        <w:rPr>
          <w:sz w:val="20"/>
          <w:szCs w:val="20"/>
          <w:color w:val="auto"/>
        </w:rPr>
      </w:pPr>
      <w:r>
        <w:rPr>
          <w:rFonts w:ascii="Times New Roman" w:cs="Times New Roman" w:eastAsia="Times New Roman" w:hAnsi="Times New Roman"/>
          <w:sz w:val="20"/>
          <w:szCs w:val="20"/>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nomlabofusp are invalidated or found unenforceable, our financial position and results of operations would be materially and adversely impacted. In addition, if a court found that valid, enforceable patents held by third parties covered nomlabofusp, our financial position and results of operations would also be materially and adversely impacted.</w:t>
      </w:r>
    </w:p>
    <w:p>
      <w:pPr>
        <w:spacing w:after="0" w:line="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degree of future protection for our proprietary rights is uncertain, and we cannot ensure that:</w:t>
      </w:r>
    </w:p>
    <w:p>
      <w:pPr>
        <w:spacing w:after="0" w:line="134" w:lineRule="exact"/>
        <w:rPr>
          <w:sz w:val="20"/>
          <w:szCs w:val="20"/>
          <w:color w:val="auto"/>
        </w:rPr>
      </w:pPr>
    </w:p>
    <w:p>
      <w:pPr>
        <w:ind w:left="1220" w:right="400" w:hanging="370"/>
        <w:spacing w:after="0" w:line="276" w:lineRule="auto"/>
        <w:tabs>
          <w:tab w:leader="none" w:pos="12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any of our patents, or any of our pending patent applications, if issued, will include claims having a scope sufficient to protect nomlabofusp or any other products or product candidates;</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any of our pending patent applications will issue as patents;</w:t>
      </w:r>
    </w:p>
    <w:p>
      <w:pPr>
        <w:spacing w:after="0" w:line="133" w:lineRule="exact"/>
        <w:rPr>
          <w:rFonts w:ascii="Arial" w:cs="Arial" w:eastAsia="Arial" w:hAnsi="Arial"/>
          <w:sz w:val="20"/>
          <w:szCs w:val="20"/>
          <w:color w:val="auto"/>
        </w:rPr>
      </w:pPr>
    </w:p>
    <w:p>
      <w:pPr>
        <w:ind w:left="1220" w:right="440" w:hanging="370"/>
        <w:spacing w:after="0" w:line="276" w:lineRule="auto"/>
        <w:tabs>
          <w:tab w:leader="none" w:pos="12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we will be able to successfully develop and, if approved, commercialize nomlabofusp before our relevant patents expire;</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we were the first to make the inventions covered by each of our patents and pending patent applications;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we were the first to file patent applications for these inventions;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others will not develop similar or alternative technologies that do not infringe our patents;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any of our patents will be found to ultimately be valid and enforceable;</w:t>
      </w:r>
    </w:p>
    <w:p>
      <w:pPr>
        <w:spacing w:after="0" w:line="133" w:lineRule="exact"/>
        <w:rPr>
          <w:rFonts w:ascii="Arial" w:cs="Arial" w:eastAsia="Arial" w:hAnsi="Arial"/>
          <w:sz w:val="20"/>
          <w:szCs w:val="20"/>
          <w:color w:val="auto"/>
        </w:rPr>
      </w:pPr>
    </w:p>
    <w:p>
      <w:pPr>
        <w:ind w:left="1220" w:right="360" w:hanging="370"/>
        <w:spacing w:after="0" w:line="276" w:lineRule="auto"/>
        <w:tabs>
          <w:tab w:leader="none" w:pos="12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any patents issued to us will provide a basis for an exclusive market for our commercially viable products, will provide us with any competitive advantages or will not be challenged by third parties;</w:t>
      </w:r>
    </w:p>
    <w:p>
      <w:pPr>
        <w:spacing w:after="0" w:line="64" w:lineRule="exact"/>
        <w:rPr>
          <w:rFonts w:ascii="Arial" w:cs="Arial" w:eastAsia="Arial" w:hAnsi="Arial"/>
          <w:sz w:val="20"/>
          <w:szCs w:val="20"/>
          <w:color w:val="auto"/>
        </w:rPr>
      </w:pPr>
    </w:p>
    <w:p>
      <w:pPr>
        <w:ind w:left="1220" w:right="540" w:hanging="370"/>
        <w:spacing w:after="0" w:line="276" w:lineRule="auto"/>
        <w:tabs>
          <w:tab w:leader="none" w:pos="12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we will develop additional proprietary technologies or product candidates that are separately patentable; or</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that our commercial activities or products will not infringe upon the patents of others.</w:t>
      </w:r>
    </w:p>
    <w:p>
      <w:pPr>
        <w:spacing w:after="0" w:line="119"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We rely upon unpatented trade secrets, unpatented know-how and continuing technological innovation to develop and maintain our competitive position, which we seek to protect, in part, by confidentiality agreements with our employees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If we are unable to adequately protect our proprietary technology or maintain issued patents which are sufficient to protect nomlabofusp or potential future product candidates, third parties could compete against us more directly, which would have a material adverse impact on our business, results of operations, financial condition and prospects.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960" w:h="17280" w:orient="portrait"/>
          <w:cols w:equalWidth="0" w:num="1">
            <w:col w:w="10080"/>
          </w:cols>
          <w:pgMar w:left="1440" w:top="1440" w:right="1440" w:bottom="895" w:gutter="0" w:footer="0" w:header="0"/>
          <w:type w:val="continuous"/>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5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key patent relating to nomlabofusp, which we license, will expire in 2040 and we will lose our ability to rely upon this patent to prevent competing products from entering the market, which may impair our ability to generate revenue.</w:t>
      </w:r>
    </w:p>
    <w:p>
      <w:pPr>
        <w:spacing w:after="0" w:line="68"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We have in-licensed a certain patent relating to nomlabofusp from WFUHS. The U.S. patent relating to use of the TAT-FXN fusion protein for the treatment of FA expires in 2025. When these patents expire, we will be unable to use these patents to try to block others from marketing nomlabofusp in the United States We have also in-licensed an issued United States patent and pending non-provisional patent applications in the United States and certain foreign countries relating to the composition of nomlabofusp and methods of use from IU. This United States patent will expire in 2040 at the earliest. Pending applications if issued as patents, would also expire in 2040 at the earliest. We cannot predict whether these patent applications we and our licensors are currently pursuing will issue as patents in any particular jurisdiction or whether the claims of any issued patents will provide sufficient protection from competitors or other third parties. When these various patents, if issued, expire, we will be unable to use the patents to try to block others from marketing nomlabofusp in the United States.</w:t>
      </w:r>
    </w:p>
    <w:p>
      <w:pPr>
        <w:spacing w:after="0" w:line="82" w:lineRule="exact"/>
        <w:rPr>
          <w:sz w:val="20"/>
          <w:szCs w:val="20"/>
          <w:color w:val="auto"/>
        </w:rPr>
      </w:pPr>
    </w:p>
    <w:p>
      <w:pPr>
        <w:jc w:val="both"/>
        <w:ind w:left="360" w:right="480" w:firstLine="490"/>
        <w:spacing w:after="0" w:line="262" w:lineRule="auto"/>
        <w:rPr>
          <w:sz w:val="20"/>
          <w:szCs w:val="20"/>
          <w:color w:val="auto"/>
        </w:rPr>
      </w:pPr>
      <w:r>
        <w:rPr>
          <w:rFonts w:ascii="Times New Roman" w:cs="Times New Roman" w:eastAsia="Times New Roman" w:hAnsi="Times New Roman"/>
          <w:sz w:val="19"/>
          <w:szCs w:val="19"/>
          <w:color w:val="auto"/>
        </w:rPr>
        <w:t>We own a certain United States provisional application and certain United States and foreign non-provisional applications and a United States patent relating to our platform technology. The United States Patent will expire in 2041 at the earliest, and the pending applications, if issued as patents, would be expected to expire in 2041-2044.</w:t>
      </w:r>
    </w:p>
    <w:p>
      <w:pPr>
        <w:spacing w:after="0" w:line="2" w:lineRule="exact"/>
        <w:rPr>
          <w:sz w:val="20"/>
          <w:szCs w:val="20"/>
          <w:color w:val="auto"/>
        </w:rPr>
      </w:pPr>
    </w:p>
    <w:p>
      <w:pPr>
        <w:ind w:left="360" w:right="440"/>
        <w:spacing w:after="0" w:line="242" w:lineRule="auto"/>
        <w:rPr>
          <w:sz w:val="20"/>
          <w:szCs w:val="20"/>
          <w:color w:val="auto"/>
        </w:rPr>
      </w:pPr>
      <w:r>
        <w:rPr>
          <w:rFonts w:ascii="Times New Roman" w:cs="Times New Roman" w:eastAsia="Times New Roman" w:hAnsi="Times New Roman"/>
          <w:sz w:val="20"/>
          <w:szCs w:val="20"/>
          <w:color w:val="auto"/>
        </w:rPr>
        <w:t>The provisional application may not be timely converted into a non-provisional application, and we cannot predict whether these provisional applications and non-provisional patent applications will issue as patents in any particular jurisdiction, or whether the claims of any issued patents will provide sufficient protection from competitors or third parties for potential product candidates. When these various patents expire, we will be unable to use the patents to try to block others from marketing products pertaining to our platform technology.</w:t>
      </w:r>
    </w:p>
    <w:p>
      <w:pPr>
        <w:spacing w:after="0" w:line="82" w:lineRule="exact"/>
        <w:rPr>
          <w:sz w:val="20"/>
          <w:szCs w:val="20"/>
          <w:color w:val="auto"/>
        </w:rPr>
      </w:pPr>
    </w:p>
    <w:p>
      <w:pPr>
        <w:jc w:val="both"/>
        <w:ind w:left="360" w:right="760" w:firstLine="490"/>
        <w:spacing w:after="0" w:line="252" w:lineRule="auto"/>
        <w:rPr>
          <w:sz w:val="20"/>
          <w:szCs w:val="20"/>
          <w:color w:val="auto"/>
        </w:rPr>
      </w:pPr>
      <w:r>
        <w:rPr>
          <w:rFonts w:ascii="Times New Roman" w:cs="Times New Roman" w:eastAsia="Times New Roman" w:hAnsi="Times New Roman"/>
          <w:sz w:val="20"/>
          <w:szCs w:val="20"/>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74" w:lineRule="exact"/>
        <w:rPr>
          <w:sz w:val="20"/>
          <w:szCs w:val="20"/>
          <w:color w:val="auto"/>
        </w:rPr>
      </w:pPr>
    </w:p>
    <w:p>
      <w:pPr>
        <w:ind w:left="360" w:right="920" w:firstLine="490"/>
        <w:spacing w:after="0" w:line="258" w:lineRule="auto"/>
        <w:rPr>
          <w:sz w:val="20"/>
          <w:szCs w:val="20"/>
          <w:color w:val="auto"/>
        </w:rPr>
      </w:pPr>
      <w:r>
        <w:rPr>
          <w:rFonts w:ascii="Times New Roman" w:cs="Times New Roman" w:eastAsia="Times New Roman" w:hAnsi="Times New Roman"/>
          <w:sz w:val="20"/>
          <w:szCs w:val="20"/>
          <w:color w:val="auto"/>
        </w:rPr>
        <w:t>Once our patents expire, we will be subject to competition from third parties who will be able to use the intellectual property covered by these patents, which could impair our ability to generate revenue and could adversely affect our business, financial condition and results of operations.</w:t>
      </w:r>
    </w:p>
    <w:p>
      <w:pPr>
        <w:spacing w:after="0" w:line="68" w:lineRule="exact"/>
        <w:rPr>
          <w:sz w:val="20"/>
          <w:szCs w:val="20"/>
          <w:color w:val="auto"/>
        </w:rPr>
      </w:pPr>
    </w:p>
    <w:p>
      <w:pPr>
        <w:ind w:left="360" w:right="5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infringe the intellectual property rights of others, which may prevent or delay our product development efforts and stop us from commercializing or may increase the costs of commercializing nomlabofusp or other potential product candidates, if approved.</w:t>
      </w:r>
    </w:p>
    <w:p>
      <w:pPr>
        <w:spacing w:after="0" w:line="68" w:lineRule="exact"/>
        <w:rPr>
          <w:sz w:val="20"/>
          <w:szCs w:val="20"/>
          <w:color w:val="auto"/>
        </w:rPr>
      </w:pPr>
    </w:p>
    <w:p>
      <w:pPr>
        <w:jc w:val="both"/>
        <w:ind w:left="360" w:right="880" w:firstLine="490"/>
        <w:spacing w:after="0" w:line="258" w:lineRule="auto"/>
        <w:rPr>
          <w:sz w:val="20"/>
          <w:szCs w:val="20"/>
          <w:color w:val="auto"/>
        </w:rPr>
      </w:pPr>
      <w:r>
        <w:rPr>
          <w:rFonts w:ascii="Times New Roman" w:cs="Times New Roman" w:eastAsia="Times New Roman" w:hAnsi="Times New Roman"/>
          <w:sz w:val="20"/>
          <w:szCs w:val="20"/>
          <w:color w:val="auto"/>
        </w:rPr>
        <w:t>Our success will depend in part on our ability to operate without infringing the intellectual property and proprietary rights of third parties. We cannot ensure that our business, products and methods do not or will not infringe the patents or other intellectual property rights of third parties.</w:t>
      </w:r>
    </w:p>
    <w:p>
      <w:pPr>
        <w:spacing w:after="0" w:line="68"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The pharmaceutical industry is characterized by extensive litigation regarding patents and other intellectual property rights. Third parties may allege that nomlabofusp or our other potential product candidates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we may also be required to indemnify certain of our licensors, vendors or suppliers from any damages they incur related to any infringement of any third party intellectual property by our product candidates.</w:t>
      </w:r>
    </w:p>
    <w:p>
      <w:pPr>
        <w:spacing w:after="0" w:line="82" w:lineRule="exact"/>
        <w:rPr>
          <w:sz w:val="20"/>
          <w:szCs w:val="20"/>
          <w:color w:val="auto"/>
        </w:rPr>
      </w:pPr>
    </w:p>
    <w:p>
      <w:pPr>
        <w:ind w:left="360" w:right="420" w:firstLine="490"/>
        <w:spacing w:after="0" w:line="277" w:lineRule="auto"/>
        <w:rPr>
          <w:sz w:val="20"/>
          <w:szCs w:val="20"/>
          <w:color w:val="auto"/>
        </w:rPr>
      </w:pPr>
      <w:r>
        <w:rPr>
          <w:rFonts w:ascii="Times New Roman" w:cs="Times New Roman" w:eastAsia="Times New Roman" w:hAnsi="Times New Roman"/>
          <w:sz w:val="20"/>
          <w:szCs w:val="20"/>
          <w:color w:val="auto"/>
        </w:rPr>
        <w:t>In addition, if any such claim were successfully asserted against us and we could not obtain such a license, we may be forced to stop or delay developing, manufacturing, selling or otherwise commercializing nomlabofusp.</w:t>
      </w:r>
    </w:p>
    <w:p>
      <w:pPr>
        <w:spacing w:after="0" w:line="49" w:lineRule="exact"/>
        <w:rPr>
          <w:sz w:val="20"/>
          <w:szCs w:val="20"/>
          <w:color w:val="auto"/>
        </w:rPr>
      </w:pPr>
    </w:p>
    <w:p>
      <w:pPr>
        <w:jc w:val="both"/>
        <w:ind w:left="360" w:right="580" w:firstLine="490"/>
        <w:spacing w:after="0" w:line="252" w:lineRule="auto"/>
        <w:rPr>
          <w:sz w:val="20"/>
          <w:szCs w:val="20"/>
          <w:color w:val="auto"/>
        </w:rPr>
      </w:pPr>
      <w:r>
        <w:rPr>
          <w:rFonts w:ascii="Times New Roman" w:cs="Times New Roman" w:eastAsia="Times New Roman" w:hAnsi="Times New Roman"/>
          <w:sz w:val="20"/>
          <w:szCs w:val="20"/>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960" w:h="17280" w:orient="portrait"/>
          <w:cols w:equalWidth="0" w:num="1">
            <w:col w:w="10080"/>
          </w:cols>
          <w:pgMar w:left="1440" w:top="1440" w:right="1440" w:bottom="895" w:gutter="0" w:footer="0" w:header="0"/>
          <w:type w:val="continuous"/>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820"/>
        <w:spacing w:after="0" w:line="277" w:lineRule="auto"/>
        <w:rPr>
          <w:sz w:val="20"/>
          <w:szCs w:val="20"/>
          <w:color w:val="auto"/>
        </w:rPr>
      </w:pPr>
      <w:r>
        <w:rPr>
          <w:rFonts w:ascii="Times New Roman" w:cs="Times New Roman" w:eastAsia="Times New Roman" w:hAnsi="Times New Roman"/>
          <w:sz w:val="20"/>
          <w:szCs w:val="20"/>
          <w:color w:val="auto"/>
        </w:rPr>
        <w:t>consuming. We may not have sufficient resources to bring these actions to a successful conclusion. In addition, intellectual property litigation or claims could force us to do one or more of the following:</w:t>
      </w:r>
    </w:p>
    <w:p>
      <w:pPr>
        <w:spacing w:after="0" w:line="63" w:lineRule="exact"/>
        <w:rPr>
          <w:sz w:val="20"/>
          <w:szCs w:val="20"/>
          <w:color w:val="auto"/>
        </w:rPr>
      </w:pPr>
    </w:p>
    <w:p>
      <w:pPr>
        <w:ind w:left="1220" w:hanging="370"/>
        <w:spacing w:after="0"/>
        <w:tabs>
          <w:tab w:leader="none" w:pos="12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cease developing, selling or otherwise commercializing nomlabofusp;</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cease preparations or development of our other potential product candidates;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pay substantial damages for past use of the asserted intellectual property;</w:t>
      </w:r>
    </w:p>
    <w:p>
      <w:pPr>
        <w:spacing w:after="0" w:line="133" w:lineRule="exact"/>
        <w:rPr>
          <w:rFonts w:ascii="Arial" w:cs="Arial" w:eastAsia="Arial" w:hAnsi="Arial"/>
          <w:sz w:val="20"/>
          <w:szCs w:val="20"/>
          <w:color w:val="auto"/>
        </w:rPr>
      </w:pPr>
    </w:p>
    <w:p>
      <w:pPr>
        <w:ind w:left="1220" w:right="560" w:hanging="370"/>
        <w:spacing w:after="0" w:line="276" w:lineRule="auto"/>
        <w:tabs>
          <w:tab w:leader="none" w:pos="12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obtain a license from the holder of the asserted intellectual property, which license may not be available on reasonable terms, if at all; and</w:t>
      </w:r>
    </w:p>
    <w:p>
      <w:pPr>
        <w:spacing w:after="0" w:line="64" w:lineRule="exact"/>
        <w:rPr>
          <w:rFonts w:ascii="Arial" w:cs="Arial" w:eastAsia="Arial" w:hAnsi="Arial"/>
          <w:sz w:val="20"/>
          <w:szCs w:val="20"/>
          <w:color w:val="auto"/>
        </w:rPr>
      </w:pPr>
    </w:p>
    <w:p>
      <w:pPr>
        <w:ind w:left="1220" w:right="540" w:hanging="370"/>
        <w:spacing w:after="0" w:line="258" w:lineRule="auto"/>
        <w:tabs>
          <w:tab w:leader="none" w:pos="12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67" w:lineRule="exact"/>
        <w:rPr>
          <w:sz w:val="20"/>
          <w:szCs w:val="20"/>
          <w:color w:val="auto"/>
        </w:rPr>
      </w:pPr>
    </w:p>
    <w:p>
      <w:pPr>
        <w:ind w:left="360" w:right="1200" w:firstLine="490"/>
        <w:spacing w:after="0" w:line="277" w:lineRule="auto"/>
        <w:rPr>
          <w:sz w:val="20"/>
          <w:szCs w:val="20"/>
          <w:color w:val="auto"/>
        </w:rPr>
      </w:pPr>
      <w:r>
        <w:rPr>
          <w:rFonts w:ascii="Times New Roman" w:cs="Times New Roman" w:eastAsia="Times New Roman" w:hAnsi="Times New Roman"/>
          <w:sz w:val="20"/>
          <w:szCs w:val="20"/>
          <w:color w:val="auto"/>
        </w:rPr>
        <w:t>Any of these risks coming to fruition could have a material adverse effect on our business, results of operations, financial condition and prospects.</w:t>
      </w:r>
    </w:p>
    <w:p>
      <w:pPr>
        <w:spacing w:after="0" w:line="49" w:lineRule="exact"/>
        <w:rPr>
          <w:sz w:val="20"/>
          <w:szCs w:val="20"/>
          <w:color w:val="auto"/>
        </w:rPr>
      </w:pPr>
    </w:p>
    <w:p>
      <w:pPr>
        <w:ind w:left="360" w:right="8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or ownership of our patents and other intellectual property.</w:t>
      </w:r>
    </w:p>
    <w:p>
      <w:pPr>
        <w:spacing w:after="0" w:line="49" w:lineRule="exact"/>
        <w:rPr>
          <w:sz w:val="20"/>
          <w:szCs w:val="20"/>
          <w:color w:val="auto"/>
        </w:rPr>
      </w:pPr>
    </w:p>
    <w:p>
      <w:pPr>
        <w:ind w:left="360" w:right="380" w:firstLine="490"/>
        <w:spacing w:after="0" w:line="246" w:lineRule="auto"/>
        <w:rPr>
          <w:sz w:val="20"/>
          <w:szCs w:val="20"/>
          <w:color w:val="auto"/>
        </w:rPr>
      </w:pPr>
      <w:r>
        <w:rPr>
          <w:rFonts w:ascii="Times New Roman" w:cs="Times New Roman" w:eastAsia="Times New Roman" w:hAnsi="Times New Roman"/>
          <w:sz w:val="20"/>
          <w:szCs w:val="20"/>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and results of operations. Even if we are successful in defending against such claims, litigation could result in substantial costs and be a distraction to management and other employees.</w:t>
      </w:r>
    </w:p>
    <w:p>
      <w:pPr>
        <w:spacing w:after="0" w:line="80" w:lineRule="exact"/>
        <w:rPr>
          <w:sz w:val="20"/>
          <w:szCs w:val="20"/>
          <w:color w:val="auto"/>
        </w:rPr>
      </w:pPr>
    </w:p>
    <w:p>
      <w:pPr>
        <w:ind w:left="360" w:right="7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8" w:lineRule="exact"/>
        <w:rPr>
          <w:sz w:val="20"/>
          <w:szCs w:val="20"/>
          <w:color w:val="auto"/>
        </w:rPr>
      </w:pPr>
    </w:p>
    <w:p>
      <w:pPr>
        <w:ind w:left="360" w:right="480" w:firstLine="490"/>
        <w:spacing w:after="0" w:line="244" w:lineRule="auto"/>
        <w:rPr>
          <w:sz w:val="20"/>
          <w:szCs w:val="20"/>
          <w:color w:val="auto"/>
        </w:rPr>
      </w:pPr>
      <w:r>
        <w:rPr>
          <w:rFonts w:ascii="Times New Roman" w:cs="Times New Roman" w:eastAsia="Times New Roman" w:hAnsi="Times New Roman"/>
          <w:sz w:val="20"/>
          <w:szCs w:val="20"/>
          <w:color w:val="auto"/>
        </w:rPr>
        <w:t>We have systems in place to remind us to pay periodic maintenance fees, renewal fees, annuity fees and various other patent and application fees, and we employ an outside law firm to pay these fees. The U.S. Patent and Trademark Office and various foreign governmental patent agencies require compliance with a number of procedural, documentary, fee payment and other similar provisions during the patent application process. We employ an outside law firm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If this occurs, our competitors may be able to enter the market, which would have a material adverse effect on our business.</w:t>
      </w:r>
    </w:p>
    <w:p>
      <w:pPr>
        <w:spacing w:after="0" w:line="84" w:lineRule="exact"/>
        <w:rPr>
          <w:sz w:val="20"/>
          <w:szCs w:val="20"/>
          <w:color w:val="auto"/>
        </w:rPr>
      </w:pPr>
    </w:p>
    <w:p>
      <w:pPr>
        <w:ind w:left="360" w:right="600"/>
        <w:spacing w:after="0" w:line="275" w:lineRule="auto"/>
        <w:rPr>
          <w:sz w:val="20"/>
          <w:szCs w:val="20"/>
          <w:color w:val="auto"/>
        </w:rPr>
      </w:pPr>
      <w:r>
        <w:rPr>
          <w:rFonts w:ascii="Times New Roman" w:cs="Times New Roman" w:eastAsia="Times New Roman" w:hAnsi="Times New Roman"/>
          <w:sz w:val="20"/>
          <w:szCs w:val="20"/>
          <w:b w:val="1"/>
          <w:bCs w:val="1"/>
          <w:i w:val="1"/>
          <w:iCs w:val="1"/>
          <w:color w:val="auto"/>
        </w:rPr>
        <w:t>We may be involved in lawsuits to protect or enforce our patents or the patents of our licensors, which could be expensive, time-consuming and unsuccessful.</w:t>
      </w:r>
    </w:p>
    <w:p>
      <w:pPr>
        <w:spacing w:after="0" w:line="49" w:lineRule="exact"/>
        <w:rPr>
          <w:sz w:val="20"/>
          <w:szCs w:val="20"/>
          <w:color w:val="auto"/>
        </w:rPr>
      </w:pPr>
    </w:p>
    <w:p>
      <w:pPr>
        <w:ind w:left="360" w:right="400" w:firstLine="490"/>
        <w:spacing w:after="0" w:line="243" w:lineRule="auto"/>
        <w:rPr>
          <w:sz w:val="20"/>
          <w:szCs w:val="20"/>
          <w:color w:val="auto"/>
        </w:rPr>
      </w:pPr>
      <w:r>
        <w:rPr>
          <w:rFonts w:ascii="Times New Roman" w:cs="Times New Roman" w:eastAsia="Times New Roman" w:hAnsi="Times New Roman"/>
          <w:sz w:val="20"/>
          <w:szCs w:val="20"/>
          <w:color w:val="auto"/>
        </w:rPr>
        <w:t>Competitors may infringe on our patents or the patents of our licensors. To counter infringement or unauthorized use, we may be required to file infringement claims, which can be expensive and time-consuming. In addition, in an infringement proceeding, a court may decide that a patent of our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which could materially adversely affect our business, financial condition and results of operations.</w:t>
      </w:r>
    </w:p>
    <w:p>
      <w:pPr>
        <w:spacing w:after="0" w:line="82" w:lineRule="exact"/>
        <w:rPr>
          <w:sz w:val="20"/>
          <w:szCs w:val="20"/>
          <w:color w:val="auto"/>
        </w:rPr>
      </w:pPr>
    </w:p>
    <w:p>
      <w:pPr>
        <w:ind w:left="360" w:right="520" w:firstLine="490"/>
        <w:spacing w:after="0" w:line="245" w:lineRule="auto"/>
        <w:rPr>
          <w:sz w:val="20"/>
          <w:szCs w:val="20"/>
          <w:color w:val="auto"/>
        </w:rPr>
      </w:pPr>
      <w:r>
        <w:rPr>
          <w:rFonts w:ascii="Times New Roman" w:cs="Times New Roman" w:eastAsia="Times New Roman" w:hAnsi="Times New Roman"/>
          <w:sz w:val="20"/>
          <w:szCs w:val="20"/>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financial condition and results of operations could be harmed if the prevailing party does not offer us a license on commercially reasonable terms. Our defense of litigation or interference proceedings may fail and, even if successful, may result in substantial costs and distract our management and other employees.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960" w:h="17280" w:orient="portrait"/>
          <w:cols w:equalWidth="0" w:num="1">
            <w:col w:w="10080"/>
          </w:cols>
          <w:pgMar w:left="1440" w:top="1440" w:right="1440" w:bottom="895" w:gutter="0" w:footer="0" w:header="0"/>
          <w:type w:val="continuous"/>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360" w:right="700"/>
        <w:spacing w:after="0" w:line="256" w:lineRule="auto"/>
        <w:rPr>
          <w:sz w:val="20"/>
          <w:szCs w:val="20"/>
          <w:color w:val="auto"/>
        </w:rPr>
      </w:pPr>
      <w:r>
        <w:rPr>
          <w:rFonts w:ascii="Times New Roman" w:cs="Times New Roman" w:eastAsia="Times New Roman" w:hAnsi="Times New Roman"/>
          <w:sz w:val="20"/>
          <w:szCs w:val="20"/>
          <w:color w:val="auto"/>
        </w:rPr>
        <w:t>We may not be able to prevent, alone or with our licensors, misappropriation of our intellectual property rights, particularly in countries where the laws may not protect those rights as fully as in the United States, which could adversely affect our business, financial condition and results of operations.</w:t>
      </w:r>
    </w:p>
    <w:p>
      <w:pPr>
        <w:spacing w:after="0" w:line="68" w:lineRule="exact"/>
        <w:rPr>
          <w:sz w:val="20"/>
          <w:szCs w:val="20"/>
          <w:color w:val="auto"/>
        </w:rPr>
      </w:pPr>
    </w:p>
    <w:p>
      <w:pPr>
        <w:ind w:left="360" w:right="460" w:firstLine="490"/>
        <w:spacing w:after="0" w:line="247"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investors perceive these results to be negative, it could have a material adverse effect on the price of our common stock.</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Issued patents covering our product candidates could be found invalid or unenforceable if challenged in court.</w:t>
      </w:r>
    </w:p>
    <w:p>
      <w:pPr>
        <w:spacing w:after="0" w:line="118" w:lineRule="exact"/>
        <w:rPr>
          <w:sz w:val="20"/>
          <w:szCs w:val="20"/>
          <w:color w:val="auto"/>
        </w:rPr>
      </w:pPr>
    </w:p>
    <w:p>
      <w:pPr>
        <w:ind w:left="360" w:right="380" w:firstLine="490"/>
        <w:spacing w:after="0"/>
        <w:rPr>
          <w:sz w:val="20"/>
          <w:szCs w:val="20"/>
          <w:color w:val="auto"/>
        </w:rPr>
      </w:pPr>
      <w:r>
        <w:rPr>
          <w:rFonts w:ascii="Times New Roman" w:cs="Times New Roman" w:eastAsia="Times New Roman" w:hAnsi="Times New Roman"/>
          <w:sz w:val="20"/>
          <w:szCs w:val="20"/>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ensure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 financial condition, and results of operations.</w:t>
      </w:r>
    </w:p>
    <w:p>
      <w:pPr>
        <w:spacing w:after="0" w:line="90" w:lineRule="exact"/>
        <w:rPr>
          <w:sz w:val="20"/>
          <w:szCs w:val="20"/>
          <w:color w:val="auto"/>
        </w:rPr>
      </w:pPr>
    </w:p>
    <w:p>
      <w:pPr>
        <w:ind w:left="360" w:right="380"/>
        <w:spacing w:after="0" w:line="302" w:lineRule="auto"/>
        <w:rPr>
          <w:sz w:val="20"/>
          <w:szCs w:val="20"/>
          <w:color w:val="auto"/>
        </w:rPr>
      </w:pPr>
      <w:r>
        <w:rPr>
          <w:rFonts w:ascii="Times New Roman" w:cs="Times New Roman" w:eastAsia="Times New Roman" w:hAnsi="Times New Roman"/>
          <w:sz w:val="19"/>
          <w:szCs w:val="19"/>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26" w:lineRule="exact"/>
        <w:rPr>
          <w:sz w:val="20"/>
          <w:szCs w:val="20"/>
          <w:color w:val="auto"/>
        </w:rPr>
      </w:pPr>
    </w:p>
    <w:p>
      <w:pPr>
        <w:ind w:left="360" w:right="380" w:firstLine="490"/>
        <w:spacing w:after="0" w:line="242" w:lineRule="auto"/>
        <w:rPr>
          <w:sz w:val="20"/>
          <w:szCs w:val="20"/>
          <w:color w:val="auto"/>
        </w:rPr>
      </w:pPr>
      <w:r>
        <w:rPr>
          <w:rFonts w:ascii="Times New Roman" w:cs="Times New Roman" w:eastAsia="Times New Roman" w:hAnsi="Times New Roman"/>
          <w:sz w:val="20"/>
          <w:szCs w:val="20"/>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83" w:lineRule="exact"/>
        <w:rPr>
          <w:sz w:val="20"/>
          <w:szCs w:val="20"/>
          <w:color w:val="auto"/>
        </w:rPr>
      </w:pPr>
    </w:p>
    <w:p>
      <w:pPr>
        <w:ind w:left="360" w:right="440" w:firstLine="490"/>
        <w:spacing w:after="0" w:line="242"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2020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which would materially adversely affect our business, financial condition and results of operations.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960" w:h="17280" w:orient="portrait"/>
          <w:cols w:equalWidth="0" w:num="1">
            <w:col w:w="10080"/>
          </w:cols>
          <w:pgMar w:left="1440" w:top="1440" w:right="1440" w:bottom="895" w:gutter="0" w:footer="0" w:header="0"/>
          <w:type w:val="continuous"/>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licensed intellectual property for nomlabofusp. If we were to lose our rights to licensed intellectual property, we may not be able to continue developing or commercializing nomlabofusp, if approved.</w:t>
      </w:r>
    </w:p>
    <w:p>
      <w:pPr>
        <w:spacing w:after="0" w:line="49" w:lineRule="exact"/>
        <w:rPr>
          <w:sz w:val="20"/>
          <w:szCs w:val="20"/>
          <w:color w:val="auto"/>
        </w:rPr>
      </w:pPr>
    </w:p>
    <w:p>
      <w:pPr>
        <w:ind w:left="360" w:right="560" w:firstLine="490"/>
        <w:spacing w:after="0" w:line="252" w:lineRule="auto"/>
        <w:rPr>
          <w:sz w:val="20"/>
          <w:szCs w:val="20"/>
          <w:color w:val="auto"/>
        </w:rPr>
      </w:pPr>
      <w:r>
        <w:rPr>
          <w:rFonts w:ascii="Times New Roman" w:cs="Times New Roman" w:eastAsia="Times New Roman" w:hAnsi="Times New Roman"/>
          <w:sz w:val="20"/>
          <w:szCs w:val="20"/>
          <w:color w:val="auto"/>
        </w:rPr>
        <w:t>We have an exclusive license with WFUHS, pursuant to which we exclusively license certain patent rights relating to use of the TAT-frataxin fusion protein, on a worldwide basis. We have an exclusive license with IU, pursuant to which we exclusively license certain patent rights relating to nomlabofusp and its use for the treatment of mitochondrial diseases, on a worldwide basis.</w:t>
      </w:r>
    </w:p>
    <w:p>
      <w:pPr>
        <w:spacing w:after="0" w:line="74" w:lineRule="exact"/>
        <w:rPr>
          <w:sz w:val="20"/>
          <w:szCs w:val="20"/>
          <w:color w:val="auto"/>
        </w:rPr>
      </w:pPr>
    </w:p>
    <w:p>
      <w:pPr>
        <w:ind w:left="360" w:right="420" w:firstLine="490"/>
        <w:spacing w:after="0" w:line="244" w:lineRule="auto"/>
        <w:rPr>
          <w:sz w:val="20"/>
          <w:szCs w:val="20"/>
          <w:color w:val="auto"/>
        </w:rPr>
      </w:pPr>
      <w:r>
        <w:rPr>
          <w:rFonts w:ascii="Times New Roman" w:cs="Times New Roman" w:eastAsia="Times New Roman" w:hAnsi="Times New Roman"/>
          <w:sz w:val="20"/>
          <w:szCs w:val="20"/>
          <w:color w:val="auto"/>
        </w:rPr>
        <w:t>Our license agreements with WFUHS and IU impose, and we expect our future license agreements will impose, various development, diligence, commercialization, and other obligations on us in order to maintain the licenses. In spite of our efforts, WFUHS, IU, or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nomlabofusp. Any of the foregoing could have a material adverse effect on our competitive position, business, financial conditions, results of operations, and prospects.</w:t>
      </w:r>
    </w:p>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Moreover, disputes may arise regarding intellectual property subject to a licensing agreement, including:</w:t>
      </w:r>
    </w:p>
    <w:p>
      <w:pPr>
        <w:spacing w:after="0" w:line="134" w:lineRule="exact"/>
        <w:rPr>
          <w:sz w:val="20"/>
          <w:szCs w:val="20"/>
          <w:color w:val="auto"/>
        </w:rPr>
      </w:pPr>
    </w:p>
    <w:p>
      <w:pPr>
        <w:ind w:left="1220" w:hanging="370"/>
        <w:spacing w:after="0"/>
        <w:tabs>
          <w:tab w:leader="none" w:pos="12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133" w:lineRule="exact"/>
        <w:rPr>
          <w:rFonts w:ascii="Arial" w:cs="Arial" w:eastAsia="Arial" w:hAnsi="Arial"/>
          <w:sz w:val="20"/>
          <w:szCs w:val="20"/>
          <w:color w:val="auto"/>
        </w:rPr>
      </w:pPr>
    </w:p>
    <w:p>
      <w:pPr>
        <w:ind w:left="1220" w:right="600" w:hanging="370"/>
        <w:spacing w:after="0" w:line="276" w:lineRule="auto"/>
        <w:tabs>
          <w:tab w:leader="none" w:pos="12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our technology and processes infringe on intellectual property of the licensor that is not subject to the licensing agreement;</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sublicensing of patent and other rights under our collaborative development relationships;</w:t>
      </w:r>
    </w:p>
    <w:p>
      <w:pPr>
        <w:spacing w:after="0" w:line="133" w:lineRule="exact"/>
        <w:rPr>
          <w:rFonts w:ascii="Arial" w:cs="Arial" w:eastAsia="Arial" w:hAnsi="Arial"/>
          <w:sz w:val="20"/>
          <w:szCs w:val="20"/>
          <w:color w:val="auto"/>
        </w:rPr>
      </w:pPr>
    </w:p>
    <w:p>
      <w:pPr>
        <w:ind w:left="1220" w:right="1220" w:hanging="370"/>
        <w:spacing w:after="0" w:line="276" w:lineRule="auto"/>
        <w:tabs>
          <w:tab w:leader="none" w:pos="12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diligence obligations under the license agreement and what activities satisfy those diligence obligations;</w:t>
      </w:r>
    </w:p>
    <w:p>
      <w:pPr>
        <w:spacing w:after="0" w:line="64" w:lineRule="exact"/>
        <w:rPr>
          <w:rFonts w:ascii="Arial" w:cs="Arial" w:eastAsia="Arial" w:hAnsi="Arial"/>
          <w:sz w:val="20"/>
          <w:szCs w:val="20"/>
          <w:color w:val="auto"/>
        </w:rPr>
      </w:pPr>
    </w:p>
    <w:p>
      <w:pPr>
        <w:ind w:left="1220" w:right="660" w:hanging="370"/>
        <w:spacing w:after="0" w:line="276" w:lineRule="auto"/>
        <w:tabs>
          <w:tab w:leader="none" w:pos="12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inventorship and ownership of inventions and know-how resulting from the joint creation or use of intellectual property by our licensors and us and our partners;</w:t>
      </w:r>
    </w:p>
    <w:p>
      <w:pPr>
        <w:spacing w:after="0" w:line="64" w:lineRule="exact"/>
        <w:rPr>
          <w:rFonts w:ascii="Arial" w:cs="Arial" w:eastAsia="Arial" w:hAnsi="Arial"/>
          <w:sz w:val="20"/>
          <w:szCs w:val="20"/>
          <w:color w:val="auto"/>
        </w:rPr>
      </w:pPr>
    </w:p>
    <w:p>
      <w:pPr>
        <w:ind w:left="1220" w:right="1100" w:hanging="370"/>
        <w:spacing w:after="0" w:line="276" w:lineRule="auto"/>
        <w:tabs>
          <w:tab w:leader="none" w:pos="12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whether and the extent to which inventors are able to contest the assignment of their rights to our licensors; and</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priority of invention of patented technology.</w:t>
      </w:r>
    </w:p>
    <w:p>
      <w:pPr>
        <w:spacing w:after="0" w:line="119"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nomlabofusp, which could have a material adverse effect on our business, financial conditions, results of operations, and prospects.</w:t>
      </w:r>
    </w:p>
    <w:p>
      <w:pPr>
        <w:spacing w:after="0" w:line="86" w:lineRule="exact"/>
        <w:rPr>
          <w:sz w:val="20"/>
          <w:szCs w:val="20"/>
          <w:color w:val="auto"/>
        </w:rPr>
      </w:pPr>
    </w:p>
    <w:p>
      <w:pPr>
        <w:ind w:left="360" w:right="6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Some intellectual property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4" w:lineRule="exact"/>
        <w:rPr>
          <w:sz w:val="20"/>
          <w:szCs w:val="20"/>
          <w:color w:val="auto"/>
        </w:rPr>
      </w:pPr>
    </w:p>
    <w:p>
      <w:pPr>
        <w:ind w:left="360" w:right="380" w:firstLine="490"/>
        <w:spacing w:after="0" w:line="260" w:lineRule="auto"/>
        <w:rPr>
          <w:sz w:val="20"/>
          <w:szCs w:val="20"/>
          <w:color w:val="auto"/>
        </w:rPr>
      </w:pPr>
      <w:r>
        <w:rPr>
          <w:rFonts w:ascii="Times New Roman" w:cs="Times New Roman" w:eastAsia="Times New Roman" w:hAnsi="Times New Roman"/>
          <w:sz w:val="19"/>
          <w:szCs w:val="19"/>
          <w:color w:val="auto"/>
        </w:rPr>
        <w:t>Our in-licensed patent rights from WFUHS were funded in part by the U.S. government and are therefore subject to certain federal regulations.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960" w:h="17280" w:orient="portrait"/>
          <w:cols w:equalWidth="0" w:num="1">
            <w:col w:w="10080"/>
          </w:cols>
          <w:pgMar w:left="1440" w:top="1440" w:right="1440" w:bottom="895" w:gutter="0" w:footer="0" w:header="0"/>
          <w:type w:val="continuous"/>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60"/>
        <w:spacing w:after="0" w:line="249" w:lineRule="auto"/>
        <w:rPr>
          <w:sz w:val="20"/>
          <w:szCs w:val="20"/>
          <w:color w:val="auto"/>
        </w:rPr>
      </w:pPr>
      <w:r>
        <w:rPr>
          <w:rFonts w:ascii="Times New Roman" w:cs="Times New Roman" w:eastAsia="Times New Roman" w:hAnsi="Times New Roman"/>
          <w:sz w:val="20"/>
          <w:szCs w:val="20"/>
          <w:color w:val="auto"/>
        </w:rPr>
        <w:t>health or safety needs, to meet requirements of federal regulations, or to give preference to U.S. industry. In addition, our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our competitive position, business, financial condition, results of operations, and prospects.</w:t>
      </w:r>
    </w:p>
    <w:p>
      <w:pPr>
        <w:spacing w:after="0" w:line="77" w:lineRule="exact"/>
        <w:rPr>
          <w:sz w:val="20"/>
          <w:szCs w:val="20"/>
          <w:color w:val="auto"/>
        </w:rPr>
      </w:pPr>
    </w:p>
    <w:p>
      <w:pPr>
        <w:jc w:val="both"/>
        <w:ind w:left="360" w:right="5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not yet registered trademarks for a commercial trade name for nomlabofusp or other potential product candidates and failure to secure such registrations could adversely affect our business, financial condition and results of operations.</w:t>
      </w:r>
    </w:p>
    <w:p>
      <w:pPr>
        <w:spacing w:after="0" w:line="68" w:lineRule="exact"/>
        <w:rPr>
          <w:sz w:val="20"/>
          <w:szCs w:val="20"/>
          <w:color w:val="auto"/>
        </w:rPr>
      </w:pPr>
    </w:p>
    <w:p>
      <w:pPr>
        <w:ind w:left="360" w:right="420" w:firstLine="490"/>
        <w:spacing w:after="0" w:line="243" w:lineRule="auto"/>
        <w:rPr>
          <w:sz w:val="20"/>
          <w:szCs w:val="20"/>
          <w:color w:val="auto"/>
        </w:rPr>
      </w:pPr>
      <w:r>
        <w:rPr>
          <w:rFonts w:ascii="Times New Roman" w:cs="Times New Roman" w:eastAsia="Times New Roman" w:hAnsi="Times New Roman"/>
          <w:sz w:val="20"/>
          <w:szCs w:val="20"/>
          <w:color w:val="auto"/>
        </w:rPr>
        <w:t>In many jurisdictions, we have not yet registered trademarks for a commercial trade name for nomlabofusp or other potential product candidates. Any future trademark applications may be rejected during trademark registration proceedings. Although we would be given an opportunity to respond to those rejections, we may be unable to overcome such rejections. In addition, the USPTO and comparable agencies in many foreign jurisdictions give third parties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and similarly in many foreign jurisdictions regardless of whether we have registered it, or applied to register it, as a trademark. The FDA typically conducts a review of proposed product names, including an evaluation of potential for confusion with other product names. If the FDA or a foreign regulatory authority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or other regulatory authorities.</w:t>
      </w:r>
    </w:p>
    <w:p>
      <w:pPr>
        <w:spacing w:after="0" w:line="83" w:lineRule="exact"/>
        <w:rPr>
          <w:sz w:val="20"/>
          <w:szCs w:val="20"/>
          <w:color w:val="auto"/>
        </w:rPr>
      </w:pPr>
    </w:p>
    <w:p>
      <w:pPr>
        <w:ind w:left="360"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Any trademarks we have obtained or may obtain may be infringed or successfully challenged, resulting in harm to our business.</w:t>
      </w:r>
    </w:p>
    <w:p>
      <w:pPr>
        <w:spacing w:after="0" w:line="49" w:lineRule="exact"/>
        <w:rPr>
          <w:sz w:val="20"/>
          <w:szCs w:val="20"/>
          <w:color w:val="auto"/>
        </w:rPr>
      </w:pPr>
    </w:p>
    <w:p>
      <w:pPr>
        <w:ind w:left="360" w:right="380" w:firstLine="490"/>
        <w:spacing w:after="0" w:line="246" w:lineRule="auto"/>
        <w:rPr>
          <w:sz w:val="20"/>
          <w:szCs w:val="20"/>
          <w:color w:val="auto"/>
        </w:rPr>
      </w:pPr>
      <w:r>
        <w:rPr>
          <w:rFonts w:ascii="Times New Roman" w:cs="Times New Roman" w:eastAsia="Times New Roman" w:hAnsi="Times New Roman"/>
          <w:sz w:val="20"/>
          <w:szCs w:val="20"/>
          <w:color w:val="auto"/>
        </w:rPr>
        <w:t>We expect to rely on trademarks as one means to distinguish any of our products that are approved for marketing from the products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w:t>
      </w:r>
    </w:p>
    <w:p>
      <w:pPr>
        <w:spacing w:after="0" w:line="80" w:lineRule="exact"/>
        <w:rPr>
          <w:sz w:val="20"/>
          <w:szCs w:val="20"/>
          <w:color w:val="auto"/>
        </w:rPr>
      </w:pPr>
    </w:p>
    <w:p>
      <w:pPr>
        <w:ind w:left="360" w:right="5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additional protection under the Hatch-Waxman Amendments and similar foreign legislation by extending the patent terms and obtaining data exclusivity for nomlabofusp, our business may be materially harmed.</w:t>
      </w:r>
    </w:p>
    <w:p>
      <w:pPr>
        <w:spacing w:after="0" w:line="68" w:lineRule="exact"/>
        <w:rPr>
          <w:sz w:val="20"/>
          <w:szCs w:val="20"/>
          <w:color w:val="auto"/>
        </w:rPr>
      </w:pPr>
    </w:p>
    <w:p>
      <w:pPr>
        <w:ind w:left="360" w:right="480" w:firstLine="490"/>
        <w:spacing w:after="0" w:line="243" w:lineRule="auto"/>
        <w:rPr>
          <w:sz w:val="20"/>
          <w:szCs w:val="20"/>
          <w:color w:val="auto"/>
        </w:rPr>
      </w:pPr>
      <w:r>
        <w:rPr>
          <w:rFonts w:ascii="Times New Roman" w:cs="Times New Roman" w:eastAsia="Times New Roman" w:hAnsi="Times New Roman"/>
          <w:sz w:val="20"/>
          <w:szCs w:val="20"/>
          <w:color w:val="auto"/>
        </w:rPr>
        <w:t>Depending upon the timing, duration and specifics of development and FDA marketing approval of nomlabofusp or our other potential product candidates, one or more of our U.S. patents may be eligible for limited patent term restoration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or restoration or the term of any such extension is less than we request, our competitors may obtain approval of competing products following our patent expiration, and our ability to generate revenues, business, financial condition and results of operations could be materially adversely affected.</w:t>
      </w:r>
    </w:p>
    <w:p>
      <w:pPr>
        <w:spacing w:after="0" w:line="88" w:lineRule="exact"/>
        <w:rPr>
          <w:sz w:val="20"/>
          <w:szCs w:val="20"/>
          <w:color w:val="auto"/>
        </w:rPr>
      </w:pPr>
    </w:p>
    <w:p>
      <w:pPr>
        <w:ind w:left="360" w:right="6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proprietary rights may not adequately protect our technologies, which may adversely affect our position in the market, business, financial condition and results of operations.</w:t>
      </w:r>
    </w:p>
    <w:p>
      <w:pPr>
        <w:spacing w:after="0" w:line="49" w:lineRule="exact"/>
        <w:rPr>
          <w:sz w:val="20"/>
          <w:szCs w:val="20"/>
          <w:color w:val="auto"/>
        </w:rPr>
      </w:pPr>
    </w:p>
    <w:p>
      <w:pPr>
        <w:ind w:left="360" w:right="460" w:firstLine="490"/>
        <w:spacing w:after="0" w:line="263" w:lineRule="auto"/>
        <w:rPr>
          <w:sz w:val="20"/>
          <w:szCs w:val="20"/>
          <w:color w:val="auto"/>
        </w:rPr>
      </w:pPr>
      <w:r>
        <w:rPr>
          <w:rFonts w:ascii="Times New Roman" w:cs="Times New Roman" w:eastAsia="Times New Roman" w:hAnsi="Times New Roman"/>
          <w:sz w:val="19"/>
          <w:szCs w:val="19"/>
          <w:color w:val="auto"/>
        </w:rPr>
        <w:t>We rely on unpatented trade secrets, know-how, and technology, which are difficult to protect, especially in the pharmaceutical industry, where much of the information about a product must be made public during the regulatory approval process. We seek to protect trade secrets, in part, by entering into confidentiality agreements with employees, consultants and others. These parties may breach or terminate these agreements or may refuse to enter into such agreements with us, and we may not have adequate remedies for such breaches. Furthermore, these agreements may not provide meaningful protection for our trade secrets or other proprietary information or result in</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960" w:h="17280" w:orient="portrait"/>
          <w:cols w:equalWidth="0" w:num="1">
            <w:col w:w="10080"/>
          </w:cols>
          <w:pgMar w:left="1440" w:top="1440" w:right="1440" w:bottom="895" w:gutter="0" w:footer="0" w:header="0"/>
          <w:type w:val="continuous"/>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60"/>
        <w:spacing w:after="0" w:line="252" w:lineRule="auto"/>
        <w:rPr>
          <w:sz w:val="20"/>
          <w:szCs w:val="20"/>
          <w:color w:val="auto"/>
        </w:rPr>
      </w:pPr>
      <w:r>
        <w:rPr>
          <w:rFonts w:ascii="Times New Roman" w:cs="Times New Roman" w:eastAsia="Times New Roman" w:hAnsi="Times New Roman"/>
          <w:sz w:val="20"/>
          <w:szCs w:val="20"/>
          <w:color w:val="auto"/>
        </w:rPr>
        <w:t>the effective assignment to us of intellectual property and may not provide an adequate remedy in the event of unauthorized use or disclosure of confidential information or other breaches of the agreements. Despite our efforts to protect our trade secrets, we or our board members, employees, consultants, contractors or scientific and other advisors may unintentionally or willfully disclose our proprietary information to competitors.</w:t>
      </w:r>
    </w:p>
    <w:p>
      <w:pPr>
        <w:spacing w:after="0" w:line="74" w:lineRule="exact"/>
        <w:rPr>
          <w:sz w:val="20"/>
          <w:szCs w:val="20"/>
          <w:color w:val="auto"/>
        </w:rPr>
      </w:pPr>
    </w:p>
    <w:p>
      <w:pPr>
        <w:ind w:left="360" w:right="420" w:firstLine="490"/>
        <w:spacing w:after="0" w:line="249" w:lineRule="auto"/>
        <w:rPr>
          <w:sz w:val="20"/>
          <w:szCs w:val="20"/>
          <w:color w:val="auto"/>
        </w:rPr>
      </w:pPr>
      <w:r>
        <w:rPr>
          <w:rFonts w:ascii="Times New Roman" w:cs="Times New Roman" w:eastAsia="Times New Roman" w:hAnsi="Times New Roman"/>
          <w:sz w:val="20"/>
          <w:szCs w:val="20"/>
          <w:color w:val="auto"/>
        </w:rPr>
        <w:t>If we fail to maintain trade secret protection, our competitive position may be adversely affected. Competitors may also independently discover our trade secrets. Enforcement of claims that a third party has illegally obtained and is using trade secrets is expensive, time consuming and uncertain. If our competitors independently develop equivalent knowledge, methods and know-how, we would not be able to assert our trade secrets against them and our business, financial condition and results of operations could be harmed.</w:t>
      </w:r>
    </w:p>
    <w:p>
      <w:pPr>
        <w:spacing w:after="0" w:line="77" w:lineRule="exact"/>
        <w:rPr>
          <w:sz w:val="20"/>
          <w:szCs w:val="20"/>
          <w:color w:val="auto"/>
        </w:rPr>
      </w:pPr>
    </w:p>
    <w:p>
      <w:pPr>
        <w:ind w:left="360" w:right="7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patent law in the U.S. and in foreign jurisdictions could diminish the value of patents in general, thereby impairing our ability to protect our products.</w:t>
      </w:r>
    </w:p>
    <w:p>
      <w:pPr>
        <w:spacing w:after="0" w:line="49"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could increase the uncertainties and costs surrounding the prosecution of patent applications and the enforcement or defense of issued patents. The Leahy Smith America Invents Act ("the Leahy Smith Act") enacted in September 2011, brought significant changes to the U.S. patent law system. These include provisions that affect the way patent applications are prosecuted and may affect patent litigation. The United States Patent Office continues to develop and implement new regulations and procedures to govern administration of the Leahy Smith Act, and many of the substantive changes to patent law associated with the Leahy Smith Act became effective on March 16, 2013. The Leahy Smith Act and its implementation could increase the uncertainties and costs surrounding the prosecution of patent applications and the enforcement or defense of our issued patents, all of which could harm our business, results of operations, financial condition and prospects.</w:t>
      </w:r>
    </w:p>
    <w:p>
      <w:pPr>
        <w:spacing w:after="0" w:line="86" w:lineRule="exact"/>
        <w:rPr>
          <w:sz w:val="20"/>
          <w:szCs w:val="20"/>
          <w:color w:val="auto"/>
        </w:rPr>
      </w:pPr>
    </w:p>
    <w:p>
      <w:pPr>
        <w:ind w:left="360" w:right="360" w:firstLine="490"/>
        <w:spacing w:after="0" w:line="261" w:lineRule="auto"/>
        <w:rPr>
          <w:sz w:val="20"/>
          <w:szCs w:val="20"/>
          <w:color w:val="auto"/>
        </w:rPr>
      </w:pPr>
      <w:r>
        <w:rPr>
          <w:rFonts w:ascii="Times New Roman" w:cs="Times New Roman" w:eastAsia="Times New Roman" w:hAnsi="Times New Roman"/>
          <w:sz w:val="19"/>
          <w:szCs w:val="19"/>
          <w:color w:val="auto"/>
        </w:rPr>
        <w:t>In addition, 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67" w:lineRule="exact"/>
        <w:rPr>
          <w:sz w:val="20"/>
          <w:szCs w:val="20"/>
          <w:color w:val="auto"/>
        </w:rPr>
      </w:pPr>
    </w:p>
    <w:p>
      <w:pPr>
        <w:ind w:left="360"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damages resulting from claims that we or our employees have wrongfully used or disclosed alleged trade secrets of our employees’ former employers.</w:t>
      </w:r>
    </w:p>
    <w:p>
      <w:pPr>
        <w:spacing w:after="0" w:line="49" w:lineRule="exact"/>
        <w:rPr>
          <w:sz w:val="20"/>
          <w:szCs w:val="20"/>
          <w:color w:val="auto"/>
        </w:rPr>
      </w:pPr>
    </w:p>
    <w:p>
      <w:pPr>
        <w:ind w:left="360" w:right="440" w:firstLine="490"/>
        <w:spacing w:after="0" w:line="244" w:lineRule="auto"/>
        <w:rPr>
          <w:sz w:val="20"/>
          <w:szCs w:val="20"/>
          <w:color w:val="auto"/>
        </w:rPr>
      </w:pPr>
      <w:r>
        <w:rPr>
          <w:rFonts w:ascii="Times New Roman" w:cs="Times New Roman" w:eastAsia="Times New Roman" w:hAnsi="Times New Roman"/>
          <w:sz w:val="20"/>
          <w:szCs w:val="20"/>
          <w:color w:val="auto"/>
        </w:rPr>
        <w:t>Many of our employees have been previously employed at other biotechnology or pharmaceutical companies, including our competitors or potential competitors. Although we are not aware of any claims currently pending against us, we may be subject to claims that we or our employees inadvertently or otherwise used or disclosed the trade secrets or other proprietary information of our employees’ former employers.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develop and commercialize nomlabofusp or our other potential product candidates, which would materially adversely affect our business, financial condition and results of operations.</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could be highly volatile, and purchasers of our common stock could incur substantial losses.</w:t>
      </w:r>
    </w:p>
    <w:p>
      <w:pPr>
        <w:spacing w:after="0" w:line="120" w:lineRule="exact"/>
        <w:rPr>
          <w:sz w:val="20"/>
          <w:szCs w:val="20"/>
          <w:color w:val="auto"/>
        </w:rPr>
      </w:pPr>
    </w:p>
    <w:p>
      <w:pPr>
        <w:ind w:left="360" w:right="380" w:firstLine="490"/>
        <w:spacing w:after="0" w:line="258" w:lineRule="auto"/>
        <w:rPr>
          <w:sz w:val="20"/>
          <w:szCs w:val="20"/>
          <w:color w:val="auto"/>
        </w:rPr>
      </w:pPr>
      <w:r>
        <w:rPr>
          <w:rFonts w:ascii="Times New Roman" w:cs="Times New Roman" w:eastAsia="Times New Roman" w:hAnsi="Times New Roman"/>
          <w:sz w:val="20"/>
          <w:szCs w:val="20"/>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83" w:lineRule="exact"/>
        <w:rPr>
          <w:sz w:val="20"/>
          <w:szCs w:val="20"/>
          <w:color w:val="auto"/>
        </w:rPr>
      </w:pPr>
    </w:p>
    <w:p>
      <w:pPr>
        <w:ind w:left="1220" w:right="760" w:hanging="370"/>
        <w:spacing w:after="0" w:line="276" w:lineRule="auto"/>
        <w:tabs>
          <w:tab w:leader="none" w:pos="122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regulatory approvals for product candidates, and delays or failures to obtain such approvals;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960" w:h="17280" w:orient="portrait"/>
          <w:cols w:equalWidth="0" w:num="1">
            <w:col w:w="10080"/>
          </w:cols>
          <w:pgMar w:left="1440" w:top="1440" w:right="1440" w:bottom="895" w:gutter="0" w:footer="0" w:header="0"/>
          <w:type w:val="continuous"/>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220" w:right="460" w:hanging="370"/>
        <w:spacing w:after="0" w:line="258" w:lineRule="auto"/>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and delays in, current, and any future, non-clinical or clinical trials of nomlabofusp or any of our future product candidates, including any delays related to a future pandemic, epidemic or outbreak of an infectious disease;</w:t>
      </w:r>
    </w:p>
    <w:p>
      <w:pPr>
        <w:spacing w:after="0" w:line="81" w:lineRule="exact"/>
        <w:rPr>
          <w:rFonts w:ascii="Arial" w:cs="Arial" w:eastAsia="Arial" w:hAnsi="Arial"/>
          <w:sz w:val="20"/>
          <w:szCs w:val="20"/>
          <w:color w:val="auto"/>
        </w:rPr>
      </w:pPr>
    </w:p>
    <w:p>
      <w:pPr>
        <w:ind w:left="1220" w:right="540" w:hanging="370"/>
        <w:spacing w:after="0" w:line="276" w:lineRule="auto"/>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geopolitical tension, including the potential impact of ongoing conflict between Russia and Ukraine and the current conflict in Israel and Gaza (including any escalation or expansion);</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entry into, or termination of, key agreements, including key licensing or collaboration agreements;</w:t>
      </w:r>
    </w:p>
    <w:p>
      <w:pPr>
        <w:spacing w:after="0" w:line="133" w:lineRule="exact"/>
        <w:rPr>
          <w:rFonts w:ascii="Arial" w:cs="Arial" w:eastAsia="Arial" w:hAnsi="Arial"/>
          <w:sz w:val="20"/>
          <w:szCs w:val="20"/>
          <w:color w:val="auto"/>
        </w:rPr>
      </w:pPr>
    </w:p>
    <w:p>
      <w:pPr>
        <w:ind w:left="1220" w:right="1080" w:hanging="370"/>
        <w:spacing w:after="0" w:line="276" w:lineRule="auto"/>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failure of nomlabofusp or any of our future product candidates, if approved for marketing and commercialization, to achieve commercial success;</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issues in manufacturing our approved products, if any, or product candidates;</w:t>
      </w:r>
    </w:p>
    <w:p>
      <w:pPr>
        <w:spacing w:after="0" w:line="133" w:lineRule="exact"/>
        <w:rPr>
          <w:rFonts w:ascii="Arial" w:cs="Arial" w:eastAsia="Arial" w:hAnsi="Arial"/>
          <w:sz w:val="20"/>
          <w:szCs w:val="20"/>
          <w:color w:val="auto"/>
        </w:rPr>
      </w:pPr>
    </w:p>
    <w:p>
      <w:pPr>
        <w:ind w:left="1220" w:right="420" w:hanging="370"/>
        <w:spacing w:after="0" w:line="276" w:lineRule="auto"/>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initiation of material developments in, or conclusion of, disputes or litigation to enforce or defend any of our intellectual property rights or defend against the intellectual property rights of others;</w:t>
      </w:r>
    </w:p>
    <w:p>
      <w:pPr>
        <w:spacing w:after="0" w:line="64" w:lineRule="exact"/>
        <w:rPr>
          <w:rFonts w:ascii="Arial" w:cs="Arial" w:eastAsia="Arial" w:hAnsi="Arial"/>
          <w:sz w:val="20"/>
          <w:szCs w:val="20"/>
          <w:color w:val="auto"/>
        </w:rPr>
      </w:pPr>
    </w:p>
    <w:p>
      <w:pPr>
        <w:ind w:left="1220" w:right="520" w:hanging="370"/>
        <w:spacing w:after="0" w:line="258" w:lineRule="auto"/>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us or our commercial partners or competitors of new commercial products, clinical progress (or the lack thereof), significant business developments, contracts, commercial relationships, or capital commitments;</w:t>
      </w:r>
    </w:p>
    <w:p>
      <w:pPr>
        <w:spacing w:after="0" w:line="81" w:lineRule="exact"/>
        <w:rPr>
          <w:rFonts w:ascii="Arial" w:cs="Arial" w:eastAsia="Arial" w:hAnsi="Arial"/>
          <w:sz w:val="20"/>
          <w:szCs w:val="20"/>
          <w:color w:val="auto"/>
        </w:rPr>
      </w:pPr>
    </w:p>
    <w:p>
      <w:pPr>
        <w:ind w:left="1220" w:right="520" w:hanging="370"/>
        <w:spacing w:after="0" w:line="276" w:lineRule="auto"/>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adverse publicity relating to our markets, including with respect to other products and potential products in such markets;</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introduction of technological innovations or new therapies competing with our potential products;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loss of key employees;</w:t>
      </w:r>
    </w:p>
    <w:p>
      <w:pPr>
        <w:spacing w:after="0" w:line="133" w:lineRule="exact"/>
        <w:rPr>
          <w:rFonts w:ascii="Arial" w:cs="Arial" w:eastAsia="Arial" w:hAnsi="Arial"/>
          <w:sz w:val="20"/>
          <w:szCs w:val="20"/>
          <w:color w:val="auto"/>
        </w:rPr>
      </w:pPr>
    </w:p>
    <w:p>
      <w:pPr>
        <w:ind w:left="1220" w:right="720" w:hanging="370"/>
        <w:spacing w:after="0" w:line="276" w:lineRule="auto"/>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general and industry-specific economic conditions potentially affecting our research and development expenditures;</w:t>
      </w:r>
    </w:p>
    <w:p>
      <w:pPr>
        <w:spacing w:after="0" w:line="64" w:lineRule="exact"/>
        <w:rPr>
          <w:rFonts w:ascii="Arial" w:cs="Arial" w:eastAsia="Arial" w:hAnsi="Arial"/>
          <w:sz w:val="20"/>
          <w:szCs w:val="20"/>
          <w:color w:val="auto"/>
        </w:rPr>
      </w:pPr>
    </w:p>
    <w:p>
      <w:pPr>
        <w:ind w:left="1220" w:right="540" w:hanging="370"/>
        <w:spacing w:after="0" w:line="258" w:lineRule="auto"/>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general market conditions and other factors, including factors unrelated to our operating performance or the operating performance of our competitors, including a global pandemic, or macroeconomic factors such as geopolitical tensions, tariffs, or the outbreak or escalation of hostilities or war;</w:t>
      </w:r>
    </w:p>
    <w:p>
      <w:pPr>
        <w:spacing w:after="0" w:line="81" w:lineRule="exact"/>
        <w:rPr>
          <w:rFonts w:ascii="Arial" w:cs="Arial" w:eastAsia="Arial" w:hAnsi="Arial"/>
          <w:sz w:val="20"/>
          <w:szCs w:val="20"/>
          <w:color w:val="auto"/>
        </w:rPr>
      </w:pPr>
    </w:p>
    <w:p>
      <w:pPr>
        <w:ind w:left="1220" w:hanging="370"/>
        <w:spacing w:after="0"/>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structure of health care payment systems;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adverse regulatory decisions;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investor perceptions of us or our industry;</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trading volume of our common stock; and</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period-to-period fluctuations in our financial results.</w:t>
      </w:r>
    </w:p>
    <w:p>
      <w:pPr>
        <w:spacing w:after="0" w:line="119" w:lineRule="exact"/>
        <w:rPr>
          <w:sz w:val="20"/>
          <w:szCs w:val="20"/>
          <w:color w:val="auto"/>
        </w:rPr>
      </w:pPr>
    </w:p>
    <w:p>
      <w:pPr>
        <w:jc w:val="both"/>
        <w:ind w:left="360" w:right="560" w:firstLine="490"/>
        <w:spacing w:after="0" w:line="305" w:lineRule="auto"/>
        <w:rPr>
          <w:sz w:val="20"/>
          <w:szCs w:val="20"/>
          <w:color w:val="auto"/>
        </w:rPr>
      </w:pPr>
      <w:r>
        <w:rPr>
          <w:rFonts w:ascii="Times New Roman" w:cs="Times New Roman" w:eastAsia="Times New Roman" w:hAnsi="Times New Roman"/>
          <w:sz w:val="19"/>
          <w:szCs w:val="19"/>
          <w:color w:val="auto"/>
        </w:rPr>
        <w:t>There is no guarantee that our common stock will appreciate or even maintain the price at which our holders have purchased it. Therefore, there is a risk that investors may lose all or part of their investment in our securities.</w:t>
      </w:r>
    </w:p>
    <w:p>
      <w:pPr>
        <w:spacing w:after="0" w:line="25" w:lineRule="exact"/>
        <w:rPr>
          <w:sz w:val="20"/>
          <w:szCs w:val="20"/>
          <w:color w:val="auto"/>
        </w:rPr>
      </w:pPr>
    </w:p>
    <w:p>
      <w:pPr>
        <w:ind w:left="360" w:right="420" w:firstLine="490"/>
        <w:spacing w:after="0" w:line="258" w:lineRule="auto"/>
        <w:rPr>
          <w:sz w:val="20"/>
          <w:szCs w:val="20"/>
          <w:color w:val="auto"/>
        </w:rPr>
      </w:pPr>
      <w:r>
        <w:rPr>
          <w:rFonts w:ascii="Times New Roman" w:cs="Times New Roman" w:eastAsia="Times New Roman" w:hAnsi="Times New Roman"/>
          <w:sz w:val="20"/>
          <w:szCs w:val="20"/>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68" w:lineRule="exact"/>
        <w:rPr>
          <w:sz w:val="20"/>
          <w:szCs w:val="20"/>
          <w:color w:val="auto"/>
        </w:rPr>
      </w:pPr>
    </w:p>
    <w:p>
      <w:pPr>
        <w:ind w:left="360" w:right="380" w:firstLine="490"/>
        <w:spacing w:after="0" w:line="246" w:lineRule="auto"/>
        <w:rPr>
          <w:sz w:val="20"/>
          <w:szCs w:val="20"/>
          <w:color w:val="auto"/>
        </w:rPr>
      </w:pPr>
      <w:r>
        <w:rPr>
          <w:rFonts w:ascii="Times New Roman" w:cs="Times New Roman" w:eastAsia="Times New Roman" w:hAnsi="Times New Roman"/>
          <w:sz w:val="20"/>
          <w:szCs w:val="20"/>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960" w:h="17280" w:orient="portrait"/>
          <w:cols w:equalWidth="0" w:num="1">
            <w:col w:w="10080"/>
          </w:cols>
          <w:pgMar w:left="1440" w:top="1440" w:right="1440" w:bottom="895" w:gutter="0" w:footer="0" w:header="0"/>
          <w:type w:val="continuous"/>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68" w:lineRule="exact"/>
        <w:rPr>
          <w:sz w:val="20"/>
          <w:szCs w:val="20"/>
          <w:color w:val="auto"/>
        </w:rPr>
      </w:pPr>
    </w:p>
    <w:p>
      <w:pPr>
        <w:ind w:left="360" w:right="420" w:firstLine="490"/>
        <w:spacing w:after="0" w:line="252" w:lineRule="auto"/>
        <w:rPr>
          <w:sz w:val="20"/>
          <w:szCs w:val="20"/>
          <w:color w:val="auto"/>
        </w:rPr>
      </w:pPr>
      <w:r>
        <w:rPr>
          <w:rFonts w:ascii="Times New Roman" w:cs="Times New Roman" w:eastAsia="Times New Roman" w:hAnsi="Times New Roman"/>
          <w:sz w:val="20"/>
          <w:szCs w:val="20"/>
          <w:color w:val="auto"/>
        </w:rPr>
        <w:t>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w:t>
      </w:r>
    </w:p>
    <w:p>
      <w:pPr>
        <w:spacing w:after="0" w:line="74" w:lineRule="exact"/>
        <w:rPr>
          <w:sz w:val="20"/>
          <w:szCs w:val="20"/>
          <w:color w:val="auto"/>
        </w:rPr>
      </w:pPr>
    </w:p>
    <w:p>
      <w:pPr>
        <w:ind w:left="360" w:right="720" w:firstLine="490"/>
        <w:spacing w:after="0" w:line="252" w:lineRule="auto"/>
        <w:rPr>
          <w:sz w:val="20"/>
          <w:szCs w:val="20"/>
          <w:color w:val="auto"/>
        </w:rPr>
      </w:pPr>
      <w:r>
        <w:rPr>
          <w:rFonts w:ascii="Times New Roman" w:cs="Times New Roman" w:eastAsia="Times New Roman" w:hAnsi="Times New Roman"/>
          <w:sz w:val="20"/>
          <w:szCs w:val="20"/>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w:t>
      </w:r>
    </w:p>
    <w:p>
      <w:pPr>
        <w:spacing w:after="0" w:line="74" w:lineRule="exact"/>
        <w:rPr>
          <w:sz w:val="20"/>
          <w:szCs w:val="20"/>
          <w:color w:val="auto"/>
        </w:rPr>
      </w:pPr>
    </w:p>
    <w:p>
      <w:pPr>
        <w:ind w:left="360" w:right="400" w:firstLine="490"/>
        <w:spacing w:after="0" w:line="245" w:lineRule="auto"/>
        <w:rPr>
          <w:sz w:val="20"/>
          <w:szCs w:val="20"/>
          <w:color w:val="auto"/>
        </w:rPr>
      </w:pPr>
      <w:r>
        <w:rPr>
          <w:rFonts w:ascii="Times New Roman" w:cs="Times New Roman" w:eastAsia="Times New Roman" w:hAnsi="Times New Roman"/>
          <w:sz w:val="20"/>
          <w:szCs w:val="20"/>
          <w:color w:val="auto"/>
        </w:rPr>
        <w:t>Our management may not be able to effectively and timely implement controls and procedures which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or to otherwise prevent material weaknesses in internal control over financial reporting, our business and reputation may be harmed and our stock price may decline. Furthermore, investor perceptions of us may be adversely affected, which could cause a decline in the market price of our common stock.</w:t>
      </w:r>
    </w:p>
    <w:p>
      <w:pPr>
        <w:spacing w:after="0" w:line="82" w:lineRule="exact"/>
        <w:rPr>
          <w:sz w:val="20"/>
          <w:szCs w:val="20"/>
          <w:color w:val="auto"/>
        </w:rPr>
      </w:pPr>
    </w:p>
    <w:p>
      <w:pPr>
        <w:ind w:left="360"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Ownership of our common stock is highly concentrated, and it may prevent other stockholders from influencing significant corporate decisions.</w:t>
      </w:r>
    </w:p>
    <w:p>
      <w:pPr>
        <w:spacing w:after="0" w:line="49" w:lineRule="exact"/>
        <w:rPr>
          <w:sz w:val="20"/>
          <w:szCs w:val="20"/>
          <w:color w:val="auto"/>
        </w:rPr>
      </w:pPr>
    </w:p>
    <w:p>
      <w:pPr>
        <w:ind w:left="360" w:right="500" w:firstLine="490"/>
        <w:spacing w:after="0" w:line="246" w:lineRule="auto"/>
        <w:rPr>
          <w:sz w:val="20"/>
          <w:szCs w:val="20"/>
          <w:color w:val="auto"/>
        </w:rPr>
      </w:pPr>
      <w:r>
        <w:rPr>
          <w:rFonts w:ascii="Times New Roman" w:cs="Times New Roman" w:eastAsia="Times New Roman" w:hAnsi="Times New Roman"/>
          <w:sz w:val="20"/>
          <w:szCs w:val="20"/>
          <w:color w:val="auto"/>
        </w:rPr>
        <w:t>Entities affiliated with Deerfield Management Company beneficially own or control approximately 33.3% of our outstanding common stock (assuming no exercise of outstanding options) as of December 31, 2024, on a fully-diluted basis. Accordingly, such entities have substantial influence over the outcome of a corporate action by us requiring stockholder approval, including the election of directors, any merger, consolidation or sale of all or substantially all of our assets or any other significant corporate transaction. These stockholders also may exert influence in delaying or preventing a change in control of the combined company, even if such change in control would benefit our other stockholders.</w:t>
      </w:r>
    </w:p>
    <w:p>
      <w:pPr>
        <w:spacing w:after="0" w:line="80" w:lineRule="exact"/>
        <w:rPr>
          <w:sz w:val="20"/>
          <w:szCs w:val="20"/>
          <w:color w:val="auto"/>
        </w:rPr>
      </w:pPr>
    </w:p>
    <w:p>
      <w:pPr>
        <w:ind w:left="360" w:right="5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We cannot be certain whether the reduced disclosure requirements applicable to smaller reporting companies will make our common shares less attractive to investors or otherwise limit our ability to raise additional funds.</w:t>
      </w:r>
    </w:p>
    <w:p>
      <w:pPr>
        <w:spacing w:after="0" w:line="68" w:lineRule="exact"/>
        <w:rPr>
          <w:sz w:val="20"/>
          <w:szCs w:val="20"/>
          <w:color w:val="auto"/>
        </w:rPr>
      </w:pPr>
    </w:p>
    <w:p>
      <w:pPr>
        <w:ind w:left="360" w:right="400" w:firstLine="490"/>
        <w:spacing w:after="0" w:line="243" w:lineRule="auto"/>
        <w:rPr>
          <w:sz w:val="20"/>
          <w:szCs w:val="20"/>
          <w:color w:val="auto"/>
        </w:rPr>
      </w:pPr>
      <w:r>
        <w:rPr>
          <w:rFonts w:ascii="Times New Roman" w:cs="Times New Roman" w:eastAsia="Times New Roman" w:hAnsi="Times New Roman"/>
          <w:sz w:val="20"/>
          <w:szCs w:val="20"/>
          <w:color w:val="auto"/>
        </w:rPr>
        <w:t>We are currently a “smaller reporting company” as defined in the Exchange Act of 1934 and have elected to take advantage of certain of the scaled disclosures available to smaller reporting companies, including simplified executive compensation disclosures in our filings, exemption from the provisions of Section 404(b) of the Sarbanes-Oxley Act requiring that an independent registered accounting firm provide an attestation report on the effectiveness of internal control over financial reporting and certain other decreased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 We cannot predict whether investors will find our common stock less attractive because of our reliance on any of these exemptions. If some investors find our common stock less attractive as a result, there may be a less active trading market for our common stock and our stock price may be more volatile.</w:t>
      </w:r>
    </w:p>
    <w:p>
      <w:pPr>
        <w:spacing w:after="0" w:line="88" w:lineRule="exact"/>
        <w:rPr>
          <w:sz w:val="20"/>
          <w:szCs w:val="20"/>
          <w:color w:val="auto"/>
        </w:rPr>
      </w:pPr>
    </w:p>
    <w:p>
      <w:pPr>
        <w:ind w:left="360" w:right="8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under Delaware law could make an acquisition of us more difficult and may prevent attempts by our stockholders to replace or remove our management.</w:t>
      </w:r>
    </w:p>
    <w:p>
      <w:pPr>
        <w:spacing w:after="0" w:line="49" w:lineRule="exact"/>
        <w:rPr>
          <w:sz w:val="20"/>
          <w:szCs w:val="20"/>
          <w:color w:val="auto"/>
        </w:rPr>
      </w:pPr>
    </w:p>
    <w:p>
      <w:pPr>
        <w:ind w:left="360" w:right="440" w:firstLine="490"/>
        <w:spacing w:after="0" w:line="246" w:lineRule="auto"/>
        <w:rPr>
          <w:sz w:val="20"/>
          <w:szCs w:val="20"/>
          <w:color w:val="auto"/>
        </w:rPr>
      </w:pPr>
      <w:r>
        <w:rPr>
          <w:rFonts w:ascii="Times New Roman" w:cs="Times New Roman" w:eastAsia="Times New Roman" w:hAnsi="Times New Roman"/>
          <w:sz w:val="20"/>
          <w:szCs w:val="20"/>
          <w:color w:val="auto"/>
        </w:rPr>
        <w:t>Provisions in our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 Delaware, we are governed by the provisions of Section 203 of the Delaware General Corporation Law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960" w:h="17280" w:orient="portrait"/>
          <w:cols w:equalWidth="0" w:num="1">
            <w:col w:w="10080"/>
          </w:cols>
          <w:pgMar w:left="1440" w:top="1440" w:right="1440" w:bottom="895"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60"/>
        <w:spacing w:after="0" w:line="252" w:lineRule="auto"/>
        <w:rPr>
          <w:sz w:val="20"/>
          <w:szCs w:val="20"/>
          <w:color w:val="auto"/>
        </w:rPr>
      </w:pPr>
      <w:r>
        <w:rPr>
          <w:rFonts w:ascii="Times New Roman" w:cs="Times New Roman" w:eastAsia="Times New Roman" w:hAnsi="Times New Roman"/>
          <w:sz w:val="20"/>
          <w:szCs w:val="20"/>
          <w:color w:val="auto"/>
        </w:rPr>
        <w:t>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We do not anticipate that we will pay any cash dividends in the foreseeable future.</w:t>
      </w:r>
    </w:p>
    <w:p>
      <w:pPr>
        <w:spacing w:after="0" w:line="120" w:lineRule="exact"/>
        <w:rPr>
          <w:sz w:val="20"/>
          <w:szCs w:val="20"/>
          <w:color w:val="auto"/>
        </w:rPr>
      </w:pPr>
    </w:p>
    <w:p>
      <w:pPr>
        <w:jc w:val="both"/>
        <w:ind w:left="360" w:right="540" w:firstLine="490"/>
        <w:spacing w:after="0" w:line="258" w:lineRule="auto"/>
        <w:rPr>
          <w:sz w:val="20"/>
          <w:szCs w:val="20"/>
          <w:color w:val="auto"/>
        </w:rPr>
      </w:pPr>
      <w:r>
        <w:rPr>
          <w:rFonts w:ascii="Times New Roman" w:cs="Times New Roman" w:eastAsia="Times New Roman" w:hAnsi="Times New Roman"/>
          <w:sz w:val="20"/>
          <w:szCs w:val="20"/>
          <w:color w:val="auto"/>
        </w:rPr>
        <w:t>The current expectation is that we will retain our future earnings to fund the development and growth of our business. As a result, capital appreciation, if any, of our common stock will be stockholders’ sole source of gain, if any, for the foreseeable future.</w:t>
      </w:r>
    </w:p>
    <w:p>
      <w:pPr>
        <w:spacing w:after="0" w:line="68" w:lineRule="exact"/>
        <w:rPr>
          <w:sz w:val="20"/>
          <w:szCs w:val="20"/>
          <w:color w:val="auto"/>
        </w:rPr>
      </w:pPr>
    </w:p>
    <w:p>
      <w:pPr>
        <w:ind w:left="360" w:right="10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failure to meet the continued listing requirements of The Nasdaq Stock Market LLC could result in a delisting of our Common Stock.</w:t>
      </w:r>
    </w:p>
    <w:p>
      <w:pPr>
        <w:spacing w:after="0" w:line="49" w:lineRule="exact"/>
        <w:rPr>
          <w:sz w:val="20"/>
          <w:szCs w:val="20"/>
          <w:color w:val="auto"/>
        </w:rPr>
      </w:pPr>
    </w:p>
    <w:p>
      <w:pPr>
        <w:ind w:left="360" w:right="420" w:firstLine="490"/>
        <w:spacing w:after="0" w:line="245" w:lineRule="auto"/>
        <w:rPr>
          <w:sz w:val="20"/>
          <w:szCs w:val="20"/>
          <w:color w:val="auto"/>
        </w:rPr>
      </w:pPr>
      <w:r>
        <w:rPr>
          <w:rFonts w:ascii="Times New Roman" w:cs="Times New Roman" w:eastAsia="Times New Roman" w:hAnsi="Times New Roman"/>
          <w:sz w:val="20"/>
          <w:szCs w:val="20"/>
          <w:color w:val="auto"/>
        </w:rPr>
        <w:t>If we fail to satisfy the continued listing requirements of The Nasdaq Stock Market LLC ("Nasdaq") such as the corporate governance requirements or the minimum closing bid price requirement, Nasdaq may take steps to delist our common stock. Such a delisting would likely have a negative effect on the price of our common stock and would impair a stockholders ability to sell or purchase shares of common stock when they wish to do so. In the event of a delisting, we can provide no assurance that any action taken by us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General Risk Factors</w:t>
      </w:r>
    </w:p>
    <w:p>
      <w:pPr>
        <w:spacing w:after="0" w:line="124" w:lineRule="exact"/>
        <w:rPr>
          <w:sz w:val="20"/>
          <w:szCs w:val="20"/>
          <w:color w:val="auto"/>
        </w:rPr>
      </w:pPr>
    </w:p>
    <w:p>
      <w:pPr>
        <w:jc w:val="both"/>
        <w:ind w:left="360" w:right="118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Financial reporting obligations of being a public company in the United States are expensive and time-consuming, and our management will be required to devote substantial time to new compliance matters.</w:t>
      </w:r>
    </w:p>
    <w:p>
      <w:pPr>
        <w:spacing w:after="0" w:line="25" w:lineRule="exact"/>
        <w:rPr>
          <w:sz w:val="20"/>
          <w:szCs w:val="20"/>
          <w:color w:val="auto"/>
        </w:rPr>
      </w:pPr>
    </w:p>
    <w:p>
      <w:pPr>
        <w:ind w:left="360" w:right="400" w:firstLine="490"/>
        <w:spacing w:after="0" w:line="243" w:lineRule="auto"/>
        <w:rPr>
          <w:sz w:val="20"/>
          <w:szCs w:val="20"/>
          <w:color w:val="auto"/>
        </w:rPr>
      </w:pPr>
      <w:r>
        <w:rPr>
          <w:rFonts w:ascii="Times New Roman" w:cs="Times New Roman" w:eastAsia="Times New Roman" w:hAnsi="Times New Roman"/>
          <w:sz w:val="20"/>
          <w:szCs w:val="20"/>
          <w:color w:val="auto"/>
        </w:rPr>
        <w:t>The obligations of being a public company in the United States require significant expenditures and place significant demands on our management and other personnel, including costs resulting from public company reporting obligations under the Securities Exchange Act of 1934, as amended, and the rules and regulations regarding corporate governance practices, including those under the Sarbanes-Oxley Act, the Dodd-Frank Wall Street Reform and Consumer Protection Act of 2010 (the "Dodd-Frank Act") and the listing requirements of Nasdaq on which our securities are listed. These rules require the maintenance of effective disclosure and financial controls and procedures, internal control over financial reporting and strong corporate governance practices, among many other complex rules that are often difficult to implement, monitor and maintain compliance with. Our management and other personnel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88" w:lineRule="exact"/>
        <w:rPr>
          <w:sz w:val="20"/>
          <w:szCs w:val="20"/>
          <w:color w:val="auto"/>
        </w:rPr>
      </w:pPr>
    </w:p>
    <w:p>
      <w:pPr>
        <w:ind w:left="360" w:right="50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Our employees may engage in misconduct or other improper activities, including violating applicable regulatory standards and requirements or engaging in insider trading, which could significantly impact our business.</w:t>
      </w:r>
    </w:p>
    <w:p>
      <w:pPr>
        <w:spacing w:after="0" w:line="25" w:lineRule="exact"/>
        <w:rPr>
          <w:sz w:val="20"/>
          <w:szCs w:val="20"/>
          <w:color w:val="auto"/>
        </w:rPr>
      </w:pPr>
    </w:p>
    <w:p>
      <w:pPr>
        <w:ind w:left="360" w:right="360" w:firstLine="490"/>
        <w:spacing w:after="0" w:line="242" w:lineRule="auto"/>
        <w:rPr>
          <w:sz w:val="20"/>
          <w:szCs w:val="20"/>
          <w:color w:val="auto"/>
        </w:rPr>
      </w:pPr>
      <w:r>
        <w:rPr>
          <w:rFonts w:ascii="Times New Roman" w:cs="Times New Roman" w:eastAsia="Times New Roman" w:hAnsi="Times New Roman"/>
          <w:sz w:val="20"/>
          <w:szCs w:val="20"/>
          <w:color w:val="auto"/>
        </w:rPr>
        <w:t>We are exposed to the risk of employee fraud or other misconduct. Misconduct by employees could include intentional, reckless or negligent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In addition, we are subject to the risk that a person or government could allege fraud or other misconduct, even if none occurred. If any such actions are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960" w:h="17280" w:orient="portrait"/>
          <w:cols w:equalWidth="0" w:num="1">
            <w:col w:w="10080"/>
          </w:cols>
          <w:pgMar w:left="1440" w:top="1440" w:right="1440" w:bottom="895" w:gutter="0" w:footer="0" w:header="0"/>
          <w:type w:val="continuous"/>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700"/>
        <w:spacing w:after="0" w:line="277" w:lineRule="auto"/>
        <w:rPr>
          <w:sz w:val="20"/>
          <w:szCs w:val="20"/>
          <w:color w:val="auto"/>
        </w:rPr>
      </w:pPr>
      <w:r>
        <w:rPr>
          <w:rFonts w:ascii="Times New Roman" w:cs="Times New Roman" w:eastAsia="Times New Roman" w:hAnsi="Times New Roman"/>
          <w:sz w:val="20"/>
          <w:szCs w:val="20"/>
          <w:color w:val="auto"/>
        </w:rPr>
        <w:t>instituted against us, and we are not successful in defending ourselves or asserting our rights, those actions could have a significant impact on our business, including the imposition of significant fines or other sanctions.</w:t>
      </w:r>
    </w:p>
    <w:p>
      <w:pPr>
        <w:spacing w:after="0" w:line="49" w:lineRule="exact"/>
        <w:rPr>
          <w:sz w:val="20"/>
          <w:szCs w:val="20"/>
          <w:color w:val="auto"/>
        </w:rPr>
      </w:pPr>
    </w:p>
    <w:p>
      <w:pPr>
        <w:ind w:left="360" w:right="7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Unfavorable global economic conditions could adversely affect our business, financial condition or results of operations.</w:t>
      </w:r>
    </w:p>
    <w:p>
      <w:pPr>
        <w:spacing w:after="0" w:line="49" w:lineRule="exact"/>
        <w:rPr>
          <w:sz w:val="20"/>
          <w:szCs w:val="20"/>
          <w:color w:val="auto"/>
        </w:rPr>
      </w:pPr>
    </w:p>
    <w:p>
      <w:pPr>
        <w:ind w:left="360" w:right="540" w:firstLine="490"/>
        <w:spacing w:after="0" w:line="244"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geopolitical events and general conditions in the global financial markets. A severe or prolonged economic downturn due to geopolitical tension resulting from ongoing conflict between Russia and Ukraine and the current conflict in Israel and Gaza (including any escalation or expansion) or other factors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86" w:lineRule="exact"/>
        <w:rPr>
          <w:sz w:val="20"/>
          <w:szCs w:val="20"/>
          <w:color w:val="auto"/>
        </w:rPr>
      </w:pPr>
    </w:p>
    <w:p>
      <w:pPr>
        <w:jc w:val="both"/>
        <w:ind w:left="360" w:right="5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spacing w:after="0" w:line="68" w:lineRule="exact"/>
        <w:rPr>
          <w:sz w:val="20"/>
          <w:szCs w:val="20"/>
          <w:color w:val="auto"/>
        </w:rPr>
      </w:pPr>
    </w:p>
    <w:p>
      <w:pPr>
        <w:ind w:left="360" w:right="400" w:firstLine="490"/>
        <w:spacing w:after="0" w:line="243" w:lineRule="auto"/>
        <w:rPr>
          <w:sz w:val="20"/>
          <w:szCs w:val="20"/>
          <w:color w:val="auto"/>
        </w:rPr>
      </w:pPr>
      <w:r>
        <w:rPr>
          <w:rFonts w:ascii="Times New Roman" w:cs="Times New Roman" w:eastAsia="Times New Roman" w:hAnsi="Times New Roman"/>
          <w:sz w:val="20"/>
          <w:szCs w:val="20"/>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early 2023, several financial institutions closed and were taken into receivership by the Federal Deposit Insurance Corporation (“FDIC”).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86"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960" w:h="17280" w:orient="portrait"/>
          <w:cols w:equalWidth="0" w:num="1">
            <w:col w:w="10080"/>
          </w:cols>
          <w:pgMar w:left="1440" w:top="1440" w:right="1440" w:bottom="895"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None.</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Cyber Risk Management and Strategy</w:t>
      </w:r>
    </w:p>
    <w:p>
      <w:pPr>
        <w:spacing w:after="0" w:line="118" w:lineRule="exact"/>
        <w:rPr>
          <w:sz w:val="20"/>
          <w:szCs w:val="20"/>
          <w:color w:val="auto"/>
        </w:rPr>
      </w:pPr>
    </w:p>
    <w:p>
      <w:pPr>
        <w:jc w:val="both"/>
        <w:ind w:left="360" w:right="440" w:firstLine="490"/>
        <w:spacing w:after="0" w:line="252" w:lineRule="auto"/>
        <w:rPr>
          <w:sz w:val="20"/>
          <w:szCs w:val="20"/>
          <w:color w:val="auto"/>
        </w:rPr>
      </w:pPr>
      <w:r>
        <w:rPr>
          <w:rFonts w:ascii="Times New Roman" w:cs="Times New Roman" w:eastAsia="Times New Roman" w:hAnsi="Times New Roman"/>
          <w:sz w:val="20"/>
          <w:szCs w:val="20"/>
          <w:color w:val="auto"/>
        </w:rPr>
        <w:t>We have implemented and maintain various information security processes designed to manage cybersecurity risks relating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trials and products (Information Systems and Data).</w:t>
      </w:r>
    </w:p>
    <w:p>
      <w:pPr>
        <w:spacing w:after="0" w:line="74" w:lineRule="exact"/>
        <w:rPr>
          <w:sz w:val="20"/>
          <w:szCs w:val="20"/>
          <w:color w:val="auto"/>
        </w:rPr>
      </w:pPr>
    </w:p>
    <w:p>
      <w:pPr>
        <w:jc w:val="both"/>
        <w:ind w:left="360" w:right="540" w:firstLine="490"/>
        <w:spacing w:after="0" w:line="247" w:lineRule="auto"/>
        <w:rPr>
          <w:sz w:val="20"/>
          <w:szCs w:val="20"/>
          <w:color w:val="auto"/>
        </w:rPr>
      </w:pPr>
      <w:r>
        <w:rPr>
          <w:rFonts w:ascii="Times New Roman" w:cs="Times New Roman" w:eastAsia="Times New Roman" w:hAnsi="Times New Roman"/>
          <w:sz w:val="20"/>
          <w:szCs w:val="20"/>
          <w:color w:val="auto"/>
        </w:rPr>
        <w:t>Our Director of Information Technology, assisted by our managed information technology service provider and other third party service providers, leads the Company’s cybersecurity risk management processes. This group works to identify and assess risks from cybersecurity threats by monitoring and evaluating our threat environment and the Company’s risk profile using various methods in certain contexts, including, manual tools, subscribing to reports and services that identify cybersecurity threats, analyzing threat intelligence reports and feeds, conducting scans of certain environments, and other tests.</w:t>
      </w:r>
    </w:p>
    <w:p>
      <w:pPr>
        <w:spacing w:after="0" w:line="80" w:lineRule="exact"/>
        <w:rPr>
          <w:sz w:val="20"/>
          <w:szCs w:val="20"/>
          <w:color w:val="auto"/>
        </w:rPr>
      </w:pPr>
    </w:p>
    <w:p>
      <w:pPr>
        <w:ind w:left="360" w:right="400" w:firstLine="490"/>
        <w:spacing w:after="0" w:line="249" w:lineRule="auto"/>
        <w:rPr>
          <w:sz w:val="20"/>
          <w:szCs w:val="20"/>
          <w:color w:val="auto"/>
        </w:rPr>
      </w:pPr>
      <w:r>
        <w:rPr>
          <w:rFonts w:ascii="Times New Roman" w:cs="Times New Roman" w:eastAsia="Times New Roman" w:hAnsi="Times New Roman"/>
          <w:sz w:val="20"/>
          <w:szCs w:val="20"/>
          <w:color w:val="auto"/>
        </w:rPr>
        <w:t>We implement and maintain various technical, physical, and organizational measures, processes, standards and policies designed to manage risks from cybersecurity threats to our Information Systems and Data, as applicable depending on the environment, including incident detection and response, disaster recovery/business continuity policies, network security controls and data segmentation, access controls, physical security, asset management and tracking, systems monitoring, and employee training.</w:t>
      </w:r>
    </w:p>
    <w:p>
      <w:pPr>
        <w:spacing w:after="0" w:line="77" w:lineRule="exact"/>
        <w:rPr>
          <w:sz w:val="20"/>
          <w:szCs w:val="20"/>
          <w:color w:val="auto"/>
        </w:rPr>
      </w:pPr>
    </w:p>
    <w:p>
      <w:pPr>
        <w:ind w:left="360" w:right="680" w:firstLine="490"/>
        <w:spacing w:after="0" w:line="252" w:lineRule="auto"/>
        <w:rPr>
          <w:sz w:val="20"/>
          <w:szCs w:val="20"/>
          <w:color w:val="auto"/>
        </w:rPr>
      </w:pPr>
      <w:r>
        <w:rPr>
          <w:rFonts w:ascii="Times New Roman" w:cs="Times New Roman" w:eastAsia="Times New Roman" w:hAnsi="Times New Roman"/>
          <w:sz w:val="20"/>
          <w:szCs w:val="20"/>
          <w:color w:val="auto"/>
        </w:rPr>
        <w:t>Our assessment and management of risks from cybersecurity threats are part of the Company’s overall risk management processes. Our Director of Information Technology works with management to prioritize our risk management processes and mitigate cybersecurity threats that are more likely to lead to a material impact to our business.</w:t>
      </w:r>
    </w:p>
    <w:p>
      <w:pPr>
        <w:spacing w:after="0" w:line="74" w:lineRule="exact"/>
        <w:rPr>
          <w:sz w:val="20"/>
          <w:szCs w:val="20"/>
          <w:color w:val="auto"/>
        </w:rPr>
      </w:pPr>
    </w:p>
    <w:p>
      <w:pPr>
        <w:ind w:left="360" w:right="620" w:firstLine="490"/>
        <w:spacing w:after="0" w:line="252" w:lineRule="auto"/>
        <w:rPr>
          <w:sz w:val="20"/>
          <w:szCs w:val="20"/>
          <w:color w:val="auto"/>
        </w:rPr>
      </w:pPr>
      <w:r>
        <w:rPr>
          <w:rFonts w:ascii="Times New Roman" w:cs="Times New Roman" w:eastAsia="Times New Roman" w:hAnsi="Times New Roman"/>
          <w:sz w:val="20"/>
          <w:szCs w:val="20"/>
          <w:color w:val="auto"/>
        </w:rPr>
        <w:t>We use third-party service providers to assist us to identify, assess, and manage risks from cybersecurity threats. These third-party service providers may include threat intelligence service providers, cybersecurity consultants, cybersecurity software providers, managed cybersecurity service providers, and dark web monitoring services.</w:t>
      </w:r>
    </w:p>
    <w:p>
      <w:pPr>
        <w:spacing w:after="0" w:line="74" w:lineRule="exact"/>
        <w:rPr>
          <w:sz w:val="20"/>
          <w:szCs w:val="20"/>
          <w:color w:val="auto"/>
        </w:rPr>
      </w:pPr>
    </w:p>
    <w:p>
      <w:pPr>
        <w:ind w:left="360" w:right="680" w:firstLine="490"/>
        <w:spacing w:after="0" w:line="277" w:lineRule="auto"/>
        <w:rPr>
          <w:sz w:val="20"/>
          <w:szCs w:val="20"/>
          <w:color w:val="auto"/>
        </w:rPr>
      </w:pPr>
      <w:r>
        <w:rPr>
          <w:rFonts w:ascii="Times New Roman" w:cs="Times New Roman" w:eastAsia="Times New Roman" w:hAnsi="Times New Roman"/>
          <w:sz w:val="20"/>
          <w:szCs w:val="20"/>
          <w:color w:val="auto"/>
        </w:rPr>
        <w:t>We also have established a process to conduct diligence on certain third parties before engaging with those third parties, such as those that support our GxP processes, which may include a security assessment.</w:t>
      </w:r>
    </w:p>
    <w:p>
      <w:pPr>
        <w:spacing w:after="0" w:line="49" w:lineRule="exact"/>
        <w:rPr>
          <w:sz w:val="20"/>
          <w:szCs w:val="20"/>
          <w:color w:val="auto"/>
        </w:rPr>
      </w:pPr>
    </w:p>
    <w:p>
      <w:pPr>
        <w:ind w:left="360" w:right="380" w:firstLine="490"/>
        <w:spacing w:after="0" w:line="249" w:lineRule="auto"/>
        <w:rPr>
          <w:sz w:val="20"/>
          <w:szCs w:val="20"/>
          <w:color w:val="auto"/>
        </w:rPr>
      </w:pPr>
      <w:r>
        <w:rPr>
          <w:rFonts w:ascii="Times New Roman" w:cs="Times New Roman" w:eastAsia="Times New Roman" w:hAnsi="Times New Roman"/>
          <w:sz w:val="20"/>
          <w:szCs w:val="20"/>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from time to time, experience threats and security incidents relating to our and our third-party vendors’ information systems and infrastructure. For more information, please see our risk factors under Part 1 Item 1A. Risk Factors.</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Governance</w:t>
      </w:r>
    </w:p>
    <w:p>
      <w:pPr>
        <w:spacing w:after="0" w:line="118" w:lineRule="exact"/>
        <w:rPr>
          <w:sz w:val="20"/>
          <w:szCs w:val="20"/>
          <w:color w:val="auto"/>
        </w:rPr>
      </w:pPr>
    </w:p>
    <w:p>
      <w:pPr>
        <w:ind w:left="360" w:right="420" w:firstLine="490"/>
        <w:spacing w:after="0" w:line="252" w:lineRule="auto"/>
        <w:rPr>
          <w:sz w:val="20"/>
          <w:szCs w:val="20"/>
          <w:color w:val="auto"/>
        </w:rPr>
      </w:pPr>
      <w:r>
        <w:rPr>
          <w:rFonts w:ascii="Times New Roman" w:cs="Times New Roman" w:eastAsia="Times New Roman" w:hAnsi="Times New Roman"/>
          <w:sz w:val="20"/>
          <w:szCs w:val="20"/>
          <w:color w:val="auto"/>
        </w:rPr>
        <w:t>Our board of directors holds oversight responsibility over the Company’s cybersecurity risk management as part of its general oversight function. The audit committee of the board of directors is responsible for overseeing the Company’s cybersecurity risk management processes, including oversight of the Company’s processes for monitoring and controlling cybersecurity risks.</w:t>
      </w:r>
    </w:p>
    <w:p>
      <w:pPr>
        <w:spacing w:after="0" w:line="74" w:lineRule="exact"/>
        <w:rPr>
          <w:sz w:val="20"/>
          <w:szCs w:val="20"/>
          <w:color w:val="auto"/>
        </w:rPr>
      </w:pPr>
    </w:p>
    <w:p>
      <w:pPr>
        <w:jc w:val="both"/>
        <w:ind w:left="360" w:right="660" w:firstLine="490"/>
        <w:spacing w:after="0" w:line="258"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certain Company management, including our Director of Information Technology, who has over 10 years of information technology management experience.</w:t>
      </w:r>
    </w:p>
    <w:p>
      <w:pPr>
        <w:spacing w:after="0" w:line="68" w:lineRule="exact"/>
        <w:rPr>
          <w:sz w:val="20"/>
          <w:szCs w:val="20"/>
          <w:color w:val="auto"/>
        </w:rPr>
      </w:pPr>
    </w:p>
    <w:p>
      <w:pPr>
        <w:ind w:left="360" w:right="400" w:firstLine="490"/>
        <w:spacing w:after="0" w:line="252" w:lineRule="auto"/>
        <w:rPr>
          <w:sz w:val="20"/>
          <w:szCs w:val="20"/>
          <w:color w:val="auto"/>
        </w:rPr>
      </w:pPr>
      <w:r>
        <w:rPr>
          <w:rFonts w:ascii="Times New Roman" w:cs="Times New Roman" w:eastAsia="Times New Roman" w:hAnsi="Times New Roman"/>
          <w:sz w:val="20"/>
          <w:szCs w:val="20"/>
          <w:color w:val="auto"/>
        </w:rPr>
        <w:t>The Director of Information Technology, along with management, is responsible for helping to integrate cybersecurity risk considerations into the Company’s overall risk management strategy and communicating key priorities to relevant personnel. Management is responsible for approving budgets, helping prepare for cybersecurity incidents, approving cybersecurity processes, and reviewing security-related reports.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960" w:h="17280" w:orient="portrait"/>
          <w:cols w:equalWidth="0" w:num="1">
            <w:col w:w="10080"/>
          </w:cols>
          <w:pgMar w:left="1440" w:top="1440" w:right="1440" w:bottom="895" w:gutter="0" w:footer="0" w:header="0"/>
          <w:type w:val="continuous"/>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00" w:firstLine="490"/>
        <w:spacing w:after="0" w:line="249" w:lineRule="auto"/>
        <w:rPr>
          <w:sz w:val="20"/>
          <w:szCs w:val="20"/>
          <w:color w:val="auto"/>
        </w:rPr>
      </w:pPr>
      <w:r>
        <w:rPr>
          <w:rFonts w:ascii="Times New Roman" w:cs="Times New Roman" w:eastAsia="Times New Roman" w:hAnsi="Times New Roman"/>
          <w:sz w:val="20"/>
          <w:szCs w:val="20"/>
          <w:color w:val="auto"/>
        </w:rPr>
        <w:t>We have processes designed to escalate certain cybersecurity incidents to members of management depending on the circumstances, including our Vice President Legal and Compliance, Vice President Finance and Administration, Vice President - Controller, Chief Financial Officer and Director of Information Technology. In addition, the Company’s incident response policy includes a process for reporting to the audit committee of the board of directors for certain cybersecurity incidents.</w:t>
      </w:r>
    </w:p>
    <w:p>
      <w:pPr>
        <w:spacing w:after="0" w:line="77" w:lineRule="exact"/>
        <w:rPr>
          <w:sz w:val="20"/>
          <w:szCs w:val="20"/>
          <w:color w:val="auto"/>
        </w:rPr>
      </w:pPr>
    </w:p>
    <w:p>
      <w:pPr>
        <w:ind w:left="360" w:right="660" w:firstLine="490"/>
        <w:spacing w:after="0" w:line="258" w:lineRule="auto"/>
        <w:rPr>
          <w:sz w:val="20"/>
          <w:szCs w:val="20"/>
          <w:color w:val="auto"/>
        </w:rPr>
      </w:pPr>
      <w:r>
        <w:rPr>
          <w:rFonts w:ascii="Times New Roman" w:cs="Times New Roman" w:eastAsia="Times New Roman" w:hAnsi="Times New Roman"/>
          <w:sz w:val="20"/>
          <w:szCs w:val="20"/>
          <w:color w:val="auto"/>
        </w:rPr>
        <w:t>The audit committee receives reports from members of the Company’s management concerning the Company’s significant cybersecurity threats and risk and the processes the Company has implemented to address them, as applicable.</w:t>
      </w:r>
    </w:p>
    <w:p>
      <w:pPr>
        <w:spacing w:after="0" w:line="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4" w:lineRule="exact"/>
        <w:rPr>
          <w:sz w:val="20"/>
          <w:szCs w:val="20"/>
          <w:color w:val="auto"/>
        </w:rPr>
      </w:pPr>
    </w:p>
    <w:p>
      <w:pPr>
        <w:ind w:left="360" w:right="460" w:firstLine="490"/>
        <w:spacing w:after="0" w:line="277" w:lineRule="auto"/>
        <w:rPr>
          <w:sz w:val="20"/>
          <w:szCs w:val="20"/>
          <w:color w:val="auto"/>
        </w:rPr>
      </w:pPr>
      <w:r>
        <w:rPr>
          <w:rFonts w:ascii="Times New Roman" w:cs="Times New Roman" w:eastAsia="Times New Roman" w:hAnsi="Times New Roman"/>
          <w:sz w:val="20"/>
          <w:szCs w:val="20"/>
          <w:color w:val="auto"/>
        </w:rPr>
        <w:t>We are party to an operating lease for approximately 3,927 square feet of laboratory space in King of Prussia, PA. We believe the lab space is sufficient for our needs for the next several years.</w:t>
      </w:r>
    </w:p>
    <w:p>
      <w:pPr>
        <w:spacing w:after="0" w:line="49" w:lineRule="exact"/>
        <w:rPr>
          <w:sz w:val="20"/>
          <w:szCs w:val="20"/>
          <w:color w:val="auto"/>
        </w:rPr>
      </w:pPr>
    </w:p>
    <w:p>
      <w:pPr>
        <w:ind w:left="360" w:right="860" w:firstLine="490"/>
        <w:spacing w:after="0" w:line="252" w:lineRule="auto"/>
        <w:rPr>
          <w:sz w:val="20"/>
          <w:szCs w:val="20"/>
          <w:color w:val="auto"/>
        </w:rPr>
      </w:pPr>
      <w:r>
        <w:rPr>
          <w:rFonts w:ascii="Times New Roman" w:cs="Times New Roman" w:eastAsia="Times New Roman" w:hAnsi="Times New Roman"/>
          <w:sz w:val="20"/>
          <w:szCs w:val="20"/>
          <w:color w:val="auto"/>
        </w:rPr>
        <w:t>We are party to an operating lease for approximately 8,104 square feet of office space in Bala Cynwyd, Pennsylvania that serves as our corporate office. We expect to increase our office space at our Bala Cynwyd Pennsylvania office in the near term by approximately 7,107 square feet to 15,211 square feet. We believe that appropriate office space will be readily available on commercially reasonable terms.</w:t>
      </w:r>
    </w:p>
    <w:p>
      <w:pPr>
        <w:spacing w:after="0" w:line="74" w:lineRule="exact"/>
        <w:rPr>
          <w:sz w:val="20"/>
          <w:szCs w:val="20"/>
          <w:color w:val="auto"/>
        </w:rPr>
      </w:pPr>
    </w:p>
    <w:p>
      <w:pPr>
        <w:ind w:left="360" w:right="760" w:firstLine="490"/>
        <w:spacing w:after="0" w:line="258" w:lineRule="auto"/>
        <w:rPr>
          <w:sz w:val="20"/>
          <w:szCs w:val="20"/>
          <w:color w:val="auto"/>
        </w:rPr>
      </w:pPr>
      <w:r>
        <w:rPr>
          <w:rFonts w:ascii="Times New Roman" w:cs="Times New Roman" w:eastAsia="Times New Roman" w:hAnsi="Times New Roman"/>
          <w:sz w:val="20"/>
          <w:szCs w:val="20"/>
          <w:color w:val="auto"/>
        </w:rPr>
        <w:t>We are party to an operating lease for approximately 17,705 square feet of office space in Boston, Massachusetts. This lease expires in October 2029. On October 27, 2020, we entered into a sublease agreement whereby we subleased all 17,705 square feet of office space leased under the Boston Lease until October 2029.</w:t>
      </w:r>
    </w:p>
    <w:p>
      <w:pPr>
        <w:spacing w:after="0" w:line="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ind w:left="360" w:right="360" w:firstLine="490"/>
        <w:spacing w:after="0" w:line="252" w:lineRule="auto"/>
        <w:rPr>
          <w:sz w:val="20"/>
          <w:szCs w:val="20"/>
          <w:color w:val="auto"/>
        </w:rPr>
      </w:pPr>
      <w:r>
        <w:rPr>
          <w:rFonts w:ascii="Times New Roman" w:cs="Times New Roman" w:eastAsia="Times New Roman" w:hAnsi="Times New Roman"/>
          <w:sz w:val="20"/>
          <w:szCs w:val="20"/>
          <w:color w:val="auto"/>
        </w:rPr>
        <w:t>We may be subject to other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Not applicable.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960" w:h="17280" w:orient="portrait"/>
          <w:cols w:equalWidth="0" w:num="1">
            <w:col w:w="10080"/>
          </w:cols>
          <w:pgMar w:left="1440" w:top="1440" w:right="1440" w:bottom="895" w:gutter="0" w:footer="0" w:header="0"/>
          <w:type w:val="continuous"/>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ind w:left="360" w:right="42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Our common stock is publicly traded on the Nasdaq Global Market under the symbol “LRMR.”</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1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As of March 24, 2025, we had approximately 62 record holders of our common stock.</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24" w:lineRule="exact"/>
        <w:rPr>
          <w:sz w:val="20"/>
          <w:szCs w:val="20"/>
          <w:color w:val="auto"/>
        </w:rPr>
      </w:pPr>
    </w:p>
    <w:p>
      <w:pPr>
        <w:ind w:left="360" w:right="840" w:firstLine="490"/>
        <w:spacing w:after="0" w:line="277" w:lineRule="auto"/>
        <w:rPr>
          <w:sz w:val="20"/>
          <w:szCs w:val="20"/>
          <w:color w:val="auto"/>
        </w:rPr>
      </w:pPr>
      <w:r>
        <w:rPr>
          <w:rFonts w:ascii="Times New Roman" w:cs="Times New Roman" w:eastAsia="Times New Roman" w:hAnsi="Times New Roman"/>
          <w:sz w:val="20"/>
          <w:szCs w:val="20"/>
          <w:color w:val="auto"/>
        </w:rPr>
        <w:t>We have not declared or paid any dividends since our inception nor do we expect to pay dividends in the foreseeable future.</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24" w:lineRule="exact"/>
        <w:rPr>
          <w:sz w:val="20"/>
          <w:szCs w:val="20"/>
          <w:color w:val="auto"/>
        </w:rPr>
      </w:pPr>
    </w:p>
    <w:p>
      <w:pPr>
        <w:ind w:left="360" w:right="680" w:firstLine="490"/>
        <w:spacing w:after="0" w:line="277" w:lineRule="auto"/>
        <w:rPr>
          <w:sz w:val="20"/>
          <w:szCs w:val="20"/>
          <w:color w:val="auto"/>
        </w:rPr>
      </w:pPr>
      <w:r>
        <w:rPr>
          <w:rFonts w:ascii="Times New Roman" w:cs="Times New Roman" w:eastAsia="Times New Roman" w:hAnsi="Times New Roman"/>
          <w:sz w:val="20"/>
          <w:szCs w:val="20"/>
          <w:color w:val="auto"/>
        </w:rPr>
        <w:t>Information about our equity compensation plans is incorporated by reference herein to Part III, Item 12 of this Annual Report on Form 10-K.</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24" w:lineRule="exact"/>
        <w:rPr>
          <w:sz w:val="20"/>
          <w:szCs w:val="20"/>
          <w:color w:val="auto"/>
        </w:rPr>
      </w:pPr>
    </w:p>
    <w:p>
      <w:pPr>
        <w:ind w:left="360" w:right="740" w:firstLine="490"/>
        <w:spacing w:after="0" w:line="277" w:lineRule="auto"/>
        <w:rPr>
          <w:sz w:val="20"/>
          <w:szCs w:val="20"/>
          <w:color w:val="auto"/>
        </w:rPr>
      </w:pPr>
      <w:r>
        <w:rPr>
          <w:rFonts w:ascii="Times New Roman" w:cs="Times New Roman" w:eastAsia="Times New Roman" w:hAnsi="Times New Roman"/>
          <w:sz w:val="20"/>
          <w:szCs w:val="20"/>
          <w:color w:val="auto"/>
        </w:rPr>
        <w:t>There have been no sales of unregistered securities other than as previously disclosed by us in our Current Reports on Form 8-K as filed with the SEC.</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None.</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960" w:h="17280" w:orient="portrait"/>
          <w:cols w:equalWidth="0" w:num="1">
            <w:col w:w="10080"/>
          </w:cols>
          <w:pgMar w:left="1440" w:top="1440" w:right="1440" w:bottom="895" w:gutter="0" w:footer="0" w:header="0"/>
          <w:type w:val="continuous"/>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right="1200"/>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38" w:lineRule="exact"/>
        <w:rPr>
          <w:sz w:val="20"/>
          <w:szCs w:val="20"/>
          <w:color w:val="auto"/>
        </w:rPr>
      </w:pPr>
    </w:p>
    <w:p>
      <w:pPr>
        <w:ind w:left="360" w:right="460" w:firstLine="490"/>
        <w:spacing w:after="0" w:line="245" w:lineRule="auto"/>
        <w:rPr>
          <w:sz w:val="20"/>
          <w:szCs w:val="20"/>
          <w:color w:val="auto"/>
        </w:rPr>
      </w:pPr>
      <w:r>
        <w:rPr>
          <w:rFonts w:ascii="Times New Roman" w:cs="Times New Roman" w:eastAsia="Times New Roman" w:hAnsi="Times New Roman"/>
          <w:sz w:val="20"/>
          <w:szCs w:val="20"/>
          <w:i w:val="1"/>
          <w:iCs w:val="1"/>
          <w:color w:val="auto"/>
        </w:rPr>
        <w:t>You should read the following discussion and analysis of our financial condition and results of operations together with the audited consolidated financial statements and the related notes included elsewhere in this Annual Report on Form 10-K. In addition to historical financial information, the following discussion contains forward-looking statements based upon our current plans, expectations and beliefs that involve risks, uncertainties and assumptions. Our actual results may differ materially from those described in or implied by these forward-looking statements as a result of many factors, including those set forth under the section titled “Risk Factors” and in other parts of this Annual Report on Form 10-K.</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09" w:lineRule="exact"/>
        <w:rPr>
          <w:sz w:val="20"/>
          <w:szCs w:val="20"/>
          <w:color w:val="auto"/>
        </w:rPr>
      </w:pPr>
    </w:p>
    <w:p>
      <w:pPr>
        <w:ind w:left="360" w:right="520" w:firstLine="490"/>
        <w:spacing w:after="0"/>
        <w:rPr>
          <w:sz w:val="20"/>
          <w:szCs w:val="20"/>
          <w:color w:val="auto"/>
        </w:rPr>
      </w:pPr>
      <w:r>
        <w:rPr>
          <w:rFonts w:ascii="Times New Roman" w:cs="Times New Roman" w:eastAsia="Times New Roman" w:hAnsi="Times New Roman"/>
          <w:sz w:val="19"/>
          <w:szCs w:val="19"/>
          <w:color w:val="auto"/>
        </w:rPr>
        <w:t>We are a clinical-stage biotechnology company focused on developing treatments for patients suffering from complex rare diseases using our novel cell penetrating peptide ("CPP") technology platform. Our lead product candidate, nomlabofusp (nomlabofusp is the International Nonproprietary Name and the United States Adopted Name for CTI-1601), is a subcutaneously administered, recombinant fusion protein intended to deliver tissue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systemically increase FXN levels in patients with FA.</w:t>
      </w:r>
    </w:p>
    <w:p>
      <w:pPr>
        <w:spacing w:after="0" w:line="66" w:lineRule="exact"/>
        <w:rPr>
          <w:sz w:val="20"/>
          <w:szCs w:val="20"/>
          <w:color w:val="auto"/>
        </w:rPr>
      </w:pPr>
    </w:p>
    <w:p>
      <w:pPr>
        <w:jc w:val="both"/>
        <w:ind w:left="360" w:right="480" w:firstLine="490"/>
        <w:spacing w:after="0" w:line="235" w:lineRule="auto"/>
        <w:rPr>
          <w:sz w:val="20"/>
          <w:szCs w:val="20"/>
          <w:color w:val="auto"/>
        </w:rPr>
      </w:pPr>
      <w:r>
        <w:rPr>
          <w:rFonts w:ascii="Times New Roman" w:cs="Times New Roman" w:eastAsia="Times New Roman" w:hAnsi="Times New Roman"/>
          <w:sz w:val="20"/>
          <w:szCs w:val="20"/>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66" w:lineRule="exact"/>
        <w:rPr>
          <w:sz w:val="20"/>
          <w:szCs w:val="20"/>
          <w:color w:val="auto"/>
        </w:rPr>
      </w:pPr>
    </w:p>
    <w:p>
      <w:pPr>
        <w:ind w:left="360" w:right="580" w:firstLine="490"/>
        <w:spacing w:after="0" w:line="235" w:lineRule="auto"/>
        <w:rPr>
          <w:sz w:val="20"/>
          <w:szCs w:val="20"/>
          <w:color w:val="auto"/>
        </w:rPr>
      </w:pPr>
      <w:r>
        <w:rPr>
          <w:rFonts w:ascii="Times New Roman" w:cs="Times New Roman" w:eastAsia="Times New Roman" w:hAnsi="Times New Roman"/>
          <w:sz w:val="20"/>
          <w:szCs w:val="20"/>
          <w:color w:val="auto"/>
        </w:rPr>
        <w:t>Since our inception, we have devoted substantially all of our resources to developing nomlabofusp, building our intellectual property portfolio, developing third-party manufacturing capabilities, business planning, raising capital, developing sales and marketing capacities, and providing general and administrative support for such operations.</w:t>
      </w:r>
    </w:p>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Nomlabofusp Program Update</w:t>
      </w:r>
    </w:p>
    <w:p>
      <w:pPr>
        <w:spacing w:after="0" w:line="106" w:lineRule="exact"/>
        <w:rPr>
          <w:sz w:val="20"/>
          <w:szCs w:val="20"/>
          <w:color w:val="auto"/>
        </w:rPr>
      </w:pPr>
    </w:p>
    <w:p>
      <w:pPr>
        <w:ind w:left="360" w:right="360" w:firstLine="490"/>
        <w:spacing w:after="0" w:line="258" w:lineRule="auto"/>
        <w:rPr>
          <w:sz w:val="20"/>
          <w:szCs w:val="20"/>
          <w:color w:val="auto"/>
        </w:rPr>
      </w:pPr>
      <w:r>
        <w:rPr>
          <w:rFonts w:ascii="Times New Roman" w:cs="Times New Roman" w:eastAsia="Times New Roman" w:hAnsi="Times New Roman"/>
          <w:sz w:val="20"/>
          <w:szCs w:val="20"/>
          <w:color w:val="auto"/>
        </w:rPr>
        <w:t>We have completed two Phase 1 clinical trials and a Phase 2 dose exploration trial, and have an ongoing Phase 2 OLE trial in patients with FA and an ongoing PK run-in study in adolescent patients with FA.</w:t>
      </w:r>
    </w:p>
    <w:p>
      <w:pPr>
        <w:spacing w:after="0" w:line="49" w:lineRule="exact"/>
        <w:rPr>
          <w:sz w:val="20"/>
          <w:szCs w:val="20"/>
          <w:color w:val="auto"/>
        </w:rPr>
      </w:pPr>
    </w:p>
    <w:p>
      <w:pPr>
        <w:ind w:left="360" w:right="500" w:firstLine="490"/>
        <w:spacing w:after="0" w:line="230" w:lineRule="auto"/>
        <w:rPr>
          <w:sz w:val="20"/>
          <w:szCs w:val="20"/>
          <w:color w:val="auto"/>
        </w:rPr>
      </w:pPr>
      <w:r>
        <w:rPr>
          <w:rFonts w:ascii="Times New Roman" w:cs="Times New Roman" w:eastAsia="Times New Roman" w:hAnsi="Times New Roman"/>
          <w:sz w:val="20"/>
          <w:szCs w:val="20"/>
          <w:color w:val="auto"/>
        </w:rPr>
        <w:t>In May 2021, we reported positive top-line data from our Phase 1 FA program after completing dosing of the single ascending dose ("SAD") trial in December 2020 and of the multiple ascending dose ("MAD") trial in March 2021. Data from these trials demonstrated proof-of-concept by showing that daily subcutaneous injections of nomlabofusp for up to 13 days resulted in dose-dependent increases in FXN levels from baseline compared to placebo in all evaluated tissues (buccal cells, skin, and platelets). There were no serious adverse events associated with either the MAD or SAD trials.</w:t>
      </w:r>
    </w:p>
    <w:p>
      <w:pPr>
        <w:spacing w:after="0" w:line="68" w:lineRule="exact"/>
        <w:rPr>
          <w:sz w:val="20"/>
          <w:szCs w:val="20"/>
          <w:color w:val="auto"/>
        </w:rPr>
      </w:pPr>
    </w:p>
    <w:p>
      <w:pPr>
        <w:ind w:left="360" w:right="560" w:firstLine="490"/>
        <w:spacing w:after="0" w:line="235" w:lineRule="auto"/>
        <w:rPr>
          <w:sz w:val="20"/>
          <w:szCs w:val="20"/>
          <w:color w:val="auto"/>
        </w:rPr>
      </w:pPr>
      <w:r>
        <w:rPr>
          <w:rFonts w:ascii="Times New Roman" w:cs="Times New Roman" w:eastAsia="Times New Roman" w:hAnsi="Times New Roman"/>
          <w:sz w:val="20"/>
          <w:szCs w:val="20"/>
          <w:color w:val="auto"/>
        </w:rPr>
        <w:t>In May 2023, we reported preliminary unblinded top-line data from the 25 mg cohort of our Phase 2 four-week, placebo-controlled, dose exploration trial of nomlabofusp in FA patients. Data from the cohort indicated nomlabofusp was generally well tolerated and showed increases in FXN levels from baseline compared to placebo in all evaluated tissues (skin and buccal cells) at day 14.</w:t>
      </w:r>
    </w:p>
    <w:p>
      <w:pPr>
        <w:spacing w:after="0" w:line="66" w:lineRule="exact"/>
        <w:rPr>
          <w:sz w:val="20"/>
          <w:szCs w:val="20"/>
          <w:color w:val="auto"/>
        </w:rPr>
      </w:pPr>
    </w:p>
    <w:p>
      <w:pPr>
        <w:jc w:val="both"/>
        <w:ind w:left="360" w:right="780" w:firstLine="490"/>
        <w:spacing w:after="0" w:line="239" w:lineRule="auto"/>
        <w:rPr>
          <w:sz w:val="20"/>
          <w:szCs w:val="20"/>
          <w:color w:val="auto"/>
        </w:rPr>
      </w:pPr>
      <w:r>
        <w:rPr>
          <w:rFonts w:ascii="Times New Roman" w:cs="Times New Roman" w:eastAsia="Times New Roman" w:hAnsi="Times New Roman"/>
          <w:sz w:val="20"/>
          <w:szCs w:val="20"/>
          <w:color w:val="auto"/>
        </w:rPr>
        <w:t>In July 2023, the FDA cleared initiation of a second cohort (50 mg) of our four-week, placebo-controlled, Phase 2 dose exploration trial of nomlabofusp in patients with FA and the initiation of our OLE trial with daily dosing of 25 mg.</w:t>
      </w:r>
    </w:p>
    <w:p>
      <w:pPr>
        <w:spacing w:after="0" w:line="68" w:lineRule="exact"/>
        <w:rPr>
          <w:sz w:val="20"/>
          <w:szCs w:val="20"/>
          <w:color w:val="auto"/>
        </w:rPr>
      </w:pPr>
    </w:p>
    <w:p>
      <w:pPr>
        <w:ind w:left="360" w:right="480" w:firstLine="490"/>
        <w:spacing w:after="0" w:line="228" w:lineRule="auto"/>
        <w:rPr>
          <w:sz w:val="20"/>
          <w:szCs w:val="20"/>
          <w:color w:val="auto"/>
        </w:rPr>
      </w:pPr>
      <w:r>
        <w:rPr>
          <w:rFonts w:ascii="Times New Roman" w:cs="Times New Roman" w:eastAsia="Times New Roman" w:hAnsi="Times New Roman"/>
          <w:sz w:val="20"/>
          <w:szCs w:val="20"/>
          <w:color w:val="auto"/>
        </w:rPr>
        <w:t>In February 2024, we reported positive top-line data and successful completion of the Phase 2 dose exploration study. Nomlabofusp was generally well tolerated throughout the four-week treatment periods, had a predictable pharmacokinetic profile and led to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Patients who completed treatment in our Phase 2 dose exploration study or who previously completed a prior clinical trial of nomlabofusp are eligible to screen and possibly participate in the OLE study.</w:t>
      </w:r>
    </w:p>
    <w:p>
      <w:pPr>
        <w:spacing w:after="0" w:line="66" w:lineRule="exact"/>
        <w:rPr>
          <w:sz w:val="20"/>
          <w:szCs w:val="20"/>
          <w:color w:val="auto"/>
        </w:rPr>
      </w:pPr>
    </w:p>
    <w:p>
      <w:pPr>
        <w:ind w:left="360" w:right="480" w:firstLine="490"/>
        <w:spacing w:after="0" w:line="239" w:lineRule="auto"/>
        <w:rPr>
          <w:sz w:val="20"/>
          <w:szCs w:val="20"/>
          <w:color w:val="auto"/>
        </w:rPr>
      </w:pPr>
      <w:r>
        <w:rPr>
          <w:rFonts w:ascii="Times New Roman" w:cs="Times New Roman" w:eastAsia="Times New Roman" w:hAnsi="Times New Roman"/>
          <w:sz w:val="20"/>
          <w:szCs w:val="20"/>
          <w:color w:val="auto"/>
        </w:rPr>
        <w:t>In March 2024, we dosed the first patient in our OLE trial, evaluating daily subcutaneous injections of 25 mg of nomlabofusp self-administered or administered by a caregiver. The OLE study will evaluate the safety and tolerability, pharmacokinetics, and frataxin levels in peripheral tissues as well as other exploratory</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960" w:h="17280" w:orient="portrait"/>
          <w:cols w:equalWidth="0" w:num="1">
            <w:col w:w="10080"/>
          </w:cols>
          <w:pgMar w:left="1440" w:top="1440" w:right="1440" w:bottom="895"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 w:right="520"/>
        <w:spacing w:after="0" w:line="232" w:lineRule="auto"/>
        <w:rPr>
          <w:sz w:val="20"/>
          <w:szCs w:val="20"/>
          <w:color w:val="auto"/>
        </w:rPr>
      </w:pPr>
      <w:r>
        <w:rPr>
          <w:rFonts w:ascii="Times New Roman" w:cs="Times New Roman" w:eastAsia="Times New Roman" w:hAnsi="Times New Roman"/>
          <w:sz w:val="20"/>
          <w:szCs w:val="20"/>
          <w:color w:val="auto"/>
        </w:rPr>
        <w:t>pharmacodynamic markers (lipid profiles and gene expression data) following long-term subcutaneous administration of nomlabofusp. In addition, following the completion of enrollment, as well as at least one participant completing one year of dosing, clinical assessments collected during the study will be compared to data from a matched control arm derived from participants in the Friedreich’s Ataxia Clinical Outcome Measures Study ("FACOMS") database.</w:t>
      </w:r>
    </w:p>
    <w:p>
      <w:pPr>
        <w:spacing w:after="0" w:line="67" w:lineRule="exact"/>
        <w:rPr>
          <w:sz w:val="20"/>
          <w:szCs w:val="20"/>
          <w:color w:val="auto"/>
        </w:rPr>
      </w:pPr>
    </w:p>
    <w:p>
      <w:pPr>
        <w:ind w:left="360" w:right="540" w:firstLine="490"/>
        <w:spacing w:after="0" w:line="232" w:lineRule="auto"/>
        <w:rPr>
          <w:sz w:val="20"/>
          <w:szCs w:val="20"/>
          <w:color w:val="auto"/>
        </w:rPr>
      </w:pPr>
      <w:r>
        <w:rPr>
          <w:rFonts w:ascii="Times New Roman" w:cs="Times New Roman" w:eastAsia="Times New Roman" w:hAnsi="Times New Roman"/>
          <w:sz w:val="20"/>
          <w:szCs w:val="20"/>
          <w:color w:val="auto"/>
        </w:rPr>
        <w:t>On May 30, 2024, we announced that the FDA's Center for Drug Evaluation and Research ("CDER") had selected nomlabofusp as one of a few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spacing w:after="0" w:line="67" w:lineRule="exact"/>
        <w:rPr>
          <w:sz w:val="20"/>
          <w:szCs w:val="20"/>
          <w:color w:val="auto"/>
        </w:rPr>
      </w:pPr>
    </w:p>
    <w:p>
      <w:pPr>
        <w:ind w:left="360" w:right="400" w:firstLine="490"/>
        <w:spacing w:after="0" w:line="230" w:lineRule="auto"/>
        <w:rPr>
          <w:sz w:val="20"/>
          <w:szCs w:val="20"/>
          <w:color w:val="auto"/>
        </w:rPr>
      </w:pPr>
      <w:r>
        <w:rPr>
          <w:rFonts w:ascii="Times New Roman" w:cs="Times New Roman" w:eastAsia="Times New Roman" w:hAnsi="Times New Roman"/>
          <w:sz w:val="20"/>
          <w:szCs w:val="20"/>
          <w:color w:val="auto"/>
        </w:rPr>
        <w:t>In September 2024, we received access to the Medicines and Healthcare Regulatory Agency ("MHRA") Innovative Licensing and Access Pathway (“ILAP”) for the treatment of adults and children with FA. The ILAP is facilitating patient access to novel treatments by accelerating time to market through opportunities for enhanced engagements with UK regulatory authorities and other stakeholders. Along with the receipt of the ILAP designation, nomlabofusp has already been granted orphan drug designations in the U.S. and the European Union (the “EU”), and access to the PRIME scheme in the EU.</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In December 2024, we reported positive initial data from our ongoing OLE study. This data included safety,</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FXN levels, clinical, pharmacokinetic data and dose escalation:</w:t>
      </w:r>
    </w:p>
    <w:p>
      <w:pPr>
        <w:spacing w:after="0" w:line="84" w:lineRule="exact"/>
        <w:rPr>
          <w:sz w:val="20"/>
          <w:szCs w:val="20"/>
          <w:color w:val="auto"/>
        </w:rPr>
      </w:pPr>
    </w:p>
    <w:p>
      <w:pPr>
        <w:ind w:left="1220" w:right="600" w:hanging="370"/>
        <w:spacing w:after="0" w:line="231" w:lineRule="auto"/>
        <w:tabs>
          <w:tab w:leader="none" w:pos="12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Nomlabofusp was generally well tolerated for up to 260 days in subjects. The most common adverse events were injection site reactions, with most being mild, brief in duration, and self-limited. Two participants had serious adverse events (one seizure and one anaphylactic reaction) that resolved within 24 hours and withdrew from the study;</w:t>
      </w:r>
    </w:p>
    <w:p>
      <w:pPr>
        <w:spacing w:after="0" w:line="76" w:lineRule="exact"/>
        <w:rPr>
          <w:rFonts w:ascii="Arial" w:cs="Arial" w:eastAsia="Arial" w:hAnsi="Arial"/>
          <w:sz w:val="20"/>
          <w:szCs w:val="20"/>
          <w:color w:val="auto"/>
        </w:rPr>
      </w:pPr>
    </w:p>
    <w:p>
      <w:pPr>
        <w:ind w:left="1220" w:right="500" w:hanging="370"/>
        <w:spacing w:after="0" w:line="231" w:lineRule="auto"/>
        <w:tabs>
          <w:tab w:leader="none" w:pos="12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Long-term 25 mg tissue FXN levels showed positive mean change from baseline of 1.32 pg/μg in buccal cells and 9.28 pg/μg in skin cells at Day 90 and that 25 mg of nomlabofusp increased and maintained tissue FXN levels over time, increasing from a mean level of 15% of HV at baseline to 30% in buccal cells and from 16% to 72% in skin cells at Day 90;</w:t>
      </w:r>
    </w:p>
    <w:p>
      <w:pPr>
        <w:spacing w:after="0" w:line="76" w:lineRule="exact"/>
        <w:rPr>
          <w:rFonts w:ascii="Arial" w:cs="Arial" w:eastAsia="Arial" w:hAnsi="Arial"/>
          <w:sz w:val="20"/>
          <w:szCs w:val="20"/>
          <w:color w:val="auto"/>
        </w:rPr>
      </w:pPr>
    </w:p>
    <w:p>
      <w:pPr>
        <w:ind w:left="1220" w:hanging="370"/>
        <w:spacing w:after="0"/>
        <w:tabs>
          <w:tab w:leader="none" w:pos="12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Tissue FXN levels appear to reach steady-state levels by Day 30 in buccal cells;</w:t>
      </w:r>
    </w:p>
    <w:p>
      <w:pPr>
        <w:spacing w:after="0" w:line="110" w:lineRule="exact"/>
        <w:rPr>
          <w:rFonts w:ascii="Arial" w:cs="Arial" w:eastAsia="Arial" w:hAnsi="Arial"/>
          <w:sz w:val="20"/>
          <w:szCs w:val="20"/>
          <w:color w:val="auto"/>
        </w:rPr>
      </w:pPr>
    </w:p>
    <w:p>
      <w:pPr>
        <w:ind w:left="1220" w:right="400" w:hanging="370"/>
        <w:spacing w:after="0" w:line="231" w:lineRule="auto"/>
        <w:tabs>
          <w:tab w:leader="none" w:pos="12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Early clinical data showed trends toward improvement across a number of clinical outcomes for long-term 25 mg daily nomlabofusp including: (1) decreased values indicating early trends towards improvement in the Modified Friedreich Ataxia Rating Scale (mFARS) and the FARS-Activities of Daily Living ("ADL"), Modified Fatigue Impact Scale and 9 hole peg test at 90 days relative to baseline;</w:t>
      </w:r>
    </w:p>
    <w:p>
      <w:pPr>
        <w:spacing w:after="0" w:line="76" w:lineRule="exact"/>
        <w:rPr>
          <w:rFonts w:ascii="Arial" w:cs="Arial" w:eastAsia="Arial" w:hAnsi="Arial"/>
          <w:sz w:val="20"/>
          <w:szCs w:val="20"/>
          <w:color w:val="auto"/>
        </w:rPr>
      </w:pPr>
    </w:p>
    <w:p>
      <w:pPr>
        <w:jc w:val="both"/>
        <w:ind w:left="1220" w:right="760" w:hanging="370"/>
        <w:spacing w:after="0" w:line="236" w:lineRule="auto"/>
        <w:tabs>
          <w:tab w:leader="none" w:pos="122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Key pharmacokinetic data showed rapid absorption after subcutaneous administration with exposure appearing to reach steady state in plasma by day 30 with no further accumulation, which is consistent with data from our Phase 1 and Phase 2 studies.</w:t>
      </w:r>
    </w:p>
    <w:p>
      <w:pPr>
        <w:spacing w:after="0" w:line="66" w:lineRule="exact"/>
        <w:rPr>
          <w:sz w:val="20"/>
          <w:szCs w:val="20"/>
          <w:color w:val="auto"/>
        </w:rPr>
      </w:pPr>
    </w:p>
    <w:p>
      <w:pPr>
        <w:ind w:left="360" w:right="380" w:firstLine="490"/>
        <w:spacing w:after="0" w:line="228" w:lineRule="auto"/>
        <w:rPr>
          <w:sz w:val="20"/>
          <w:szCs w:val="20"/>
          <w:color w:val="auto"/>
        </w:rPr>
      </w:pPr>
      <w:r>
        <w:rPr>
          <w:rFonts w:ascii="Times New Roman" w:cs="Times New Roman" w:eastAsia="Times New Roman" w:hAnsi="Times New Roman"/>
          <w:sz w:val="20"/>
          <w:szCs w:val="20"/>
          <w:color w:val="auto"/>
        </w:rPr>
        <w:t>Also in December 2024, we announced that we were increasing the dose in the OLE to 50 mg of nomlabofusp daily for then currently enrolled and all future OLE study participants. In March 2025, we announced that our Safety Monitoring Team has deemed anaphylaxis as an adverse drug reaction likely associated with nomlabofusp and therefore, we expect to see additional reactions. To reduce the risk of allergic reactions, including anaphylaxis, we amended the OLE protocol to administer premedication for the first month of dosing. The OLE study is ongoing with seven sites activated and participants continuing to enroll. All study participants are currently receiving the 50 mg dose of nomlabofusp. We plan to provide an update on OLE data on at least 30 to 40 study participants, some of whom have been receiving nomlabofusp for more than a year, in September 2025.</w:t>
      </w:r>
    </w:p>
    <w:p>
      <w:pPr>
        <w:spacing w:after="0" w:line="66" w:lineRule="exact"/>
        <w:rPr>
          <w:sz w:val="20"/>
          <w:szCs w:val="20"/>
          <w:color w:val="auto"/>
        </w:rPr>
      </w:pPr>
    </w:p>
    <w:p>
      <w:pPr>
        <w:ind w:left="360" w:right="400" w:firstLine="540"/>
        <w:spacing w:after="0" w:line="232" w:lineRule="auto"/>
        <w:rPr>
          <w:sz w:val="20"/>
          <w:szCs w:val="20"/>
          <w:color w:val="auto"/>
        </w:rPr>
      </w:pPr>
      <w:r>
        <w:rPr>
          <w:rFonts w:ascii="Times New Roman" w:cs="Times New Roman" w:eastAsia="Times New Roman" w:hAnsi="Times New Roman"/>
          <w:sz w:val="20"/>
          <w:szCs w:val="20"/>
          <w:color w:val="auto"/>
        </w:rPr>
        <w:t>In January 2025, we initiated dosing of adolescents (12-17 years old) in a PK run-in study for pediatric patients with FA. Study participants in the PK run-in study are randomized 2:1 to receive either nomlabofusp at a weight-base dose expected to match the PK of adults receiving the 50 mg dose, or placebo, daily for seven days. Following assessment of safety and PK data, participants will be eligible to screen for the OLE study. The data from this cohort is expected to be presented during the nomlabofusp program update in September 2025.</w:t>
      </w:r>
    </w:p>
    <w:p>
      <w:pPr>
        <w:spacing w:after="0" w:line="67" w:lineRule="exact"/>
        <w:rPr>
          <w:sz w:val="20"/>
          <w:szCs w:val="20"/>
          <w:color w:val="auto"/>
        </w:rPr>
      </w:pPr>
    </w:p>
    <w:p>
      <w:pPr>
        <w:ind w:left="360" w:right="380" w:firstLine="490"/>
        <w:spacing w:after="0" w:line="229" w:lineRule="auto"/>
        <w:rPr>
          <w:sz w:val="20"/>
          <w:szCs w:val="20"/>
          <w:color w:val="auto"/>
        </w:rPr>
      </w:pPr>
      <w:r>
        <w:rPr>
          <w:rFonts w:ascii="Times New Roman" w:cs="Times New Roman" w:eastAsia="Times New Roman" w:hAnsi="Times New Roman"/>
          <w:sz w:val="20"/>
          <w:szCs w:val="20"/>
          <w:color w:val="auto"/>
        </w:rPr>
        <w:t>In March 2025, we announced that FDA stated in written correspondence associated with a meeting through the START pilot program that they are open to considering the use of FXN concentration as a reasonably likely surrogate endpoint (“RLSE”) and the acceptability of FXN’s use as an RLSE would ultimately be a matter of review of the data in a future marketing application. FDA recommended focusing on assessments of skin FXN concentrations rather than buccal FXN concentrations due to more consistent sampling and less variability. FDA acknowledged that data we recently submitted appear to support a relationship between increased FXN concentrations in skin cells and relevant tissues such as the heart, dorsal root ganglion and skeletal muscle. FDA</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960" w:h="17280" w:orient="portrait"/>
          <w:cols w:equalWidth="0" w:num="1">
            <w:col w:w="10080"/>
          </w:cols>
          <w:pgMar w:left="1440" w:top="1440" w:right="1440" w:bottom="895" w:gutter="0" w:footer="0" w:header="0"/>
          <w:type w:val="continuous"/>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 w:right="360"/>
        <w:spacing w:after="0" w:line="232" w:lineRule="auto"/>
        <w:rPr>
          <w:sz w:val="20"/>
          <w:szCs w:val="20"/>
          <w:color w:val="auto"/>
        </w:rPr>
      </w:pPr>
      <w:r>
        <w:rPr>
          <w:rFonts w:ascii="Times New Roman" w:cs="Times New Roman" w:eastAsia="Times New Roman" w:hAnsi="Times New Roman"/>
          <w:sz w:val="20"/>
          <w:szCs w:val="20"/>
          <w:color w:val="auto"/>
        </w:rPr>
        <w:t>also acknowledged that the nonclinical studies we submitted were performed at relevant human doses. FDA also suggested that we consider exploring the relationship between increases in FXN in skin and changes in pharmacodynamic (PD) markers such as lipid profiles and/or clinical measures to provide additional support for the use of FXN as an RLSE. We plan to continue discussions with FDA regarding the adequacy of the safety data set for a BLA submission seeking accelerated approval targeted for year-end 2025.</w:t>
      </w:r>
    </w:p>
    <w:p>
      <w:pPr>
        <w:spacing w:after="0" w:line="67" w:lineRule="exact"/>
        <w:rPr>
          <w:sz w:val="20"/>
          <w:szCs w:val="20"/>
          <w:color w:val="auto"/>
        </w:rPr>
      </w:pPr>
    </w:p>
    <w:p>
      <w:pPr>
        <w:jc w:val="both"/>
        <w:ind w:left="360" w:right="520" w:firstLine="490"/>
        <w:spacing w:after="0" w:line="285" w:lineRule="auto"/>
        <w:rPr>
          <w:sz w:val="20"/>
          <w:szCs w:val="20"/>
          <w:color w:val="auto"/>
        </w:rPr>
      </w:pPr>
      <w:r>
        <w:rPr>
          <w:rFonts w:ascii="Times New Roman" w:cs="Times New Roman" w:eastAsia="Times New Roman" w:hAnsi="Times New Roman"/>
          <w:sz w:val="19"/>
          <w:szCs w:val="19"/>
          <w:color w:val="auto"/>
        </w:rPr>
        <w:t>Additionally, we have obtained feedback from both FDA and EMA on the global Phase 3 study protocol and we are on track to initiate the study by mid-2025 with potential sites in the U.S., E.U., U.K, Canada, and Australia.</w:t>
      </w:r>
    </w:p>
    <w:p>
      <w:pPr>
        <w:spacing w:after="0" w:line="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Financing Activities, Including Recent Material Financings</w:t>
      </w:r>
    </w:p>
    <w:p>
      <w:pPr>
        <w:spacing w:after="0" w:line="124" w:lineRule="exact"/>
        <w:rPr>
          <w:sz w:val="20"/>
          <w:szCs w:val="20"/>
          <w:color w:val="auto"/>
        </w:rPr>
      </w:pPr>
    </w:p>
    <w:p>
      <w:pPr>
        <w:jc w:val="both"/>
        <w:ind w:left="360" w:right="400" w:firstLine="490"/>
        <w:spacing w:after="0" w:line="252" w:lineRule="auto"/>
        <w:rPr>
          <w:sz w:val="20"/>
          <w:szCs w:val="20"/>
          <w:color w:val="auto"/>
        </w:rPr>
      </w:pPr>
      <w:r>
        <w:rPr>
          <w:rFonts w:ascii="Times New Roman" w:cs="Times New Roman" w:eastAsia="Times New Roman" w:hAnsi="Times New Roman"/>
          <w:sz w:val="20"/>
          <w:szCs w:val="20"/>
          <w:color w:val="auto"/>
        </w:rPr>
        <w:t>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p>
    <w:p>
      <w:pPr>
        <w:spacing w:after="0" w:line="74" w:lineRule="exact"/>
        <w:rPr>
          <w:sz w:val="20"/>
          <w:szCs w:val="20"/>
          <w:color w:val="auto"/>
        </w:rPr>
      </w:pPr>
    </w:p>
    <w:p>
      <w:pPr>
        <w:ind w:left="360" w:right="360" w:firstLine="490"/>
        <w:spacing w:after="0" w:line="258" w:lineRule="auto"/>
        <w:rPr>
          <w:sz w:val="20"/>
          <w:szCs w:val="20"/>
          <w:color w:val="auto"/>
        </w:rPr>
      </w:pPr>
      <w:r>
        <w:rPr>
          <w:rFonts w:ascii="Times New Roman" w:cs="Times New Roman" w:eastAsia="Times New Roman" w:hAnsi="Times New Roman"/>
          <w:sz w:val="20"/>
          <w:szCs w:val="20"/>
          <w:color w:val="auto"/>
        </w:rPr>
        <w:t>In February 2024, we completed an underwritten public offering in which we issued and sold 19,736,842 shares of our common stock at a public offering price of $8.74 per share. We received net proceeds of approximately $161.8 million after deducting underwriting discounts, commissions and other offering expenses.</w:t>
      </w:r>
    </w:p>
    <w:p>
      <w:pPr>
        <w:spacing w:after="0" w:line="68" w:lineRule="exact"/>
        <w:rPr>
          <w:sz w:val="20"/>
          <w:szCs w:val="20"/>
          <w:color w:val="auto"/>
        </w:rPr>
      </w:pPr>
    </w:p>
    <w:p>
      <w:pPr>
        <w:ind w:left="360" w:right="480" w:firstLine="490"/>
        <w:spacing w:after="0" w:line="252" w:lineRule="auto"/>
        <w:rPr>
          <w:sz w:val="20"/>
          <w:szCs w:val="20"/>
          <w:color w:val="auto"/>
        </w:rPr>
      </w:pPr>
      <w:r>
        <w:rPr>
          <w:rFonts w:ascii="Times New Roman" w:cs="Times New Roman" w:eastAsia="Times New Roman" w:hAnsi="Times New Roman"/>
          <w:sz w:val="20"/>
          <w:szCs w:val="20"/>
          <w:color w:val="auto"/>
        </w:rPr>
        <w:t>In May 2024, we entered into a Sales Agreement (the "ATM Agreement") with Guggenheim Securities, LLC in connection with the establishment of an “at-the-market” offering program providing for the sale of up to an aggregate of $100 million of shares of our common stock from time to time. To date, we have made no sales under the ATM agreement.</w:t>
      </w:r>
    </w:p>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114" w:lineRule="exact"/>
        <w:rPr>
          <w:sz w:val="20"/>
          <w:szCs w:val="20"/>
          <w:color w:val="auto"/>
        </w:rPr>
      </w:pPr>
    </w:p>
    <w:p>
      <w:pPr>
        <w:ind w:left="360" w:right="400" w:firstLine="490"/>
        <w:spacing w:after="0" w:line="236"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Generally Accepted Accounting Principles ("GAAP"). The preparation of our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Research and Development Expense</w:t>
      </w:r>
    </w:p>
    <w:p>
      <w:pPr>
        <w:spacing w:after="0" w:line="108" w:lineRule="exact"/>
        <w:rPr>
          <w:sz w:val="20"/>
          <w:szCs w:val="20"/>
          <w:color w:val="auto"/>
        </w:rPr>
      </w:pPr>
    </w:p>
    <w:p>
      <w:pPr>
        <w:ind w:left="360" w:right="420" w:firstLine="490"/>
        <w:spacing w:after="0" w:line="233" w:lineRule="auto"/>
        <w:rPr>
          <w:sz w:val="20"/>
          <w:szCs w:val="20"/>
          <w:color w:val="auto"/>
        </w:rPr>
      </w:pPr>
      <w:r>
        <w:rPr>
          <w:rFonts w:ascii="Times New Roman" w:cs="Times New Roman" w:eastAsia="Times New Roman" w:hAnsi="Times New Roman"/>
          <w:sz w:val="20"/>
          <w:szCs w:val="20"/>
          <w:color w:val="auto"/>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nomlabofusp through additional clinical trials. As a result, we expect that our research and development expenses will continue to increase in the foreseeable future as we pursue clinical development of nomlabofusp and/or any other product candidates we develop.</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Stock Compensation Expense</w:t>
      </w:r>
    </w:p>
    <w:p>
      <w:pPr>
        <w:spacing w:after="0" w:line="118" w:lineRule="exact"/>
        <w:rPr>
          <w:sz w:val="20"/>
          <w:szCs w:val="20"/>
          <w:color w:val="auto"/>
        </w:rPr>
      </w:pPr>
    </w:p>
    <w:p>
      <w:pPr>
        <w:ind w:left="360" w:right="520" w:firstLine="490"/>
        <w:spacing w:after="0" w:line="246" w:lineRule="auto"/>
        <w:rPr>
          <w:sz w:val="20"/>
          <w:szCs w:val="20"/>
          <w:color w:val="auto"/>
        </w:rPr>
      </w:pPr>
      <w:r>
        <w:rPr>
          <w:rFonts w:ascii="Times New Roman" w:cs="Times New Roman" w:eastAsia="Times New Roman" w:hAnsi="Times New Roman"/>
          <w:sz w:val="20"/>
          <w:szCs w:val="20"/>
          <w:color w:val="auto"/>
        </w:rPr>
        <w:t>We measure all stock-based awards granted to employees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spacing w:after="0" w:line="80" w:lineRule="exact"/>
        <w:rPr>
          <w:sz w:val="20"/>
          <w:szCs w:val="20"/>
          <w:color w:val="auto"/>
        </w:rPr>
      </w:pPr>
    </w:p>
    <w:p>
      <w:pPr>
        <w:ind w:left="360" w:right="420" w:firstLine="490"/>
        <w:spacing w:after="0" w:line="278" w:lineRule="auto"/>
        <w:rPr>
          <w:sz w:val="20"/>
          <w:szCs w:val="20"/>
          <w:color w:val="auto"/>
        </w:rPr>
      </w:pPr>
      <w:r>
        <w:rPr>
          <w:rFonts w:ascii="Times New Roman" w:cs="Times New Roman" w:eastAsia="Times New Roman" w:hAnsi="Times New Roman"/>
          <w:sz w:val="19"/>
          <w:szCs w:val="19"/>
          <w:color w:val="auto"/>
        </w:rPr>
        <w:t>Prior to May 28, 2020, we were a private company and lacked company-specific historical and implied volatility information for our common stock. Prior to January 1, 2023, the Company estimated its expected common stock price volatility solely based on the historical volatility of publicly traded peer companies with comparable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960" w:h="17280" w:orient="portrait"/>
          <w:cols w:equalWidth="0" w:num="1">
            <w:col w:w="10080"/>
          </w:cols>
          <w:pgMar w:left="1440" w:top="1440" w:right="1440" w:bottom="895"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40"/>
        <w:spacing w:after="0" w:line="247" w:lineRule="auto"/>
        <w:rPr>
          <w:sz w:val="20"/>
          <w:szCs w:val="20"/>
          <w:color w:val="auto"/>
        </w:rPr>
      </w:pPr>
      <w:r>
        <w:rPr>
          <w:rFonts w:ascii="Times New Roman" w:cs="Times New Roman" w:eastAsia="Times New Roman" w:hAnsi="Times New Roman"/>
          <w:sz w:val="20"/>
          <w:szCs w:val="20"/>
          <w:color w:val="auto"/>
        </w:rPr>
        <w:t>characteristics including enterprise value, risk profiles and position within the industry. Beginning on January 1, 2023, the Company began blending its historical data starting in June 2020 (following its merger with Zafgen in 2020) with its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w:t>
      </w:r>
    </w:p>
    <w:p>
      <w:pPr>
        <w:spacing w:after="0" w:line="80" w:lineRule="exact"/>
        <w:rPr>
          <w:sz w:val="20"/>
          <w:szCs w:val="20"/>
          <w:color w:val="auto"/>
        </w:rPr>
      </w:pPr>
    </w:p>
    <w:p>
      <w:pPr>
        <w:ind w:left="360" w:right="420" w:firstLine="490"/>
        <w:spacing w:after="0" w:line="249" w:lineRule="auto"/>
        <w:rPr>
          <w:sz w:val="20"/>
          <w:szCs w:val="20"/>
          <w:color w:val="auto"/>
        </w:rPr>
      </w:pPr>
      <w:r>
        <w:rPr>
          <w:rFonts w:ascii="Times New Roman" w:cs="Times New Roman" w:eastAsia="Times New Roman" w:hAnsi="Times New Roman"/>
          <w:sz w:val="20"/>
          <w:szCs w:val="20"/>
          <w:color w:val="auto"/>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spacing w:after="0" w:line="77" w:lineRule="exact"/>
        <w:rPr>
          <w:sz w:val="20"/>
          <w:szCs w:val="20"/>
          <w:color w:val="auto"/>
        </w:rPr>
      </w:pPr>
    </w:p>
    <w:p>
      <w:pPr>
        <w:jc w:val="both"/>
        <w:ind w:left="360" w:right="480" w:firstLine="490"/>
        <w:spacing w:after="0" w:line="258" w:lineRule="auto"/>
        <w:rPr>
          <w:sz w:val="20"/>
          <w:szCs w:val="20"/>
          <w:color w:val="auto"/>
        </w:rPr>
      </w:pPr>
      <w:r>
        <w:rPr>
          <w:rFonts w:ascii="Times New Roman" w:cs="Times New Roman" w:eastAsia="Times New Roman" w:hAnsi="Times New Roman"/>
          <w:sz w:val="20"/>
          <w:szCs w:val="20"/>
          <w:color w:val="auto"/>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68" w:lineRule="exact"/>
        <w:rPr>
          <w:sz w:val="20"/>
          <w:szCs w:val="20"/>
          <w:color w:val="auto"/>
        </w:rPr>
      </w:pPr>
    </w:p>
    <w:p>
      <w:pPr>
        <w:ind w:left="360" w:right="640" w:firstLine="490"/>
        <w:spacing w:after="0" w:line="258" w:lineRule="auto"/>
        <w:rPr>
          <w:sz w:val="20"/>
          <w:szCs w:val="20"/>
          <w:color w:val="auto"/>
        </w:rPr>
      </w:pPr>
      <w:r>
        <w:rPr>
          <w:rFonts w:ascii="Times New Roman" w:cs="Times New Roman" w:eastAsia="Times New Roman" w:hAnsi="Times New Roman"/>
          <w:sz w:val="20"/>
          <w:szCs w:val="20"/>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16" w:lineRule="exact"/>
        <w:rPr>
          <w:sz w:val="20"/>
          <w:szCs w:val="20"/>
          <w:color w:val="auto"/>
        </w:rPr>
      </w:pPr>
    </w:p>
    <w:p>
      <w:pPr>
        <w:ind w:left="360" w:right="700" w:firstLine="490"/>
        <w:spacing w:after="0" w:line="252" w:lineRule="auto"/>
        <w:rPr>
          <w:sz w:val="20"/>
          <w:szCs w:val="20"/>
          <w:color w:val="auto"/>
        </w:rPr>
      </w:pPr>
      <w:r>
        <w:rPr>
          <w:rFonts w:ascii="Times New Roman" w:cs="Times New Roman" w:eastAsia="Times New Roman" w:hAnsi="Times New Roman"/>
          <w:sz w:val="20"/>
          <w:szCs w:val="20"/>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16" w:lineRule="exact"/>
        <w:rPr>
          <w:sz w:val="20"/>
          <w:szCs w:val="20"/>
          <w:color w:val="auto"/>
        </w:rPr>
      </w:pPr>
    </w:p>
    <w:p>
      <w:pPr>
        <w:ind w:left="360" w:right="460" w:firstLine="490"/>
        <w:spacing w:after="0" w:line="277" w:lineRule="auto"/>
        <w:rPr>
          <w:sz w:val="20"/>
          <w:szCs w:val="20"/>
          <w:color w:val="auto"/>
        </w:rPr>
      </w:pPr>
      <w:r>
        <w:rPr>
          <w:rFonts w:ascii="Times New Roman" w:cs="Times New Roman" w:eastAsia="Times New Roman" w:hAnsi="Times New Roman"/>
          <w:sz w:val="20"/>
          <w:szCs w:val="20"/>
          <w:color w:val="auto"/>
        </w:rPr>
        <w:t>The majority of our operating expenses since inception have consisted primarily of research and development activities, and general and administrative costs.</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8" w:lineRule="exact"/>
        <w:rPr>
          <w:sz w:val="20"/>
          <w:szCs w:val="20"/>
          <w:color w:val="auto"/>
        </w:rPr>
      </w:pPr>
    </w:p>
    <w:p>
      <w:pPr>
        <w:ind w:left="360" w:right="680" w:firstLine="490"/>
        <w:spacing w:after="0" w:line="305" w:lineRule="auto"/>
        <w:rPr>
          <w:sz w:val="20"/>
          <w:szCs w:val="20"/>
          <w:color w:val="auto"/>
        </w:rPr>
      </w:pPr>
      <w:r>
        <w:rPr>
          <w:rFonts w:ascii="Times New Roman" w:cs="Times New Roman" w:eastAsia="Times New Roman" w:hAnsi="Times New Roman"/>
          <w:sz w:val="19"/>
          <w:szCs w:val="19"/>
          <w:color w:val="auto"/>
        </w:rPr>
        <w:t>Research and development expenses, which consist primarily of costs associated with our product research and development efforts, are expensed as incurred. Research and development expenses consist primarily of:</w:t>
      </w:r>
    </w:p>
    <w:p>
      <w:pPr>
        <w:spacing w:after="0" w:line="20" w:lineRule="exact"/>
        <w:rPr>
          <w:sz w:val="20"/>
          <w:szCs w:val="20"/>
          <w:color w:val="auto"/>
        </w:rPr>
      </w:pPr>
    </w:p>
    <w:p>
      <w:pPr>
        <w:ind w:left="1220" w:right="980" w:hanging="370"/>
        <w:spacing w:after="0" w:line="252" w:lineRule="auto"/>
        <w:tabs>
          <w:tab w:leader="none" w:pos="12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contract costs relating to research, formulation, manufacturing, non-clinical studies and clinical trial activities;</w:t>
      </w:r>
    </w:p>
    <w:p>
      <w:pPr>
        <w:spacing w:after="0" w:line="64" w:lineRule="exact"/>
        <w:rPr>
          <w:rFonts w:ascii="Arial" w:cs="Arial" w:eastAsia="Arial" w:hAnsi="Arial"/>
          <w:sz w:val="20"/>
          <w:szCs w:val="20"/>
          <w:color w:val="auto"/>
        </w:rPr>
      </w:pPr>
    </w:p>
    <w:p>
      <w:pPr>
        <w:ind w:left="1220" w:right="1260" w:hanging="370"/>
        <w:spacing w:after="0" w:line="252" w:lineRule="auto"/>
        <w:tabs>
          <w:tab w:leader="none" w:pos="12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employee related costs, including salaries, benefits and stock-based compensation expenses for employees engaged in scientific research and development functions;</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external costs of outside consultants and vendors;</w:t>
      </w:r>
    </w:p>
    <w:p>
      <w:pPr>
        <w:spacing w:after="0" w:line="110" w:lineRule="exact"/>
        <w:rPr>
          <w:rFonts w:ascii="Arial" w:cs="Arial" w:eastAsia="Arial" w:hAnsi="Arial"/>
          <w:sz w:val="20"/>
          <w:szCs w:val="20"/>
          <w:color w:val="auto"/>
        </w:rPr>
      </w:pPr>
    </w:p>
    <w:p>
      <w:pPr>
        <w:ind w:left="1220" w:hanging="370"/>
        <w:spacing w:after="0"/>
        <w:tabs>
          <w:tab w:leader="none" w:pos="12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payments made under our third-party licensing agreements;</w:t>
      </w:r>
    </w:p>
    <w:p>
      <w:pPr>
        <w:spacing w:after="0" w:line="110" w:lineRule="exact"/>
        <w:rPr>
          <w:rFonts w:ascii="Arial" w:cs="Arial" w:eastAsia="Arial" w:hAnsi="Arial"/>
          <w:sz w:val="20"/>
          <w:szCs w:val="20"/>
          <w:color w:val="auto"/>
        </w:rPr>
      </w:pPr>
    </w:p>
    <w:p>
      <w:pPr>
        <w:ind w:left="1220" w:hanging="370"/>
        <w:spacing w:after="0"/>
        <w:tabs>
          <w:tab w:leader="none" w:pos="12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sponsored research agreements;</w:t>
      </w:r>
    </w:p>
    <w:p>
      <w:pPr>
        <w:spacing w:after="0" w:line="110" w:lineRule="exact"/>
        <w:rPr>
          <w:rFonts w:ascii="Arial" w:cs="Arial" w:eastAsia="Arial" w:hAnsi="Arial"/>
          <w:sz w:val="20"/>
          <w:szCs w:val="20"/>
          <w:color w:val="auto"/>
        </w:rPr>
      </w:pPr>
    </w:p>
    <w:p>
      <w:pPr>
        <w:ind w:left="1220" w:hanging="370"/>
        <w:spacing w:after="0"/>
        <w:tabs>
          <w:tab w:leader="none" w:pos="12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laboratory consumables; and</w:t>
      </w:r>
    </w:p>
    <w:p>
      <w:pPr>
        <w:spacing w:after="0" w:line="110" w:lineRule="exact"/>
        <w:rPr>
          <w:rFonts w:ascii="Arial" w:cs="Arial" w:eastAsia="Arial" w:hAnsi="Arial"/>
          <w:sz w:val="20"/>
          <w:szCs w:val="20"/>
          <w:color w:val="auto"/>
        </w:rPr>
      </w:pPr>
    </w:p>
    <w:p>
      <w:pPr>
        <w:ind w:left="1220" w:hanging="370"/>
        <w:spacing w:after="0"/>
        <w:tabs>
          <w:tab w:leader="none" w:pos="12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allocated facility-related costs.</w:t>
      </w:r>
    </w:p>
    <w:p>
      <w:pPr>
        <w:spacing w:after="0" w:line="115" w:lineRule="exact"/>
        <w:rPr>
          <w:sz w:val="20"/>
          <w:szCs w:val="20"/>
          <w:color w:val="auto"/>
        </w:rPr>
      </w:pPr>
    </w:p>
    <w:p>
      <w:pPr>
        <w:ind w:left="360" w:right="400" w:firstLine="490"/>
        <w:spacing w:after="0" w:line="249" w:lineRule="auto"/>
        <w:rPr>
          <w:sz w:val="20"/>
          <w:szCs w:val="20"/>
          <w:color w:val="auto"/>
        </w:rPr>
      </w:pPr>
      <w:r>
        <w:rPr>
          <w:rFonts w:ascii="Times New Roman" w:cs="Times New Roman" w:eastAsia="Times New Roman" w:hAnsi="Times New Roman"/>
          <w:sz w:val="20"/>
          <w:szCs w:val="20"/>
          <w:color w:val="auto"/>
        </w:rPr>
        <w:t>At this time, we cannot reasonably estimate or know the nature, timing and estimated costs of the efforts that will be necessary to complete the clinical and commercial development of nomlabofusp, or any other product candidates we develop. We are also unable to predict when, if ever, material net cash inflows will commence from sales of our product candidates. The duration, costs, and timing of clinical trials and development of nomlabofusp or any other product candidates we develop will depend on a variety of factors, including:</w:t>
      </w:r>
    </w:p>
    <w:p>
      <w:pPr>
        <w:spacing w:after="0" w:line="73" w:lineRule="exact"/>
        <w:rPr>
          <w:sz w:val="20"/>
          <w:szCs w:val="20"/>
          <w:color w:val="auto"/>
        </w:rPr>
      </w:pPr>
    </w:p>
    <w:p>
      <w:pPr>
        <w:ind w:left="1220" w:hanging="370"/>
        <w:spacing w:after="0"/>
        <w:tabs>
          <w:tab w:leader="none" w:pos="122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rate of progress and expense of clinical trials and other research and development activities;</w:t>
      </w:r>
    </w:p>
    <w:p>
      <w:pPr>
        <w:spacing w:after="0" w:line="129" w:lineRule="exact"/>
        <w:rPr>
          <w:rFonts w:ascii="Arial" w:cs="Arial" w:eastAsia="Arial" w:hAnsi="Arial"/>
          <w:sz w:val="20"/>
          <w:szCs w:val="20"/>
          <w:color w:val="auto"/>
        </w:rPr>
      </w:pPr>
    </w:p>
    <w:p>
      <w:pPr>
        <w:ind w:left="1220" w:hanging="370"/>
        <w:spacing w:after="0"/>
        <w:tabs>
          <w:tab w:leader="none" w:pos="122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 results;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960" w:h="17280" w:orient="portrait"/>
          <w:cols w:equalWidth="0" w:num="1">
            <w:col w:w="10080"/>
          </w:cols>
          <w:pgMar w:left="1440" w:top="1440" w:right="1440" w:bottom="895" w:gutter="0" w:footer="0" w:header="0"/>
          <w:type w:val="continuous"/>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20" w:hanging="370"/>
        <w:spacing w:after="0"/>
        <w:tabs>
          <w:tab w:leader="none" w:pos="12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uncertainties in clinical trial enrollment rate or design;</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and changing government regulation;</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receipt of any regulatory approvals;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influence of the FDA or other regulatory authorities on our clinical trial design and timing;</w:t>
      </w:r>
    </w:p>
    <w:p>
      <w:pPr>
        <w:spacing w:after="0" w:line="133" w:lineRule="exact"/>
        <w:rPr>
          <w:rFonts w:ascii="Arial" w:cs="Arial" w:eastAsia="Arial" w:hAnsi="Arial"/>
          <w:sz w:val="20"/>
          <w:szCs w:val="20"/>
          <w:color w:val="auto"/>
        </w:rPr>
      </w:pPr>
    </w:p>
    <w:p>
      <w:pPr>
        <w:ind w:left="1220" w:right="520" w:hanging="370"/>
        <w:spacing w:after="0" w:line="278" w:lineRule="auto"/>
        <w:tabs>
          <w:tab w:leader="none" w:pos="1220" w:val="left"/>
        </w:tabs>
        <w:numPr>
          <w:ilvl w:val="0"/>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45" w:lineRule="exact"/>
        <w:rPr>
          <w:rFonts w:ascii="Arial" w:cs="Arial" w:eastAsia="Arial" w:hAnsi="Arial"/>
          <w:sz w:val="19"/>
          <w:szCs w:val="19"/>
          <w:color w:val="auto"/>
        </w:rPr>
      </w:pPr>
    </w:p>
    <w:p>
      <w:pPr>
        <w:ind w:left="1220" w:right="760" w:hanging="370"/>
        <w:spacing w:after="0" w:line="252" w:lineRule="auto"/>
        <w:tabs>
          <w:tab w:leader="none" w:pos="12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patent and trade secret protection and regulatory exclusivity for our product candidates; and</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recruit and retain key research and development personnel.</w:t>
      </w:r>
    </w:p>
    <w:p>
      <w:pPr>
        <w:spacing w:after="0" w:line="115" w:lineRule="exact"/>
        <w:rPr>
          <w:sz w:val="20"/>
          <w:szCs w:val="20"/>
          <w:color w:val="auto"/>
        </w:rPr>
      </w:pPr>
    </w:p>
    <w:p>
      <w:pPr>
        <w:ind w:left="360" w:right="420" w:firstLine="490"/>
        <w:spacing w:after="0" w:line="246" w:lineRule="auto"/>
        <w:rPr>
          <w:sz w:val="20"/>
          <w:szCs w:val="20"/>
          <w:color w:val="auto"/>
        </w:rPr>
      </w:pPr>
      <w:r>
        <w:rPr>
          <w:rFonts w:ascii="Times New Roman" w:cs="Times New Roman" w:eastAsia="Times New Roman" w:hAnsi="Times New Roman"/>
          <w:sz w:val="20"/>
          <w:szCs w:val="20"/>
          <w:color w:val="auto"/>
        </w:rPr>
        <w:t>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18" w:lineRule="exact"/>
        <w:rPr>
          <w:sz w:val="20"/>
          <w:szCs w:val="20"/>
          <w:color w:val="auto"/>
        </w:rPr>
      </w:pPr>
    </w:p>
    <w:p>
      <w:pPr>
        <w:ind w:left="360" w:right="480" w:firstLine="490"/>
        <w:spacing w:after="0" w:line="246"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19" w:lineRule="exact"/>
        <w:rPr>
          <w:sz w:val="20"/>
          <w:szCs w:val="20"/>
          <w:color w:val="auto"/>
        </w:rPr>
      </w:pPr>
    </w:p>
    <w:p>
      <w:pPr>
        <w:ind w:left="360" w:right="440" w:firstLine="490"/>
        <w:spacing w:after="0" w:line="247" w:lineRule="auto"/>
        <w:rPr>
          <w:sz w:val="20"/>
          <w:szCs w:val="20"/>
          <w:color w:val="auto"/>
        </w:rPr>
      </w:pPr>
      <w:r>
        <w:rPr>
          <w:rFonts w:ascii="Times New Roman" w:cs="Times New Roman" w:eastAsia="Times New Roman" w:hAnsi="Times New Roman"/>
          <w:sz w:val="20"/>
          <w:szCs w:val="20"/>
          <w:color w:val="auto"/>
        </w:rPr>
        <w:t>The following commentary is a discussion and analysis of our financial condition as of December 31, 2024 and results of operations and cash flows for the year ended December 31, 2024 compared to the year ended December 31, 2023 and should be read in conjunction with the consolidated financial statements and accompanying notes.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2024 and 2023</w:t>
      </w:r>
    </w:p>
    <w:p>
      <w:pPr>
        <w:spacing w:after="0" w:line="1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2024 and 2023:</w:t>
      </w:r>
    </w:p>
    <w:p>
      <w:pPr>
        <w:spacing w:after="0" w:line="289"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4060" w:type="dxa"/>
            <w:vAlign w:val="bottom"/>
            <w:tcBorders>
              <w:bottom w:val="single" w:sz="8" w:color="FEFEFE"/>
            </w:tcBorders>
            <w:shd w:val="clear" w:color="auto" w:fill="FEFEFE"/>
          </w:tcPr>
          <w:p>
            <w:pPr>
              <w:spacing w:after="0"/>
              <w:rPr>
                <w:sz w:val="16"/>
                <w:szCs w:val="16"/>
                <w:color w:val="auto"/>
              </w:rPr>
            </w:pPr>
          </w:p>
        </w:tc>
        <w:tc>
          <w:tcPr>
            <w:tcW w:w="1440" w:type="dxa"/>
            <w:vAlign w:val="bottom"/>
            <w:tcBorders>
              <w:bottom w:val="single" w:sz="8" w:color="FEFEFE"/>
            </w:tcBorders>
            <w:shd w:val="clear" w:color="auto" w:fill="FEFEFE"/>
          </w:tcPr>
          <w:p>
            <w:pPr>
              <w:spacing w:after="0"/>
              <w:rPr>
                <w:sz w:val="16"/>
                <w:szCs w:val="16"/>
                <w:color w:val="auto"/>
              </w:rPr>
            </w:pPr>
          </w:p>
        </w:tc>
        <w:tc>
          <w:tcPr>
            <w:tcW w:w="260" w:type="dxa"/>
            <w:vAlign w:val="bottom"/>
            <w:tcBorders>
              <w:bottom w:val="single" w:sz="8" w:color="auto"/>
            </w:tcBorders>
            <w:shd w:val="clear" w:color="auto" w:fill="FEFEFE"/>
          </w:tcPr>
          <w:p>
            <w:pPr>
              <w:spacing w:after="0"/>
              <w:rPr>
                <w:sz w:val="16"/>
                <w:szCs w:val="16"/>
                <w:color w:val="auto"/>
              </w:rPr>
            </w:pPr>
          </w:p>
        </w:tc>
        <w:tc>
          <w:tcPr>
            <w:tcW w:w="2560" w:type="dxa"/>
            <w:vAlign w:val="bottom"/>
            <w:tcBorders>
              <w:bottom w:val="single" w:sz="8" w:color="auto"/>
            </w:tcBorders>
            <w:gridSpan w:val="8"/>
            <w:shd w:val="clear" w:color="auto" w:fill="FEFEFE"/>
          </w:tcPr>
          <w:p>
            <w:pPr>
              <w:jc w:val="center"/>
              <w:ind w:left="58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shd w:val="clear" w:color="auto" w:fill="FEFEFE"/>
          </w:tcPr>
          <w:p>
            <w:pPr>
              <w:spacing w:after="0"/>
              <w:rPr>
                <w:sz w:val="16"/>
                <w:szCs w:val="16"/>
                <w:color w:val="auto"/>
              </w:rPr>
            </w:pPr>
          </w:p>
        </w:tc>
        <w:tc>
          <w:tcPr>
            <w:tcW w:w="100" w:type="dxa"/>
            <w:vAlign w:val="bottom"/>
            <w:tcBorders>
              <w:bottom w:val="single" w:sz="8" w:color="FEFEFE"/>
            </w:tcBorders>
            <w:shd w:val="clear" w:color="auto" w:fill="FEFEFE"/>
          </w:tcPr>
          <w:p>
            <w:pPr>
              <w:spacing w:after="0"/>
              <w:rPr>
                <w:sz w:val="16"/>
                <w:szCs w:val="16"/>
                <w:color w:val="auto"/>
              </w:rPr>
            </w:pPr>
          </w:p>
        </w:tc>
      </w:tr>
      <w:tr>
        <w:trPr>
          <w:trHeight w:val="174"/>
        </w:trPr>
        <w:tc>
          <w:tcPr>
            <w:tcW w:w="4060" w:type="dxa"/>
            <w:vAlign w:val="bottom"/>
            <w:shd w:val="clear" w:color="auto" w:fill="FEFEFE"/>
          </w:tcPr>
          <w:p>
            <w:pPr>
              <w:spacing w:after="0"/>
              <w:rPr>
                <w:sz w:val="15"/>
                <w:szCs w:val="15"/>
                <w:color w:val="auto"/>
              </w:rPr>
            </w:pPr>
          </w:p>
        </w:tc>
        <w:tc>
          <w:tcPr>
            <w:tcW w:w="144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86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86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940" w:type="dxa"/>
            <w:vAlign w:val="bottom"/>
            <w:shd w:val="clear" w:color="auto" w:fill="FEFEFE"/>
          </w:tcPr>
          <w:p>
            <w:pPr>
              <w:jc w:val="right"/>
              <w:ind w:right="165"/>
              <w:spacing w:after="0" w:line="174"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shd w:val="clear" w:color="auto" w:fill="FEFEFE"/>
          </w:tcPr>
          <w:p>
            <w:pPr>
              <w:spacing w:after="0"/>
              <w:rPr>
                <w:sz w:val="15"/>
                <w:szCs w:val="15"/>
                <w:color w:val="auto"/>
              </w:rPr>
            </w:pPr>
          </w:p>
        </w:tc>
      </w:tr>
      <w:tr>
        <w:trPr>
          <w:trHeight w:val="184"/>
        </w:trPr>
        <w:tc>
          <w:tcPr>
            <w:tcW w:w="4060" w:type="dxa"/>
            <w:vAlign w:val="bottom"/>
            <w:tcBorders>
              <w:bottom w:val="single" w:sz="8" w:color="FEFEFE"/>
            </w:tcBorders>
            <w:shd w:val="clear" w:color="auto" w:fill="FEFEFE"/>
          </w:tcPr>
          <w:p>
            <w:pPr>
              <w:spacing w:after="0"/>
              <w:rPr>
                <w:sz w:val="15"/>
                <w:szCs w:val="15"/>
                <w:color w:val="auto"/>
              </w:rPr>
            </w:pPr>
          </w:p>
        </w:tc>
        <w:tc>
          <w:tcPr>
            <w:tcW w:w="1440" w:type="dxa"/>
            <w:vAlign w:val="bottom"/>
            <w:tcBorders>
              <w:bottom w:val="single" w:sz="8" w:color="FEFEFE"/>
            </w:tcBorders>
            <w:shd w:val="clear" w:color="auto" w:fill="FEFEFE"/>
          </w:tcPr>
          <w:p>
            <w:pPr>
              <w:spacing w:after="0"/>
              <w:rPr>
                <w:sz w:val="15"/>
                <w:szCs w:val="15"/>
                <w:color w:val="auto"/>
              </w:rPr>
            </w:pPr>
          </w:p>
        </w:tc>
        <w:tc>
          <w:tcPr>
            <w:tcW w:w="260" w:type="dxa"/>
            <w:vAlign w:val="bottom"/>
            <w:tcBorders>
              <w:bottom w:val="single" w:sz="8" w:color="auto"/>
            </w:tcBorders>
            <w:shd w:val="clear" w:color="auto" w:fill="FEFEFE"/>
          </w:tcPr>
          <w:p>
            <w:pPr>
              <w:spacing w:after="0"/>
              <w:rPr>
                <w:sz w:val="15"/>
                <w:szCs w:val="15"/>
                <w:color w:val="auto"/>
              </w:rPr>
            </w:pPr>
          </w:p>
        </w:tc>
        <w:tc>
          <w:tcPr>
            <w:tcW w:w="860" w:type="dxa"/>
            <w:vAlign w:val="bottom"/>
            <w:tcBorders>
              <w:bottom w:val="single" w:sz="8" w:color="auto"/>
            </w:tcBorders>
            <w:shd w:val="clear" w:color="auto" w:fill="FEFEFE"/>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FEFEFE"/>
            </w:tcBorders>
            <w:shd w:val="clear" w:color="auto" w:fill="FEFEFE"/>
          </w:tcPr>
          <w:p>
            <w:pPr>
              <w:spacing w:after="0"/>
              <w:rPr>
                <w:sz w:val="15"/>
                <w:szCs w:val="15"/>
                <w:color w:val="auto"/>
              </w:rPr>
            </w:pPr>
          </w:p>
        </w:tc>
        <w:tc>
          <w:tcPr>
            <w:tcW w:w="120" w:type="dxa"/>
            <w:vAlign w:val="bottom"/>
            <w:tcBorders>
              <w:bottom w:val="single" w:sz="8" w:color="FEFEFE"/>
            </w:tcBorders>
            <w:shd w:val="clear" w:color="auto" w:fill="FEFEFE"/>
          </w:tcPr>
          <w:p>
            <w:pPr>
              <w:spacing w:after="0"/>
              <w:rPr>
                <w:sz w:val="15"/>
                <w:szCs w:val="15"/>
                <w:color w:val="auto"/>
              </w:rPr>
            </w:pPr>
          </w:p>
        </w:tc>
        <w:tc>
          <w:tcPr>
            <w:tcW w:w="260" w:type="dxa"/>
            <w:vAlign w:val="bottom"/>
            <w:tcBorders>
              <w:bottom w:val="single" w:sz="8" w:color="auto"/>
            </w:tcBorders>
            <w:shd w:val="clear" w:color="auto" w:fill="FEFEFE"/>
          </w:tcPr>
          <w:p>
            <w:pPr>
              <w:spacing w:after="0"/>
              <w:rPr>
                <w:sz w:val="15"/>
                <w:szCs w:val="15"/>
                <w:color w:val="auto"/>
              </w:rPr>
            </w:pPr>
          </w:p>
        </w:tc>
        <w:tc>
          <w:tcPr>
            <w:tcW w:w="860" w:type="dxa"/>
            <w:vAlign w:val="bottom"/>
            <w:tcBorders>
              <w:bottom w:val="single" w:sz="8" w:color="auto"/>
            </w:tcBorders>
            <w:shd w:val="clear" w:color="auto" w:fill="FEFEFE"/>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FEFEFE"/>
            </w:tcBorders>
            <w:shd w:val="clear" w:color="auto" w:fill="FEFEFE"/>
          </w:tcPr>
          <w:p>
            <w:pPr>
              <w:spacing w:after="0"/>
              <w:rPr>
                <w:sz w:val="15"/>
                <w:szCs w:val="15"/>
                <w:color w:val="auto"/>
              </w:rPr>
            </w:pPr>
          </w:p>
        </w:tc>
        <w:tc>
          <w:tcPr>
            <w:tcW w:w="120" w:type="dxa"/>
            <w:vAlign w:val="bottom"/>
            <w:tcBorders>
              <w:bottom w:val="single" w:sz="8" w:color="FEFEFE"/>
            </w:tcBorders>
            <w:shd w:val="clear" w:color="auto" w:fill="FEFEFE"/>
          </w:tcPr>
          <w:p>
            <w:pPr>
              <w:spacing w:after="0"/>
              <w:rPr>
                <w:sz w:val="15"/>
                <w:szCs w:val="15"/>
                <w:color w:val="auto"/>
              </w:rPr>
            </w:pPr>
          </w:p>
        </w:tc>
        <w:tc>
          <w:tcPr>
            <w:tcW w:w="160" w:type="dxa"/>
            <w:vAlign w:val="bottom"/>
            <w:tcBorders>
              <w:bottom w:val="single" w:sz="8" w:color="auto"/>
            </w:tcBorders>
            <w:shd w:val="clear" w:color="auto" w:fill="FEFEFE"/>
          </w:tcPr>
          <w:p>
            <w:pPr>
              <w:spacing w:after="0"/>
              <w:rPr>
                <w:sz w:val="15"/>
                <w:szCs w:val="15"/>
                <w:color w:val="auto"/>
              </w:rPr>
            </w:pPr>
          </w:p>
        </w:tc>
        <w:tc>
          <w:tcPr>
            <w:tcW w:w="940" w:type="dxa"/>
            <w:vAlign w:val="bottom"/>
            <w:tcBorders>
              <w:bottom w:val="single" w:sz="8" w:color="auto"/>
            </w:tcBorders>
            <w:shd w:val="clear" w:color="auto" w:fill="FEFEFE"/>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100" w:type="dxa"/>
            <w:vAlign w:val="bottom"/>
            <w:tcBorders>
              <w:bottom w:val="single" w:sz="8" w:color="FEFEFE"/>
            </w:tcBorders>
            <w:shd w:val="clear" w:color="auto" w:fill="FEFEFE"/>
          </w:tcPr>
          <w:p>
            <w:pPr>
              <w:spacing w:after="0"/>
              <w:rPr>
                <w:sz w:val="15"/>
                <w:szCs w:val="15"/>
                <w:color w:val="auto"/>
              </w:rPr>
            </w:pPr>
          </w:p>
        </w:tc>
      </w:tr>
      <w:tr>
        <w:trPr>
          <w:trHeight w:val="174"/>
        </w:trPr>
        <w:tc>
          <w:tcPr>
            <w:tcW w:w="4060" w:type="dxa"/>
            <w:vAlign w:val="bottom"/>
            <w:shd w:val="clear" w:color="auto" w:fill="FEFEFE"/>
          </w:tcPr>
          <w:p>
            <w:pPr>
              <w:spacing w:after="0"/>
              <w:rPr>
                <w:sz w:val="15"/>
                <w:szCs w:val="15"/>
                <w:color w:val="auto"/>
              </w:rPr>
            </w:pPr>
          </w:p>
        </w:tc>
        <w:tc>
          <w:tcPr>
            <w:tcW w:w="144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86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120" w:type="dxa"/>
            <w:vAlign w:val="bottom"/>
            <w:gridSpan w:val="2"/>
            <w:shd w:val="clear" w:color="auto" w:fill="FEFEFE"/>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94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r>
      <w:tr>
        <w:trPr>
          <w:trHeight w:val="230"/>
        </w:trPr>
        <w:tc>
          <w:tcPr>
            <w:tcW w:w="406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Statement of Operations Data:</w:t>
            </w:r>
          </w:p>
        </w:tc>
        <w:tc>
          <w:tcPr>
            <w:tcW w:w="1440" w:type="dxa"/>
            <w:vAlign w:val="bottom"/>
            <w:shd w:val="clear" w:color="auto" w:fill="D4EEED"/>
          </w:tcPr>
          <w:p>
            <w:pPr>
              <w:spacing w:after="0"/>
              <w:rPr>
                <w:sz w:val="19"/>
                <w:szCs w:val="19"/>
                <w:color w:val="auto"/>
              </w:rPr>
            </w:pPr>
          </w:p>
        </w:tc>
        <w:tc>
          <w:tcPr>
            <w:tcW w:w="260" w:type="dxa"/>
            <w:vAlign w:val="bottom"/>
            <w:shd w:val="clear" w:color="auto" w:fill="D4EEED"/>
          </w:tcPr>
          <w:p>
            <w:pPr>
              <w:spacing w:after="0"/>
              <w:rPr>
                <w:sz w:val="19"/>
                <w:szCs w:val="19"/>
                <w:color w:val="auto"/>
              </w:rPr>
            </w:pPr>
          </w:p>
        </w:tc>
        <w:tc>
          <w:tcPr>
            <w:tcW w:w="860" w:type="dxa"/>
            <w:vAlign w:val="bottom"/>
            <w:shd w:val="clear" w:color="auto" w:fill="D4EEED"/>
          </w:tcPr>
          <w:p>
            <w:pPr>
              <w:spacing w:after="0"/>
              <w:rPr>
                <w:sz w:val="19"/>
                <w:szCs w:val="19"/>
                <w:color w:val="auto"/>
              </w:rPr>
            </w:pPr>
          </w:p>
        </w:tc>
        <w:tc>
          <w:tcPr>
            <w:tcW w:w="80" w:type="dxa"/>
            <w:vAlign w:val="bottom"/>
            <w:shd w:val="clear" w:color="auto" w:fill="D4EEED"/>
          </w:tcPr>
          <w:p>
            <w:pPr>
              <w:spacing w:after="0"/>
              <w:rPr>
                <w:sz w:val="19"/>
                <w:szCs w:val="19"/>
                <w:color w:val="auto"/>
              </w:rPr>
            </w:pPr>
          </w:p>
        </w:tc>
        <w:tc>
          <w:tcPr>
            <w:tcW w:w="120" w:type="dxa"/>
            <w:vAlign w:val="bottom"/>
            <w:shd w:val="clear" w:color="auto" w:fill="D4EEED"/>
          </w:tcPr>
          <w:p>
            <w:pPr>
              <w:spacing w:after="0"/>
              <w:rPr>
                <w:sz w:val="19"/>
                <w:szCs w:val="19"/>
                <w:color w:val="auto"/>
              </w:rPr>
            </w:pPr>
          </w:p>
        </w:tc>
        <w:tc>
          <w:tcPr>
            <w:tcW w:w="260" w:type="dxa"/>
            <w:vAlign w:val="bottom"/>
            <w:shd w:val="clear" w:color="auto" w:fill="D4EEED"/>
          </w:tcPr>
          <w:p>
            <w:pPr>
              <w:spacing w:after="0"/>
              <w:rPr>
                <w:sz w:val="19"/>
                <w:szCs w:val="19"/>
                <w:color w:val="auto"/>
              </w:rPr>
            </w:pPr>
          </w:p>
        </w:tc>
        <w:tc>
          <w:tcPr>
            <w:tcW w:w="860" w:type="dxa"/>
            <w:vAlign w:val="bottom"/>
            <w:shd w:val="clear" w:color="auto" w:fill="D4EEED"/>
          </w:tcPr>
          <w:p>
            <w:pPr>
              <w:spacing w:after="0"/>
              <w:rPr>
                <w:sz w:val="19"/>
                <w:szCs w:val="19"/>
                <w:color w:val="auto"/>
              </w:rPr>
            </w:pPr>
          </w:p>
        </w:tc>
        <w:tc>
          <w:tcPr>
            <w:tcW w:w="100" w:type="dxa"/>
            <w:vAlign w:val="bottom"/>
            <w:shd w:val="clear" w:color="auto" w:fill="D4EEED"/>
          </w:tcPr>
          <w:p>
            <w:pPr>
              <w:spacing w:after="0"/>
              <w:rPr>
                <w:sz w:val="19"/>
                <w:szCs w:val="19"/>
                <w:color w:val="auto"/>
              </w:rPr>
            </w:pPr>
          </w:p>
        </w:tc>
        <w:tc>
          <w:tcPr>
            <w:tcW w:w="120" w:type="dxa"/>
            <w:vAlign w:val="bottom"/>
            <w:shd w:val="clear" w:color="auto" w:fill="D4EEED"/>
          </w:tcPr>
          <w:p>
            <w:pPr>
              <w:spacing w:after="0"/>
              <w:rPr>
                <w:sz w:val="19"/>
                <w:szCs w:val="19"/>
                <w:color w:val="auto"/>
              </w:rPr>
            </w:pPr>
          </w:p>
        </w:tc>
        <w:tc>
          <w:tcPr>
            <w:tcW w:w="160" w:type="dxa"/>
            <w:vAlign w:val="bottom"/>
            <w:shd w:val="clear" w:color="auto" w:fill="D4EEED"/>
          </w:tcPr>
          <w:p>
            <w:pPr>
              <w:spacing w:after="0"/>
              <w:rPr>
                <w:sz w:val="19"/>
                <w:szCs w:val="19"/>
                <w:color w:val="auto"/>
              </w:rPr>
            </w:pPr>
          </w:p>
        </w:tc>
        <w:tc>
          <w:tcPr>
            <w:tcW w:w="940" w:type="dxa"/>
            <w:vAlign w:val="bottom"/>
            <w:shd w:val="clear" w:color="auto" w:fill="D4EEED"/>
          </w:tcPr>
          <w:p>
            <w:pPr>
              <w:spacing w:after="0"/>
              <w:rPr>
                <w:sz w:val="19"/>
                <w:szCs w:val="19"/>
                <w:color w:val="auto"/>
              </w:rPr>
            </w:pPr>
          </w:p>
        </w:tc>
        <w:tc>
          <w:tcPr>
            <w:tcW w:w="100" w:type="dxa"/>
            <w:vAlign w:val="bottom"/>
            <w:shd w:val="clear" w:color="auto" w:fill="D4EEED"/>
          </w:tcPr>
          <w:p>
            <w:pPr>
              <w:spacing w:after="0"/>
              <w:rPr>
                <w:sz w:val="19"/>
                <w:szCs w:val="19"/>
                <w:color w:val="auto"/>
              </w:rPr>
            </w:pPr>
          </w:p>
        </w:tc>
      </w:tr>
      <w:tr>
        <w:trPr>
          <w:trHeight w:val="230"/>
        </w:trPr>
        <w:tc>
          <w:tcPr>
            <w:tcW w:w="40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44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86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8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94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r>
      <w:tr>
        <w:trPr>
          <w:trHeight w:val="230"/>
        </w:trPr>
        <w:tc>
          <w:tcPr>
            <w:tcW w:w="406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700" w:type="dxa"/>
            <w:vAlign w:val="bottom"/>
            <w:gridSpan w:val="2"/>
            <w:shd w:val="clear" w:color="auto" w:fill="D4EEE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73,278</w:t>
            </w:r>
          </w:p>
        </w:tc>
        <w:tc>
          <w:tcPr>
            <w:tcW w:w="80" w:type="dxa"/>
            <w:vAlign w:val="bottom"/>
            <w:shd w:val="clear" w:color="auto" w:fill="D4EEED"/>
          </w:tcPr>
          <w:p>
            <w:pPr>
              <w:spacing w:after="0"/>
              <w:rPr>
                <w:sz w:val="19"/>
                <w:szCs w:val="19"/>
                <w:color w:val="auto"/>
              </w:rPr>
            </w:pPr>
          </w:p>
        </w:tc>
        <w:tc>
          <w:tcPr>
            <w:tcW w:w="380" w:type="dxa"/>
            <w:vAlign w:val="bottom"/>
            <w:gridSpan w:val="2"/>
            <w:shd w:val="clear" w:color="auto" w:fill="D4EEED"/>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27,670</w:t>
            </w:r>
          </w:p>
        </w:tc>
        <w:tc>
          <w:tcPr>
            <w:tcW w:w="100" w:type="dxa"/>
            <w:vAlign w:val="bottom"/>
            <w:shd w:val="clear" w:color="auto" w:fill="D4EEED"/>
          </w:tcPr>
          <w:p>
            <w:pPr>
              <w:spacing w:after="0"/>
              <w:rPr>
                <w:sz w:val="19"/>
                <w:szCs w:val="19"/>
                <w:color w:val="auto"/>
              </w:rPr>
            </w:pPr>
          </w:p>
        </w:tc>
        <w:tc>
          <w:tcPr>
            <w:tcW w:w="280" w:type="dxa"/>
            <w:vAlign w:val="bottom"/>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45,608</w:t>
            </w:r>
          </w:p>
        </w:tc>
        <w:tc>
          <w:tcPr>
            <w:tcW w:w="100" w:type="dxa"/>
            <w:vAlign w:val="bottom"/>
            <w:shd w:val="clear" w:color="auto" w:fill="D4EEED"/>
          </w:tcPr>
          <w:p>
            <w:pPr>
              <w:spacing w:after="0"/>
              <w:rPr>
                <w:sz w:val="19"/>
                <w:szCs w:val="19"/>
                <w:color w:val="auto"/>
              </w:rPr>
            </w:pPr>
          </w:p>
        </w:tc>
      </w:tr>
      <w:tr>
        <w:trPr>
          <w:trHeight w:val="230"/>
        </w:trPr>
        <w:tc>
          <w:tcPr>
            <w:tcW w:w="4060" w:type="dxa"/>
            <w:vAlign w:val="bottom"/>
            <w:tcBorders>
              <w:bottom w:val="single" w:sz="8" w:color="D4EEED"/>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440" w:type="dxa"/>
            <w:vAlign w:val="bottom"/>
            <w:tcBorders>
              <w:bottom w:val="single" w:sz="8" w:color="D4EEED"/>
            </w:tcBorders>
            <w:shd w:val="clear" w:color="auto" w:fill="FEFEFE"/>
          </w:tcPr>
          <w:p>
            <w:pPr>
              <w:spacing w:after="0"/>
              <w:rPr>
                <w:sz w:val="19"/>
                <w:szCs w:val="19"/>
                <w:color w:val="auto"/>
              </w:rPr>
            </w:pPr>
          </w:p>
        </w:tc>
        <w:tc>
          <w:tcPr>
            <w:tcW w:w="260" w:type="dxa"/>
            <w:vAlign w:val="bottom"/>
            <w:tcBorders>
              <w:bottom w:val="single" w:sz="8" w:color="auto"/>
            </w:tcBorders>
            <w:shd w:val="clear" w:color="auto" w:fill="FEFEFE"/>
          </w:tcPr>
          <w:p>
            <w:pPr>
              <w:spacing w:after="0"/>
              <w:rPr>
                <w:sz w:val="19"/>
                <w:szCs w:val="19"/>
                <w:color w:val="auto"/>
              </w:rPr>
            </w:pPr>
          </w:p>
        </w:tc>
        <w:tc>
          <w:tcPr>
            <w:tcW w:w="8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17,612</w:t>
            </w:r>
          </w:p>
        </w:tc>
        <w:tc>
          <w:tcPr>
            <w:tcW w:w="80" w:type="dxa"/>
            <w:vAlign w:val="bottom"/>
            <w:tcBorders>
              <w:bottom w:val="single" w:sz="8" w:color="D4EEED"/>
            </w:tcBorders>
            <w:shd w:val="clear" w:color="auto" w:fill="FEFEFE"/>
          </w:tcPr>
          <w:p>
            <w:pPr>
              <w:spacing w:after="0"/>
              <w:rPr>
                <w:sz w:val="19"/>
                <w:szCs w:val="19"/>
                <w:color w:val="auto"/>
              </w:rPr>
            </w:pPr>
          </w:p>
        </w:tc>
        <w:tc>
          <w:tcPr>
            <w:tcW w:w="120" w:type="dxa"/>
            <w:vAlign w:val="bottom"/>
            <w:tcBorders>
              <w:bottom w:val="single" w:sz="8" w:color="D4EEED"/>
            </w:tcBorders>
            <w:shd w:val="clear" w:color="auto" w:fill="FEFEFE"/>
          </w:tcPr>
          <w:p>
            <w:pPr>
              <w:spacing w:after="0"/>
              <w:rPr>
                <w:sz w:val="19"/>
                <w:szCs w:val="19"/>
                <w:color w:val="auto"/>
              </w:rPr>
            </w:pPr>
          </w:p>
        </w:tc>
        <w:tc>
          <w:tcPr>
            <w:tcW w:w="260" w:type="dxa"/>
            <w:vAlign w:val="bottom"/>
            <w:tcBorders>
              <w:bottom w:val="single" w:sz="8" w:color="auto"/>
            </w:tcBorders>
            <w:shd w:val="clear" w:color="auto" w:fill="FEFEFE"/>
          </w:tcPr>
          <w:p>
            <w:pPr>
              <w:spacing w:after="0"/>
              <w:rPr>
                <w:sz w:val="19"/>
                <w:szCs w:val="19"/>
                <w:color w:val="auto"/>
              </w:rPr>
            </w:pPr>
          </w:p>
        </w:tc>
        <w:tc>
          <w:tcPr>
            <w:tcW w:w="8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14,088</w:t>
            </w:r>
          </w:p>
        </w:tc>
        <w:tc>
          <w:tcPr>
            <w:tcW w:w="100" w:type="dxa"/>
            <w:vAlign w:val="bottom"/>
            <w:tcBorders>
              <w:bottom w:val="single" w:sz="8" w:color="D4EEED"/>
            </w:tcBorders>
            <w:shd w:val="clear" w:color="auto" w:fill="FEFEFE"/>
          </w:tcPr>
          <w:p>
            <w:pPr>
              <w:spacing w:after="0"/>
              <w:rPr>
                <w:sz w:val="19"/>
                <w:szCs w:val="19"/>
                <w:color w:val="auto"/>
              </w:rPr>
            </w:pPr>
          </w:p>
        </w:tc>
        <w:tc>
          <w:tcPr>
            <w:tcW w:w="120" w:type="dxa"/>
            <w:vAlign w:val="bottom"/>
            <w:tcBorders>
              <w:bottom w:val="single" w:sz="8" w:color="D4EEED"/>
            </w:tcBorders>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spacing w:after="0"/>
              <w:rPr>
                <w:sz w:val="19"/>
                <w:szCs w:val="19"/>
                <w:color w:val="auto"/>
              </w:rPr>
            </w:pPr>
          </w:p>
        </w:tc>
        <w:tc>
          <w:tcPr>
            <w:tcW w:w="9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3,524</w:t>
            </w:r>
          </w:p>
        </w:tc>
        <w:tc>
          <w:tcPr>
            <w:tcW w:w="100" w:type="dxa"/>
            <w:vAlign w:val="bottom"/>
            <w:tcBorders>
              <w:bottom w:val="single" w:sz="8" w:color="D4EEED"/>
            </w:tcBorders>
            <w:shd w:val="clear" w:color="auto" w:fill="FEFEFE"/>
          </w:tcPr>
          <w:p>
            <w:pPr>
              <w:spacing w:after="0"/>
              <w:rPr>
                <w:sz w:val="19"/>
                <w:szCs w:val="19"/>
                <w:color w:val="auto"/>
              </w:rPr>
            </w:pPr>
          </w:p>
        </w:tc>
      </w:tr>
      <w:tr>
        <w:trPr>
          <w:trHeight w:val="220"/>
        </w:trPr>
        <w:tc>
          <w:tcPr>
            <w:tcW w:w="4060" w:type="dxa"/>
            <w:vAlign w:val="bottom"/>
            <w:tcBorders>
              <w:bottom w:val="single" w:sz="8" w:color="FEFEFE"/>
            </w:tcBorders>
            <w:shd w:val="clear" w:color="auto" w:fill="D4EEED"/>
          </w:tcPr>
          <w:p>
            <w:pPr>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1440" w:type="dxa"/>
            <w:vAlign w:val="bottom"/>
            <w:tcBorders>
              <w:bottom w:val="single" w:sz="8" w:color="FEFEFE"/>
            </w:tcBorders>
            <w:shd w:val="clear" w:color="auto" w:fill="D4EEED"/>
          </w:tcPr>
          <w:p>
            <w:pPr>
              <w:spacing w:after="0"/>
              <w:rPr>
                <w:sz w:val="19"/>
                <w:szCs w:val="19"/>
                <w:color w:val="auto"/>
              </w:rPr>
            </w:pPr>
          </w:p>
        </w:tc>
        <w:tc>
          <w:tcPr>
            <w:tcW w:w="260" w:type="dxa"/>
            <w:vAlign w:val="bottom"/>
            <w:tcBorders>
              <w:bottom w:val="single" w:sz="8" w:color="auto"/>
            </w:tcBorders>
            <w:shd w:val="clear" w:color="auto" w:fill="D4EEED"/>
          </w:tcPr>
          <w:p>
            <w:pPr>
              <w:spacing w:after="0"/>
              <w:rPr>
                <w:sz w:val="19"/>
                <w:szCs w:val="19"/>
                <w:color w:val="auto"/>
              </w:rPr>
            </w:pPr>
          </w:p>
        </w:tc>
        <w:tc>
          <w:tcPr>
            <w:tcW w:w="860" w:type="dxa"/>
            <w:vAlign w:val="bottom"/>
            <w:tcBorders>
              <w:bottom w:val="single" w:sz="8" w:color="auto"/>
            </w:tcBorders>
            <w:shd w:val="clear" w:color="auto" w:fill="D4EEED"/>
          </w:tcPr>
          <w:p>
            <w:pPr>
              <w:jc w:val="right"/>
              <w:spacing w:after="0" w:line="220" w:lineRule="exact"/>
              <w:rPr>
                <w:sz w:val="20"/>
                <w:szCs w:val="20"/>
                <w:color w:val="auto"/>
              </w:rPr>
            </w:pPr>
            <w:r>
              <w:rPr>
                <w:rFonts w:ascii="Times New Roman" w:cs="Times New Roman" w:eastAsia="Times New Roman" w:hAnsi="Times New Roman"/>
                <w:sz w:val="20"/>
                <w:szCs w:val="20"/>
                <w:color w:val="auto"/>
              </w:rPr>
              <w:t>90,890</w:t>
            </w:r>
          </w:p>
        </w:tc>
        <w:tc>
          <w:tcPr>
            <w:tcW w:w="80" w:type="dxa"/>
            <w:vAlign w:val="bottom"/>
            <w:tcBorders>
              <w:bottom w:val="single" w:sz="8" w:color="FEFEFE"/>
            </w:tcBorders>
            <w:shd w:val="clear" w:color="auto" w:fill="D4EEED"/>
          </w:tcPr>
          <w:p>
            <w:pPr>
              <w:spacing w:after="0"/>
              <w:rPr>
                <w:sz w:val="19"/>
                <w:szCs w:val="19"/>
                <w:color w:val="auto"/>
              </w:rPr>
            </w:pPr>
          </w:p>
        </w:tc>
        <w:tc>
          <w:tcPr>
            <w:tcW w:w="120" w:type="dxa"/>
            <w:vAlign w:val="bottom"/>
            <w:tcBorders>
              <w:bottom w:val="single" w:sz="8" w:color="FEFEFE"/>
            </w:tcBorders>
            <w:shd w:val="clear" w:color="auto" w:fill="D4EEED"/>
          </w:tcPr>
          <w:p>
            <w:pPr>
              <w:spacing w:after="0"/>
              <w:rPr>
                <w:sz w:val="19"/>
                <w:szCs w:val="19"/>
                <w:color w:val="auto"/>
              </w:rPr>
            </w:pPr>
          </w:p>
        </w:tc>
        <w:tc>
          <w:tcPr>
            <w:tcW w:w="260" w:type="dxa"/>
            <w:vAlign w:val="bottom"/>
            <w:tcBorders>
              <w:bottom w:val="single" w:sz="8" w:color="auto"/>
            </w:tcBorders>
            <w:shd w:val="clear" w:color="auto" w:fill="D4EEED"/>
          </w:tcPr>
          <w:p>
            <w:pPr>
              <w:spacing w:after="0"/>
              <w:rPr>
                <w:sz w:val="19"/>
                <w:szCs w:val="19"/>
                <w:color w:val="auto"/>
              </w:rPr>
            </w:pPr>
          </w:p>
        </w:tc>
        <w:tc>
          <w:tcPr>
            <w:tcW w:w="860" w:type="dxa"/>
            <w:vAlign w:val="bottom"/>
            <w:tcBorders>
              <w:bottom w:val="single" w:sz="8" w:color="auto"/>
            </w:tcBorders>
            <w:shd w:val="clear" w:color="auto" w:fill="D4EEED"/>
          </w:tcPr>
          <w:p>
            <w:pPr>
              <w:jc w:val="right"/>
              <w:spacing w:after="0" w:line="220" w:lineRule="exact"/>
              <w:rPr>
                <w:sz w:val="20"/>
                <w:szCs w:val="20"/>
                <w:color w:val="auto"/>
              </w:rPr>
            </w:pPr>
            <w:r>
              <w:rPr>
                <w:rFonts w:ascii="Times New Roman" w:cs="Times New Roman" w:eastAsia="Times New Roman" w:hAnsi="Times New Roman"/>
                <w:sz w:val="20"/>
                <w:szCs w:val="20"/>
                <w:color w:val="auto"/>
              </w:rPr>
              <w:t>41,758</w:t>
            </w:r>
          </w:p>
        </w:tc>
        <w:tc>
          <w:tcPr>
            <w:tcW w:w="100" w:type="dxa"/>
            <w:vAlign w:val="bottom"/>
            <w:tcBorders>
              <w:bottom w:val="single" w:sz="8" w:color="FEFEFE"/>
            </w:tcBorders>
            <w:shd w:val="clear" w:color="auto" w:fill="D4EEED"/>
          </w:tcPr>
          <w:p>
            <w:pPr>
              <w:spacing w:after="0"/>
              <w:rPr>
                <w:sz w:val="19"/>
                <w:szCs w:val="19"/>
                <w:color w:val="auto"/>
              </w:rPr>
            </w:pPr>
          </w:p>
        </w:tc>
        <w:tc>
          <w:tcPr>
            <w:tcW w:w="120" w:type="dxa"/>
            <w:vAlign w:val="bottom"/>
            <w:tcBorders>
              <w:bottom w:val="single" w:sz="8" w:color="FEFEFE"/>
            </w:tcBorders>
            <w:shd w:val="clear" w:color="auto" w:fill="D4EEED"/>
          </w:tcPr>
          <w:p>
            <w:pPr>
              <w:spacing w:after="0"/>
              <w:rPr>
                <w:sz w:val="19"/>
                <w:szCs w:val="19"/>
                <w:color w:val="auto"/>
              </w:rPr>
            </w:pPr>
          </w:p>
        </w:tc>
        <w:tc>
          <w:tcPr>
            <w:tcW w:w="160" w:type="dxa"/>
            <w:vAlign w:val="bottom"/>
            <w:tcBorders>
              <w:bottom w:val="single" w:sz="8" w:color="auto"/>
            </w:tcBorders>
            <w:shd w:val="clear" w:color="auto" w:fill="D4EEED"/>
          </w:tcPr>
          <w:p>
            <w:pPr>
              <w:spacing w:after="0"/>
              <w:rPr>
                <w:sz w:val="19"/>
                <w:szCs w:val="19"/>
                <w:color w:val="auto"/>
              </w:rPr>
            </w:pPr>
          </w:p>
        </w:tc>
        <w:tc>
          <w:tcPr>
            <w:tcW w:w="940" w:type="dxa"/>
            <w:vAlign w:val="bottom"/>
            <w:tcBorders>
              <w:bottom w:val="single" w:sz="8" w:color="auto"/>
            </w:tcBorders>
            <w:shd w:val="clear" w:color="auto" w:fill="D4EEED"/>
          </w:tcPr>
          <w:p>
            <w:pPr>
              <w:jc w:val="right"/>
              <w:spacing w:after="0" w:line="220" w:lineRule="exact"/>
              <w:rPr>
                <w:sz w:val="20"/>
                <w:szCs w:val="20"/>
                <w:color w:val="auto"/>
              </w:rPr>
            </w:pPr>
            <w:r>
              <w:rPr>
                <w:rFonts w:ascii="Times New Roman" w:cs="Times New Roman" w:eastAsia="Times New Roman" w:hAnsi="Times New Roman"/>
                <w:sz w:val="20"/>
                <w:szCs w:val="20"/>
                <w:color w:val="auto"/>
              </w:rPr>
              <w:t>49,132</w:t>
            </w:r>
          </w:p>
        </w:tc>
        <w:tc>
          <w:tcPr>
            <w:tcW w:w="100" w:type="dxa"/>
            <w:vAlign w:val="bottom"/>
            <w:tcBorders>
              <w:bottom w:val="single" w:sz="8" w:color="FEFEFE"/>
            </w:tcBorders>
            <w:shd w:val="clear" w:color="auto" w:fill="D4EEED"/>
          </w:tcPr>
          <w:p>
            <w:pPr>
              <w:spacing w:after="0"/>
              <w:rPr>
                <w:sz w:val="19"/>
                <w:szCs w:val="19"/>
                <w:color w:val="auto"/>
              </w:rPr>
            </w:pPr>
          </w:p>
        </w:tc>
      </w:tr>
      <w:tr>
        <w:trPr>
          <w:trHeight w:val="220"/>
        </w:trPr>
        <w:tc>
          <w:tcPr>
            <w:tcW w:w="4060" w:type="dxa"/>
            <w:vAlign w:val="bottom"/>
            <w:shd w:val="clear" w:color="auto" w:fill="FEFEFE"/>
          </w:tcPr>
          <w:p>
            <w:pPr>
              <w:spacing w:after="0" w:line="220" w:lineRule="exact"/>
              <w:rPr>
                <w:sz w:val="20"/>
                <w:szCs w:val="20"/>
                <w:color w:val="auto"/>
              </w:rPr>
            </w:pPr>
            <w:r>
              <w:rPr>
                <w:rFonts w:ascii="Times New Roman" w:cs="Times New Roman" w:eastAsia="Times New Roman" w:hAnsi="Times New Roman"/>
                <w:sz w:val="20"/>
                <w:szCs w:val="20"/>
                <w:color w:val="auto"/>
              </w:rPr>
              <w:t>Loss from operations</w:t>
            </w:r>
          </w:p>
        </w:tc>
        <w:tc>
          <w:tcPr>
            <w:tcW w:w="144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86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(90,890)</w:t>
            </w:r>
          </w:p>
        </w:tc>
        <w:tc>
          <w:tcPr>
            <w:tcW w:w="8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86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(41,758)</w:t>
            </w:r>
          </w:p>
        </w:tc>
        <w:tc>
          <w:tcPr>
            <w:tcW w:w="10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94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(49,132)</w:t>
            </w:r>
          </w:p>
        </w:tc>
        <w:tc>
          <w:tcPr>
            <w:tcW w:w="100" w:type="dxa"/>
            <w:vAlign w:val="bottom"/>
            <w:shd w:val="clear" w:color="auto" w:fill="FEFEFE"/>
          </w:tcPr>
          <w:p>
            <w:pPr>
              <w:spacing w:after="0"/>
              <w:rPr>
                <w:sz w:val="19"/>
                <w:szCs w:val="19"/>
                <w:color w:val="auto"/>
              </w:rPr>
            </w:pPr>
          </w:p>
        </w:tc>
      </w:tr>
      <w:tr>
        <w:trPr>
          <w:trHeight w:val="230"/>
        </w:trPr>
        <w:tc>
          <w:tcPr>
            <w:tcW w:w="4060" w:type="dxa"/>
            <w:vAlign w:val="bottom"/>
            <w:tcBorders>
              <w:bottom w:val="single" w:sz="8" w:color="FEFEFE"/>
            </w:tcBorders>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Other income, net</w:t>
            </w:r>
          </w:p>
        </w:tc>
        <w:tc>
          <w:tcPr>
            <w:tcW w:w="1440" w:type="dxa"/>
            <w:vAlign w:val="bottom"/>
            <w:tcBorders>
              <w:bottom w:val="single" w:sz="8" w:color="FEFEFE"/>
            </w:tcBorders>
            <w:shd w:val="clear" w:color="auto" w:fill="D4EEED"/>
          </w:tcPr>
          <w:p>
            <w:pPr>
              <w:spacing w:after="0"/>
              <w:rPr>
                <w:sz w:val="19"/>
                <w:szCs w:val="19"/>
                <w:color w:val="auto"/>
              </w:rPr>
            </w:pPr>
          </w:p>
        </w:tc>
        <w:tc>
          <w:tcPr>
            <w:tcW w:w="260" w:type="dxa"/>
            <w:vAlign w:val="bottom"/>
            <w:tcBorders>
              <w:bottom w:val="single" w:sz="8" w:color="auto"/>
            </w:tcBorders>
            <w:shd w:val="clear" w:color="auto" w:fill="D4EEED"/>
          </w:tcPr>
          <w:p>
            <w:pPr>
              <w:spacing w:after="0"/>
              <w:rPr>
                <w:sz w:val="19"/>
                <w:szCs w:val="19"/>
                <w:color w:val="auto"/>
              </w:rPr>
            </w:pPr>
          </w:p>
        </w:tc>
        <w:tc>
          <w:tcPr>
            <w:tcW w:w="8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10,286</w:t>
            </w:r>
          </w:p>
        </w:tc>
        <w:tc>
          <w:tcPr>
            <w:tcW w:w="80" w:type="dxa"/>
            <w:vAlign w:val="bottom"/>
            <w:tcBorders>
              <w:bottom w:val="single" w:sz="8" w:color="FEFEFE"/>
            </w:tcBorders>
            <w:shd w:val="clear" w:color="auto" w:fill="D4EEED"/>
          </w:tcPr>
          <w:p>
            <w:pPr>
              <w:spacing w:after="0"/>
              <w:rPr>
                <w:sz w:val="19"/>
                <w:szCs w:val="19"/>
                <w:color w:val="auto"/>
              </w:rPr>
            </w:pPr>
          </w:p>
        </w:tc>
        <w:tc>
          <w:tcPr>
            <w:tcW w:w="120" w:type="dxa"/>
            <w:vAlign w:val="bottom"/>
            <w:tcBorders>
              <w:bottom w:val="single" w:sz="8" w:color="FEFEFE"/>
            </w:tcBorders>
            <w:shd w:val="clear" w:color="auto" w:fill="D4EEED"/>
          </w:tcPr>
          <w:p>
            <w:pPr>
              <w:spacing w:after="0"/>
              <w:rPr>
                <w:sz w:val="19"/>
                <w:szCs w:val="19"/>
                <w:color w:val="auto"/>
              </w:rPr>
            </w:pPr>
          </w:p>
        </w:tc>
        <w:tc>
          <w:tcPr>
            <w:tcW w:w="260" w:type="dxa"/>
            <w:vAlign w:val="bottom"/>
            <w:tcBorders>
              <w:bottom w:val="single" w:sz="8" w:color="auto"/>
            </w:tcBorders>
            <w:shd w:val="clear" w:color="auto" w:fill="D4EEED"/>
          </w:tcPr>
          <w:p>
            <w:pPr>
              <w:spacing w:after="0"/>
              <w:rPr>
                <w:sz w:val="19"/>
                <w:szCs w:val="19"/>
                <w:color w:val="auto"/>
              </w:rPr>
            </w:pPr>
          </w:p>
        </w:tc>
        <w:tc>
          <w:tcPr>
            <w:tcW w:w="8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4,809</w:t>
            </w:r>
          </w:p>
        </w:tc>
        <w:tc>
          <w:tcPr>
            <w:tcW w:w="100" w:type="dxa"/>
            <w:vAlign w:val="bottom"/>
            <w:tcBorders>
              <w:bottom w:val="single" w:sz="8" w:color="FEFEFE"/>
            </w:tcBorders>
            <w:shd w:val="clear" w:color="auto" w:fill="D4EEED"/>
          </w:tcPr>
          <w:p>
            <w:pPr>
              <w:spacing w:after="0"/>
              <w:rPr>
                <w:sz w:val="19"/>
                <w:szCs w:val="19"/>
                <w:color w:val="auto"/>
              </w:rPr>
            </w:pPr>
          </w:p>
        </w:tc>
        <w:tc>
          <w:tcPr>
            <w:tcW w:w="120" w:type="dxa"/>
            <w:vAlign w:val="bottom"/>
            <w:tcBorders>
              <w:bottom w:val="single" w:sz="8" w:color="FEFEFE"/>
            </w:tcBorders>
            <w:shd w:val="clear" w:color="auto" w:fill="D4EEED"/>
          </w:tcPr>
          <w:p>
            <w:pPr>
              <w:spacing w:after="0"/>
              <w:rPr>
                <w:sz w:val="19"/>
                <w:szCs w:val="19"/>
                <w:color w:val="auto"/>
              </w:rPr>
            </w:pPr>
          </w:p>
        </w:tc>
        <w:tc>
          <w:tcPr>
            <w:tcW w:w="160" w:type="dxa"/>
            <w:vAlign w:val="bottom"/>
            <w:tcBorders>
              <w:bottom w:val="single" w:sz="8" w:color="auto"/>
            </w:tcBorders>
            <w:shd w:val="clear" w:color="auto" w:fill="D4EEED"/>
          </w:tcPr>
          <w:p>
            <w:pPr>
              <w:spacing w:after="0"/>
              <w:rPr>
                <w:sz w:val="19"/>
                <w:szCs w:val="19"/>
                <w:color w:val="auto"/>
              </w:rPr>
            </w:pPr>
          </w:p>
        </w:tc>
        <w:tc>
          <w:tcPr>
            <w:tcW w:w="94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5,477</w:t>
            </w:r>
          </w:p>
        </w:tc>
        <w:tc>
          <w:tcPr>
            <w:tcW w:w="100" w:type="dxa"/>
            <w:vAlign w:val="bottom"/>
            <w:tcBorders>
              <w:bottom w:val="single" w:sz="8" w:color="FEFEFE"/>
            </w:tcBorders>
            <w:shd w:val="clear" w:color="auto" w:fill="D4EEED"/>
          </w:tcPr>
          <w:p>
            <w:pPr>
              <w:spacing w:after="0"/>
              <w:rPr>
                <w:sz w:val="19"/>
                <w:szCs w:val="19"/>
                <w:color w:val="auto"/>
              </w:rPr>
            </w:pPr>
          </w:p>
        </w:tc>
      </w:tr>
      <w:tr>
        <w:trPr>
          <w:trHeight w:val="220"/>
        </w:trPr>
        <w:tc>
          <w:tcPr>
            <w:tcW w:w="4060" w:type="dxa"/>
            <w:vAlign w:val="bottom"/>
            <w:shd w:val="clear" w:color="auto" w:fill="FEFEFE"/>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1440" w:type="dxa"/>
            <w:vAlign w:val="bottom"/>
            <w:shd w:val="clear" w:color="auto" w:fill="FEFEFE"/>
          </w:tcPr>
          <w:p>
            <w:pPr>
              <w:spacing w:after="0"/>
              <w:rPr>
                <w:sz w:val="19"/>
                <w:szCs w:val="19"/>
                <w:color w:val="auto"/>
              </w:rPr>
            </w:pPr>
          </w:p>
        </w:tc>
        <w:tc>
          <w:tcPr>
            <w:tcW w:w="260" w:type="dxa"/>
            <w:vAlign w:val="bottom"/>
            <w:tcBorders>
              <w:bottom w:val="single" w:sz="8" w:color="auto"/>
            </w:tcBorders>
            <w:shd w:val="clear" w:color="auto" w:fill="FEFEFE"/>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86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white"/>
              </w:rPr>
              <w:t>(80,604</w:t>
            </w:r>
          </w:p>
        </w:tc>
        <w:tc>
          <w:tcPr>
            <w:tcW w:w="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FEFEFE"/>
          </w:tcPr>
          <w:p>
            <w:pPr>
              <w:spacing w:after="0"/>
              <w:rPr>
                <w:sz w:val="19"/>
                <w:szCs w:val="19"/>
                <w:color w:val="auto"/>
              </w:rPr>
            </w:pPr>
          </w:p>
        </w:tc>
        <w:tc>
          <w:tcPr>
            <w:tcW w:w="260" w:type="dxa"/>
            <w:vAlign w:val="bottom"/>
            <w:tcBorders>
              <w:bottom w:val="single" w:sz="8" w:color="auto"/>
            </w:tcBorders>
            <w:shd w:val="clear" w:color="auto" w:fill="FEFEFE"/>
          </w:tcPr>
          <w:p>
            <w:pPr>
              <w:jc w:val="right"/>
              <w:ind w:right="70"/>
              <w:spacing w:after="0" w:line="220"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86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white"/>
              </w:rPr>
              <w:t>(36,949</w:t>
            </w:r>
          </w:p>
        </w:tc>
        <w:tc>
          <w:tcPr>
            <w:tcW w:w="1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FEFEFE"/>
          </w:tcPr>
          <w:p>
            <w:pPr>
              <w:spacing w:after="0"/>
              <w:rPr>
                <w:sz w:val="19"/>
                <w:szCs w:val="19"/>
                <w:color w:val="auto"/>
              </w:rPr>
            </w:pPr>
          </w:p>
        </w:tc>
        <w:tc>
          <w:tcPr>
            <w:tcW w:w="16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94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white"/>
              </w:rPr>
              <w:t>(43,655</w:t>
            </w:r>
          </w:p>
        </w:tc>
        <w:tc>
          <w:tcPr>
            <w:tcW w:w="100" w:type="dxa"/>
            <w:vAlign w:val="bottom"/>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highlight w:val="white"/>
                <w:w w:val="89"/>
              </w:rPr>
              <w:t>)</w:t>
            </w:r>
          </w:p>
        </w:tc>
      </w:tr>
      <w:tr>
        <w:trPr>
          <w:trHeight w:val="20"/>
        </w:trPr>
        <w:tc>
          <w:tcPr>
            <w:tcW w:w="4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15" w:lineRule="exact"/>
        <w:rPr>
          <w:sz w:val="20"/>
          <w:szCs w:val="20"/>
          <w:color w:val="auto"/>
        </w:rPr>
      </w:pPr>
    </w:p>
    <w:p>
      <w:pPr>
        <w:ind w:left="360" w:right="420" w:firstLine="490"/>
        <w:spacing w:after="0" w:line="299" w:lineRule="auto"/>
        <w:rPr>
          <w:sz w:val="20"/>
          <w:szCs w:val="20"/>
          <w:color w:val="auto"/>
        </w:rPr>
      </w:pPr>
      <w:r>
        <w:rPr>
          <w:rFonts w:ascii="Times New Roman" w:cs="Times New Roman" w:eastAsia="Times New Roman" w:hAnsi="Times New Roman"/>
          <w:sz w:val="19"/>
          <w:szCs w:val="19"/>
          <w:color w:val="auto"/>
        </w:rPr>
        <w:t>Research and development expenses for the twelve months ended December 31, 2024 increased $45.6 million compared to the twelve months ended December 31, 2023 due to continued and increased clinical development of</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960" w:h="17280" w:orient="portrait"/>
          <w:cols w:equalWidth="0" w:num="1">
            <w:col w:w="10080"/>
          </w:cols>
          <w:pgMar w:left="1440" w:top="1440" w:right="1440" w:bottom="895"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right="380"/>
        <w:spacing w:after="0" w:line="238" w:lineRule="auto"/>
        <w:rPr>
          <w:sz w:val="20"/>
          <w:szCs w:val="20"/>
          <w:color w:val="auto"/>
        </w:rPr>
      </w:pPr>
      <w:r>
        <w:rPr>
          <w:rFonts w:ascii="Times New Roman" w:cs="Times New Roman" w:eastAsia="Times New Roman" w:hAnsi="Times New Roman"/>
          <w:sz w:val="20"/>
          <w:szCs w:val="20"/>
          <w:color w:val="auto"/>
        </w:rPr>
        <w:t>nomlabofusp and related regulatory and bioanalysis. The increase in research and development expenses was primarily driven by an increase of $36.1 million in nomlabofusp manufacturing costs including production scale-up, costs and manufacturing costs related to producing drug product doses to be used in ongoing and planned clinical trials, an increase of $4.5 million in personnel expense due to increased clinical, regulatory, quality and manufacturing headcount, an increase of $1.3 million of professional fees related to regulatory, quality, medical, and clinical consulting costs, an increase of $1.2 million in clinical costs primarily associated with the OLE study which began dosing patients in the first quarter of 2024, an increase of $1.0 million in stock compensation costs associated with the incremental 2024 grants for existing and new employees, an increase of $0.9 million related to our participation in the Friedreich’s Ataxia Research Alliance's ("FARA's") TRACK-FA Neuroimaging Consortium conducting a natural history study designed to establish disease-specific neuroimaging biomarkers to track disease progression in the brain and spinal cord and provide a basis for utilizing these biomarkers in clinical trials, an increase of $0.3 million in internal lab costs related primarily to gene expression and lipid studies and an increase of $0.2 million in facility costs associated with the new lab space.</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15" w:lineRule="exact"/>
        <w:rPr>
          <w:sz w:val="20"/>
          <w:szCs w:val="20"/>
          <w:color w:val="auto"/>
        </w:rPr>
      </w:pPr>
    </w:p>
    <w:p>
      <w:pPr>
        <w:ind w:left="360" w:right="420" w:firstLine="490"/>
        <w:spacing w:after="0" w:line="241" w:lineRule="auto"/>
        <w:rPr>
          <w:sz w:val="20"/>
          <w:szCs w:val="20"/>
          <w:color w:val="auto"/>
        </w:rPr>
      </w:pPr>
      <w:r>
        <w:rPr>
          <w:rFonts w:ascii="Times New Roman" w:cs="Times New Roman" w:eastAsia="Times New Roman" w:hAnsi="Times New Roman"/>
          <w:sz w:val="20"/>
          <w:szCs w:val="20"/>
          <w:color w:val="auto"/>
        </w:rPr>
        <w:t>General and administrative expenses for the twelve months ended December 31, 2024 increased $3.5 million compared to the twelve months ended December 31, 2023. The increase in general and administrative expenses was primarily driven by an increase of $1.5 million in professional fees primarily related to consulting costs related to commercial activity and other public company related expenses, an increase of $1.4 million in personnel expense due to increased headcount, an increase of $0.4 million of other expense related to computer software, information technology services and recruiting and an increase of $0.2 million in stock compensation costs associated with 2024 grants to existing and new employee grants.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115" w:lineRule="exact"/>
        <w:rPr>
          <w:sz w:val="20"/>
          <w:szCs w:val="20"/>
          <w:color w:val="auto"/>
        </w:rPr>
      </w:pPr>
    </w:p>
    <w:p>
      <w:pPr>
        <w:jc w:val="both"/>
        <w:ind w:left="360" w:right="520" w:firstLine="490"/>
        <w:spacing w:after="0" w:line="253" w:lineRule="auto"/>
        <w:rPr>
          <w:sz w:val="20"/>
          <w:szCs w:val="20"/>
          <w:color w:val="auto"/>
        </w:rPr>
      </w:pPr>
      <w:r>
        <w:rPr>
          <w:rFonts w:ascii="Times New Roman" w:cs="Times New Roman" w:eastAsia="Times New Roman" w:hAnsi="Times New Roman"/>
          <w:sz w:val="20"/>
          <w:szCs w:val="20"/>
          <w:color w:val="auto"/>
        </w:rPr>
        <w:t>Other income, net was $10.3 million of income in the twelve months ended December 31, 2024 compared to $4.8 million in the twelve months ended December 31, 2023. The increase primarily relates to interest income on a higher investment base and higher investment yields on that base during the current period.</w:t>
      </w:r>
    </w:p>
    <w:p>
      <w:pPr>
        <w:spacing w:after="0" w:line="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9" w:lineRule="exact"/>
        <w:rPr>
          <w:sz w:val="20"/>
          <w:szCs w:val="20"/>
          <w:color w:val="auto"/>
        </w:rPr>
      </w:pPr>
    </w:p>
    <w:p>
      <w:pPr>
        <w:ind w:left="360" w:right="400" w:firstLine="490"/>
        <w:spacing w:after="0" w:line="244" w:lineRule="auto"/>
        <w:rPr>
          <w:sz w:val="20"/>
          <w:szCs w:val="20"/>
          <w:color w:val="auto"/>
        </w:rPr>
      </w:pPr>
      <w:r>
        <w:rPr>
          <w:rFonts w:ascii="Times New Roman" w:cs="Times New Roman" w:eastAsia="Times New Roman" w:hAnsi="Times New Roman"/>
          <w:sz w:val="20"/>
          <w:szCs w:val="20"/>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nomlabofusp, building our intellectual property portfolio, developing third-party manufacturing capabilities, business planning, capital raising, and providing general and administrative support for such operations.</w:t>
      </w:r>
    </w:p>
    <w:p>
      <w:pPr>
        <w:spacing w:after="0" w:line="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following table summarizes our sources and uses of cash for each of the periods presented below:</w:t>
      </w: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5920" w:type="dxa"/>
            <w:vAlign w:val="bottom"/>
            <w:shd w:val="clear" w:color="auto" w:fill="FEFEFE"/>
          </w:tcPr>
          <w:p>
            <w:pPr>
              <w:spacing w:after="0"/>
              <w:rPr>
                <w:sz w:val="16"/>
                <w:szCs w:val="16"/>
                <w:color w:val="auto"/>
              </w:rPr>
            </w:pPr>
          </w:p>
        </w:tc>
        <w:tc>
          <w:tcPr>
            <w:tcW w:w="500" w:type="dxa"/>
            <w:vAlign w:val="bottom"/>
            <w:shd w:val="clear" w:color="auto" w:fill="FEFEFE"/>
          </w:tcPr>
          <w:p>
            <w:pPr>
              <w:spacing w:after="0"/>
              <w:rPr>
                <w:sz w:val="16"/>
                <w:szCs w:val="16"/>
                <w:color w:val="auto"/>
              </w:rPr>
            </w:pPr>
          </w:p>
        </w:tc>
        <w:tc>
          <w:tcPr>
            <w:tcW w:w="300" w:type="dxa"/>
            <w:vAlign w:val="bottom"/>
            <w:shd w:val="clear" w:color="auto" w:fill="FEFEFE"/>
          </w:tcPr>
          <w:p>
            <w:pPr>
              <w:spacing w:after="0"/>
              <w:rPr>
                <w:sz w:val="16"/>
                <w:szCs w:val="16"/>
                <w:color w:val="auto"/>
              </w:rPr>
            </w:pPr>
          </w:p>
        </w:tc>
        <w:tc>
          <w:tcPr>
            <w:tcW w:w="2640" w:type="dxa"/>
            <w:vAlign w:val="bottom"/>
            <w:gridSpan w:val="6"/>
            <w:shd w:val="clear" w:color="auto" w:fill="FEFEFE"/>
          </w:tcPr>
          <w:p>
            <w:pPr>
              <w:ind w:left="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5920" w:type="dxa"/>
            <w:vAlign w:val="bottom"/>
            <w:tcBorders>
              <w:top w:val="single" w:sz="8" w:color="FEFEFE"/>
              <w:bottom w:val="single" w:sz="8" w:color="FEFEFE"/>
            </w:tcBorders>
            <w:shd w:val="clear" w:color="auto" w:fill="FEFEFE"/>
          </w:tcPr>
          <w:p>
            <w:pPr>
              <w:spacing w:after="0"/>
              <w:rPr>
                <w:sz w:val="15"/>
                <w:szCs w:val="15"/>
                <w:color w:val="auto"/>
              </w:rPr>
            </w:pPr>
          </w:p>
        </w:tc>
        <w:tc>
          <w:tcPr>
            <w:tcW w:w="500" w:type="dxa"/>
            <w:vAlign w:val="bottom"/>
            <w:tcBorders>
              <w:top w:val="single" w:sz="8" w:color="FEFEFE"/>
              <w:bottom w:val="single" w:sz="8" w:color="FEFEFE"/>
            </w:tcBorders>
            <w:shd w:val="clear" w:color="auto" w:fill="FEFEFE"/>
          </w:tcPr>
          <w:p>
            <w:pPr>
              <w:spacing w:after="0"/>
              <w:rPr>
                <w:sz w:val="15"/>
                <w:szCs w:val="15"/>
                <w:color w:val="auto"/>
              </w:rPr>
            </w:pPr>
          </w:p>
        </w:tc>
        <w:tc>
          <w:tcPr>
            <w:tcW w:w="300" w:type="dxa"/>
            <w:vAlign w:val="bottom"/>
            <w:tcBorders>
              <w:top w:val="single" w:sz="8" w:color="auto"/>
              <w:bottom w:val="single" w:sz="8" w:color="auto"/>
            </w:tcBorders>
            <w:shd w:val="clear" w:color="auto" w:fill="FEFEFE"/>
          </w:tcPr>
          <w:p>
            <w:pPr>
              <w:spacing w:after="0"/>
              <w:rPr>
                <w:sz w:val="15"/>
                <w:szCs w:val="15"/>
                <w:color w:val="auto"/>
              </w:rPr>
            </w:pPr>
          </w:p>
        </w:tc>
        <w:tc>
          <w:tcPr>
            <w:tcW w:w="1000" w:type="dxa"/>
            <w:vAlign w:val="bottom"/>
            <w:tcBorders>
              <w:top w:val="single" w:sz="8" w:color="auto"/>
              <w:bottom w:val="single" w:sz="8" w:color="auto"/>
            </w:tcBorders>
            <w:shd w:val="clear" w:color="auto" w:fill="FEFEFE"/>
          </w:tcPr>
          <w:p>
            <w:pPr>
              <w:jc w:val="right"/>
              <w:ind w:right="409"/>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FEFEFE"/>
            </w:tcBorders>
            <w:shd w:val="clear" w:color="auto" w:fill="FEFEFE"/>
          </w:tcPr>
          <w:p>
            <w:pPr>
              <w:spacing w:after="0"/>
              <w:rPr>
                <w:sz w:val="15"/>
                <w:szCs w:val="15"/>
                <w:color w:val="auto"/>
              </w:rPr>
            </w:pPr>
          </w:p>
        </w:tc>
        <w:tc>
          <w:tcPr>
            <w:tcW w:w="140" w:type="dxa"/>
            <w:vAlign w:val="bottom"/>
            <w:tcBorders>
              <w:top w:val="single" w:sz="8" w:color="auto"/>
              <w:bottom w:val="single" w:sz="8" w:color="FEFEFE"/>
            </w:tcBorders>
            <w:shd w:val="clear" w:color="auto" w:fill="FEFEFE"/>
          </w:tcPr>
          <w:p>
            <w:pPr>
              <w:spacing w:after="0"/>
              <w:rPr>
                <w:sz w:val="15"/>
                <w:szCs w:val="15"/>
                <w:color w:val="auto"/>
              </w:rPr>
            </w:pPr>
          </w:p>
        </w:tc>
        <w:tc>
          <w:tcPr>
            <w:tcW w:w="420" w:type="dxa"/>
            <w:vAlign w:val="bottom"/>
            <w:tcBorders>
              <w:top w:val="single" w:sz="8" w:color="auto"/>
              <w:bottom w:val="single" w:sz="8" w:color="auto"/>
            </w:tcBorders>
            <w:shd w:val="clear" w:color="auto" w:fill="FEFEFE"/>
          </w:tcPr>
          <w:p>
            <w:pPr>
              <w:spacing w:after="0"/>
              <w:rPr>
                <w:sz w:val="15"/>
                <w:szCs w:val="15"/>
                <w:color w:val="auto"/>
              </w:rPr>
            </w:pPr>
          </w:p>
        </w:tc>
        <w:tc>
          <w:tcPr>
            <w:tcW w:w="880" w:type="dxa"/>
            <w:vAlign w:val="bottom"/>
            <w:tcBorders>
              <w:top w:val="single" w:sz="8" w:color="auto"/>
              <w:bottom w:val="single" w:sz="8" w:color="auto"/>
            </w:tcBorders>
            <w:shd w:val="clear" w:color="auto" w:fill="FEFEFE"/>
          </w:tcPr>
          <w:p>
            <w:pPr>
              <w:jc w:val="right"/>
              <w:ind w:right="384"/>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FEFEFE"/>
              <w:bottom w:val="single" w:sz="8" w:color="FEFEFE"/>
            </w:tcBorders>
            <w:shd w:val="clear" w:color="auto" w:fill="FEFEFE"/>
          </w:tcPr>
          <w:p>
            <w:pPr>
              <w:spacing w:after="0"/>
              <w:rPr>
                <w:sz w:val="15"/>
                <w:szCs w:val="15"/>
                <w:color w:val="auto"/>
              </w:rPr>
            </w:pPr>
          </w:p>
        </w:tc>
      </w:tr>
      <w:tr>
        <w:trPr>
          <w:trHeight w:val="174"/>
        </w:trPr>
        <w:tc>
          <w:tcPr>
            <w:tcW w:w="5920" w:type="dxa"/>
            <w:vAlign w:val="bottom"/>
            <w:shd w:val="clear" w:color="auto" w:fill="FEFEFE"/>
          </w:tcPr>
          <w:p>
            <w:pPr>
              <w:spacing w:after="0"/>
              <w:rPr>
                <w:sz w:val="15"/>
                <w:szCs w:val="15"/>
                <w:color w:val="auto"/>
              </w:rPr>
            </w:pPr>
          </w:p>
        </w:tc>
        <w:tc>
          <w:tcPr>
            <w:tcW w:w="500" w:type="dxa"/>
            <w:vAlign w:val="bottom"/>
            <w:shd w:val="clear" w:color="auto" w:fill="FEFEFE"/>
          </w:tcPr>
          <w:p>
            <w:pPr>
              <w:spacing w:after="0"/>
              <w:rPr>
                <w:sz w:val="15"/>
                <w:szCs w:val="15"/>
                <w:color w:val="auto"/>
              </w:rPr>
            </w:pPr>
          </w:p>
        </w:tc>
        <w:tc>
          <w:tcPr>
            <w:tcW w:w="300" w:type="dxa"/>
            <w:vAlign w:val="bottom"/>
            <w:shd w:val="clear" w:color="auto" w:fill="FEFEFE"/>
          </w:tcPr>
          <w:p>
            <w:pPr>
              <w:spacing w:after="0"/>
              <w:rPr>
                <w:sz w:val="15"/>
                <w:szCs w:val="15"/>
                <w:color w:val="auto"/>
              </w:rPr>
            </w:pPr>
          </w:p>
        </w:tc>
        <w:tc>
          <w:tcPr>
            <w:tcW w:w="1000" w:type="dxa"/>
            <w:vAlign w:val="bottom"/>
            <w:shd w:val="clear" w:color="auto" w:fill="FEFEFE"/>
          </w:tcPr>
          <w:p>
            <w:pPr>
              <w:jc w:val="right"/>
              <w:ind w:right="89"/>
              <w:spacing w:after="0" w:line="174" w:lineRule="exact"/>
              <w:rPr>
                <w:sz w:val="20"/>
                <w:szCs w:val="20"/>
                <w:color w:val="auto"/>
              </w:rPr>
            </w:pPr>
            <w:r>
              <w:rPr>
                <w:rFonts w:ascii="Times New Roman" w:cs="Times New Roman" w:eastAsia="Times New Roman" w:hAnsi="Times New Roman"/>
                <w:sz w:val="16"/>
                <w:szCs w:val="16"/>
                <w:b w:val="1"/>
                <w:bCs w:val="1"/>
                <w:color w:val="auto"/>
              </w:rPr>
              <w:t>(in</w:t>
            </w:r>
          </w:p>
        </w:tc>
        <w:tc>
          <w:tcPr>
            <w:tcW w:w="660" w:type="dxa"/>
            <w:vAlign w:val="bottom"/>
            <w:gridSpan w:val="3"/>
            <w:shd w:val="clear" w:color="auto" w:fill="FEFEFE"/>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80"/>
              </w:rPr>
              <w:t>thousands)</w:t>
            </w:r>
          </w:p>
        </w:tc>
        <w:tc>
          <w:tcPr>
            <w:tcW w:w="88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r>
      <w:tr>
        <w:trPr>
          <w:trHeight w:val="230"/>
        </w:trPr>
        <w:tc>
          <w:tcPr>
            <w:tcW w:w="59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800" w:type="dxa"/>
            <w:vAlign w:val="bottom"/>
            <w:gridSpan w:val="2"/>
            <w:shd w:val="clear" w:color="auto" w:fill="D4EEE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(70,760)</w:t>
            </w:r>
          </w:p>
        </w:tc>
        <w:tc>
          <w:tcPr>
            <w:tcW w:w="560" w:type="dxa"/>
            <w:vAlign w:val="bottom"/>
            <w:gridSpan w:val="2"/>
            <w:shd w:val="clear" w:color="auto" w:fill="D4EEED"/>
          </w:tcPr>
          <w:p>
            <w:pPr>
              <w:jc w:val="center"/>
              <w:ind w:right="8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(33,459)</w:t>
            </w:r>
          </w:p>
        </w:tc>
        <w:tc>
          <w:tcPr>
            <w:tcW w:w="100" w:type="dxa"/>
            <w:vAlign w:val="bottom"/>
            <w:shd w:val="clear" w:color="auto" w:fill="D4EEED"/>
          </w:tcPr>
          <w:p>
            <w:pPr>
              <w:spacing w:after="0"/>
              <w:rPr>
                <w:sz w:val="19"/>
                <w:szCs w:val="19"/>
                <w:color w:val="auto"/>
              </w:rPr>
            </w:pPr>
          </w:p>
        </w:tc>
      </w:tr>
      <w:tr>
        <w:trPr>
          <w:trHeight w:val="230"/>
        </w:trPr>
        <w:tc>
          <w:tcPr>
            <w:tcW w:w="59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500" w:type="dxa"/>
            <w:vAlign w:val="bottom"/>
            <w:shd w:val="clear" w:color="auto" w:fill="FEFEFE"/>
          </w:tcPr>
          <w:p>
            <w:pPr>
              <w:spacing w:after="0"/>
              <w:rPr>
                <w:sz w:val="19"/>
                <w:szCs w:val="19"/>
                <w:color w:val="auto"/>
              </w:rPr>
            </w:pPr>
          </w:p>
        </w:tc>
        <w:tc>
          <w:tcPr>
            <w:tcW w:w="300" w:type="dxa"/>
            <w:vAlign w:val="bottom"/>
            <w:shd w:val="clear" w:color="auto" w:fill="FEFEFE"/>
          </w:tcPr>
          <w:p>
            <w:pPr>
              <w:spacing w:after="0"/>
              <w:rPr>
                <w:sz w:val="19"/>
                <w:szCs w:val="19"/>
                <w:color w:val="auto"/>
              </w:rPr>
            </w:pPr>
          </w:p>
        </w:tc>
        <w:tc>
          <w:tcPr>
            <w:tcW w:w="110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(85,387)</w:t>
            </w:r>
          </w:p>
        </w:tc>
        <w:tc>
          <w:tcPr>
            <w:tcW w:w="140" w:type="dxa"/>
            <w:vAlign w:val="bottom"/>
            <w:shd w:val="clear" w:color="auto" w:fill="FEFEFE"/>
          </w:tcPr>
          <w:p>
            <w:pPr>
              <w:spacing w:after="0"/>
              <w:rPr>
                <w:sz w:val="19"/>
                <w:szCs w:val="19"/>
                <w:color w:val="auto"/>
              </w:rPr>
            </w:pPr>
          </w:p>
        </w:tc>
        <w:tc>
          <w:tcPr>
            <w:tcW w:w="420" w:type="dxa"/>
            <w:vAlign w:val="bottom"/>
            <w:shd w:val="clear" w:color="auto" w:fill="FEFEFE"/>
          </w:tcPr>
          <w:p>
            <w:pPr>
              <w:spacing w:after="0"/>
              <w:rPr>
                <w:sz w:val="19"/>
                <w:szCs w:val="19"/>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33,353</w:t>
            </w:r>
          </w:p>
        </w:tc>
        <w:tc>
          <w:tcPr>
            <w:tcW w:w="100" w:type="dxa"/>
            <w:vAlign w:val="bottom"/>
            <w:shd w:val="clear" w:color="auto" w:fill="FEFEFE"/>
          </w:tcPr>
          <w:p>
            <w:pPr>
              <w:spacing w:after="0"/>
              <w:rPr>
                <w:sz w:val="19"/>
                <w:szCs w:val="19"/>
                <w:color w:val="auto"/>
              </w:rPr>
            </w:pPr>
          </w:p>
        </w:tc>
      </w:tr>
      <w:tr>
        <w:trPr>
          <w:trHeight w:val="230"/>
        </w:trPr>
        <w:tc>
          <w:tcPr>
            <w:tcW w:w="5920" w:type="dxa"/>
            <w:vAlign w:val="bottom"/>
            <w:tcBorders>
              <w:bottom w:val="single" w:sz="8" w:color="FEFEFE"/>
            </w:tcBorders>
            <w:shd w:val="clear" w:color="auto" w:fill="D4EEED"/>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500" w:type="dxa"/>
            <w:vAlign w:val="bottom"/>
            <w:tcBorders>
              <w:bottom w:val="single" w:sz="8" w:color="FEFEFE"/>
            </w:tcBorders>
            <w:shd w:val="clear" w:color="auto" w:fill="D4EEED"/>
          </w:tcPr>
          <w:p>
            <w:pPr>
              <w:spacing w:after="0"/>
              <w:rPr>
                <w:sz w:val="19"/>
                <w:szCs w:val="19"/>
                <w:color w:val="auto"/>
              </w:rPr>
            </w:pPr>
          </w:p>
        </w:tc>
        <w:tc>
          <w:tcPr>
            <w:tcW w:w="300" w:type="dxa"/>
            <w:vAlign w:val="bottom"/>
            <w:tcBorders>
              <w:bottom w:val="single" w:sz="8" w:color="auto"/>
            </w:tcBorders>
            <w:shd w:val="clear" w:color="auto" w:fill="D4EEED"/>
          </w:tcPr>
          <w:p>
            <w:pPr>
              <w:spacing w:after="0"/>
              <w:rPr>
                <w:sz w:val="19"/>
                <w:szCs w:val="19"/>
                <w:color w:val="auto"/>
              </w:rPr>
            </w:pPr>
          </w:p>
        </w:tc>
        <w:tc>
          <w:tcPr>
            <w:tcW w:w="100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161,883</w:t>
            </w:r>
          </w:p>
        </w:tc>
        <w:tc>
          <w:tcPr>
            <w:tcW w:w="100" w:type="dxa"/>
            <w:vAlign w:val="bottom"/>
            <w:tcBorders>
              <w:bottom w:val="single" w:sz="8" w:color="FEFEFE"/>
            </w:tcBorders>
            <w:shd w:val="clear" w:color="auto" w:fill="D4EEED"/>
          </w:tcPr>
          <w:p>
            <w:pPr>
              <w:spacing w:after="0"/>
              <w:rPr>
                <w:sz w:val="19"/>
                <w:szCs w:val="19"/>
                <w:color w:val="auto"/>
              </w:rPr>
            </w:pPr>
          </w:p>
        </w:tc>
        <w:tc>
          <w:tcPr>
            <w:tcW w:w="140" w:type="dxa"/>
            <w:vAlign w:val="bottom"/>
            <w:tcBorders>
              <w:bottom w:val="single" w:sz="8" w:color="FEFEFE"/>
            </w:tcBorders>
            <w:shd w:val="clear" w:color="auto" w:fill="D4EEED"/>
          </w:tcPr>
          <w:p>
            <w:pPr>
              <w:spacing w:after="0"/>
              <w:rPr>
                <w:sz w:val="19"/>
                <w:szCs w:val="19"/>
                <w:color w:val="auto"/>
              </w:rPr>
            </w:pPr>
          </w:p>
        </w:tc>
        <w:tc>
          <w:tcPr>
            <w:tcW w:w="420" w:type="dxa"/>
            <w:vAlign w:val="bottom"/>
            <w:tcBorders>
              <w:bottom w:val="single" w:sz="8" w:color="auto"/>
            </w:tcBorders>
            <w:shd w:val="clear" w:color="auto" w:fill="D4EEED"/>
          </w:tcPr>
          <w:p>
            <w:pPr>
              <w:spacing w:after="0"/>
              <w:rPr>
                <w:sz w:val="19"/>
                <w:szCs w:val="19"/>
                <w:color w:val="auto"/>
              </w:rPr>
            </w:pPr>
          </w:p>
        </w:tc>
        <w:tc>
          <w:tcPr>
            <w:tcW w:w="8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tcBorders>
              <w:bottom w:val="single" w:sz="8" w:color="FEFEFE"/>
            </w:tcBorders>
            <w:shd w:val="clear" w:color="auto" w:fill="D4EEED"/>
          </w:tcPr>
          <w:p>
            <w:pPr>
              <w:spacing w:after="0"/>
              <w:rPr>
                <w:sz w:val="19"/>
                <w:szCs w:val="19"/>
                <w:color w:val="auto"/>
              </w:rPr>
            </w:pPr>
          </w:p>
        </w:tc>
      </w:tr>
      <w:tr>
        <w:trPr>
          <w:trHeight w:val="220"/>
        </w:trPr>
        <w:tc>
          <w:tcPr>
            <w:tcW w:w="5920" w:type="dxa"/>
            <w:vAlign w:val="bottom"/>
            <w:shd w:val="clear" w:color="auto" w:fill="FEFEFE"/>
          </w:tcPr>
          <w:p>
            <w:pPr>
              <w:spacing w:after="0" w:line="220" w:lineRule="exact"/>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500" w:type="dxa"/>
            <w:vAlign w:val="bottom"/>
            <w:shd w:val="clear" w:color="auto" w:fill="FEFEFE"/>
          </w:tcPr>
          <w:p>
            <w:pPr>
              <w:spacing w:after="0"/>
              <w:rPr>
                <w:sz w:val="19"/>
                <w:szCs w:val="19"/>
                <w:color w:val="auto"/>
              </w:rPr>
            </w:pPr>
          </w:p>
        </w:tc>
        <w:tc>
          <w:tcPr>
            <w:tcW w:w="300" w:type="dxa"/>
            <w:vAlign w:val="bottom"/>
            <w:tcBorders>
              <w:bottom w:val="single" w:sz="8" w:color="auto"/>
            </w:tcBorders>
            <w:shd w:val="clear" w:color="auto" w:fill="FEFEFE"/>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5,736</w:t>
            </w:r>
          </w:p>
        </w:tc>
        <w:tc>
          <w:tcPr>
            <w:tcW w:w="1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420" w:type="dxa"/>
            <w:vAlign w:val="bottom"/>
            <w:tcBorders>
              <w:bottom w:val="single" w:sz="8" w:color="auto"/>
            </w:tcBorders>
            <w:shd w:val="clear" w:color="auto" w:fill="FEFEFE"/>
          </w:tcPr>
          <w:p>
            <w:pPr>
              <w:jc w:val="center"/>
              <w:ind w:right="22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bottom w:val="single" w:sz="8" w:color="auto"/>
            </w:tcBorders>
            <w:shd w:val="clear" w:color="auto" w:fill="FEFEFE"/>
          </w:tcPr>
          <w:p>
            <w:pPr>
              <w:jc w:val="right"/>
              <w:spacing w:after="0" w:line="220" w:lineRule="exact"/>
              <w:rPr>
                <w:sz w:val="20"/>
                <w:szCs w:val="20"/>
                <w:color w:val="auto"/>
              </w:rPr>
            </w:pPr>
            <w:r>
              <w:rPr>
                <w:rFonts w:ascii="Times New Roman" w:cs="Times New Roman" w:eastAsia="Times New Roman" w:hAnsi="Times New Roman"/>
                <w:sz w:val="20"/>
                <w:szCs w:val="20"/>
                <w:color w:val="auto"/>
              </w:rPr>
              <w:t>(76)</w:t>
            </w:r>
          </w:p>
        </w:tc>
        <w:tc>
          <w:tcPr>
            <w:tcW w:w="100" w:type="dxa"/>
            <w:vAlign w:val="bottom"/>
            <w:shd w:val="clear" w:color="auto" w:fill="FEFEFE"/>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Net cash used in operating activities</w:t>
      </w:r>
    </w:p>
    <w:p>
      <w:pPr>
        <w:spacing w:after="0" w:line="118" w:lineRule="exact"/>
        <w:rPr>
          <w:sz w:val="20"/>
          <w:szCs w:val="20"/>
          <w:color w:val="auto"/>
        </w:rPr>
      </w:pPr>
    </w:p>
    <w:p>
      <w:pPr>
        <w:ind w:left="360" w:right="360" w:firstLine="49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2024, net operating activities used $70.8 million of cash, resulting from our net loss of $80.6 million, adjusted for noncash expenses of $3.7 million, and changes in our operating assets and liabilities provided cash of $6.2 million. Our net loss was attributed to operating expenses of $90.9 million, offset by other income (net) of $10.3 million. The change in operating assets and liabilities was primarily due to an increase in accounts payable, an increase in accrued expenses and offset by an increase in prepaid assets, all associated with increasing expenditures and development activity.</w:t>
      </w:r>
    </w:p>
    <w:p>
      <w:pPr>
        <w:spacing w:after="0" w:line="80" w:lineRule="exact"/>
        <w:rPr>
          <w:sz w:val="20"/>
          <w:szCs w:val="20"/>
          <w:color w:val="auto"/>
        </w:rPr>
      </w:pPr>
    </w:p>
    <w:p>
      <w:pPr>
        <w:ind w:left="360" w:right="480" w:firstLine="49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operating activities used $33.5 million of cash, resulting from our net loss of $36.9 million, adjusted for noncash expenses of $6.0 million, and changes in our operating assets and liabilities resulting in a use of cash of $2.5 million. Our net loss was attributed to operating expenses of $41.8</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960" w:h="17280" w:orient="portrait"/>
          <w:cols w:equalWidth="0" w:num="1">
            <w:col w:w="10080"/>
          </w:cols>
          <w:pgMar w:left="1440" w:top="1440" w:right="1440" w:bottom="895" w:gutter="0" w:footer="0" w:header="0"/>
          <w:type w:val="continuous"/>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80"/>
        <w:spacing w:after="0" w:line="277" w:lineRule="auto"/>
        <w:rPr>
          <w:sz w:val="20"/>
          <w:szCs w:val="20"/>
          <w:color w:val="auto"/>
        </w:rPr>
      </w:pPr>
      <w:r>
        <w:rPr>
          <w:rFonts w:ascii="Times New Roman" w:cs="Times New Roman" w:eastAsia="Times New Roman" w:hAnsi="Times New Roman"/>
          <w:sz w:val="20"/>
          <w:szCs w:val="20"/>
          <w:color w:val="auto"/>
        </w:rPr>
        <w:t>million, offset by other income (net) of $4.8 million. The change in operating assets and liabilities was primarily due to a decrease in accounts payable and accrued expenses and an increase in prepaid assets.</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Net cash provided by (used in) investing activities</w:t>
      </w:r>
    </w:p>
    <w:p>
      <w:pPr>
        <w:spacing w:after="0" w:line="118" w:lineRule="exact"/>
        <w:rPr>
          <w:sz w:val="20"/>
          <w:szCs w:val="20"/>
          <w:color w:val="auto"/>
        </w:rPr>
      </w:pPr>
    </w:p>
    <w:p>
      <w:pPr>
        <w:jc w:val="both"/>
        <w:ind w:left="360" w:right="520" w:firstLine="49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2024, investing activities used $85.4 million of net cash, resulting from purchases of $227.9 million in marketable securities, which was offset by $143.0 million of maturities and sales of marketable securities.</w:t>
      </w:r>
    </w:p>
    <w:p>
      <w:pPr>
        <w:spacing w:after="0" w:line="68" w:lineRule="exact"/>
        <w:rPr>
          <w:sz w:val="20"/>
          <w:szCs w:val="20"/>
          <w:color w:val="auto"/>
        </w:rPr>
      </w:pPr>
    </w:p>
    <w:p>
      <w:pPr>
        <w:ind w:left="360" w:right="620" w:firstLine="49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investing activities provided $33.4 million of net cash, resulting from $134.8 million of maturities and sales of marketable securities, which was offset by purchases of $101.2 million in marketable securities.</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Net cash provided by financing activities</w:t>
      </w:r>
    </w:p>
    <w:p>
      <w:pPr>
        <w:spacing w:after="0" w:line="118" w:lineRule="exact"/>
        <w:rPr>
          <w:sz w:val="20"/>
          <w:szCs w:val="20"/>
          <w:color w:val="auto"/>
        </w:rPr>
      </w:pPr>
    </w:p>
    <w:p>
      <w:pPr>
        <w:ind w:left="360" w:right="800" w:firstLine="490"/>
        <w:spacing w:after="0" w:line="277" w:lineRule="auto"/>
        <w:rPr>
          <w:sz w:val="20"/>
          <w:szCs w:val="20"/>
          <w:color w:val="auto"/>
        </w:rPr>
      </w:pPr>
      <w:r>
        <w:rPr>
          <w:rFonts w:ascii="Times New Roman" w:cs="Times New Roman" w:eastAsia="Times New Roman" w:hAnsi="Times New Roman"/>
          <w:sz w:val="20"/>
          <w:szCs w:val="20"/>
          <w:color w:val="auto"/>
        </w:rPr>
        <w:t>During the year ended December 31, 2024, financing activities provided $161.9 million of cash primarily from an offering of common stock.</w:t>
      </w:r>
    </w:p>
    <w:p>
      <w:pPr>
        <w:spacing w:after="0" w:line="49" w:lineRule="exact"/>
        <w:rPr>
          <w:sz w:val="20"/>
          <w:szCs w:val="20"/>
          <w:color w:val="auto"/>
        </w:rPr>
      </w:pPr>
    </w:p>
    <w:p>
      <w:pPr>
        <w:ind w:left="360" w:right="600" w:firstLine="490"/>
        <w:spacing w:after="0" w:line="277" w:lineRule="auto"/>
        <w:rPr>
          <w:sz w:val="20"/>
          <w:szCs w:val="20"/>
          <w:color w:val="auto"/>
        </w:rPr>
      </w:pPr>
      <w:r>
        <w:rPr>
          <w:rFonts w:ascii="Times New Roman" w:cs="Times New Roman" w:eastAsia="Times New Roman" w:hAnsi="Times New Roman"/>
          <w:sz w:val="20"/>
          <w:szCs w:val="20"/>
          <w:color w:val="auto"/>
        </w:rPr>
        <w:t>During the year ended December 31, 2023, financing activities provided less than $0.1 million of cash from the exercise of stock options and warrants.</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Operating Capital Requirements</w:t>
      </w:r>
    </w:p>
    <w:p>
      <w:pPr>
        <w:spacing w:after="0" w:line="116" w:lineRule="exact"/>
        <w:rPr>
          <w:sz w:val="20"/>
          <w:szCs w:val="20"/>
          <w:color w:val="auto"/>
        </w:rPr>
      </w:pPr>
    </w:p>
    <w:p>
      <w:pPr>
        <w:ind w:left="360" w:right="700" w:firstLine="490"/>
        <w:spacing w:after="0" w:line="277" w:lineRule="auto"/>
        <w:rPr>
          <w:sz w:val="20"/>
          <w:szCs w:val="20"/>
          <w:color w:val="auto"/>
        </w:rPr>
      </w:pPr>
      <w:r>
        <w:rPr>
          <w:rFonts w:ascii="Times New Roman" w:cs="Times New Roman" w:eastAsia="Times New Roman" w:hAnsi="Times New Roman"/>
          <w:sz w:val="20"/>
          <w:szCs w:val="20"/>
          <w:color w:val="auto"/>
        </w:rPr>
        <w:t>We have not yet commercialized any products and do not expect to generate revenue from the commercial sale of any products for several years, if at all.</w:t>
      </w:r>
    </w:p>
    <w:p>
      <w:pPr>
        <w:spacing w:after="0" w:line="49" w:lineRule="exact"/>
        <w:rPr>
          <w:sz w:val="20"/>
          <w:szCs w:val="20"/>
          <w:color w:val="auto"/>
        </w:rPr>
      </w:pPr>
    </w:p>
    <w:p>
      <w:pPr>
        <w:ind w:left="360" w:right="460" w:firstLine="490"/>
        <w:spacing w:after="0" w:line="252" w:lineRule="auto"/>
        <w:rPr>
          <w:sz w:val="20"/>
          <w:szCs w:val="20"/>
          <w:color w:val="auto"/>
        </w:rPr>
      </w:pPr>
      <w:r>
        <w:rPr>
          <w:rFonts w:ascii="Times New Roman" w:cs="Times New Roman" w:eastAsia="Times New Roman" w:hAnsi="Times New Roman"/>
          <w:sz w:val="20"/>
          <w:szCs w:val="20"/>
          <w:color w:val="auto"/>
        </w:rPr>
        <w:t>We have to date incurred net losses. We incurred net losses of approximately $80.6 million and $36.9 million for the twelve months ended December 31, 2024 and 2023, respectively. As of December 31, 2024, we had an accumulated deficit of $269.2 million and a cash, cash equivalents and marketable securities balance of $183.5 million, excluding restricted cash of $0.6 million.</w:t>
      </w:r>
    </w:p>
    <w:p>
      <w:pPr>
        <w:spacing w:after="0" w:line="74" w:lineRule="exact"/>
        <w:rPr>
          <w:sz w:val="20"/>
          <w:szCs w:val="20"/>
          <w:color w:val="auto"/>
        </w:rPr>
      </w:pPr>
    </w:p>
    <w:p>
      <w:pPr>
        <w:ind w:left="360" w:right="440" w:firstLine="490"/>
        <w:spacing w:after="0" w:line="252" w:lineRule="auto"/>
        <w:rPr>
          <w:sz w:val="20"/>
          <w:szCs w:val="20"/>
          <w:color w:val="auto"/>
        </w:rPr>
      </w:pPr>
      <w:r>
        <w:rPr>
          <w:rFonts w:ascii="Times New Roman" w:cs="Times New Roman" w:eastAsia="Times New Roman" w:hAnsi="Times New Roman"/>
          <w:sz w:val="20"/>
          <w:szCs w:val="20"/>
          <w:color w:val="auto"/>
        </w:rPr>
        <w:t>Losses have resulted principally from costs incurred in connection with research and development activities, and general and administrative costs associated with the development of nomlabofusp and our operations. We expect to incur significant expenses and operating losses for the foreseeable future as we expect to continue to incur expenses in connection with our ongoing activities, if and as we:</w:t>
      </w:r>
    </w:p>
    <w:p>
      <w:pPr>
        <w:spacing w:after="0" w:line="88" w:lineRule="exact"/>
        <w:rPr>
          <w:sz w:val="20"/>
          <w:szCs w:val="20"/>
          <w:color w:val="auto"/>
        </w:rPr>
      </w:pPr>
    </w:p>
    <w:p>
      <w:pPr>
        <w:ind w:left="1220" w:right="520" w:hanging="370"/>
        <w:spacing w:after="0" w:line="276" w:lineRule="auto"/>
        <w:tabs>
          <w:tab w:leader="none" w:pos="12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advance the development of nomlabofusp through additional clinical trials, including related manufacturing costs;</w:t>
      </w:r>
    </w:p>
    <w:p>
      <w:pPr>
        <w:spacing w:after="0" w:line="64" w:lineRule="exact"/>
        <w:rPr>
          <w:rFonts w:ascii="Arial" w:cs="Arial" w:eastAsia="Arial" w:hAnsi="Arial"/>
          <w:sz w:val="20"/>
          <w:szCs w:val="20"/>
          <w:color w:val="auto"/>
        </w:rPr>
      </w:pPr>
    </w:p>
    <w:p>
      <w:pPr>
        <w:ind w:left="1220" w:right="460" w:hanging="370"/>
        <w:spacing w:after="0" w:line="276" w:lineRule="auto"/>
        <w:tabs>
          <w:tab w:leader="none" w:pos="12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seek to identify and advance development of additional product candidates into clinical development and identify additional indications for our product candidates;</w:t>
      </w:r>
    </w:p>
    <w:p>
      <w:pPr>
        <w:spacing w:after="0" w:line="64" w:lineRule="exact"/>
        <w:rPr>
          <w:rFonts w:ascii="Arial" w:cs="Arial" w:eastAsia="Arial" w:hAnsi="Arial"/>
          <w:sz w:val="20"/>
          <w:szCs w:val="20"/>
          <w:color w:val="auto"/>
        </w:rPr>
      </w:pPr>
    </w:p>
    <w:p>
      <w:pPr>
        <w:ind w:left="1220" w:hanging="370"/>
        <w:spacing w:after="0"/>
        <w:tabs>
          <w:tab w:leader="none" w:pos="12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seek to obtain regulatory approvals for nomlabofusp and other potential product candidates;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identify, acquire or in-license other product candidates and technologies;</w:t>
      </w:r>
    </w:p>
    <w:p>
      <w:pPr>
        <w:spacing w:after="0" w:line="133" w:lineRule="exact"/>
        <w:rPr>
          <w:rFonts w:ascii="Arial" w:cs="Arial" w:eastAsia="Arial" w:hAnsi="Arial"/>
          <w:sz w:val="20"/>
          <w:szCs w:val="20"/>
          <w:color w:val="auto"/>
        </w:rPr>
      </w:pPr>
    </w:p>
    <w:p>
      <w:pPr>
        <w:ind w:left="1220" w:hanging="370"/>
        <w:spacing w:after="0"/>
        <w:tabs>
          <w:tab w:leader="none" w:pos="12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maintain, leverage and expand our intellectual property portfolio; and</w:t>
      </w:r>
    </w:p>
    <w:p>
      <w:pPr>
        <w:spacing w:after="0" w:line="133" w:lineRule="exact"/>
        <w:rPr>
          <w:rFonts w:ascii="Arial" w:cs="Arial" w:eastAsia="Arial" w:hAnsi="Arial"/>
          <w:sz w:val="20"/>
          <w:szCs w:val="20"/>
          <w:color w:val="auto"/>
        </w:rPr>
      </w:pPr>
    </w:p>
    <w:p>
      <w:pPr>
        <w:ind w:left="1220" w:right="460" w:hanging="370"/>
        <w:spacing w:after="0" w:line="258" w:lineRule="auto"/>
        <w:tabs>
          <w:tab w:leader="none" w:pos="12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expand our operational, financial, commercial and management systems and personnel, including personnel to support our clinical development and future commercialization efforts and our operations as a public company.</w:t>
      </w:r>
    </w:p>
    <w:p>
      <w:pPr>
        <w:spacing w:after="0" w:line="67" w:lineRule="exact"/>
        <w:rPr>
          <w:sz w:val="20"/>
          <w:szCs w:val="20"/>
          <w:color w:val="auto"/>
        </w:rPr>
      </w:pPr>
    </w:p>
    <w:p>
      <w:pPr>
        <w:ind w:left="360" w:right="460" w:firstLine="490"/>
        <w:spacing w:after="0" w:line="243" w:lineRule="auto"/>
        <w:rPr>
          <w:sz w:val="20"/>
          <w:szCs w:val="20"/>
          <w:color w:val="auto"/>
        </w:rPr>
      </w:pPr>
      <w:r>
        <w:rPr>
          <w:rFonts w:ascii="Times New Roman" w:cs="Times New Roman" w:eastAsia="Times New Roman" w:hAnsi="Times New Roman"/>
          <w:sz w:val="20"/>
          <w:szCs w:val="20"/>
          <w:color w:val="auto"/>
        </w:rPr>
        <w:t>In February 2024, we completed an underwritten public offering in which we issued and sold 19,736,842 shares of our common stock and received net proceeds of approximately $161.8 million after deducting underwriting discounts, commissions and other offering expenses. We anticipate that our current cash, cash equivalents and marketable securities will fund operations into the second quarter of 2026.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debt/royalty financings, collaborations, strategic alliances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960" w:h="17280" w:orient="portrait"/>
          <w:cols w:equalWidth="0" w:num="1">
            <w:col w:w="10080"/>
          </w:cols>
          <w:pgMar w:left="1440" w:top="1440" w:right="1440" w:bottom="895"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80"/>
        <w:spacing w:after="0" w:line="277" w:lineRule="auto"/>
        <w:rPr>
          <w:sz w:val="20"/>
          <w:szCs w:val="20"/>
          <w:color w:val="auto"/>
        </w:rPr>
      </w:pPr>
      <w:r>
        <w:rPr>
          <w:rFonts w:ascii="Times New Roman" w:cs="Times New Roman" w:eastAsia="Times New Roman" w:hAnsi="Times New Roman"/>
          <w:sz w:val="20"/>
          <w:szCs w:val="20"/>
          <w:color w:val="auto"/>
        </w:rPr>
        <w:t>business. Any additional fundraising efforts may divert our management from their day-to-day activities, which may adversely affect our ability to develop and commercialize our product candidates.</w:t>
      </w:r>
    </w:p>
    <w:p>
      <w:pPr>
        <w:spacing w:after="0" w:line="49"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strategic alliances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health crises on the global financial markets may reduce our ability to access capital, which could negatively affect our liquidity and ability to continue as a going concern.</w:t>
      </w:r>
    </w:p>
    <w:p>
      <w:pPr>
        <w:spacing w:after="0" w:line="83" w:lineRule="exact"/>
        <w:rPr>
          <w:sz w:val="20"/>
          <w:szCs w:val="20"/>
          <w:color w:val="auto"/>
        </w:rPr>
      </w:pPr>
    </w:p>
    <w:p>
      <w:pPr>
        <w:ind w:left="360" w:right="380" w:firstLine="490"/>
        <w:spacing w:after="0" w:line="245" w:lineRule="auto"/>
        <w:rPr>
          <w:sz w:val="20"/>
          <w:szCs w:val="20"/>
          <w:color w:val="auto"/>
        </w:rPr>
      </w:pPr>
      <w:r>
        <w:rPr>
          <w:rFonts w:ascii="Times New Roman" w:cs="Times New Roman" w:eastAsia="Times New Roman" w:hAnsi="Times New Roman"/>
          <w:sz w:val="20"/>
          <w:szCs w:val="20"/>
          <w:color w:val="auto"/>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and/or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23" w:lineRule="exact"/>
        <w:rPr>
          <w:sz w:val="20"/>
          <w:szCs w:val="20"/>
          <w:color w:val="auto"/>
        </w:rPr>
      </w:pPr>
    </w:p>
    <w:p>
      <w:pPr>
        <w:ind w:left="360" w:right="960" w:firstLine="490"/>
        <w:spacing w:after="0" w:line="277" w:lineRule="auto"/>
        <w:rPr>
          <w:sz w:val="20"/>
          <w:szCs w:val="20"/>
          <w:color w:val="auto"/>
        </w:rPr>
      </w:pPr>
      <w:r>
        <w:rPr>
          <w:rFonts w:ascii="Times New Roman" w:cs="Times New Roman" w:eastAsia="Times New Roman" w:hAnsi="Times New Roman"/>
          <w:sz w:val="20"/>
          <w:szCs w:val="20"/>
          <w:color w:val="auto"/>
        </w:rPr>
        <w:t>Please read Note 2 to our audited consolidated financial statements included in Part IV, Item 15, of this Annual Report for a description of recent accounting pronouncements applicable to our business.</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Other Company Information</w:t>
      </w:r>
    </w:p>
    <w:p>
      <w:pPr>
        <w:spacing w:after="0" w:line="1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None.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960" w:h="17280" w:orient="portrait"/>
          <w:cols w:equalWidth="0" w:num="1">
            <w:col w:w="10080"/>
          </w:cols>
          <w:pgMar w:left="1440" w:top="1440" w:right="1440" w:bottom="895" w:gutter="0" w:footer="0" w:header="0"/>
          <w:type w:val="continuous"/>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24" w:lineRule="exact"/>
        <w:rPr>
          <w:sz w:val="20"/>
          <w:szCs w:val="20"/>
          <w:color w:val="auto"/>
        </w:rPr>
      </w:pPr>
    </w:p>
    <w:p>
      <w:pPr>
        <w:ind w:left="420" w:right="1620" w:firstLine="440"/>
        <w:spacing w:after="0" w:line="277" w:lineRule="auto"/>
        <w:rPr>
          <w:sz w:val="20"/>
          <w:szCs w:val="20"/>
          <w:color w:val="auto"/>
        </w:rPr>
      </w:pPr>
      <w:r>
        <w:rPr>
          <w:rFonts w:ascii="Times New Roman" w:cs="Times New Roman" w:eastAsia="Times New Roman" w:hAnsi="Times New Roman"/>
          <w:sz w:val="20"/>
          <w:szCs w:val="20"/>
          <w:color w:val="auto"/>
        </w:rPr>
        <w:t>We are a smaller reporting company as defined by Rule 12b-2 of the Exchange Act and are not required to provide the information required under this item.</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24" w:lineRule="exact"/>
        <w:rPr>
          <w:sz w:val="20"/>
          <w:szCs w:val="20"/>
          <w:color w:val="auto"/>
        </w:rPr>
      </w:pPr>
    </w:p>
    <w:p>
      <w:pPr>
        <w:ind w:left="360" w:right="540" w:firstLine="490"/>
        <w:spacing w:after="0" w:line="277" w:lineRule="auto"/>
        <w:rPr>
          <w:sz w:val="20"/>
          <w:szCs w:val="20"/>
          <w:color w:val="auto"/>
        </w:rPr>
      </w:pPr>
      <w:r>
        <w:rPr>
          <w:rFonts w:ascii="Times New Roman" w:cs="Times New Roman" w:eastAsia="Times New Roman" w:hAnsi="Times New Roman"/>
          <w:sz w:val="20"/>
          <w:szCs w:val="20"/>
          <w:color w:val="auto"/>
        </w:rPr>
        <w:t>Our audited consolidated financial statements and the report of our independent registered public accounting firm are included in this Annual Report on Form 10-K on the pages indicated in Part IV, Item 15.</w:t>
      </w:r>
    </w:p>
    <w:p>
      <w:pPr>
        <w:spacing w:after="0" w:line="45" w:lineRule="exact"/>
        <w:rPr>
          <w:sz w:val="20"/>
          <w:szCs w:val="20"/>
          <w:color w:val="auto"/>
        </w:rPr>
      </w:pPr>
    </w:p>
    <w:p>
      <w:pPr>
        <w:ind w:left="360" w:right="900"/>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None.</w:t>
      </w: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120" w:lineRule="exact"/>
        <w:rPr>
          <w:sz w:val="20"/>
          <w:szCs w:val="20"/>
          <w:color w:val="auto"/>
        </w:rPr>
      </w:pPr>
    </w:p>
    <w:p>
      <w:pPr>
        <w:ind w:left="360" w:right="480" w:firstLine="490"/>
        <w:spacing w:after="0" w:line="247"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and our principal financial officers, as appropriate, to allow timely decisions regarding required disclosure.</w:t>
      </w:r>
    </w:p>
    <w:p>
      <w:pPr>
        <w:spacing w:after="0" w:line="80" w:lineRule="exact"/>
        <w:rPr>
          <w:sz w:val="20"/>
          <w:szCs w:val="20"/>
          <w:color w:val="auto"/>
        </w:rPr>
      </w:pPr>
    </w:p>
    <w:p>
      <w:pPr>
        <w:ind w:left="360" w:right="380" w:firstLine="490"/>
        <w:spacing w:after="0" w:line="246" w:lineRule="auto"/>
        <w:rPr>
          <w:sz w:val="20"/>
          <w:szCs w:val="20"/>
          <w:color w:val="auto"/>
        </w:rPr>
      </w:pPr>
      <w:r>
        <w:rPr>
          <w:rFonts w:ascii="Times New Roman" w:cs="Times New Roman" w:eastAsia="Times New Roman" w:hAnsi="Times New Roman"/>
          <w:sz w:val="20"/>
          <w:szCs w:val="20"/>
          <w:color w:val="auto"/>
        </w:rPr>
        <w:t>With respect to the year ended December 31, 2024,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were effective as of December 31, 2024 to provide reasonable assurance that the information required to be disclosed by us in this Annual Report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115" w:lineRule="exact"/>
        <w:rPr>
          <w:sz w:val="20"/>
          <w:szCs w:val="20"/>
          <w:color w:val="auto"/>
        </w:rPr>
      </w:pPr>
    </w:p>
    <w:p>
      <w:pPr>
        <w:ind w:left="360" w:right="420" w:firstLine="490"/>
        <w:spacing w:after="0" w:line="243"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(2013) issued by the Committee of Sponsoring Organizations of the Treadway Commission. Based on our evaluation under that framework, our management concluded that our internal control over financial reporting was effective as of December 31, 2024.</w:t>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15" w:lineRule="exact"/>
        <w:rPr>
          <w:sz w:val="20"/>
          <w:szCs w:val="20"/>
          <w:color w:val="auto"/>
        </w:rPr>
      </w:pPr>
    </w:p>
    <w:p>
      <w:pPr>
        <w:ind w:left="360" w:right="560" w:firstLine="490"/>
        <w:spacing w:after="0" w:line="252"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identified in connection with the evaluation required by Rule 13a-15(d) and 15d-15(d) of the Exchange Act that occurred during the quarter ended December 31, 2024, that have materially affected, or are reasonably likely to materially affect, our internal control over financial reporting.</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960" w:h="17280" w:orient="portrait"/>
          <w:cols w:equalWidth="0" w:num="1">
            <w:col w:w="10080"/>
          </w:cols>
          <w:pgMar w:left="1440" w:top="1440" w:right="1440" w:bottom="895" w:gutter="0" w:footer="0" w:header="0"/>
          <w:type w:val="continuous"/>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19" w:lineRule="exact"/>
        <w:rPr>
          <w:sz w:val="20"/>
          <w:szCs w:val="20"/>
          <w:color w:val="auto"/>
        </w:rPr>
      </w:pPr>
    </w:p>
    <w:p>
      <w:pPr>
        <w:ind w:left="1120" w:hanging="270"/>
        <w:spacing w:after="0"/>
        <w:tabs>
          <w:tab w:leader="none" w:pos="11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w:t>
      </w:r>
    </w:p>
    <w:p>
      <w:pPr>
        <w:spacing w:after="0" w:line="120" w:lineRule="exact"/>
        <w:rPr>
          <w:rFonts w:ascii="Times New Roman" w:cs="Times New Roman" w:eastAsia="Times New Roman" w:hAnsi="Times New Roman"/>
          <w:sz w:val="20"/>
          <w:szCs w:val="20"/>
          <w:color w:val="auto"/>
        </w:rPr>
      </w:pPr>
    </w:p>
    <w:p>
      <w:pPr>
        <w:ind w:left="360" w:right="380" w:firstLine="490"/>
        <w:spacing w:after="0" w:line="258" w:lineRule="auto"/>
        <w:tabs>
          <w:tab w:leader="none" w:pos="113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fourth quarter of the fiscal year ended December 31, 2024, no director or “officer” as defined in Rule 16a-1(f) under the Exchange Act adopted or terminated any Rule 10b5-1 trading plan or arrangements or any non-Rule 10b5-1 trading plan or arrangements, in both cases as defined in Item 408(a) of Regulation S-K.</w:t>
      </w:r>
    </w:p>
    <w:p>
      <w:pPr>
        <w:spacing w:after="0" w:line="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Not applicable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960" w:h="17280" w:orient="portrait"/>
          <w:cols w:equalWidth="0" w:num="1">
            <w:col w:w="10080"/>
          </w:cols>
          <w:pgMar w:left="1440" w:top="1440" w:right="1440" w:bottom="895" w:gutter="0" w:footer="0" w:header="0"/>
          <w:type w:val="continuous"/>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4" w:lineRule="exact"/>
        <w:rPr>
          <w:sz w:val="20"/>
          <w:szCs w:val="20"/>
          <w:color w:val="auto"/>
        </w:rPr>
      </w:pPr>
    </w:p>
    <w:p>
      <w:pPr>
        <w:ind w:left="360" w:right="520" w:firstLine="490"/>
        <w:spacing w:after="0" w:line="277" w:lineRule="auto"/>
        <w:rPr>
          <w:sz w:val="20"/>
          <w:szCs w:val="20"/>
          <w:color w:val="auto"/>
        </w:rPr>
      </w:pPr>
      <w:r>
        <w:rPr>
          <w:rFonts w:ascii="Times New Roman" w:cs="Times New Roman" w:eastAsia="Times New Roman" w:hAnsi="Times New Roman"/>
          <w:sz w:val="20"/>
          <w:szCs w:val="20"/>
          <w:color w:val="auto"/>
        </w:rPr>
        <w:t>The information required by Item 10 of Form 10-K is incorporated by reference to the information contained in our definitive proxy statement for the 2025 annual meeting of stockholders.</w:t>
      </w:r>
    </w:p>
    <w:p>
      <w:pPr>
        <w:spacing w:after="0" w:line="49" w:lineRule="exact"/>
        <w:rPr>
          <w:sz w:val="20"/>
          <w:szCs w:val="20"/>
          <w:color w:val="auto"/>
        </w:rPr>
      </w:pPr>
    </w:p>
    <w:p>
      <w:pPr>
        <w:ind w:left="360" w:right="480" w:firstLine="490"/>
        <w:spacing w:after="0" w:line="244" w:lineRule="auto"/>
        <w:rPr>
          <w:sz w:val="20"/>
          <w:szCs w:val="20"/>
          <w:color w:val="auto"/>
        </w:rPr>
      </w:pPr>
      <w:r>
        <w:rPr>
          <w:rFonts w:ascii="Times New Roman" w:cs="Times New Roman" w:eastAsia="Times New Roman" w:hAnsi="Times New Roman"/>
          <w:sz w:val="20"/>
          <w:szCs w:val="20"/>
          <w:color w:val="auto"/>
        </w:rPr>
        <w:t>We have adopted insider trading policies and procedures governing the purchase, sale, and other dispositions of our securities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Policy filed as an exhibit to this Annual Report on Form 10-K. In addition, with regard to trading in our own securities, it is our policy to comply with the federal securities laws and the applicable exchange listing requirements.</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4" w:lineRule="exact"/>
        <w:rPr>
          <w:sz w:val="20"/>
          <w:szCs w:val="20"/>
          <w:color w:val="auto"/>
        </w:rPr>
      </w:pPr>
    </w:p>
    <w:p>
      <w:pPr>
        <w:ind w:left="360" w:right="520" w:firstLine="490"/>
        <w:spacing w:after="0" w:line="277" w:lineRule="auto"/>
        <w:rPr>
          <w:sz w:val="20"/>
          <w:szCs w:val="20"/>
          <w:color w:val="auto"/>
        </w:rPr>
      </w:pPr>
      <w:r>
        <w:rPr>
          <w:rFonts w:ascii="Times New Roman" w:cs="Times New Roman" w:eastAsia="Times New Roman" w:hAnsi="Times New Roman"/>
          <w:sz w:val="20"/>
          <w:szCs w:val="20"/>
          <w:color w:val="auto"/>
        </w:rPr>
        <w:t>The information required by Item 11 of Form 10-K is incorporated by reference to the information contained in our definitive proxy statement for the 2025 annual meeting of stockholders.</w:t>
      </w:r>
    </w:p>
    <w:p>
      <w:pPr>
        <w:spacing w:after="0" w:line="45" w:lineRule="exact"/>
        <w:rPr>
          <w:sz w:val="20"/>
          <w:szCs w:val="20"/>
          <w:color w:val="auto"/>
        </w:rPr>
      </w:pPr>
    </w:p>
    <w:p>
      <w:pPr>
        <w:ind w:left="360" w:right="44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36" w:lineRule="exact"/>
        <w:rPr>
          <w:sz w:val="20"/>
          <w:szCs w:val="20"/>
          <w:color w:val="auto"/>
        </w:rPr>
      </w:pPr>
    </w:p>
    <w:p>
      <w:pPr>
        <w:ind w:left="360" w:right="520" w:firstLine="490"/>
        <w:spacing w:after="0" w:line="277" w:lineRule="auto"/>
        <w:rPr>
          <w:sz w:val="20"/>
          <w:szCs w:val="20"/>
          <w:color w:val="auto"/>
        </w:rPr>
      </w:pPr>
      <w:r>
        <w:rPr>
          <w:rFonts w:ascii="Times New Roman" w:cs="Times New Roman" w:eastAsia="Times New Roman" w:hAnsi="Times New Roman"/>
          <w:sz w:val="20"/>
          <w:szCs w:val="20"/>
          <w:color w:val="auto"/>
        </w:rPr>
        <w:t>The information required by Item 12 of Form 10-K is incorporated by reference to the information contained in our definitive proxy statement for the 2025 annual meeting of stockholders.</w:t>
      </w:r>
    </w:p>
    <w:p>
      <w:pPr>
        <w:spacing w:after="0" w:line="45" w:lineRule="exact"/>
        <w:rPr>
          <w:sz w:val="20"/>
          <w:szCs w:val="20"/>
          <w:color w:val="auto"/>
        </w:rPr>
      </w:pPr>
    </w:p>
    <w:p>
      <w:pPr>
        <w:ind w:left="360" w:right="1420"/>
        <w:spacing w:after="0" w:line="286"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36" w:lineRule="exact"/>
        <w:rPr>
          <w:sz w:val="20"/>
          <w:szCs w:val="20"/>
          <w:color w:val="auto"/>
        </w:rPr>
      </w:pPr>
    </w:p>
    <w:p>
      <w:pPr>
        <w:ind w:left="360" w:right="520" w:firstLine="490"/>
        <w:spacing w:after="0" w:line="277" w:lineRule="auto"/>
        <w:rPr>
          <w:sz w:val="20"/>
          <w:szCs w:val="20"/>
          <w:color w:val="auto"/>
        </w:rPr>
      </w:pPr>
      <w:r>
        <w:rPr>
          <w:rFonts w:ascii="Times New Roman" w:cs="Times New Roman" w:eastAsia="Times New Roman" w:hAnsi="Times New Roman"/>
          <w:sz w:val="20"/>
          <w:szCs w:val="20"/>
          <w:color w:val="auto"/>
        </w:rPr>
        <w:t>The information required by Item 13 of Form 10-K is incorporated by reference to the information contained in our definitive proxy statement for the 2025 annual meeting of stockholders.</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4" w:lineRule="exact"/>
        <w:rPr>
          <w:sz w:val="20"/>
          <w:szCs w:val="20"/>
          <w:color w:val="auto"/>
        </w:rPr>
      </w:pPr>
    </w:p>
    <w:p>
      <w:pPr>
        <w:ind w:left="360" w:right="400" w:firstLine="490"/>
        <w:spacing w:after="0" w:line="277" w:lineRule="auto"/>
        <w:rPr>
          <w:sz w:val="20"/>
          <w:szCs w:val="20"/>
          <w:color w:val="auto"/>
        </w:rPr>
      </w:pPr>
      <w:r>
        <w:rPr>
          <w:rFonts w:ascii="Times New Roman" w:cs="Times New Roman" w:eastAsia="Times New Roman" w:hAnsi="Times New Roman"/>
          <w:sz w:val="20"/>
          <w:szCs w:val="20"/>
          <w:color w:val="auto"/>
        </w:rPr>
        <w:t>Our independent accounting firm is PricewaterhouseCoopers LLP, Philadelphia, Pennsylvania, USA, PCAOB Auditor ID: 238.</w:t>
      </w:r>
    </w:p>
    <w:p>
      <w:pPr>
        <w:spacing w:after="0" w:line="49" w:lineRule="exact"/>
        <w:rPr>
          <w:sz w:val="20"/>
          <w:szCs w:val="20"/>
          <w:color w:val="auto"/>
        </w:rPr>
      </w:pPr>
    </w:p>
    <w:p>
      <w:pPr>
        <w:ind w:left="360" w:right="520" w:firstLine="490"/>
        <w:spacing w:after="0" w:line="277" w:lineRule="auto"/>
        <w:rPr>
          <w:sz w:val="20"/>
          <w:szCs w:val="20"/>
          <w:color w:val="auto"/>
        </w:rPr>
      </w:pPr>
      <w:r>
        <w:rPr>
          <w:rFonts w:ascii="Times New Roman" w:cs="Times New Roman" w:eastAsia="Times New Roman" w:hAnsi="Times New Roman"/>
          <w:sz w:val="20"/>
          <w:szCs w:val="20"/>
          <w:color w:val="auto"/>
        </w:rPr>
        <w:t>The information required by Item 14 of Form 10-K is incorporated by reference to the information contained in our definitive proxy statement for the 2025 annual meeting of stockholders.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960" w:h="17280" w:orient="portrait"/>
          <w:cols w:equalWidth="0" w:num="1">
            <w:col w:w="10080"/>
          </w:cols>
          <w:pgMar w:left="1440" w:top="1440" w:right="1440" w:bottom="895"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ind w:left="360" w:right="4060"/>
        <w:spacing w:after="0" w:line="367" w:lineRule="auto"/>
        <w:rPr>
          <w:sz w:val="20"/>
          <w:szCs w:val="20"/>
          <w:color w:val="auto"/>
        </w:rPr>
      </w:pPr>
      <w:r>
        <w:rPr>
          <w:rFonts w:ascii="Times New Roman" w:cs="Times New Roman" w:eastAsia="Times New Roman" w:hAnsi="Times New Roman"/>
          <w:sz w:val="20"/>
          <w:szCs w:val="20"/>
          <w:b w:val="1"/>
          <w:bCs w:val="1"/>
          <w:color w:val="auto"/>
        </w:rPr>
        <w:t xml:space="preserve">ITEM 15. EXHIBITS, FINANCIAL STATEMENT SCHEDULES </w:t>
      </w:r>
      <w:r>
        <w:rPr>
          <w:rFonts w:ascii="Times New Roman" w:cs="Times New Roman" w:eastAsia="Times New Roman" w:hAnsi="Times New Roman"/>
          <w:sz w:val="20"/>
          <w:szCs w:val="20"/>
          <w:color w:val="auto"/>
        </w:rPr>
        <w:t>1. Financial Statements</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See Index to the Consolidated Financial Statements on page F-1 of this Annual Report.</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120" w:lineRule="exact"/>
        <w:rPr>
          <w:sz w:val="20"/>
          <w:szCs w:val="20"/>
          <w:color w:val="auto"/>
        </w:rPr>
      </w:pPr>
    </w:p>
    <w:p>
      <w:pPr>
        <w:ind w:left="360" w:right="740" w:firstLine="490"/>
        <w:spacing w:after="0" w:line="277" w:lineRule="auto"/>
        <w:rPr>
          <w:sz w:val="20"/>
          <w:szCs w:val="20"/>
          <w:color w:val="auto"/>
        </w:rPr>
      </w:pPr>
      <w:r>
        <w:rPr>
          <w:rFonts w:ascii="Times New Roman" w:cs="Times New Roman" w:eastAsia="Times New Roman" w:hAnsi="Times New Roman"/>
          <w:sz w:val="20"/>
          <w:szCs w:val="20"/>
          <w:color w:val="auto"/>
        </w:rPr>
        <w:t>None, as all information required in these schedules is included in the Notes to the Consolidated Financial Statements.</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3. Exhibits</w:t>
      </w:r>
    </w:p>
    <w:p>
      <w:pPr>
        <w:spacing w:after="0" w:line="120" w:lineRule="exact"/>
        <w:rPr>
          <w:sz w:val="20"/>
          <w:szCs w:val="20"/>
          <w:color w:val="auto"/>
        </w:rPr>
      </w:pPr>
    </w:p>
    <w:p>
      <w:pPr>
        <w:ind w:left="360" w:right="500" w:firstLine="490"/>
        <w:spacing w:after="0" w:line="277" w:lineRule="auto"/>
        <w:rPr>
          <w:sz w:val="20"/>
          <w:szCs w:val="20"/>
          <w:color w:val="auto"/>
        </w:rPr>
      </w:pPr>
      <w:r>
        <w:rPr>
          <w:rFonts w:ascii="Times New Roman" w:cs="Times New Roman" w:eastAsia="Times New Roman" w:hAnsi="Times New Roman"/>
          <w:sz w:val="20"/>
          <w:szCs w:val="20"/>
          <w:color w:val="auto"/>
        </w:rPr>
        <w:t>Reference is made to the Exhibit Index below for a list of exhibits required by Item 601 of Regulation S-K to be filed as part of this Annual Report.</w:t>
      </w:r>
    </w:p>
    <w:p>
      <w:pPr>
        <w:spacing w:after="0" w:line="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following exhibits are being filed herewith:</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960" w:h="17280" w:orient="portrait"/>
          <w:cols w:equalWidth="0" w:num="1">
            <w:col w:w="10080"/>
          </w:cols>
          <w:pgMar w:left="1440" w:top="1440" w:right="1440" w:bottom="895" w:gutter="0" w:footer="0" w:header="0"/>
          <w:type w:val="continuous"/>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INDEX</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Filed Herewith</w:t>
      </w:r>
    </w:p>
    <w:p>
      <w:pPr>
        <w:spacing w:after="0" w:line="28" w:lineRule="exact"/>
        <w:rPr>
          <w:sz w:val="20"/>
          <w:szCs w:val="20"/>
          <w:color w:val="auto"/>
        </w:rPr>
      </w:pPr>
    </w:p>
    <w:p>
      <w:pPr>
        <w:ind w:left="520" w:hanging="160"/>
        <w:spacing w:after="0"/>
        <w:tabs>
          <w:tab w:leader="none" w:pos="5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confidential portions (indicated by brackets and asterisks) have been omitted from this exhibit</w:t>
      </w:r>
    </w:p>
    <w:p>
      <w:pPr>
        <w:ind w:lef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Certain information in this document has been excluded pursuant to Regulation S-K, Item 601(b)(10).</w:t>
      </w:r>
    </w:p>
    <w:p>
      <w:pPr>
        <w:ind w:left="360" w:right="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Certain schedules, annexes or exhibits have been omitted pursuant to Item 601(a)(5) of Regulation S-K, but will be furnished supplementally to the SEC upon request.</w:t>
      </w:r>
    </w:p>
    <w:p>
      <w:pPr>
        <w:ind w:left="360" w:right="40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Furnished herewith. 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231" w:lineRule="exact"/>
        <w:rPr>
          <w:sz w:val="20"/>
          <w:szCs w:val="20"/>
          <w:color w:val="auto"/>
        </w:rPr>
      </w:pPr>
    </w:p>
    <w:p>
      <w:pPr>
        <w:ind w:left="500"/>
        <w:spacing w:after="0"/>
        <w:tabs>
          <w:tab w:leader="none" w:pos="528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5"/>
          <w:szCs w:val="15"/>
          <w:b w:val="1"/>
          <w:bCs w:val="1"/>
          <w:color w:val="auto"/>
        </w:rPr>
        <w:t>Exhibit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22225</wp:posOffset>
                </wp:positionV>
                <wp:extent cx="59436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75pt" to="64.8pt,1.7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822960</wp:posOffset>
                </wp:positionH>
                <wp:positionV relativeFrom="paragraph">
                  <wp:posOffset>22225</wp:posOffset>
                </wp:positionV>
                <wp:extent cx="5969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12700">
                          <a:solidFill>
                            <a:srgbClr val="FEFEFE"/>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8pt,1.75pt" to="69.5pt,1.75pt" o:allowincell="f" strokecolor="#FEFEFE" strokeweight="1pt"/>
            </w:pict>
          </mc:Fallback>
        </mc:AlternateContent>
        <mc:AlternateContent>
          <mc:Choice Requires="wps">
            <w:drawing>
              <wp:anchor simplePos="0" relativeHeight="251657728" behindDoc="1" locked="0" layoutInCell="0" allowOverlap="1">
                <wp:simplePos x="0" y="0"/>
                <wp:positionH relativeFrom="column">
                  <wp:posOffset>882650</wp:posOffset>
                </wp:positionH>
                <wp:positionV relativeFrom="paragraph">
                  <wp:posOffset>22225</wp:posOffset>
                </wp:positionV>
                <wp:extent cx="528955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895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5pt,1.75pt" to="486pt,1.75pt" o:allowincell="f" strokecolor="#000000" strokeweight="1pt"/>
            </w:pict>
          </mc:Fallback>
        </mc:AlternateContent>
      </w:r>
    </w:p>
    <w:p>
      <w:pPr>
        <w:spacing w:after="0" w:line="111" w:lineRule="exact"/>
        <w:rPr>
          <w:sz w:val="20"/>
          <w:szCs w:val="20"/>
          <w:color w:val="auto"/>
        </w:rPr>
      </w:pPr>
    </w:p>
    <w:p>
      <w:pPr>
        <w:ind w:left="1400" w:right="400" w:hanging="340"/>
        <w:spacing w:after="0" w:line="225"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20"/>
          <w:szCs w:val="20"/>
          <w:color w:val="auto"/>
        </w:rPr>
        <w:t>Agreement and Plan of Merger, dated as of December 17, 2019, by and among Zafgen, Inc., Chondrial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Therapeutics, Inc., Chondrial Therapeutics Holdings, LLC, and Zordich Merger Sub, Inc. (incorporated by reference to Exhibit 2.1 of the Company’s Current Report on Form 8-K filed on December 18, 2019).</w:t>
      </w:r>
    </w:p>
    <w:p>
      <w:pPr>
        <w:spacing w:after="0" w:line="4" w:lineRule="exact"/>
        <w:rPr>
          <w:sz w:val="20"/>
          <w:szCs w:val="20"/>
          <w:color w:val="auto"/>
        </w:rPr>
      </w:pPr>
    </w:p>
    <w:p>
      <w:pPr>
        <w:ind w:left="1400" w:right="360" w:hanging="340"/>
        <w:spacing w:after="0" w:line="218"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20"/>
          <w:szCs w:val="20"/>
          <w:color w:val="auto"/>
        </w:rPr>
        <w:t>Amendment No. 1 to Agreement and Plan of Merger, dated as of March 6, 2020, by and among Zafgen,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Inc., Chondrial Therapeutics, Inc., Chondrial Therapeutics Holdings, LLC, and Zordich Merger Sub, Inc. (incorporated by reference to Exhibit 2.1 of the Company’s Current Report on Form 8-K filed on March 6, 2020).</w:t>
      </w:r>
    </w:p>
    <w:p>
      <w:pPr>
        <w:spacing w:after="0" w:line="3" w:lineRule="exact"/>
        <w:rPr>
          <w:sz w:val="20"/>
          <w:szCs w:val="20"/>
          <w:color w:val="auto"/>
        </w:rPr>
      </w:pPr>
    </w:p>
    <w:p>
      <w:pPr>
        <w:ind w:left="1400" w:right="540" w:hanging="340"/>
        <w:spacing w:after="0" w:line="243"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20"/>
          <w:szCs w:val="20"/>
          <w:color w:val="auto"/>
        </w:rPr>
        <w:t>Ninth Amend</w:t>
      </w:r>
      <w:r>
        <w:rPr>
          <w:rFonts w:ascii="Times New Roman" w:cs="Times New Roman" w:eastAsia="Times New Roman" w:hAnsi="Times New Roman"/>
          <w:sz w:val="20"/>
          <w:szCs w:val="20"/>
          <w:color w:val="000777"/>
        </w:rPr>
        <w: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and Restated Certificate of Incorporation of Larimar Therapeutics, Inc. (formerly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known as Zafgen, Inc.) (incorporated by reference to Exhibit 3.1 of the Company’s Current Report on Form 8-K filed on June 24, 2014).</w:t>
      </w:r>
    </w:p>
    <w:p>
      <w:pPr>
        <w:spacing w:after="0" w:line="1" w:lineRule="exact"/>
        <w:rPr>
          <w:sz w:val="20"/>
          <w:szCs w:val="20"/>
          <w:color w:val="auto"/>
        </w:rPr>
      </w:pPr>
    </w:p>
    <w:p>
      <w:pPr>
        <w:jc w:val="both"/>
        <w:ind w:left="1400" w:right="480" w:hanging="340"/>
        <w:spacing w:after="0" w:line="219"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20"/>
          <w:szCs w:val="20"/>
          <w:color w:val="auto"/>
        </w:rPr>
        <w:t>Certificate of Amendment of Ninth Amended and Restated Certificate of Incorporation of Zafgen, Inc.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related to the Reverse Stock Split, dated May 28, 2020 (incorporated by reference to Exhibit 3.1 of the Company’s Current Report on Form 8-K filed on June 2, 2020).</w:t>
      </w:r>
    </w:p>
    <w:p>
      <w:pPr>
        <w:spacing w:after="0" w:line="1" w:lineRule="exact"/>
        <w:rPr>
          <w:sz w:val="20"/>
          <w:szCs w:val="20"/>
          <w:color w:val="auto"/>
        </w:rPr>
      </w:pPr>
    </w:p>
    <w:p>
      <w:pPr>
        <w:ind w:left="1400" w:right="480" w:hanging="340"/>
        <w:spacing w:after="0" w:line="219"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20"/>
          <w:szCs w:val="20"/>
          <w:color w:val="auto"/>
        </w:rPr>
        <w:t>Certificate of Amendment of Ninth Amended and Restated Certificate of Incorporation of Zafgen, Inc.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related to the Name Change, dated May 28, 2020 (incorporated by reference to Exhibit 3.1 of the Company’s Current Report on Form 8-K filed on June 2, 2020).</w:t>
      </w:r>
    </w:p>
    <w:p>
      <w:pPr>
        <w:spacing w:after="0" w:line="1" w:lineRule="exact"/>
        <w:rPr>
          <w:sz w:val="20"/>
          <w:szCs w:val="20"/>
          <w:color w:val="auto"/>
        </w:rPr>
      </w:pPr>
    </w:p>
    <w:p>
      <w:pPr>
        <w:jc w:val="both"/>
        <w:ind w:left="1400" w:right="740" w:hanging="340"/>
        <w:spacing w:after="0" w:line="219"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20"/>
          <w:szCs w:val="20"/>
          <w:color w:val="auto"/>
        </w:rPr>
        <w:t>Certificate of Amendment of Ninth Amended and Restated Certificate of Incorporation of Larimar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Therapeutics, Inc., dated May 31, 2024 (incorporated by reference to Exhibit 3.1 of the Company’s Quarterly Report on Form 10-Q filed on August 8, 2024).</w:t>
      </w:r>
    </w:p>
    <w:p>
      <w:pPr>
        <w:spacing w:after="0" w:line="2" w:lineRule="exact"/>
        <w:rPr>
          <w:sz w:val="20"/>
          <w:szCs w:val="20"/>
          <w:color w:val="auto"/>
        </w:rPr>
      </w:pPr>
    </w:p>
    <w:p>
      <w:pPr>
        <w:ind w:left="1400" w:right="500" w:hanging="340"/>
        <w:spacing w:after="0" w:line="243"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20"/>
          <w:szCs w:val="20"/>
          <w:color w:val="auto"/>
        </w:rPr>
        <w:t>Amended and Restated By-laws of Larimar Therapeutics, Inc. (formerly known as Zafgen, Inc.)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(incorporated by reference to Exhibit 3.2 of the Company’s Current Report on Form 8-K filed on June 24, 2014).</w:t>
      </w:r>
    </w:p>
    <w:p>
      <w:pPr>
        <w:spacing w:after="0" w:line="1" w:lineRule="exact"/>
        <w:rPr>
          <w:sz w:val="20"/>
          <w:szCs w:val="20"/>
          <w:color w:val="auto"/>
        </w:rPr>
      </w:pPr>
    </w:p>
    <w:p>
      <w:pPr>
        <w:jc w:val="both"/>
        <w:ind w:left="1400" w:right="480" w:hanging="340"/>
        <w:spacing w:after="0" w:line="243"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20"/>
          <w:szCs w:val="20"/>
          <w:color w:val="auto"/>
        </w:rPr>
        <w:t>Description of the Company’s Securities Registered Pursuant to Section 12 of the Securities Exchange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Act of 1934 (incorporated by reference to Exhibit 4.2 of the Company’s Annual Report on Form 10-K filed March 4, 2021).</w:t>
      </w:r>
    </w:p>
    <w:p>
      <w:pPr>
        <w:spacing w:after="0" w:line="1" w:lineRule="exact"/>
        <w:rPr>
          <w:sz w:val="20"/>
          <w:szCs w:val="20"/>
          <w:color w:val="auto"/>
        </w:rPr>
      </w:pPr>
    </w:p>
    <w:p>
      <w:pPr>
        <w:ind w:left="1400" w:right="400" w:hanging="435"/>
        <w:spacing w:after="0" w:line="221" w:lineRule="auto"/>
        <w:rPr>
          <w:sz w:val="20"/>
          <w:szCs w:val="20"/>
          <w:color w:val="auto"/>
        </w:rPr>
      </w:pPr>
      <w:r>
        <w:rPr>
          <w:rFonts w:ascii="Times New Roman" w:cs="Times New Roman" w:eastAsia="Times New Roman" w:hAnsi="Times New Roman"/>
          <w:sz w:val="19"/>
          <w:szCs w:val="19"/>
          <w:color w:val="auto"/>
        </w:rPr>
        <w:t xml:space="preserve">10.1 </w:t>
      </w:r>
      <w:r>
        <w:rPr>
          <w:rFonts w:ascii="Times New Roman" w:cs="Times New Roman" w:eastAsia="Times New Roman" w:hAnsi="Times New Roman"/>
          <w:sz w:val="20"/>
          <w:szCs w:val="20"/>
          <w:color w:val="auto"/>
        </w:rPr>
        <w:t>Larimar Therapeutics, Inc. 2020 Equity Incentive Plan (incorporated by reference to Exhibit 10.1 of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Company’s Current Report on Form 8-K filed on September 29, 2020).</w:t>
      </w:r>
    </w:p>
    <w:p>
      <w:pPr>
        <w:jc w:val="both"/>
        <w:ind w:left="1400" w:right="540" w:hanging="435"/>
        <w:spacing w:after="0" w:line="219" w:lineRule="auto"/>
        <w:rPr>
          <w:sz w:val="20"/>
          <w:szCs w:val="20"/>
          <w:color w:val="auto"/>
        </w:rPr>
      </w:pPr>
      <w:r>
        <w:rPr>
          <w:rFonts w:ascii="Times New Roman" w:cs="Times New Roman" w:eastAsia="Times New Roman" w:hAnsi="Times New Roman"/>
          <w:sz w:val="19"/>
          <w:szCs w:val="19"/>
          <w:color w:val="auto"/>
        </w:rPr>
        <w:t xml:space="preserve">10.2 </w:t>
      </w:r>
      <w:r>
        <w:rPr>
          <w:rFonts w:ascii="Times New Roman" w:cs="Times New Roman" w:eastAsia="Times New Roman" w:hAnsi="Times New Roman"/>
          <w:sz w:val="20"/>
          <w:szCs w:val="20"/>
          <w:color w:val="auto"/>
        </w:rPr>
        <w:t>Larimar Therapeutics, Inc. Form of Stock Option Grant Notice and Award Agreement under its 2020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Equity Incentive Plan (incorporated by reference to Exhibit 10.2 of the Company’s Current Report on Form 8-K filed on September 29, 2020).</w:t>
      </w:r>
    </w:p>
    <w:p>
      <w:pPr>
        <w:spacing w:after="0" w:line="1" w:lineRule="exact"/>
        <w:rPr>
          <w:sz w:val="20"/>
          <w:szCs w:val="20"/>
          <w:color w:val="auto"/>
        </w:rPr>
      </w:pPr>
    </w:p>
    <w:p>
      <w:pPr>
        <w:ind w:left="1400" w:right="380" w:hanging="530"/>
        <w:spacing w:after="0" w:line="219" w:lineRule="auto"/>
        <w:rPr>
          <w:sz w:val="20"/>
          <w:szCs w:val="20"/>
          <w:color w:val="auto"/>
        </w:rPr>
      </w:pPr>
      <w:r>
        <w:rPr>
          <w:rFonts w:ascii="Times New Roman" w:cs="Times New Roman" w:eastAsia="Times New Roman" w:hAnsi="Times New Roman"/>
          <w:sz w:val="19"/>
          <w:szCs w:val="19"/>
          <w:color w:val="auto"/>
        </w:rPr>
        <w:t xml:space="preserve">10.3* </w:t>
      </w:r>
      <w:r>
        <w:rPr>
          <w:rFonts w:ascii="Times New Roman" w:cs="Times New Roman" w:eastAsia="Times New Roman" w:hAnsi="Times New Roman"/>
          <w:sz w:val="20"/>
          <w:szCs w:val="20"/>
          <w:color w:val="auto"/>
        </w:rPr>
        <w:t>Restricted Stock Award Agreement for Company Employees under the Larimar Therapeutics, Inc.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2020 Equity Incentive Plan (incorporated by reference to Exhibit 10.3 to the Company’s Annual Report on Form 10-K filed on March 14, 2024).</w:t>
      </w:r>
    </w:p>
    <w:p>
      <w:pPr>
        <w:ind w:left="860"/>
        <w:spacing w:after="0" w:line="217"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20"/>
          <w:szCs w:val="20"/>
          <w:color w:val="auto"/>
        </w:rPr>
        <w:t>Non-Qualified Stock Option Grant Notice and Award Agreement (incorporated by reference to Exhibit</w:t>
      </w:r>
    </w:p>
    <w:p>
      <w:pPr>
        <w:ind w:left="1400"/>
        <w:spacing w:after="0" w:line="226" w:lineRule="auto"/>
        <w:rPr>
          <w:sz w:val="20"/>
          <w:szCs w:val="20"/>
          <w:color w:val="auto"/>
        </w:rPr>
      </w:pPr>
      <w:r>
        <w:rPr>
          <w:rFonts w:ascii="Times New Roman" w:cs="Times New Roman" w:eastAsia="Times New Roman" w:hAnsi="Times New Roman"/>
          <w:sz w:val="20"/>
          <w:szCs w:val="20"/>
          <w:color w:val="auto"/>
        </w:rPr>
        <w:t>10.4 to the Company’s Annual Report on Form 10-K filed on March 14, 2024).</w:t>
      </w:r>
    </w:p>
    <w:p>
      <w:pPr>
        <w:spacing w:after="0" w:line="1" w:lineRule="exact"/>
        <w:rPr>
          <w:sz w:val="20"/>
          <w:szCs w:val="20"/>
          <w:color w:val="auto"/>
        </w:rPr>
      </w:pPr>
    </w:p>
    <w:p>
      <w:pPr>
        <w:ind w:left="1400" w:right="1660" w:hanging="435"/>
        <w:spacing w:after="0" w:line="219" w:lineRule="auto"/>
        <w:rPr>
          <w:sz w:val="20"/>
          <w:szCs w:val="20"/>
          <w:color w:val="auto"/>
        </w:rPr>
      </w:pPr>
      <w:r>
        <w:rPr>
          <w:rFonts w:ascii="Times New Roman" w:cs="Times New Roman" w:eastAsia="Times New Roman" w:hAnsi="Times New Roman"/>
          <w:sz w:val="19"/>
          <w:szCs w:val="19"/>
          <w:color w:val="auto"/>
        </w:rPr>
        <w:t xml:space="preserve">10.5 </w:t>
      </w:r>
      <w:r>
        <w:rPr>
          <w:rFonts w:ascii="Times New Roman" w:cs="Times New Roman" w:eastAsia="Times New Roman" w:hAnsi="Times New Roman"/>
          <w:sz w:val="20"/>
          <w:szCs w:val="20"/>
          <w:color w:val="auto"/>
        </w:rPr>
        <w:t>Form of Performance-Based Restricted Stock Unit Award Agreement under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Larimar Therapeutics, Inc. 2020 Equity Incentive Plan (incorporated by reference to Exhibit 10.1 to the Company’s Current Report on Form 8-K filed on January 27, 2025).</w:t>
      </w:r>
    </w:p>
    <w:p>
      <w:pPr>
        <w:spacing w:after="0" w:line="1" w:lineRule="exact"/>
        <w:rPr>
          <w:sz w:val="20"/>
          <w:szCs w:val="20"/>
          <w:color w:val="auto"/>
        </w:rPr>
      </w:pPr>
    </w:p>
    <w:p>
      <w:pPr>
        <w:ind w:left="1400" w:right="700" w:hanging="435"/>
        <w:spacing w:after="0" w:line="219" w:lineRule="auto"/>
        <w:rPr>
          <w:sz w:val="20"/>
          <w:szCs w:val="20"/>
          <w:color w:val="auto"/>
        </w:rPr>
      </w:pPr>
      <w:r>
        <w:rPr>
          <w:rFonts w:ascii="Times New Roman" w:cs="Times New Roman" w:eastAsia="Times New Roman" w:hAnsi="Times New Roman"/>
          <w:sz w:val="19"/>
          <w:szCs w:val="19"/>
          <w:color w:val="auto"/>
        </w:rPr>
        <w:t xml:space="preserve">10.6 </w:t>
      </w:r>
      <w:r>
        <w:rPr>
          <w:rFonts w:ascii="Times New Roman" w:cs="Times New Roman" w:eastAsia="Times New Roman" w:hAnsi="Times New Roman"/>
          <w:sz w:val="20"/>
          <w:szCs w:val="20"/>
          <w:color w:val="auto"/>
        </w:rPr>
        <w:t>Registration Rights Agreement, dated as of June 1, 2020, by and among the Company and certain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Investors (incorporated by reference to Exhibit 10.2 of the Company’s Current Report on Form 8-K filed on June 2, 2020).</w:t>
      </w:r>
    </w:p>
    <w:p>
      <w:pPr>
        <w:spacing w:after="0" w:line="1" w:lineRule="exact"/>
        <w:rPr>
          <w:sz w:val="20"/>
          <w:szCs w:val="20"/>
          <w:color w:val="auto"/>
        </w:rPr>
      </w:pPr>
    </w:p>
    <w:p>
      <w:pPr>
        <w:ind w:left="1400" w:right="440" w:hanging="435"/>
        <w:spacing w:after="0" w:line="226" w:lineRule="auto"/>
        <w:rPr>
          <w:sz w:val="20"/>
          <w:szCs w:val="20"/>
          <w:color w:val="auto"/>
        </w:rPr>
      </w:pPr>
      <w:r>
        <w:rPr>
          <w:rFonts w:ascii="Times New Roman" w:cs="Times New Roman" w:eastAsia="Times New Roman" w:hAnsi="Times New Roman"/>
          <w:sz w:val="19"/>
          <w:szCs w:val="19"/>
          <w:color w:val="auto"/>
        </w:rPr>
        <w:t xml:space="preserve">10.7 </w:t>
      </w:r>
      <w:r>
        <w:rPr>
          <w:rFonts w:ascii="Times New Roman" w:cs="Times New Roman" w:eastAsia="Times New Roman" w:hAnsi="Times New Roman"/>
          <w:sz w:val="20"/>
          <w:szCs w:val="20"/>
          <w:color w:val="001482"/>
        </w:rPr>
        <w:t>Registration Rights Agreement, dated as of June 8, 2020, by and among the Company and certain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001482"/>
        </w:rPr>
        <w:t>Investors (incorporated by reference to Exhibit 10.3 of the Company’s Registration Statement on Form S-3 filed on June 26, 2020).</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960" w:h="17280" w:orient="portrait"/>
          <w:cols w:equalWidth="0" w:num="1">
            <w:col w:w="10080"/>
          </w:cols>
          <w:pgMar w:left="1440" w:top="1440" w:right="1440" w:bottom="895" w:gutter="0" w:footer="0" w:header="0"/>
          <w:type w:val="continuous"/>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0" w:right="440" w:hanging="435"/>
        <w:spacing w:after="0" w:line="235" w:lineRule="auto"/>
        <w:rPr>
          <w:sz w:val="20"/>
          <w:szCs w:val="20"/>
          <w:color w:val="auto"/>
        </w:rPr>
      </w:pPr>
      <w:r>
        <w:rPr>
          <w:rFonts w:ascii="Times New Roman" w:cs="Times New Roman" w:eastAsia="Times New Roman" w:hAnsi="Times New Roman"/>
          <w:sz w:val="19"/>
          <w:szCs w:val="19"/>
          <w:color w:val="auto"/>
        </w:rPr>
        <w:t xml:space="preserve">10.8 </w:t>
      </w:r>
      <w:r>
        <w:rPr>
          <w:rFonts w:ascii="Times New Roman" w:cs="Times New Roman" w:eastAsia="Times New Roman" w:hAnsi="Times New Roman"/>
          <w:sz w:val="20"/>
          <w:szCs w:val="20"/>
          <w:color w:val="001482"/>
        </w:rPr>
        <w:t>Form of Indemnification Agreement between the Company and its directors (incorporated by reference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001482"/>
        </w:rPr>
        <w:t>to Exhibit 10.3 of the Company’s Current Report on Form 8-K filed on June 2, 2020).</w:t>
      </w:r>
    </w:p>
    <w:p>
      <w:pPr>
        <w:spacing w:after="0" w:line="2" w:lineRule="exact"/>
        <w:rPr>
          <w:sz w:val="20"/>
          <w:szCs w:val="20"/>
          <w:color w:val="auto"/>
        </w:rPr>
      </w:pPr>
    </w:p>
    <w:p>
      <w:pPr>
        <w:ind w:left="1400" w:right="540" w:hanging="435"/>
        <w:spacing w:after="0" w:line="219" w:lineRule="auto"/>
        <w:rPr>
          <w:sz w:val="20"/>
          <w:szCs w:val="20"/>
          <w:color w:val="auto"/>
        </w:rPr>
      </w:pPr>
      <w:r>
        <w:rPr>
          <w:rFonts w:ascii="Times New Roman" w:cs="Times New Roman" w:eastAsia="Times New Roman" w:hAnsi="Times New Roman"/>
          <w:sz w:val="19"/>
          <w:szCs w:val="19"/>
          <w:color w:val="auto"/>
        </w:rPr>
        <w:t xml:space="preserve">10.9 </w:t>
      </w:r>
      <w:r>
        <w:rPr>
          <w:rFonts w:ascii="Times New Roman" w:cs="Times New Roman" w:eastAsia="Times New Roman" w:hAnsi="Times New Roman"/>
          <w:sz w:val="20"/>
          <w:szCs w:val="20"/>
          <w:color w:val="auto"/>
        </w:rPr>
        <w:t>Employment Agreement, dated July 31, 2020, by and between the Company and Carole Ben-Maimon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(incorporated by reference to Exhibit 10.1 of the Company’s Current Report on Form 8-K filed on August 6, 2020).</w:t>
      </w:r>
    </w:p>
    <w:p>
      <w:pPr>
        <w:spacing w:after="0" w:line="1" w:lineRule="exact"/>
        <w:rPr>
          <w:sz w:val="20"/>
          <w:szCs w:val="20"/>
          <w:color w:val="auto"/>
        </w:rPr>
      </w:pPr>
    </w:p>
    <w:p>
      <w:pPr>
        <w:ind w:left="1400" w:right="400" w:hanging="530"/>
        <w:spacing w:after="0" w:line="219" w:lineRule="auto"/>
        <w:rPr>
          <w:sz w:val="20"/>
          <w:szCs w:val="20"/>
          <w:color w:val="auto"/>
        </w:rPr>
      </w:pPr>
      <w:r>
        <w:rPr>
          <w:rFonts w:ascii="Times New Roman" w:cs="Times New Roman" w:eastAsia="Times New Roman" w:hAnsi="Times New Roman"/>
          <w:sz w:val="19"/>
          <w:szCs w:val="19"/>
          <w:color w:val="auto"/>
        </w:rPr>
        <w:t xml:space="preserve">10.10 </w:t>
      </w:r>
      <w:r>
        <w:rPr>
          <w:rFonts w:ascii="Times New Roman" w:cs="Times New Roman" w:eastAsia="Times New Roman" w:hAnsi="Times New Roman"/>
          <w:sz w:val="20"/>
          <w:szCs w:val="20"/>
          <w:color w:val="001482"/>
        </w:rPr>
        <w:t>Employment Agreement, dated June 1, 2020, by and between the Company and Michael Celano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001482"/>
        </w:rPr>
        <w:t>(incorporated by reference to Exhibit 10.4 of the Company’s Current Report on Form 8-K filed on June 2, 2020).</w:t>
      </w:r>
    </w:p>
    <w:p>
      <w:pPr>
        <w:spacing w:after="0" w:line="1" w:lineRule="exact"/>
        <w:rPr>
          <w:sz w:val="20"/>
          <w:szCs w:val="20"/>
          <w:color w:val="auto"/>
        </w:rPr>
      </w:pPr>
    </w:p>
    <w:p>
      <w:pPr>
        <w:ind w:left="1400" w:right="640" w:hanging="530"/>
        <w:spacing w:after="0" w:line="219" w:lineRule="auto"/>
        <w:rPr>
          <w:sz w:val="20"/>
          <w:szCs w:val="20"/>
          <w:color w:val="auto"/>
        </w:rPr>
      </w:pPr>
      <w:r>
        <w:rPr>
          <w:rFonts w:ascii="Times New Roman" w:cs="Times New Roman" w:eastAsia="Times New Roman" w:hAnsi="Times New Roman"/>
          <w:sz w:val="19"/>
          <w:szCs w:val="19"/>
          <w:color w:val="auto"/>
        </w:rPr>
        <w:t xml:space="preserve">10.11 </w:t>
      </w:r>
      <w:r>
        <w:rPr>
          <w:rFonts w:ascii="Times New Roman" w:cs="Times New Roman" w:eastAsia="Times New Roman" w:hAnsi="Times New Roman"/>
          <w:sz w:val="20"/>
          <w:szCs w:val="20"/>
          <w:color w:val="auto"/>
        </w:rPr>
        <w:t>Employment Agreement, dated February 7, 2023, by and between the Company and Gopi Shankar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(incorporated by reference to Exhibit 10.10 of the Company’s Annual Report on Form 10-K filed on March 14, 2023).</w:t>
      </w:r>
    </w:p>
    <w:p>
      <w:pPr>
        <w:spacing w:after="0" w:line="1" w:lineRule="exact"/>
        <w:rPr>
          <w:sz w:val="20"/>
          <w:szCs w:val="20"/>
          <w:color w:val="auto"/>
        </w:rPr>
      </w:pPr>
    </w:p>
    <w:p>
      <w:pPr>
        <w:ind w:left="1400" w:right="560" w:hanging="530"/>
        <w:spacing w:after="0" w:line="219" w:lineRule="auto"/>
        <w:rPr>
          <w:sz w:val="20"/>
          <w:szCs w:val="20"/>
          <w:color w:val="auto"/>
        </w:rPr>
      </w:pPr>
      <w:r>
        <w:rPr>
          <w:rFonts w:ascii="Times New Roman" w:cs="Times New Roman" w:eastAsia="Times New Roman" w:hAnsi="Times New Roman"/>
          <w:sz w:val="19"/>
          <w:szCs w:val="19"/>
          <w:color w:val="auto"/>
        </w:rPr>
        <w:t xml:space="preserve">10.12 </w:t>
      </w:r>
      <w:r>
        <w:rPr>
          <w:rFonts w:ascii="Times New Roman" w:cs="Times New Roman" w:eastAsia="Times New Roman" w:hAnsi="Times New Roman"/>
          <w:sz w:val="20"/>
          <w:szCs w:val="20"/>
          <w:color w:val="auto"/>
        </w:rPr>
        <w:t>Employment Agreement dated May 23, 2023, by and between the Company and Russell Clayton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(incorporated by reference to Exhibit 10.1 of the Company’s Quarterly Report on Form 10-Q filed on August 10, 2023).</w:t>
      </w:r>
    </w:p>
    <w:p>
      <w:pPr>
        <w:spacing w:after="0" w:line="1" w:lineRule="exact"/>
        <w:rPr>
          <w:sz w:val="20"/>
          <w:szCs w:val="20"/>
          <w:color w:val="auto"/>
        </w:rPr>
      </w:pPr>
    </w:p>
    <w:p>
      <w:pPr>
        <w:jc w:val="both"/>
        <w:ind w:left="1400" w:right="960" w:hanging="625"/>
        <w:spacing w:after="0" w:line="219" w:lineRule="auto"/>
        <w:rPr>
          <w:sz w:val="20"/>
          <w:szCs w:val="20"/>
          <w:color w:val="auto"/>
        </w:rPr>
      </w:pPr>
      <w:r>
        <w:rPr>
          <w:rFonts w:ascii="Times New Roman" w:cs="Times New Roman" w:eastAsia="Times New Roman" w:hAnsi="Times New Roman"/>
          <w:sz w:val="19"/>
          <w:szCs w:val="19"/>
          <w:color w:val="auto"/>
        </w:rPr>
        <w:t xml:space="preserve">10.13# </w:t>
      </w:r>
      <w:r>
        <w:rPr>
          <w:rFonts w:ascii="Times New Roman" w:cs="Times New Roman" w:eastAsia="Times New Roman" w:hAnsi="Times New Roman"/>
          <w:sz w:val="20"/>
          <w:szCs w:val="20"/>
          <w:color w:val="auto"/>
        </w:rPr>
        <w:t>License Agreement, by and between the Company and Wake Forest University Health Sciences,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effective as of November 30, 2016. (incorporated by reference to Exhibit 10.6 of the Company’s Quarterly Report on Form 10-Q filed on August 14, 2020).</w:t>
      </w:r>
    </w:p>
    <w:p>
      <w:pPr>
        <w:spacing w:after="0" w:line="1" w:lineRule="exact"/>
        <w:rPr>
          <w:sz w:val="20"/>
          <w:szCs w:val="20"/>
          <w:color w:val="auto"/>
        </w:rPr>
      </w:pPr>
    </w:p>
    <w:p>
      <w:pPr>
        <w:ind w:left="1400" w:right="360" w:hanging="625"/>
        <w:spacing w:after="0" w:line="219" w:lineRule="auto"/>
        <w:rPr>
          <w:sz w:val="20"/>
          <w:szCs w:val="20"/>
          <w:color w:val="auto"/>
        </w:rPr>
      </w:pPr>
      <w:r>
        <w:rPr>
          <w:rFonts w:ascii="Times New Roman" w:cs="Times New Roman" w:eastAsia="Times New Roman" w:hAnsi="Times New Roman"/>
          <w:sz w:val="19"/>
          <w:szCs w:val="19"/>
          <w:color w:val="auto"/>
        </w:rPr>
        <w:t xml:space="preserve">10.14# </w:t>
      </w:r>
      <w:r>
        <w:rPr>
          <w:rFonts w:ascii="Times New Roman" w:cs="Times New Roman" w:eastAsia="Times New Roman" w:hAnsi="Times New Roman"/>
          <w:sz w:val="20"/>
          <w:szCs w:val="20"/>
          <w:color w:val="auto"/>
        </w:rPr>
        <w:t>Amendment 1 to License Agreement, by and between the Company and Wake Forest University Health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Sciences, effective as of November 28, 2017 (incorporated by reference to Exhibit 10.7 of the Company’s Quarterly Report on Form 10-Q filed on August 14, 2020).</w:t>
      </w:r>
    </w:p>
    <w:p>
      <w:pPr>
        <w:spacing w:after="0" w:line="1" w:lineRule="exact"/>
        <w:rPr>
          <w:sz w:val="20"/>
          <w:szCs w:val="20"/>
          <w:color w:val="auto"/>
        </w:rPr>
      </w:pPr>
    </w:p>
    <w:p>
      <w:pPr>
        <w:ind w:left="1400" w:right="360" w:hanging="625"/>
        <w:spacing w:after="0" w:line="219" w:lineRule="auto"/>
        <w:rPr>
          <w:sz w:val="20"/>
          <w:szCs w:val="20"/>
          <w:color w:val="auto"/>
        </w:rPr>
      </w:pPr>
      <w:r>
        <w:rPr>
          <w:rFonts w:ascii="Times New Roman" w:cs="Times New Roman" w:eastAsia="Times New Roman" w:hAnsi="Times New Roman"/>
          <w:sz w:val="19"/>
          <w:szCs w:val="19"/>
          <w:color w:val="auto"/>
        </w:rPr>
        <w:t xml:space="preserve">10.15# </w:t>
      </w:r>
      <w:r>
        <w:rPr>
          <w:rFonts w:ascii="Times New Roman" w:cs="Times New Roman" w:eastAsia="Times New Roman" w:hAnsi="Times New Roman"/>
          <w:sz w:val="20"/>
          <w:szCs w:val="20"/>
          <w:color w:val="auto"/>
        </w:rPr>
        <w:t>Amendment 2 to License Agreement, by and between the Company and Wake Forest University Health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Sciences, effective as of March 29, 2019 (incorporated by reference to Exhibit 10.8 of the Company’s Quarterly Report on Form 10-Q filed on August 14, 2020).</w:t>
      </w:r>
    </w:p>
    <w:p>
      <w:pPr>
        <w:spacing w:after="0" w:line="1" w:lineRule="exact"/>
        <w:rPr>
          <w:sz w:val="20"/>
          <w:szCs w:val="20"/>
          <w:color w:val="auto"/>
        </w:rPr>
      </w:pPr>
    </w:p>
    <w:p>
      <w:pPr>
        <w:ind w:left="1400" w:right="640" w:hanging="625"/>
        <w:spacing w:after="0" w:line="219" w:lineRule="auto"/>
        <w:rPr>
          <w:sz w:val="20"/>
          <w:szCs w:val="20"/>
          <w:color w:val="auto"/>
        </w:rPr>
      </w:pPr>
      <w:r>
        <w:rPr>
          <w:rFonts w:ascii="Times New Roman" w:cs="Times New Roman" w:eastAsia="Times New Roman" w:hAnsi="Times New Roman"/>
          <w:sz w:val="19"/>
          <w:szCs w:val="19"/>
          <w:color w:val="auto"/>
        </w:rPr>
        <w:t xml:space="preserve">10.16# </w:t>
      </w:r>
      <w:r>
        <w:rPr>
          <w:rFonts w:ascii="Times New Roman" w:cs="Times New Roman" w:eastAsia="Times New Roman" w:hAnsi="Times New Roman"/>
          <w:sz w:val="20"/>
          <w:szCs w:val="20"/>
          <w:color w:val="auto"/>
        </w:rPr>
        <w:t>License Agreement, by and between the Company and Indiana University Research and Technology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Corporation, effective as of November 30, 2016 (incorporated by reference to Exhibit 10.9 of the Company’s Quarterly Report on Form 10-Q filed on August 14, 2020).</w:t>
      </w:r>
    </w:p>
    <w:p>
      <w:pPr>
        <w:spacing w:after="0" w:line="1" w:lineRule="exact"/>
        <w:rPr>
          <w:sz w:val="20"/>
          <w:szCs w:val="20"/>
          <w:color w:val="auto"/>
        </w:rPr>
      </w:pPr>
    </w:p>
    <w:p>
      <w:pPr>
        <w:ind w:left="1400" w:right="660" w:hanging="625"/>
        <w:spacing w:after="0" w:line="218" w:lineRule="auto"/>
        <w:rPr>
          <w:sz w:val="20"/>
          <w:szCs w:val="20"/>
          <w:color w:val="auto"/>
        </w:rPr>
      </w:pPr>
      <w:r>
        <w:rPr>
          <w:rFonts w:ascii="Times New Roman" w:cs="Times New Roman" w:eastAsia="Times New Roman" w:hAnsi="Times New Roman"/>
          <w:sz w:val="19"/>
          <w:szCs w:val="19"/>
          <w:color w:val="auto"/>
        </w:rPr>
        <w:t xml:space="preserve">10.17# </w:t>
      </w:r>
      <w:r>
        <w:rPr>
          <w:rFonts w:ascii="Times New Roman" w:cs="Times New Roman" w:eastAsia="Times New Roman" w:hAnsi="Times New Roman"/>
          <w:sz w:val="20"/>
          <w:szCs w:val="20"/>
          <w:color w:val="auto"/>
        </w:rPr>
        <w:t>First Amendment to License Agreement, by and between the Company, the Trustee of Indiana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University and Indiana University Research and Technology Corporation, effective as of August 16, 2019 (incorporated by reference to Exhibit 10.10 of the Company’s Quarterly Report on Form 10-Q filed on August 14, 2020).</w:t>
      </w:r>
    </w:p>
    <w:p>
      <w:pPr>
        <w:spacing w:after="0" w:line="2" w:lineRule="exact"/>
        <w:rPr>
          <w:sz w:val="20"/>
          <w:szCs w:val="20"/>
          <w:color w:val="auto"/>
        </w:rPr>
      </w:pPr>
    </w:p>
    <w:p>
      <w:pPr>
        <w:jc w:val="both"/>
        <w:ind w:left="1400" w:right="460" w:hanging="530"/>
        <w:spacing w:after="0" w:line="219" w:lineRule="auto"/>
        <w:rPr>
          <w:sz w:val="20"/>
          <w:szCs w:val="20"/>
          <w:color w:val="auto"/>
        </w:rPr>
      </w:pPr>
      <w:r>
        <w:rPr>
          <w:rFonts w:ascii="Times New Roman" w:cs="Times New Roman" w:eastAsia="Times New Roman" w:hAnsi="Times New Roman"/>
          <w:sz w:val="19"/>
          <w:szCs w:val="19"/>
          <w:color w:val="auto"/>
        </w:rPr>
        <w:t xml:space="preserve">10.18 </w:t>
      </w:r>
      <w:r>
        <w:rPr>
          <w:rFonts w:ascii="Times New Roman" w:cs="Times New Roman" w:eastAsia="Times New Roman" w:hAnsi="Times New Roman"/>
          <w:sz w:val="20"/>
          <w:szCs w:val="20"/>
          <w:color w:val="auto"/>
        </w:rPr>
        <w:t>Second Amendment to License Agreement, by and between the Company and The Trustees of Indiana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University, effective as of May 28, 2020 (incorporated by reference to Exhibit 10.1 to the Company’s Quarterly Report on Form 10-Q filed on August 11, 2022).</w:t>
      </w:r>
    </w:p>
    <w:p>
      <w:pPr>
        <w:spacing w:after="0" w:line="1" w:lineRule="exact"/>
        <w:rPr>
          <w:sz w:val="20"/>
          <w:szCs w:val="20"/>
          <w:color w:val="auto"/>
        </w:rPr>
      </w:pPr>
    </w:p>
    <w:p>
      <w:pPr>
        <w:jc w:val="both"/>
        <w:ind w:left="1400" w:right="620" w:hanging="530"/>
        <w:spacing w:after="0" w:line="219" w:lineRule="auto"/>
        <w:rPr>
          <w:sz w:val="20"/>
          <w:szCs w:val="20"/>
          <w:color w:val="auto"/>
        </w:rPr>
      </w:pPr>
      <w:r>
        <w:rPr>
          <w:rFonts w:ascii="Times New Roman" w:cs="Times New Roman" w:eastAsia="Times New Roman" w:hAnsi="Times New Roman"/>
          <w:sz w:val="19"/>
          <w:szCs w:val="19"/>
          <w:color w:val="auto"/>
        </w:rPr>
        <w:t xml:space="preserve">10.19 </w:t>
      </w:r>
      <w:r>
        <w:rPr>
          <w:rFonts w:ascii="Times New Roman" w:cs="Times New Roman" w:eastAsia="Times New Roman" w:hAnsi="Times New Roman"/>
          <w:sz w:val="20"/>
          <w:szCs w:val="20"/>
          <w:color w:val="auto"/>
        </w:rPr>
        <w:t>Third Amendment to License Agreement, by and between the Company and The Trustees of Indiana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University, effective as of June 9, 2022 (incorporated by reference to Exhibit 10.2 to the Company’s Quarterly Report on Form 10-Q filed on August 11, 2022).</w:t>
      </w:r>
    </w:p>
    <w:p>
      <w:pPr>
        <w:spacing w:after="0" w:line="1" w:lineRule="exact"/>
        <w:rPr>
          <w:sz w:val="20"/>
          <w:szCs w:val="20"/>
          <w:color w:val="auto"/>
        </w:rPr>
      </w:pPr>
    </w:p>
    <w:p>
      <w:pPr>
        <w:ind w:left="1400" w:right="420" w:hanging="530"/>
        <w:spacing w:after="0" w:line="232"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9"/>
          <w:szCs w:val="19"/>
          <w:color w:val="001482"/>
        </w:rPr>
        <w:t>Notice of Substitute Option Grant between the Company and a certain Optionee (incorporated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001482"/>
        </w:rPr>
        <w:t>reference to Exhibit 4.5 of the Company’s Registration Statement on Form S-8 filed on June 26, 2020).</w:t>
      </w:r>
    </w:p>
    <w:p>
      <w:pPr>
        <w:spacing w:after="0" w:line="2" w:lineRule="exact"/>
        <w:rPr>
          <w:sz w:val="20"/>
          <w:szCs w:val="20"/>
          <w:color w:val="auto"/>
        </w:rPr>
      </w:pPr>
    </w:p>
    <w:p>
      <w:pPr>
        <w:ind w:left="1400" w:right="400" w:hanging="530"/>
        <w:spacing w:after="0" w:line="219" w:lineRule="auto"/>
        <w:rPr>
          <w:sz w:val="20"/>
          <w:szCs w:val="20"/>
          <w:color w:val="auto"/>
        </w:rPr>
      </w:pPr>
      <w:r>
        <w:rPr>
          <w:rFonts w:ascii="Times New Roman" w:cs="Times New Roman" w:eastAsia="Times New Roman" w:hAnsi="Times New Roman"/>
          <w:sz w:val="19"/>
          <w:szCs w:val="19"/>
          <w:color w:val="auto"/>
        </w:rPr>
        <w:t xml:space="preserve">10.21 </w:t>
      </w:r>
      <w:r>
        <w:rPr>
          <w:rFonts w:ascii="Times New Roman" w:cs="Times New Roman" w:eastAsia="Times New Roman" w:hAnsi="Times New Roman"/>
          <w:sz w:val="20"/>
          <w:szCs w:val="20"/>
          <w:color w:val="auto"/>
        </w:rPr>
        <w:t>Lease, dated as of August 8, 2019, by and between Larimar Therapeutics, Inc. and Bala Plaza Property,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Inc. (incorporated by reference to Exhibit 10.20 to the Company’s Form 10-K filed on March 14, 2024).</w:t>
      </w:r>
    </w:p>
    <w:p>
      <w:pPr>
        <w:spacing w:after="0" w:line="1" w:lineRule="exact"/>
        <w:rPr>
          <w:sz w:val="20"/>
          <w:szCs w:val="20"/>
          <w:color w:val="auto"/>
        </w:rPr>
      </w:pPr>
    </w:p>
    <w:p>
      <w:pPr>
        <w:ind w:left="1400" w:right="420" w:hanging="530"/>
        <w:spacing w:after="0" w:line="219" w:lineRule="auto"/>
        <w:rPr>
          <w:sz w:val="20"/>
          <w:szCs w:val="20"/>
          <w:color w:val="auto"/>
        </w:rPr>
      </w:pPr>
      <w:r>
        <w:rPr>
          <w:rFonts w:ascii="Times New Roman" w:cs="Times New Roman" w:eastAsia="Times New Roman" w:hAnsi="Times New Roman"/>
          <w:sz w:val="19"/>
          <w:szCs w:val="19"/>
          <w:color w:val="auto"/>
        </w:rPr>
        <w:t xml:space="preserve">10.22 </w:t>
      </w:r>
      <w:r>
        <w:rPr>
          <w:rFonts w:ascii="Times New Roman" w:cs="Times New Roman" w:eastAsia="Times New Roman" w:hAnsi="Times New Roman"/>
          <w:sz w:val="20"/>
          <w:szCs w:val="20"/>
          <w:color w:val="auto"/>
        </w:rPr>
        <w:t>First Amendment to Lease, dated as of March 9, 2023, by and between the Company and Bala Plaza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Property, Inc. (incorporated by reference to Exhibit 10.21 to the Company’s Form 10-K filed on March 14, 2024).</w:t>
      </w:r>
    </w:p>
    <w:p>
      <w:pPr>
        <w:spacing w:after="0" w:line="1" w:lineRule="exact"/>
        <w:rPr>
          <w:sz w:val="20"/>
          <w:szCs w:val="20"/>
          <w:color w:val="auto"/>
        </w:rPr>
      </w:pPr>
    </w:p>
    <w:p>
      <w:pPr>
        <w:jc w:val="both"/>
        <w:ind w:left="1400" w:right="780" w:hanging="604"/>
        <w:spacing w:after="0" w:line="199" w:lineRule="auto"/>
        <w:rPr>
          <w:sz w:val="20"/>
          <w:szCs w:val="20"/>
          <w:color w:val="auto"/>
        </w:rPr>
      </w:pPr>
      <w:r>
        <w:rPr>
          <w:rFonts w:ascii="Times New Roman" w:cs="Times New Roman" w:eastAsia="Times New Roman" w:hAnsi="Times New Roman"/>
          <w:sz w:val="19"/>
          <w:szCs w:val="19"/>
          <w:color w:val="auto"/>
        </w:rPr>
        <w:t>10.23</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Commercial Lease by and between the Company and Shigo Center Plaza Owner, LLC dated as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February 12, 2019 (incorporated herein by reference to Exhibit 10.4 of the Registrant’s Form 10-Q filed on May 9, 2019)</w:t>
      </w:r>
      <w:r>
        <w:rPr>
          <w:rFonts w:ascii="Times New Roman" w:cs="Times New Roman" w:eastAsia="Times New Roman" w:hAnsi="Times New Roman"/>
          <w:sz w:val="20"/>
          <w:szCs w:val="20"/>
          <w:u w:val="single" w:color="auto"/>
          <w:color w:val="001987"/>
        </w:rPr>
        <w:t>.</w:t>
      </w:r>
    </w:p>
    <w:p>
      <w:pPr>
        <w:spacing w:after="0" w:line="2" w:lineRule="exact"/>
        <w:rPr>
          <w:sz w:val="20"/>
          <w:szCs w:val="20"/>
          <w:color w:val="auto"/>
        </w:rPr>
      </w:pPr>
    </w:p>
    <w:p>
      <w:pPr>
        <w:ind w:left="1400" w:right="460" w:hanging="604"/>
        <w:spacing w:after="0" w:line="199" w:lineRule="auto"/>
        <w:rPr>
          <w:sz w:val="20"/>
          <w:szCs w:val="20"/>
          <w:color w:val="auto"/>
        </w:rPr>
      </w:pPr>
      <w:r>
        <w:rPr>
          <w:rFonts w:ascii="Times New Roman" w:cs="Times New Roman" w:eastAsia="Times New Roman" w:hAnsi="Times New Roman"/>
          <w:sz w:val="19"/>
          <w:szCs w:val="19"/>
          <w:color w:val="auto"/>
        </w:rPr>
        <w:t>10.24</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Sublease, dated October 27, 2020 by and between the Company and Massachusetts Municipal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Association, Inc. (incorporated by reference to Exhibit 10.1 to the Company’s Current Report on Form 8-K filed on October 30, 2020).</w:t>
      </w:r>
    </w:p>
    <w:p>
      <w:pPr>
        <w:spacing w:after="0" w:line="2" w:lineRule="exact"/>
        <w:rPr>
          <w:sz w:val="20"/>
          <w:szCs w:val="20"/>
          <w:color w:val="auto"/>
        </w:rPr>
      </w:pPr>
    </w:p>
    <w:p>
      <w:pPr>
        <w:ind w:left="1400" w:right="640" w:hanging="604"/>
        <w:spacing w:after="0" w:line="199" w:lineRule="auto"/>
        <w:rPr>
          <w:sz w:val="20"/>
          <w:szCs w:val="20"/>
          <w:color w:val="auto"/>
        </w:rPr>
      </w:pPr>
      <w:r>
        <w:rPr>
          <w:rFonts w:ascii="Times New Roman" w:cs="Times New Roman" w:eastAsia="Times New Roman" w:hAnsi="Times New Roman"/>
          <w:sz w:val="19"/>
          <w:szCs w:val="19"/>
          <w:color w:val="auto"/>
        </w:rPr>
        <w:t>10.25</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Master Services Agreement, dated as of September 20, 2017, by and between the Company and KBI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Biopharma, Inc. (incorporated by reference to Exhibit 10.1 to the Company’s Quarterly Report on Form 10-Q filed on May 10, 2021).</w:t>
      </w:r>
    </w:p>
    <w:p>
      <w:pPr>
        <w:spacing w:after="0" w:line="2" w:lineRule="exact"/>
        <w:rPr>
          <w:sz w:val="20"/>
          <w:szCs w:val="20"/>
          <w:color w:val="auto"/>
        </w:rPr>
      </w:pPr>
    </w:p>
    <w:p>
      <w:pPr>
        <w:ind w:left="1400" w:right="640" w:hanging="604"/>
        <w:spacing w:after="0" w:line="199" w:lineRule="auto"/>
        <w:rPr>
          <w:sz w:val="20"/>
          <w:szCs w:val="20"/>
          <w:color w:val="auto"/>
        </w:rPr>
      </w:pPr>
      <w:r>
        <w:rPr>
          <w:rFonts w:ascii="Times New Roman" w:cs="Times New Roman" w:eastAsia="Times New Roman" w:hAnsi="Times New Roman"/>
          <w:sz w:val="19"/>
          <w:szCs w:val="19"/>
          <w:color w:val="auto"/>
        </w:rPr>
        <w:t>10.26</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First Amendment to Master Services Agreement, dated as of November 9, 2018, by and between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Company and KBI Biopharma, Inc. (incorporated by reference to Exhibit 10.2 to the Company’s Quarterly Report on Form 10-Q filed on May 10, 2021).</w:t>
      </w:r>
    </w:p>
    <w:p>
      <w:pPr>
        <w:spacing w:after="0" w:line="2" w:lineRule="exact"/>
        <w:rPr>
          <w:sz w:val="20"/>
          <w:szCs w:val="20"/>
          <w:color w:val="auto"/>
        </w:rPr>
      </w:pPr>
    </w:p>
    <w:p>
      <w:pPr>
        <w:jc w:val="both"/>
        <w:ind w:left="1400" w:right="540" w:hanging="604"/>
        <w:spacing w:after="0" w:line="206" w:lineRule="auto"/>
        <w:rPr>
          <w:sz w:val="20"/>
          <w:szCs w:val="20"/>
          <w:color w:val="auto"/>
        </w:rPr>
      </w:pPr>
      <w:r>
        <w:rPr>
          <w:rFonts w:ascii="Times New Roman" w:cs="Times New Roman" w:eastAsia="Times New Roman" w:hAnsi="Times New Roman"/>
          <w:sz w:val="19"/>
          <w:szCs w:val="19"/>
          <w:color w:val="auto"/>
        </w:rPr>
        <w:t>10.27</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Second Amendment to Master Services Agreement, dated as of September 20, 2022, by and between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the Company and KBI Biopharma, Inc. (incorporated by reference to Exhibit 10.23 to the Company’s Form 10-K filed on March 14, 2023)</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960" w:h="17280" w:orient="portrait"/>
          <w:cols w:equalWidth="0" w:num="1">
            <w:col w:w="10080"/>
          </w:cols>
          <w:pgMar w:left="1440" w:top="1440" w:right="1440" w:bottom="895" w:gutter="0" w:footer="0" w:header="0"/>
          <w:type w:val="continuous"/>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400" w:right="420" w:hanging="530"/>
        <w:spacing w:after="0" w:line="229" w:lineRule="auto"/>
        <w:rPr>
          <w:sz w:val="20"/>
          <w:szCs w:val="20"/>
          <w:color w:val="auto"/>
        </w:rPr>
      </w:pPr>
      <w:r>
        <w:rPr>
          <w:rFonts w:ascii="Times New Roman" w:cs="Times New Roman" w:eastAsia="Times New Roman" w:hAnsi="Times New Roman"/>
          <w:sz w:val="19"/>
          <w:szCs w:val="19"/>
          <w:color w:val="auto"/>
        </w:rPr>
        <w:t xml:space="preserve">10.28 </w:t>
      </w:r>
      <w:r>
        <w:rPr>
          <w:rFonts w:ascii="Times New Roman" w:cs="Times New Roman" w:eastAsia="Times New Roman" w:hAnsi="Times New Roman"/>
          <w:sz w:val="20"/>
          <w:szCs w:val="20"/>
          <w:color w:val="auto"/>
        </w:rPr>
        <w:t>Sales Agreement, dated as of May 9, 2024, by and between the Company and Guggenheim Securities,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LLC (incorporated by reference to Exhibit 10.1 to the Company's Quarterly Report on Form 10-Q filed on May 9, 2024).</w:t>
      </w:r>
    </w:p>
    <w:p>
      <w:pPr>
        <w:ind w:left="780"/>
        <w:spacing w:after="0" w:line="227" w:lineRule="auto"/>
        <w:rPr>
          <w:sz w:val="20"/>
          <w:szCs w:val="20"/>
          <w:color w:val="auto"/>
        </w:rPr>
      </w:pPr>
      <w:r>
        <w:rPr>
          <w:rFonts w:ascii="Times New Roman" w:cs="Times New Roman" w:eastAsia="Times New Roman" w:hAnsi="Times New Roman"/>
          <w:sz w:val="19"/>
          <w:szCs w:val="19"/>
          <w:color w:val="auto"/>
        </w:rPr>
        <w:t xml:space="preserve">19.1*^ </w:t>
      </w:r>
      <w:r>
        <w:rPr>
          <w:rFonts w:ascii="Times New Roman" w:cs="Times New Roman" w:eastAsia="Times New Roman" w:hAnsi="Times New Roman"/>
          <w:sz w:val="20"/>
          <w:szCs w:val="20"/>
          <w:color w:val="auto"/>
        </w:rPr>
        <w:t>Insider Trading Policy.</w:t>
      </w:r>
    </w:p>
    <w:p>
      <w:pPr>
        <w:ind w:left="860"/>
        <w:spacing w:after="0" w:line="226" w:lineRule="auto"/>
        <w:rPr>
          <w:sz w:val="20"/>
          <w:szCs w:val="20"/>
          <w:color w:val="auto"/>
        </w:rPr>
      </w:pPr>
      <w:r>
        <w:rPr>
          <w:rFonts w:ascii="Times New Roman" w:cs="Times New Roman" w:eastAsia="Times New Roman" w:hAnsi="Times New Roman"/>
          <w:sz w:val="19"/>
          <w:szCs w:val="19"/>
          <w:color w:val="auto"/>
        </w:rPr>
        <w:t xml:space="preserve">21.1* </w:t>
      </w:r>
      <w:r>
        <w:rPr>
          <w:rFonts w:ascii="Times New Roman" w:cs="Times New Roman" w:eastAsia="Times New Roman" w:hAnsi="Times New Roman"/>
          <w:sz w:val="20"/>
          <w:szCs w:val="20"/>
          <w:color w:val="auto"/>
        </w:rPr>
        <w:t>Subsidiaries of Larimar Therapeutics, Inc.</w:t>
      </w:r>
    </w:p>
    <w:p>
      <w:pPr>
        <w:ind w:left="860"/>
        <w:spacing w:after="0" w:line="227" w:lineRule="auto"/>
        <w:rPr>
          <w:sz w:val="20"/>
          <w:szCs w:val="20"/>
          <w:color w:val="auto"/>
        </w:rPr>
      </w:pPr>
      <w:r>
        <w:rPr>
          <w:rFonts w:ascii="Times New Roman" w:cs="Times New Roman" w:eastAsia="Times New Roman" w:hAnsi="Times New Roman"/>
          <w:sz w:val="19"/>
          <w:szCs w:val="19"/>
          <w:color w:val="auto"/>
        </w:rPr>
        <w:t xml:space="preserve">23.1* </w:t>
      </w:r>
      <w:r>
        <w:rPr>
          <w:rFonts w:ascii="Times New Roman" w:cs="Times New Roman" w:eastAsia="Times New Roman" w:hAnsi="Times New Roman"/>
          <w:sz w:val="20"/>
          <w:szCs w:val="20"/>
          <w:color w:val="auto"/>
        </w:rPr>
        <w:t>Consent of PricewaterhouseCoopers LLP, independent registered public accounting firm.</w:t>
      </w:r>
    </w:p>
    <w:p>
      <w:pPr>
        <w:ind w:left="860"/>
        <w:spacing w:after="0" w:line="226" w:lineRule="auto"/>
        <w:rPr>
          <w:sz w:val="20"/>
          <w:szCs w:val="20"/>
          <w:color w:val="auto"/>
        </w:rPr>
      </w:pPr>
      <w:r>
        <w:rPr>
          <w:rFonts w:ascii="Times New Roman" w:cs="Times New Roman" w:eastAsia="Times New Roman" w:hAnsi="Times New Roman"/>
          <w:sz w:val="19"/>
          <w:szCs w:val="19"/>
          <w:color w:val="auto"/>
        </w:rPr>
        <w:t xml:space="preserve">31.1* </w:t>
      </w:r>
      <w:r>
        <w:rPr>
          <w:rFonts w:ascii="Times New Roman" w:cs="Times New Roman" w:eastAsia="Times New Roman" w:hAnsi="Times New Roman"/>
          <w:sz w:val="20"/>
          <w:szCs w:val="20"/>
          <w:color w:val="auto"/>
        </w:rPr>
        <w:t>Rule 13a-14(a)/15d-14(a) certification of Principal Executive Officer.</w:t>
      </w:r>
    </w:p>
    <w:p>
      <w:pPr>
        <w:ind w:left="860"/>
        <w:spacing w:after="0" w:line="227" w:lineRule="auto"/>
        <w:rPr>
          <w:sz w:val="20"/>
          <w:szCs w:val="20"/>
          <w:color w:val="auto"/>
        </w:rPr>
      </w:pPr>
      <w:r>
        <w:rPr>
          <w:rFonts w:ascii="Times New Roman" w:cs="Times New Roman" w:eastAsia="Times New Roman" w:hAnsi="Times New Roman"/>
          <w:sz w:val="19"/>
          <w:szCs w:val="19"/>
          <w:color w:val="auto"/>
        </w:rPr>
        <w:t xml:space="preserve">31.2* </w:t>
      </w:r>
      <w:r>
        <w:rPr>
          <w:rFonts w:ascii="Times New Roman" w:cs="Times New Roman" w:eastAsia="Times New Roman" w:hAnsi="Times New Roman"/>
          <w:sz w:val="20"/>
          <w:szCs w:val="20"/>
          <w:color w:val="auto"/>
        </w:rPr>
        <w:t>Rule 13a-14(a)/15d-14(a) certification of Principal Financial Officer.</w:t>
      </w:r>
    </w:p>
    <w:p>
      <w:pPr>
        <w:ind w:left="1400" w:right="360" w:hanging="625"/>
        <w:spacing w:after="0" w:line="221" w:lineRule="auto"/>
        <w:rPr>
          <w:sz w:val="20"/>
          <w:szCs w:val="20"/>
          <w:color w:val="auto"/>
        </w:rPr>
      </w:pPr>
      <w:r>
        <w:rPr>
          <w:rFonts w:ascii="Times New Roman" w:cs="Times New Roman" w:eastAsia="Times New Roman" w:hAnsi="Times New Roman"/>
          <w:sz w:val="19"/>
          <w:szCs w:val="19"/>
          <w:color w:val="auto"/>
        </w:rPr>
        <w:t xml:space="preserve">32.1** </w:t>
      </w:r>
      <w:r>
        <w:rPr>
          <w:rFonts w:ascii="Times New Roman" w:cs="Times New Roman" w:eastAsia="Times New Roman" w:hAnsi="Times New Roman"/>
          <w:sz w:val="20"/>
          <w:szCs w:val="20"/>
          <w:color w:val="auto"/>
        </w:rPr>
        <w:t>Section 1350 certification of the Principal Executive Officer and Principal Financial Officer, as adopted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pursuant to Section 906 of the Sarbanes-Oxley Act of 2002 (furnished herewith).</w:t>
      </w:r>
    </w:p>
    <w:p>
      <w:pPr>
        <w:ind w:left="1400" w:right="400" w:hanging="453"/>
        <w:spacing w:after="0" w:line="180" w:lineRule="auto"/>
        <w:rPr>
          <w:sz w:val="20"/>
          <w:szCs w:val="20"/>
          <w:color w:val="auto"/>
        </w:rPr>
      </w:pPr>
      <w:r>
        <w:rPr>
          <w:rFonts w:ascii="Times New Roman" w:cs="Times New Roman" w:eastAsia="Times New Roman" w:hAnsi="Times New Roman"/>
          <w:sz w:val="32"/>
          <w:szCs w:val="32"/>
          <w:color w:val="auto"/>
          <w:vertAlign w:val="subscript"/>
        </w:rPr>
        <w:t>97.1</w:t>
      </w:r>
      <w:r>
        <w:rPr>
          <w:rFonts w:ascii="Times New Roman" w:cs="Times New Roman" w:eastAsia="Times New Roman" w:hAnsi="Times New Roman"/>
          <w:sz w:val="17"/>
          <w:szCs w:val="17"/>
          <w:color w:val="auto"/>
        </w:rPr>
        <w:t xml:space="preserve"> Larimar Therapeutics. Inc.’s Compensation Recovery Policy (incorporated by reference to Exhibit 97.1 to the Company's Form 10-K filed on March 14, 2024.</w:t>
      </w:r>
    </w:p>
    <w:p>
      <w:pPr>
        <w:ind w:left="620"/>
        <w:spacing w:after="0" w:line="227" w:lineRule="auto"/>
        <w:rPr>
          <w:sz w:val="20"/>
          <w:szCs w:val="20"/>
          <w:color w:val="auto"/>
        </w:rPr>
      </w:pPr>
      <w:r>
        <w:rPr>
          <w:rFonts w:ascii="Times New Roman" w:cs="Times New Roman" w:eastAsia="Times New Roman" w:hAnsi="Times New Roman"/>
          <w:sz w:val="20"/>
          <w:szCs w:val="20"/>
          <w:color w:val="auto"/>
        </w:rPr>
        <w:t>101.INS Inline XBRL Instance Document</w:t>
      </w:r>
    </w:p>
    <w:p>
      <w:pPr>
        <w:ind w:left="560"/>
        <w:spacing w:after="0" w:line="227" w:lineRule="auto"/>
        <w:rPr>
          <w:sz w:val="20"/>
          <w:szCs w:val="20"/>
          <w:color w:val="auto"/>
        </w:rPr>
      </w:pPr>
      <w:r>
        <w:rPr>
          <w:rFonts w:ascii="Times New Roman" w:cs="Times New Roman" w:eastAsia="Times New Roman" w:hAnsi="Times New Roman"/>
          <w:sz w:val="20"/>
          <w:szCs w:val="20"/>
          <w:color w:val="auto"/>
        </w:rPr>
        <w:t>101.SCH Inline XBRL Taxonomy Extension Schema Document</w:t>
      </w:r>
    </w:p>
    <w:p>
      <w:pPr>
        <w:ind w:left="540"/>
        <w:spacing w:after="0" w:line="226" w:lineRule="auto"/>
        <w:rPr>
          <w:sz w:val="20"/>
          <w:szCs w:val="20"/>
          <w:color w:val="auto"/>
        </w:rPr>
      </w:pPr>
      <w:r>
        <w:rPr>
          <w:rFonts w:ascii="Times New Roman" w:cs="Times New Roman" w:eastAsia="Times New Roman" w:hAnsi="Times New Roman"/>
          <w:sz w:val="20"/>
          <w:szCs w:val="20"/>
          <w:color w:val="auto"/>
        </w:rPr>
        <w:t>101.CAL Inline XBRL Taxonomy Extension Calculation Linkbase Document</w:t>
      </w:r>
    </w:p>
    <w:p>
      <w:pPr>
        <w:ind w:left="560"/>
        <w:spacing w:after="0" w:line="227" w:lineRule="auto"/>
        <w:rPr>
          <w:sz w:val="20"/>
          <w:szCs w:val="20"/>
          <w:color w:val="auto"/>
        </w:rPr>
      </w:pPr>
      <w:r>
        <w:rPr>
          <w:rFonts w:ascii="Times New Roman" w:cs="Times New Roman" w:eastAsia="Times New Roman" w:hAnsi="Times New Roman"/>
          <w:sz w:val="20"/>
          <w:szCs w:val="20"/>
          <w:color w:val="auto"/>
        </w:rPr>
        <w:t>101.DEF Inline XBRL Taxonomy Extension Definition Linkbase Document</w:t>
      </w:r>
    </w:p>
    <w:p>
      <w:pPr>
        <w:ind w:left="540"/>
        <w:spacing w:after="0" w:line="226" w:lineRule="auto"/>
        <w:rPr>
          <w:sz w:val="20"/>
          <w:szCs w:val="20"/>
          <w:color w:val="auto"/>
        </w:rPr>
      </w:pPr>
      <w:r>
        <w:rPr>
          <w:rFonts w:ascii="Times New Roman" w:cs="Times New Roman" w:eastAsia="Times New Roman" w:hAnsi="Times New Roman"/>
          <w:sz w:val="20"/>
          <w:szCs w:val="20"/>
          <w:color w:val="auto"/>
        </w:rPr>
        <w:t>101.LAB Inline XBRL Taxonomy Extension Label Linkbase Document</w:t>
      </w:r>
    </w:p>
    <w:p>
      <w:pPr>
        <w:ind w:left="580"/>
        <w:spacing w:after="0"/>
        <w:rPr>
          <w:sz w:val="20"/>
          <w:szCs w:val="20"/>
          <w:color w:val="auto"/>
        </w:rPr>
      </w:pPr>
      <w:r>
        <w:rPr>
          <w:rFonts w:ascii="Times New Roman" w:cs="Times New Roman" w:eastAsia="Times New Roman" w:hAnsi="Times New Roman"/>
          <w:sz w:val="20"/>
          <w:szCs w:val="20"/>
          <w:color w:val="auto"/>
        </w:rPr>
        <w:t>101.PRE Inline XBRL Taxonomy Extension Presentation Linkbase Document</w:t>
      </w:r>
    </w:p>
    <w:p>
      <w:pPr>
        <w:ind w:left="1000"/>
        <w:spacing w:after="0"/>
        <w:rPr>
          <w:sz w:val="20"/>
          <w:szCs w:val="20"/>
          <w:color w:val="auto"/>
        </w:rPr>
      </w:pPr>
      <w:r>
        <w:rPr>
          <w:rFonts w:ascii="Times New Roman" w:cs="Times New Roman" w:eastAsia="Times New Roman" w:hAnsi="Times New Roman"/>
          <w:sz w:val="20"/>
          <w:szCs w:val="20"/>
          <w:color w:val="auto"/>
        </w:rPr>
        <w:t>104 Cover Page Interactive Data File (formatted as inline XBRL and contained in Exhibit 101)</w:t>
      </w:r>
    </w:p>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None.</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960" w:h="17280" w:orient="portrait"/>
          <w:cols w:equalWidth="0" w:num="1">
            <w:col w:w="10080"/>
          </w:cols>
          <w:pgMar w:left="1440" w:top="1440" w:right="1440" w:bottom="895"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ind w:left="360" w:right="46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LARIMAR THERAPEUTICS, INC.</w:t>
      </w:r>
    </w:p>
    <w:p>
      <w:pPr>
        <w:spacing w:after="0" w:line="25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By: /s/ Carole S. Ben-Maimon,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3425190</wp:posOffset>
                </wp:positionH>
                <wp:positionV relativeFrom="paragraph">
                  <wp:posOffset>24765</wp:posOffset>
                </wp:positionV>
                <wp:extent cx="274701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70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7pt,1.95pt" to="486pt,1.95pt" o:allowincell="f" strokecolor="#000000" strokeweight="1pt"/>
            </w:pict>
          </mc:Fallback>
        </mc:AlternateContent>
      </w:r>
    </w:p>
    <w:p>
      <w:pPr>
        <w:spacing w:after="0" w:line="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Name: Carole S. Ben-Maimon, M.D.</w:t>
      </w:r>
    </w:p>
    <w:p>
      <w:pPr>
        <w:spacing w:after="0" w:line="3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117" w:lineRule="exact"/>
        <w:rPr>
          <w:sz w:val="20"/>
          <w:szCs w:val="20"/>
          <w:color w:val="auto"/>
        </w:rPr>
      </w:pPr>
    </w:p>
    <w:p>
      <w:pPr>
        <w:ind w:left="360" w:right="96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by the following persons on behalf of the registrant and in the capacities and on the dates indicated.</w:t>
      </w:r>
    </w:p>
    <w:p>
      <w:pPr>
        <w:sectPr>
          <w:pgSz w:w="12960" w:h="17280" w:orient="portrait"/>
          <w:cols w:equalWidth="0" w:num="1">
            <w:col w:w="10080"/>
          </w:cols>
          <w:pgMar w:left="1440" w:top="1440" w:right="1440" w:bottom="895" w:gutter="0" w:footer="0" w:header="0"/>
        </w:sectPr>
      </w:pPr>
    </w:p>
    <w:p>
      <w:pPr>
        <w:spacing w:after="0" w:line="20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231775</wp:posOffset>
                </wp:positionH>
                <wp:positionV relativeFrom="paragraph">
                  <wp:posOffset>27305</wp:posOffset>
                </wp:positionV>
                <wp:extent cx="195008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00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pt,2.15pt" to="171.8pt,2.15pt" o:allowincell="f" strokecolor="#000000" strokeweight="1pt"/>
            </w:pict>
          </mc:Fallback>
        </mc:AlternateContent>
      </w:r>
    </w:p>
    <w:p>
      <w:pPr>
        <w:spacing w:after="0" w:line="26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/s/ Carole S. Ben-Maimon,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231775</wp:posOffset>
                </wp:positionH>
                <wp:positionV relativeFrom="paragraph">
                  <wp:posOffset>24765</wp:posOffset>
                </wp:positionV>
                <wp:extent cx="195008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00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pt,1.95pt" to="171.8pt,1.95pt" o:allowincell="f" strokecolor="#000000" strokeweight="1pt"/>
            </w:pict>
          </mc:Fallback>
        </mc:AlternateContent>
      </w:r>
    </w:p>
    <w:p>
      <w:pPr>
        <w:spacing w:after="0" w:line="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Carole S. Ben-Maimon, M.D.</w:t>
      </w:r>
    </w:p>
    <w:p>
      <w:pPr>
        <w:spacing w:after="0" w:line="25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/s/ Michael Celano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231775</wp:posOffset>
                </wp:positionH>
                <wp:positionV relativeFrom="paragraph">
                  <wp:posOffset>24765</wp:posOffset>
                </wp:positionV>
                <wp:extent cx="195008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00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pt,1.95pt" to="171.8pt,1.95pt" o:allowincell="f" strokecolor="#000000" strokeweight="1pt"/>
            </w:pict>
          </mc:Fallback>
        </mc:AlternateContent>
      </w:r>
    </w:p>
    <w:p>
      <w:pPr>
        <w:spacing w:after="0" w:line="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Michael Celano</w:t>
      </w:r>
    </w:p>
    <w:p>
      <w:pPr>
        <w:spacing w:after="0" w:line="25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/s/ Joseph Truitt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231775</wp:posOffset>
                </wp:positionH>
                <wp:positionV relativeFrom="paragraph">
                  <wp:posOffset>24765</wp:posOffset>
                </wp:positionV>
                <wp:extent cx="195008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00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pt,1.95pt" to="171.8pt,1.95pt" o:allowincell="f" strokecolor="#000000" strokeweight="1pt"/>
            </w:pict>
          </mc:Fallback>
        </mc:AlternateContent>
      </w:r>
    </w:p>
    <w:p>
      <w:pPr>
        <w:spacing w:after="0" w:line="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Joseph Truitt</w:t>
      </w:r>
    </w:p>
    <w:p>
      <w:pPr>
        <w:spacing w:after="0" w:line="25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/s/ Thomas E. Hamilton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231775</wp:posOffset>
                </wp:positionH>
                <wp:positionV relativeFrom="paragraph">
                  <wp:posOffset>24765</wp:posOffset>
                </wp:positionV>
                <wp:extent cx="195008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00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pt,1.95pt" to="171.8pt,1.95pt" o:allowincell="f" strokecolor="#000000" strokeweight="1pt"/>
            </w:pict>
          </mc:Fallback>
        </mc:AlternateContent>
      </w:r>
    </w:p>
    <w:p>
      <w:pPr>
        <w:spacing w:after="0" w:line="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Thomas E. Hamilton</w:t>
      </w:r>
    </w:p>
    <w:p>
      <w:pPr>
        <w:spacing w:after="0" w:line="25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/s/ Jonathan Leff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231775</wp:posOffset>
                </wp:positionH>
                <wp:positionV relativeFrom="paragraph">
                  <wp:posOffset>24765</wp:posOffset>
                </wp:positionV>
                <wp:extent cx="195008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00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pt,1.95pt" to="171.8pt,1.95pt" o:allowincell="f" strokecolor="#000000" strokeweight="1pt"/>
            </w:pict>
          </mc:Fallback>
        </mc:AlternateContent>
      </w:r>
    </w:p>
    <w:p>
      <w:pPr>
        <w:spacing w:after="0" w:line="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Jonathan Leff</w:t>
      </w:r>
    </w:p>
    <w:p>
      <w:pPr>
        <w:spacing w:after="0" w:line="250" w:lineRule="exact"/>
        <w:rPr>
          <w:sz w:val="20"/>
          <w:szCs w:val="20"/>
          <w:color w:val="auto"/>
        </w:rPr>
      </w:pPr>
    </w:p>
    <w:p>
      <w:pPr>
        <w:jc w:val="center"/>
        <w:ind w:left="420"/>
        <w:spacing w:after="0" w:line="349" w:lineRule="auto"/>
        <w:rPr>
          <w:sz w:val="20"/>
          <w:szCs w:val="20"/>
          <w:color w:val="auto"/>
        </w:rPr>
      </w:pPr>
      <w:r>
        <w:rPr>
          <w:rFonts w:ascii="Times New Roman" w:cs="Times New Roman" w:eastAsia="Times New Roman" w:hAnsi="Times New Roman"/>
          <w:sz w:val="19"/>
          <w:szCs w:val="19"/>
          <w:color w:val="auto"/>
        </w:rPr>
        <w:t>/s/ Jeffrey W. Sherman, M.D., FACP Jeffrey W. Sherman, M.D., FACP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231775</wp:posOffset>
                </wp:positionH>
                <wp:positionV relativeFrom="paragraph">
                  <wp:posOffset>-231775</wp:posOffset>
                </wp:positionV>
                <wp:extent cx="195008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00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pt,-18.2499pt" to="171.8pt,-18.2499pt" o:allowincell="f" strokecolor="#000000" strokeweight="1pt"/>
            </w:pict>
          </mc:Fallback>
        </mc:AlternateContent>
      </w:r>
    </w:p>
    <w:p>
      <w:pPr>
        <w:spacing w:after="0" w:line="9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/s/ Frank E. Thomas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231775</wp:posOffset>
                </wp:positionH>
                <wp:positionV relativeFrom="paragraph">
                  <wp:posOffset>24765</wp:posOffset>
                </wp:positionV>
                <wp:extent cx="195008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00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pt,1.95pt" to="171.8pt,1.95pt" o:allowincell="f" strokecolor="#000000" strokeweight="1pt"/>
            </w:pict>
          </mc:Fallback>
        </mc:AlternateContent>
      </w:r>
    </w:p>
    <w:p>
      <w:pPr>
        <w:spacing w:after="0" w:line="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Frank E. Thomas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240" w:type="dxa"/>
            <w:vAlign w:val="bottom"/>
            <w:tcBorders>
              <w:bottom w:val="single" w:sz="8" w:color="FEFEFE"/>
            </w:tcBorders>
          </w:tcPr>
          <w:p>
            <w:pPr>
              <w:spacing w:after="0"/>
              <w:rPr>
                <w:sz w:val="22"/>
                <w:szCs w:val="22"/>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0" w:type="dxa"/>
            <w:vAlign w:val="bottom"/>
          </w:tcPr>
          <w:p>
            <w:pPr>
              <w:spacing w:after="0"/>
              <w:rPr>
                <w:sz w:val="1"/>
                <w:szCs w:val="1"/>
                <w:color w:val="auto"/>
              </w:rPr>
            </w:pPr>
          </w:p>
        </w:tc>
      </w:tr>
      <w:tr>
        <w:trPr>
          <w:trHeight w:val="480"/>
        </w:trPr>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President, Chief Executive Officer and</w:t>
            </w:r>
          </w:p>
        </w:tc>
        <w:tc>
          <w:tcPr>
            <w:tcW w:w="24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24, 2025</w:t>
            </w:r>
          </w:p>
        </w:tc>
        <w:tc>
          <w:tcPr>
            <w:tcW w:w="0" w:type="dxa"/>
            <w:vAlign w:val="bottom"/>
          </w:tcPr>
          <w:p>
            <w:pPr>
              <w:spacing w:after="0"/>
              <w:rPr>
                <w:sz w:val="1"/>
                <w:szCs w:val="1"/>
                <w:color w:val="auto"/>
              </w:rPr>
            </w:pPr>
          </w:p>
        </w:tc>
      </w:tr>
      <w:tr>
        <w:trPr>
          <w:trHeight w:val="151"/>
        </w:trPr>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Director (principal executive officer)</w:t>
            </w:r>
          </w:p>
        </w:tc>
        <w:tc>
          <w:tcPr>
            <w:tcW w:w="240" w:type="dxa"/>
            <w:vAlign w:val="bottom"/>
          </w:tcPr>
          <w:p>
            <w:pPr>
              <w:spacing w:after="0"/>
              <w:rPr>
                <w:sz w:val="13"/>
                <w:szCs w:val="13"/>
                <w:color w:val="auto"/>
              </w:rPr>
            </w:pPr>
          </w:p>
        </w:tc>
        <w:tc>
          <w:tcPr>
            <w:tcW w:w="1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4"/>
        </w:trPr>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Financial Officer</w:t>
            </w:r>
          </w:p>
        </w:tc>
        <w:tc>
          <w:tcPr>
            <w:tcW w:w="24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24, 2025</w:t>
            </w:r>
          </w:p>
        </w:tc>
        <w:tc>
          <w:tcPr>
            <w:tcW w:w="0" w:type="dxa"/>
            <w:vAlign w:val="bottom"/>
          </w:tcPr>
          <w:p>
            <w:pPr>
              <w:spacing w:after="0"/>
              <w:rPr>
                <w:sz w:val="1"/>
                <w:szCs w:val="1"/>
                <w:color w:val="auto"/>
              </w:rPr>
            </w:pPr>
          </w:p>
        </w:tc>
      </w:tr>
      <w:tr>
        <w:trPr>
          <w:trHeight w:val="151"/>
        </w:trPr>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(principal financial and accounting officer)</w:t>
            </w:r>
          </w:p>
        </w:tc>
        <w:tc>
          <w:tcPr>
            <w:tcW w:w="240" w:type="dxa"/>
            <w:vAlign w:val="bottom"/>
          </w:tcPr>
          <w:p>
            <w:pPr>
              <w:spacing w:after="0"/>
              <w:rPr>
                <w:sz w:val="13"/>
                <w:szCs w:val="13"/>
                <w:color w:val="auto"/>
              </w:rPr>
            </w:pPr>
          </w:p>
        </w:tc>
        <w:tc>
          <w:tcPr>
            <w:tcW w:w="1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5"/>
        </w:trPr>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Chairman, Board of Directors</w:t>
            </w:r>
          </w:p>
        </w:tc>
        <w:tc>
          <w:tcPr>
            <w:tcW w:w="24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24, 2025</w:t>
            </w:r>
          </w:p>
        </w:tc>
        <w:tc>
          <w:tcPr>
            <w:tcW w:w="0" w:type="dxa"/>
            <w:vAlign w:val="bottom"/>
          </w:tcPr>
          <w:p>
            <w:pPr>
              <w:spacing w:after="0"/>
              <w:rPr>
                <w:sz w:val="1"/>
                <w:szCs w:val="1"/>
                <w:color w:val="auto"/>
              </w:rPr>
            </w:pPr>
          </w:p>
        </w:tc>
      </w:tr>
      <w:tr>
        <w:trPr>
          <w:trHeight w:val="750"/>
        </w:trPr>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24, 2025</w:t>
            </w:r>
          </w:p>
        </w:tc>
        <w:tc>
          <w:tcPr>
            <w:tcW w:w="0" w:type="dxa"/>
            <w:vAlign w:val="bottom"/>
          </w:tcPr>
          <w:p>
            <w:pPr>
              <w:spacing w:after="0"/>
              <w:rPr>
                <w:sz w:val="1"/>
                <w:szCs w:val="1"/>
                <w:color w:val="auto"/>
              </w:rPr>
            </w:pPr>
          </w:p>
        </w:tc>
      </w:tr>
      <w:tr>
        <w:trPr>
          <w:trHeight w:val="750"/>
        </w:trPr>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24, 2025</w:t>
            </w:r>
          </w:p>
        </w:tc>
        <w:tc>
          <w:tcPr>
            <w:tcW w:w="0" w:type="dxa"/>
            <w:vAlign w:val="bottom"/>
          </w:tcPr>
          <w:p>
            <w:pPr>
              <w:spacing w:after="0"/>
              <w:rPr>
                <w:sz w:val="1"/>
                <w:szCs w:val="1"/>
                <w:color w:val="auto"/>
              </w:rPr>
            </w:pPr>
          </w:p>
        </w:tc>
      </w:tr>
      <w:tr>
        <w:trPr>
          <w:trHeight w:val="750"/>
        </w:trPr>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24, 2025</w:t>
            </w:r>
          </w:p>
        </w:tc>
        <w:tc>
          <w:tcPr>
            <w:tcW w:w="0" w:type="dxa"/>
            <w:vAlign w:val="bottom"/>
          </w:tcPr>
          <w:p>
            <w:pPr>
              <w:spacing w:after="0"/>
              <w:rPr>
                <w:sz w:val="1"/>
                <w:szCs w:val="1"/>
                <w:color w:val="auto"/>
              </w:rPr>
            </w:pPr>
          </w:p>
        </w:tc>
      </w:tr>
      <w:tr>
        <w:trPr>
          <w:trHeight w:val="750"/>
        </w:trPr>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24,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-154305</wp:posOffset>
                </wp:positionH>
                <wp:positionV relativeFrom="paragraph">
                  <wp:posOffset>-3264535</wp:posOffset>
                </wp:positionV>
                <wp:extent cx="15748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480" cy="4763"/>
                        </a:xfrm>
                        <a:prstGeom prst="line">
                          <a:avLst/>
                        </a:prstGeom>
                        <a:solidFill>
                          <a:srgbClr val="FFFFFF"/>
                        </a:solidFill>
                        <a:ln w="12700">
                          <a:solidFill>
                            <a:srgbClr val="FEFEFE"/>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1499pt,-257.0499pt" to="0.25pt,-257.0499pt" o:allowincell="f" strokecolor="#FEFEFE" strokeweight="1pt"/>
            </w:pict>
          </mc:Fallback>
        </mc:AlternateContent>
        <mc:AlternateContent>
          <mc:Choice Requires="wps">
            <w:drawing>
              <wp:anchor simplePos="0" relativeHeight="251657728" behindDoc="1" locked="0" layoutInCell="0" allowOverlap="1">
                <wp:simplePos x="0" y="0"/>
                <wp:positionH relativeFrom="column">
                  <wp:posOffset>-154305</wp:posOffset>
                </wp:positionH>
                <wp:positionV relativeFrom="paragraph">
                  <wp:posOffset>-2940685</wp:posOffset>
                </wp:positionV>
                <wp:extent cx="15748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480" cy="4763"/>
                        </a:xfrm>
                        <a:prstGeom prst="line">
                          <a:avLst/>
                        </a:prstGeom>
                        <a:solidFill>
                          <a:srgbClr val="FFFFFF"/>
                        </a:solidFill>
                        <a:ln w="12700">
                          <a:solidFill>
                            <a:srgbClr val="FEFEFE"/>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1499pt,-231.5499pt" to="0.25pt,-231.5499pt" o:allowincell="f" strokecolor="#FEFEFE" strokeweight="1pt"/>
            </w:pict>
          </mc:Fallback>
        </mc:AlternateContent>
        <mc:AlternateContent>
          <mc:Choice Requires="wps">
            <w:drawing>
              <wp:anchor simplePos="0" relativeHeight="251657728" behindDoc="1" locked="0" layoutInCell="0" allowOverlap="1">
                <wp:simplePos x="0" y="0"/>
                <wp:positionH relativeFrom="column">
                  <wp:posOffset>-154305</wp:posOffset>
                </wp:positionH>
                <wp:positionV relativeFrom="paragraph">
                  <wp:posOffset>-2464435</wp:posOffset>
                </wp:positionV>
                <wp:extent cx="15748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480" cy="4763"/>
                        </a:xfrm>
                        <a:prstGeom prst="line">
                          <a:avLst/>
                        </a:prstGeom>
                        <a:solidFill>
                          <a:srgbClr val="FFFFFF"/>
                        </a:solidFill>
                        <a:ln w="12700">
                          <a:solidFill>
                            <a:srgbClr val="FEFEFE"/>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1499pt,-194.0499pt" to="0.25pt,-194.0499pt" o:allowincell="f" strokecolor="#FEFEFE" strokeweight="1pt"/>
            </w:pict>
          </mc:Fallback>
        </mc:AlternateContent>
        <mc:AlternateContent>
          <mc:Choice Requires="wps">
            <w:drawing>
              <wp:anchor simplePos="0" relativeHeight="251657728" behindDoc="1" locked="0" layoutInCell="0" allowOverlap="1">
                <wp:simplePos x="0" y="0"/>
                <wp:positionH relativeFrom="column">
                  <wp:posOffset>-154305</wp:posOffset>
                </wp:positionH>
                <wp:positionV relativeFrom="paragraph">
                  <wp:posOffset>-1988185</wp:posOffset>
                </wp:positionV>
                <wp:extent cx="15748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480" cy="4763"/>
                        </a:xfrm>
                        <a:prstGeom prst="line">
                          <a:avLst/>
                        </a:prstGeom>
                        <a:solidFill>
                          <a:srgbClr val="FFFFFF"/>
                        </a:solidFill>
                        <a:ln w="12700">
                          <a:solidFill>
                            <a:srgbClr val="FEFEFE"/>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1499pt,-156.5499pt" to="0.25pt,-156.5499pt" o:allowincell="f" strokecolor="#FEFEFE" strokeweight="1pt"/>
            </w:pict>
          </mc:Fallback>
        </mc:AlternateContent>
        <mc:AlternateContent>
          <mc:Choice Requires="wps">
            <w:drawing>
              <wp:anchor simplePos="0" relativeHeight="251657728" behindDoc="1" locked="0" layoutInCell="0" allowOverlap="1">
                <wp:simplePos x="0" y="0"/>
                <wp:positionH relativeFrom="column">
                  <wp:posOffset>-154305</wp:posOffset>
                </wp:positionH>
                <wp:positionV relativeFrom="paragraph">
                  <wp:posOffset>-1511935</wp:posOffset>
                </wp:positionV>
                <wp:extent cx="15748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480" cy="4763"/>
                        </a:xfrm>
                        <a:prstGeom prst="line">
                          <a:avLst/>
                        </a:prstGeom>
                        <a:solidFill>
                          <a:srgbClr val="FFFFFF"/>
                        </a:solidFill>
                        <a:ln w="12700">
                          <a:solidFill>
                            <a:srgbClr val="FEFEFE"/>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1499pt,-119.0499pt" to="0.25pt,-119.0499pt" o:allowincell="f" strokecolor="#FEFEFE" strokeweight="1pt"/>
            </w:pict>
          </mc:Fallback>
        </mc:AlternateContent>
        <mc:AlternateContent>
          <mc:Choice Requires="wps">
            <w:drawing>
              <wp:anchor simplePos="0" relativeHeight="251657728" behindDoc="1" locked="0" layoutInCell="0" allowOverlap="1">
                <wp:simplePos x="0" y="0"/>
                <wp:positionH relativeFrom="column">
                  <wp:posOffset>-154305</wp:posOffset>
                </wp:positionH>
                <wp:positionV relativeFrom="paragraph">
                  <wp:posOffset>-1035685</wp:posOffset>
                </wp:positionV>
                <wp:extent cx="15748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480" cy="4763"/>
                        </a:xfrm>
                        <a:prstGeom prst="line">
                          <a:avLst/>
                        </a:prstGeom>
                        <a:solidFill>
                          <a:srgbClr val="FFFFFF"/>
                        </a:solidFill>
                        <a:ln w="12700">
                          <a:solidFill>
                            <a:srgbClr val="FEFEFE"/>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1499pt,-81.5499pt" to="0.25pt,-81.5499pt" o:allowincell="f" strokecolor="#FEFEFE" strokeweight="1pt"/>
            </w:pict>
          </mc:Fallback>
        </mc:AlternateContent>
        <mc:AlternateContent>
          <mc:Choice Requires="wps">
            <w:drawing>
              <wp:anchor simplePos="0" relativeHeight="251657728" behindDoc="1" locked="0" layoutInCell="0" allowOverlap="1">
                <wp:simplePos x="0" y="0"/>
                <wp:positionH relativeFrom="column">
                  <wp:posOffset>-154305</wp:posOffset>
                </wp:positionH>
                <wp:positionV relativeFrom="paragraph">
                  <wp:posOffset>-559435</wp:posOffset>
                </wp:positionV>
                <wp:extent cx="15748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480" cy="4763"/>
                        </a:xfrm>
                        <a:prstGeom prst="line">
                          <a:avLst/>
                        </a:prstGeom>
                        <a:solidFill>
                          <a:srgbClr val="FFFFFF"/>
                        </a:solidFill>
                        <a:ln w="12700">
                          <a:solidFill>
                            <a:srgbClr val="FEFEFE"/>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1499pt,-44.0499pt" to="0.25pt,-44.0499pt" o:allowincell="f" strokecolor="#FEFEFE" strokeweight="1pt"/>
            </w:pict>
          </mc:Fallback>
        </mc:AlternateContent>
        <mc:AlternateContent>
          <mc:Choice Requires="wps">
            <w:drawing>
              <wp:anchor simplePos="0" relativeHeight="251657728" behindDoc="1" locked="0" layoutInCell="0" allowOverlap="1">
                <wp:simplePos x="0" y="0"/>
                <wp:positionH relativeFrom="column">
                  <wp:posOffset>-154305</wp:posOffset>
                </wp:positionH>
                <wp:positionV relativeFrom="paragraph">
                  <wp:posOffset>-83185</wp:posOffset>
                </wp:positionV>
                <wp:extent cx="15748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480" cy="4763"/>
                        </a:xfrm>
                        <a:prstGeom prst="line">
                          <a:avLst/>
                        </a:prstGeom>
                        <a:solidFill>
                          <a:srgbClr val="FFFFFF"/>
                        </a:solidFill>
                        <a:ln w="12700">
                          <a:solidFill>
                            <a:srgbClr val="FEFEFE"/>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1499pt,-6.5499pt" to="0.25pt,-6.5499pt" o:allowincell="f" strokecolor="#FEFEFE" strokeweight="1pt"/>
            </w:pict>
          </mc:Fallback>
        </mc:AlternateContent>
      </w:r>
    </w:p>
    <w:p>
      <w:pPr>
        <w:spacing w:after="0" w:line="298" w:lineRule="exact"/>
        <w:rPr>
          <w:sz w:val="20"/>
          <w:szCs w:val="20"/>
          <w:color w:val="auto"/>
        </w:rPr>
      </w:pPr>
    </w:p>
    <w:p>
      <w:pPr>
        <w:sectPr>
          <w:pgSz w:w="12960" w:h="17280" w:orient="portrait"/>
          <w:cols w:equalWidth="0" w:num="2">
            <w:col w:w="3380" w:space="300"/>
            <w:col w:w="6400"/>
          </w:cols>
          <w:pgMar w:left="1440" w:top="1440" w:right="1440" w:bottom="8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960" w:h="17280" w:orient="portrait"/>
          <w:cols w:equalWidth="0" w:num="1">
            <w:col w:w="10080"/>
          </w:cols>
          <w:pgMar w:left="1440" w:top="1440" w:right="1440" w:bottom="895" w:gutter="0" w:footer="0" w:header="0"/>
          <w:type w:val="continuous"/>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74"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52"/>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238)</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3"/>
              </w:rPr>
              <w:t>F-1</w:t>
            </w:r>
          </w:p>
        </w:tc>
      </w:tr>
      <w:tr>
        <w:trPr>
          <w:trHeight w:val="460"/>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2024 and 2023</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3"/>
              </w:rPr>
              <w:t>F-3</w:t>
            </w:r>
          </w:p>
        </w:tc>
      </w:tr>
      <w:tr>
        <w:trPr>
          <w:trHeight w:val="424"/>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 for the years ended December 31, 2024 and</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3"/>
              </w:rPr>
              <w:t>F-4</w:t>
            </w:r>
          </w:p>
        </w:tc>
      </w:tr>
      <w:tr>
        <w:trPr>
          <w:trHeight w:val="266"/>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560" w:type="dxa"/>
            <w:vAlign w:val="bottom"/>
          </w:tcPr>
          <w:p>
            <w:pPr>
              <w:spacing w:after="0"/>
              <w:rPr>
                <w:sz w:val="23"/>
                <w:szCs w:val="23"/>
                <w:color w:val="auto"/>
              </w:rPr>
            </w:pPr>
          </w:p>
        </w:tc>
      </w:tr>
      <w:tr>
        <w:trPr>
          <w:trHeight w:val="424"/>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Stockholders Equity for the years ended December 31, 2024 and</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3"/>
              </w:rPr>
              <w:t>F-5</w:t>
            </w:r>
          </w:p>
        </w:tc>
      </w:tr>
      <w:tr>
        <w:trPr>
          <w:trHeight w:val="266"/>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560" w:type="dxa"/>
            <w:vAlign w:val="bottom"/>
          </w:tcPr>
          <w:p>
            <w:pPr>
              <w:spacing w:after="0"/>
              <w:rPr>
                <w:sz w:val="23"/>
                <w:szCs w:val="23"/>
                <w:color w:val="auto"/>
              </w:rPr>
            </w:pPr>
          </w:p>
        </w:tc>
      </w:tr>
      <w:tr>
        <w:trPr>
          <w:trHeight w:val="460"/>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2024 and 2023</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3"/>
              </w:rPr>
              <w:t>F-6</w:t>
            </w:r>
          </w:p>
        </w:tc>
      </w:tr>
      <w:tr>
        <w:trPr>
          <w:trHeight w:val="424"/>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3"/>
              </w:rPr>
              <w:t>F-7</w:t>
            </w:r>
          </w:p>
        </w:tc>
      </w:tr>
      <w:tr>
        <w:trPr>
          <w:trHeight w:val="266"/>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 </w:t>
            </w:r>
          </w:p>
        </w:tc>
        <w:tc>
          <w:tcPr>
            <w:tcW w:w="560" w:type="dxa"/>
            <w:vAlign w:val="bottom"/>
          </w:tcPr>
          <w:p>
            <w:pPr>
              <w:spacing w:after="0"/>
              <w:rPr>
                <w:sz w:val="23"/>
                <w:szCs w:val="23"/>
                <w:color w:val="auto"/>
              </w:rPr>
            </w:pPr>
          </w:p>
        </w:tc>
      </w:tr>
    </w:tbl>
    <w:p>
      <w:pPr>
        <w:spacing w:after="0" w:line="200" w:lineRule="exact"/>
        <w:rPr>
          <w:sz w:val="20"/>
          <w:szCs w:val="20"/>
          <w:color w:val="auto"/>
        </w:rPr>
      </w:pP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960" w:h="17280" w:orient="portrait"/>
          <w:cols w:equalWidth="0" w:num="1">
            <w:col w:w="10080"/>
          </w:cols>
          <w:pgMar w:left="1440" w:top="1440" w:right="1440" w:bottom="895" w:gutter="0" w:footer="0" w:header="0"/>
          <w:type w:val="continuous"/>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To the Board of Directors and Stockholders of Larimar Therapeutics, Inc.</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120" w:lineRule="exact"/>
        <w:rPr>
          <w:sz w:val="20"/>
          <w:szCs w:val="20"/>
          <w:color w:val="auto"/>
        </w:rPr>
      </w:pPr>
    </w:p>
    <w:p>
      <w:pPr>
        <w:ind w:left="360" w:right="380"/>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Larimar Therapeutics, Inc. and its subsidiary (the “Company”) as of December 31, 2024 and 2023, and the related consolidated statements of operations and comprehensive loss, of changes in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20" w:lineRule="exact"/>
        <w:rPr>
          <w:sz w:val="20"/>
          <w:szCs w:val="20"/>
          <w:color w:val="auto"/>
        </w:rPr>
      </w:pPr>
    </w:p>
    <w:p>
      <w:pPr>
        <w:ind w:left="360" w:right="420"/>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ind w:left="360" w:right="400"/>
        <w:spacing w:after="0" w:line="246" w:lineRule="auto"/>
        <w:rPr>
          <w:sz w:val="20"/>
          <w:szCs w:val="20"/>
          <w:color w:val="auto"/>
        </w:rPr>
      </w:pPr>
      <w:r>
        <w:rPr>
          <w:rFonts w:ascii="Times New Roman" w:cs="Times New Roman" w:eastAsia="Times New Roman" w:hAnsi="Times New Roman"/>
          <w:sz w:val="20"/>
          <w:szCs w:val="20"/>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left="360" w:right="440"/>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Emphasis of Matter</w:t>
      </w:r>
    </w:p>
    <w:p>
      <w:pPr>
        <w:spacing w:after="0" w:line="120" w:lineRule="exact"/>
        <w:rPr>
          <w:sz w:val="20"/>
          <w:szCs w:val="20"/>
          <w:color w:val="auto"/>
        </w:rPr>
      </w:pPr>
    </w:p>
    <w:p>
      <w:pPr>
        <w:ind w:left="360" w:right="540"/>
        <w:spacing w:after="0" w:line="258" w:lineRule="auto"/>
        <w:rPr>
          <w:sz w:val="20"/>
          <w:szCs w:val="20"/>
          <w:color w:val="auto"/>
        </w:rPr>
      </w:pPr>
      <w:r>
        <w:rPr>
          <w:rFonts w:ascii="Times New Roman" w:cs="Times New Roman" w:eastAsia="Times New Roman" w:hAnsi="Times New Roman"/>
          <w:sz w:val="20"/>
          <w:szCs w:val="20"/>
          <w:color w:val="auto"/>
        </w:rPr>
        <w:t>As discussed in Note 1 to the consolidated financial statements, the Company will require additional financing to fund future operations. Management’s evaluation of the events and conditions and management’s plans to mitigate this matter are also described in Note 1.</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20" w:lineRule="exact"/>
        <w:rPr>
          <w:sz w:val="20"/>
          <w:szCs w:val="20"/>
          <w:color w:val="auto"/>
        </w:rPr>
      </w:pPr>
    </w:p>
    <w:p>
      <w:pPr>
        <w:ind w:left="360" w:right="400"/>
        <w:spacing w:after="0" w:line="24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Accrued Research and Development Expenses</w:t>
      </w:r>
    </w:p>
    <w:p>
      <w:pPr>
        <w:spacing w:after="0" w:line="118" w:lineRule="exact"/>
        <w:rPr>
          <w:sz w:val="20"/>
          <w:szCs w:val="20"/>
          <w:color w:val="auto"/>
        </w:rPr>
      </w:pPr>
    </w:p>
    <w:p>
      <w:pPr>
        <w:ind w:left="360" w:right="620"/>
        <w:spacing w:after="0" w:line="249" w:lineRule="auto"/>
        <w:rPr>
          <w:sz w:val="20"/>
          <w:szCs w:val="20"/>
          <w:color w:val="auto"/>
        </w:rPr>
      </w:pPr>
      <w:r>
        <w:rPr>
          <w:rFonts w:ascii="Times New Roman" w:cs="Times New Roman" w:eastAsia="Times New Roman" w:hAnsi="Times New Roman"/>
          <w:sz w:val="20"/>
          <w:szCs w:val="20"/>
          <w:color w:val="auto"/>
        </w:rPr>
        <w:t>As described in Notes 2 and 6 to the consolidated financial statements, the Company recognizes external research and development costs based on an evaluation of the progress to completion of specific tasks using information provided to the Company by its key service providers. Within accrued expenses, total accrued research and development expenses amounted to $17.1 million as of December 31, 2024. Management’s process involves reviewing open contracts and purchase orders, communicating with personnel and outside vendors to identify</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960" w:h="17280" w:orient="portrait"/>
          <w:cols w:equalWidth="0" w:num="1">
            <w:col w:w="10080"/>
          </w:cols>
          <w:pgMar w:left="1440" w:top="1440" w:right="1440" w:bottom="895" w:gutter="0" w:footer="0" w:header="0"/>
          <w:type w:val="continuous"/>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600"/>
        <w:spacing w:after="0" w:line="277" w:lineRule="auto"/>
        <w:rPr>
          <w:sz w:val="20"/>
          <w:szCs w:val="20"/>
          <w:color w:val="auto"/>
        </w:rPr>
      </w:pPr>
      <w:r>
        <w:rPr>
          <w:rFonts w:ascii="Times New Roman" w:cs="Times New Roman" w:eastAsia="Times New Roman" w:hAnsi="Times New Roman"/>
          <w:sz w:val="20"/>
          <w:szCs w:val="20"/>
          <w:color w:val="auto"/>
        </w:rPr>
        <w:t>services that have been performed, and estimating the level of service performed and the associated costs incurred for the services when invoices or other notification of actual costs have not been received.</w:t>
      </w:r>
    </w:p>
    <w:p>
      <w:pPr>
        <w:spacing w:after="0" w:line="49" w:lineRule="exact"/>
        <w:rPr>
          <w:sz w:val="20"/>
          <w:szCs w:val="20"/>
          <w:color w:val="auto"/>
        </w:rPr>
      </w:pPr>
    </w:p>
    <w:p>
      <w:pPr>
        <w:ind w:left="360" w:right="400"/>
        <w:spacing w:after="0" w:line="247"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accrued research and development expenses is a critical audit matter are (i) the significant judgment by management in developing the estimates of accrued research and development expenses and (ii) a high degree of auditor judgment, subjectivity and effort in performing procedures and evaluating audit evidence for these accrued research and development expenses related to management’s estimates of the level of service performed and the associated costs incurred for the services when invoices or other notification of actual costs have not yet been received.</w:t>
      </w:r>
    </w:p>
    <w:p>
      <w:pPr>
        <w:spacing w:after="0" w:line="80" w:lineRule="exact"/>
        <w:rPr>
          <w:sz w:val="20"/>
          <w:szCs w:val="20"/>
          <w:color w:val="auto"/>
        </w:rPr>
      </w:pPr>
    </w:p>
    <w:p>
      <w:pPr>
        <w:ind w:left="360" w:right="480"/>
        <w:spacing w:after="0" w:line="243"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financial statements. These procedures also included, among others; (i) testing management’s process for estimating accrued research and development expenses; (ii) evaluating the appropriateness of the method used by management to develop the estimate; (iii) testing the completeness and accuracy of the data used by management to develop the estimates related to the level of service performed and the associated costs incurred for the services when invoices or other notification of actual costs have not yet been received; (iv) evaluating the reasonableness of the estimated costs incurred for the services which have not been invoiced or other notification of actual costs have not yet been received, on a sample basis, by tracing to underlying supporting documentation, such as underlying contracts, invoices and information received from certain third party service vendors, where applicable, and; (v) testing a selection of invoices received by the Company subsequent to December 31, 2024.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Philadelphia, Pennsylvania</w:t>
      </w:r>
    </w:p>
    <w:p>
      <w:pPr>
        <w:ind w:left="360"/>
        <w:spacing w:after="0"/>
        <w:rPr>
          <w:sz w:val="20"/>
          <w:szCs w:val="20"/>
          <w:color w:val="auto"/>
        </w:rPr>
      </w:pPr>
      <w:r>
        <w:rPr>
          <w:rFonts w:ascii="Times New Roman" w:cs="Times New Roman" w:eastAsia="Times New Roman" w:hAnsi="Times New Roman"/>
          <w:sz w:val="20"/>
          <w:szCs w:val="20"/>
          <w:color w:val="auto"/>
        </w:rPr>
        <w:t>March 24, 2025</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960" w:h="17280" w:orient="portrait"/>
          <w:cols w:equalWidth="0" w:num="1">
            <w:col w:w="10080"/>
          </w:cols>
          <w:pgMar w:left="1440" w:top="1440" w:right="1440" w:bottom="895"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LARIMAR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67"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6240" w:type="dxa"/>
            <w:vAlign w:val="bottom"/>
            <w:shd w:val="clear" w:color="auto" w:fill="FEFEFE"/>
          </w:tcPr>
          <w:p>
            <w:pPr>
              <w:spacing w:after="0"/>
              <w:rPr>
                <w:sz w:val="17"/>
                <w:szCs w:val="17"/>
                <w:color w:val="auto"/>
              </w:rPr>
            </w:pPr>
          </w:p>
        </w:tc>
        <w:tc>
          <w:tcPr>
            <w:tcW w:w="1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160" w:type="dxa"/>
            <w:vAlign w:val="bottom"/>
            <w:shd w:val="clear" w:color="auto" w:fill="FEFEFE"/>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26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8"/>
        </w:trPr>
        <w:tc>
          <w:tcPr>
            <w:tcW w:w="6240" w:type="dxa"/>
            <w:vAlign w:val="bottom"/>
            <w:tcBorders>
              <w:bottom w:val="single" w:sz="8" w:color="D4EEED"/>
            </w:tcBorders>
            <w:shd w:val="clear" w:color="auto" w:fill="FEFEFE"/>
          </w:tcPr>
          <w:p>
            <w:pPr>
              <w:spacing w:after="0"/>
              <w:rPr>
                <w:sz w:val="17"/>
                <w:szCs w:val="17"/>
                <w:color w:val="auto"/>
              </w:rPr>
            </w:pPr>
          </w:p>
        </w:tc>
        <w:tc>
          <w:tcPr>
            <w:tcW w:w="180" w:type="dxa"/>
            <w:vAlign w:val="bottom"/>
            <w:tcBorders>
              <w:bottom w:val="single" w:sz="8" w:color="D4EEED"/>
            </w:tcBorders>
            <w:shd w:val="clear" w:color="auto" w:fill="FEFEFE"/>
          </w:tcPr>
          <w:p>
            <w:pPr>
              <w:spacing w:after="0"/>
              <w:rPr>
                <w:sz w:val="17"/>
                <w:szCs w:val="17"/>
                <w:color w:val="auto"/>
              </w:rPr>
            </w:pPr>
          </w:p>
        </w:tc>
        <w:tc>
          <w:tcPr>
            <w:tcW w:w="140" w:type="dxa"/>
            <w:vAlign w:val="bottom"/>
            <w:tcBorders>
              <w:bottom w:val="single" w:sz="8" w:color="auto"/>
            </w:tcBorders>
            <w:shd w:val="clear" w:color="auto" w:fill="FEFEFE"/>
          </w:tcPr>
          <w:p>
            <w:pPr>
              <w:spacing w:after="0"/>
              <w:rPr>
                <w:sz w:val="17"/>
                <w:szCs w:val="17"/>
                <w:color w:val="auto"/>
              </w:rPr>
            </w:pPr>
          </w:p>
        </w:tc>
        <w:tc>
          <w:tcPr>
            <w:tcW w:w="1160" w:type="dxa"/>
            <w:vAlign w:val="bottom"/>
            <w:tcBorders>
              <w:bottom w:val="single" w:sz="8" w:color="auto"/>
            </w:tcBorders>
            <w:shd w:val="clear" w:color="auto" w:fill="FEFEFE"/>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D4EEED"/>
            </w:tcBorders>
            <w:shd w:val="clear" w:color="auto" w:fill="FEFEFE"/>
          </w:tcPr>
          <w:p>
            <w:pPr>
              <w:spacing w:after="0"/>
              <w:rPr>
                <w:sz w:val="17"/>
                <w:szCs w:val="17"/>
                <w:color w:val="auto"/>
              </w:rPr>
            </w:pPr>
          </w:p>
        </w:tc>
        <w:tc>
          <w:tcPr>
            <w:tcW w:w="80" w:type="dxa"/>
            <w:vAlign w:val="bottom"/>
            <w:tcBorders>
              <w:bottom w:val="single" w:sz="8" w:color="D4EEED"/>
            </w:tcBorders>
            <w:shd w:val="clear" w:color="auto" w:fill="FEFEFE"/>
          </w:tcPr>
          <w:p>
            <w:pPr>
              <w:spacing w:after="0"/>
              <w:rPr>
                <w:sz w:val="17"/>
                <w:szCs w:val="17"/>
                <w:color w:val="auto"/>
              </w:rPr>
            </w:pPr>
          </w:p>
        </w:tc>
        <w:tc>
          <w:tcPr>
            <w:tcW w:w="140" w:type="dxa"/>
            <w:vAlign w:val="bottom"/>
            <w:tcBorders>
              <w:bottom w:val="single" w:sz="8" w:color="auto"/>
            </w:tcBorders>
            <w:shd w:val="clear" w:color="auto" w:fill="FEFEFE"/>
          </w:tcPr>
          <w:p>
            <w:pPr>
              <w:spacing w:after="0"/>
              <w:rPr>
                <w:sz w:val="17"/>
                <w:szCs w:val="17"/>
                <w:color w:val="auto"/>
              </w:rPr>
            </w:pPr>
          </w:p>
        </w:tc>
        <w:tc>
          <w:tcPr>
            <w:tcW w:w="1180" w:type="dxa"/>
            <w:vAlign w:val="bottom"/>
            <w:tcBorders>
              <w:bottom w:val="single" w:sz="8" w:color="auto"/>
            </w:tcBorders>
            <w:shd w:val="clear" w:color="auto" w:fill="FEFEFE"/>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4EEED"/>
            </w:tcBorders>
            <w:shd w:val="clear" w:color="auto" w:fill="FEFEFE"/>
          </w:tcPr>
          <w:p>
            <w:pPr>
              <w:spacing w:after="0"/>
              <w:rPr>
                <w:sz w:val="17"/>
                <w:szCs w:val="17"/>
                <w:color w:val="auto"/>
              </w:rPr>
            </w:pPr>
          </w:p>
        </w:tc>
      </w:tr>
      <w:tr>
        <w:trPr>
          <w:trHeight w:val="234"/>
        </w:trPr>
        <w:tc>
          <w:tcPr>
            <w:tcW w:w="624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80" w:type="dxa"/>
            <w:vAlign w:val="bottom"/>
            <w:shd w:val="clear" w:color="auto" w:fill="D4EEED"/>
          </w:tcPr>
          <w:p>
            <w:pPr>
              <w:spacing w:after="0"/>
              <w:rPr>
                <w:sz w:val="20"/>
                <w:szCs w:val="20"/>
                <w:color w:val="auto"/>
              </w:rPr>
            </w:pPr>
          </w:p>
        </w:tc>
        <w:tc>
          <w:tcPr>
            <w:tcW w:w="140" w:type="dxa"/>
            <w:vAlign w:val="bottom"/>
            <w:shd w:val="clear" w:color="auto" w:fill="D4EEED"/>
          </w:tcPr>
          <w:p>
            <w:pPr>
              <w:spacing w:after="0"/>
              <w:rPr>
                <w:sz w:val="20"/>
                <w:szCs w:val="20"/>
                <w:color w:val="auto"/>
              </w:rPr>
            </w:pPr>
          </w:p>
        </w:tc>
        <w:tc>
          <w:tcPr>
            <w:tcW w:w="1160" w:type="dxa"/>
            <w:vAlign w:val="bottom"/>
            <w:shd w:val="clear" w:color="auto" w:fill="D4EEED"/>
          </w:tcPr>
          <w:p>
            <w:pPr>
              <w:spacing w:after="0"/>
              <w:rPr>
                <w:sz w:val="20"/>
                <w:szCs w:val="20"/>
                <w:color w:val="auto"/>
              </w:rPr>
            </w:pPr>
          </w:p>
        </w:tc>
        <w:tc>
          <w:tcPr>
            <w:tcW w:w="16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c>
          <w:tcPr>
            <w:tcW w:w="140" w:type="dxa"/>
            <w:vAlign w:val="bottom"/>
            <w:shd w:val="clear" w:color="auto" w:fill="D4EEED"/>
          </w:tcPr>
          <w:p>
            <w:pPr>
              <w:spacing w:after="0"/>
              <w:rPr>
                <w:sz w:val="20"/>
                <w:szCs w:val="20"/>
                <w:color w:val="auto"/>
              </w:rPr>
            </w:pPr>
          </w:p>
        </w:tc>
        <w:tc>
          <w:tcPr>
            <w:tcW w:w="118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r>
      <w:tr>
        <w:trPr>
          <w:trHeight w:val="244"/>
        </w:trPr>
        <w:tc>
          <w:tcPr>
            <w:tcW w:w="6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60" w:type="dxa"/>
            <w:vAlign w:val="bottom"/>
            <w:shd w:val="clear" w:color="auto" w:fill="FEFEFE"/>
          </w:tcPr>
          <w:p>
            <w:pPr>
              <w:spacing w:after="0"/>
              <w:rPr>
                <w:sz w:val="21"/>
                <w:szCs w:val="21"/>
                <w:color w:val="auto"/>
              </w:rPr>
            </w:pPr>
          </w:p>
        </w:tc>
        <w:tc>
          <w:tcPr>
            <w:tcW w:w="16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8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r>
      <w:tr>
        <w:trPr>
          <w:trHeight w:val="244"/>
        </w:trPr>
        <w:tc>
          <w:tcPr>
            <w:tcW w:w="624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33,218</w:t>
            </w:r>
          </w:p>
        </w:tc>
        <w:tc>
          <w:tcPr>
            <w:tcW w:w="160" w:type="dxa"/>
            <w:vAlign w:val="bottom"/>
            <w:shd w:val="clear" w:color="auto" w:fill="D4EEED"/>
          </w:tcPr>
          <w:p>
            <w:pPr>
              <w:spacing w:after="0"/>
              <w:rPr>
                <w:sz w:val="21"/>
                <w:szCs w:val="21"/>
                <w:color w:val="auto"/>
              </w:rPr>
            </w:pPr>
          </w:p>
        </w:tc>
        <w:tc>
          <w:tcPr>
            <w:tcW w:w="220" w:type="dxa"/>
            <w:vAlign w:val="bottom"/>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26,749</w:t>
            </w:r>
          </w:p>
        </w:tc>
        <w:tc>
          <w:tcPr>
            <w:tcW w:w="80" w:type="dxa"/>
            <w:vAlign w:val="bottom"/>
            <w:shd w:val="clear" w:color="auto" w:fill="D4EEED"/>
          </w:tcPr>
          <w:p>
            <w:pPr>
              <w:spacing w:after="0"/>
              <w:rPr>
                <w:sz w:val="21"/>
                <w:szCs w:val="21"/>
                <w:color w:val="auto"/>
              </w:rPr>
            </w:pPr>
          </w:p>
        </w:tc>
      </w:tr>
      <w:tr>
        <w:trPr>
          <w:trHeight w:val="244"/>
        </w:trPr>
        <w:tc>
          <w:tcPr>
            <w:tcW w:w="62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Marketable securities</w:t>
            </w:r>
          </w:p>
        </w:tc>
        <w:tc>
          <w:tcPr>
            <w:tcW w:w="1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150,236</w:t>
            </w:r>
          </w:p>
        </w:tc>
        <w:tc>
          <w:tcPr>
            <w:tcW w:w="16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60,041</w:t>
            </w:r>
          </w:p>
        </w:tc>
        <w:tc>
          <w:tcPr>
            <w:tcW w:w="80" w:type="dxa"/>
            <w:vAlign w:val="bottom"/>
            <w:shd w:val="clear" w:color="auto" w:fill="FEFEFE"/>
          </w:tcPr>
          <w:p>
            <w:pPr>
              <w:spacing w:after="0"/>
              <w:rPr>
                <w:sz w:val="21"/>
                <w:szCs w:val="21"/>
                <w:color w:val="auto"/>
              </w:rPr>
            </w:pPr>
          </w:p>
        </w:tc>
      </w:tr>
      <w:tr>
        <w:trPr>
          <w:trHeight w:val="244"/>
        </w:trPr>
        <w:tc>
          <w:tcPr>
            <w:tcW w:w="6240" w:type="dxa"/>
            <w:vAlign w:val="bottom"/>
            <w:tcBorders>
              <w:bottom w:val="single" w:sz="8" w:color="FEFEFE"/>
            </w:tcBorders>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80" w:type="dxa"/>
            <w:vAlign w:val="bottom"/>
            <w:tcBorders>
              <w:bottom w:val="single" w:sz="8" w:color="FEFEFE"/>
            </w:tcBorders>
            <w:shd w:val="clear" w:color="auto" w:fill="D4EEED"/>
          </w:tcPr>
          <w:p>
            <w:pPr>
              <w:spacing w:after="0"/>
              <w:rPr>
                <w:sz w:val="21"/>
                <w:szCs w:val="21"/>
                <w:color w:val="auto"/>
              </w:rPr>
            </w:pPr>
          </w:p>
        </w:tc>
        <w:tc>
          <w:tcPr>
            <w:tcW w:w="140" w:type="dxa"/>
            <w:vAlign w:val="bottom"/>
            <w:tcBorders>
              <w:bottom w:val="single" w:sz="8" w:color="auto"/>
            </w:tcBorders>
            <w:shd w:val="clear" w:color="auto" w:fill="D4EEED"/>
          </w:tcPr>
          <w:p>
            <w:pPr>
              <w:spacing w:after="0"/>
              <w:rPr>
                <w:sz w:val="21"/>
                <w:szCs w:val="21"/>
                <w:color w:val="auto"/>
              </w:rPr>
            </w:pPr>
          </w:p>
        </w:tc>
        <w:tc>
          <w:tcPr>
            <w:tcW w:w="11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11,850</w:t>
            </w:r>
          </w:p>
        </w:tc>
        <w:tc>
          <w:tcPr>
            <w:tcW w:w="160" w:type="dxa"/>
            <w:vAlign w:val="bottom"/>
            <w:tcBorders>
              <w:bottom w:val="single" w:sz="8" w:color="FEFEFE"/>
            </w:tcBorders>
            <w:shd w:val="clear" w:color="auto" w:fill="D4EEED"/>
          </w:tcPr>
          <w:p>
            <w:pPr>
              <w:spacing w:after="0"/>
              <w:rPr>
                <w:sz w:val="21"/>
                <w:szCs w:val="21"/>
                <w:color w:val="auto"/>
              </w:rPr>
            </w:pPr>
          </w:p>
        </w:tc>
        <w:tc>
          <w:tcPr>
            <w:tcW w:w="80" w:type="dxa"/>
            <w:vAlign w:val="bottom"/>
            <w:tcBorders>
              <w:bottom w:val="single" w:sz="8" w:color="FEFEFE"/>
            </w:tcBorders>
            <w:shd w:val="clear" w:color="auto" w:fill="D4EEED"/>
          </w:tcPr>
          <w:p>
            <w:pPr>
              <w:spacing w:after="0"/>
              <w:rPr>
                <w:sz w:val="21"/>
                <w:szCs w:val="21"/>
                <w:color w:val="auto"/>
              </w:rPr>
            </w:pPr>
          </w:p>
        </w:tc>
        <w:tc>
          <w:tcPr>
            <w:tcW w:w="140" w:type="dxa"/>
            <w:vAlign w:val="bottom"/>
            <w:tcBorders>
              <w:bottom w:val="single" w:sz="8" w:color="auto"/>
            </w:tcBorders>
            <w:shd w:val="clear" w:color="auto" w:fill="D4EEED"/>
          </w:tcPr>
          <w:p>
            <w:pPr>
              <w:spacing w:after="0"/>
              <w:rPr>
                <w:sz w:val="21"/>
                <w:szCs w:val="21"/>
                <w:color w:val="auto"/>
              </w:rPr>
            </w:pPr>
          </w:p>
        </w:tc>
        <w:tc>
          <w:tcPr>
            <w:tcW w:w="11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3,385</w:t>
            </w:r>
          </w:p>
        </w:tc>
        <w:tc>
          <w:tcPr>
            <w:tcW w:w="80" w:type="dxa"/>
            <w:vAlign w:val="bottom"/>
            <w:tcBorders>
              <w:bottom w:val="single" w:sz="8" w:color="FEFEFE"/>
            </w:tcBorders>
            <w:shd w:val="clear" w:color="auto" w:fill="D4EEED"/>
          </w:tcPr>
          <w:p>
            <w:pPr>
              <w:spacing w:after="0"/>
              <w:rPr>
                <w:sz w:val="21"/>
                <w:szCs w:val="21"/>
                <w:color w:val="auto"/>
              </w:rPr>
            </w:pPr>
          </w:p>
        </w:tc>
      </w:tr>
      <w:tr>
        <w:trPr>
          <w:trHeight w:val="234"/>
        </w:trPr>
        <w:tc>
          <w:tcPr>
            <w:tcW w:w="624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18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195,304</w:t>
            </w:r>
          </w:p>
        </w:tc>
        <w:tc>
          <w:tcPr>
            <w:tcW w:w="16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90,175</w:t>
            </w:r>
          </w:p>
        </w:tc>
        <w:tc>
          <w:tcPr>
            <w:tcW w:w="80" w:type="dxa"/>
            <w:vAlign w:val="bottom"/>
            <w:shd w:val="clear" w:color="auto" w:fill="FEFEFE"/>
          </w:tcPr>
          <w:p>
            <w:pPr>
              <w:spacing w:after="0"/>
              <w:rPr>
                <w:sz w:val="20"/>
                <w:szCs w:val="20"/>
                <w:color w:val="auto"/>
              </w:rPr>
            </w:pPr>
          </w:p>
        </w:tc>
      </w:tr>
      <w:tr>
        <w:trPr>
          <w:trHeight w:val="244"/>
        </w:trPr>
        <w:tc>
          <w:tcPr>
            <w:tcW w:w="624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881</w:t>
            </w:r>
          </w:p>
        </w:tc>
        <w:tc>
          <w:tcPr>
            <w:tcW w:w="16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684</w:t>
            </w:r>
          </w:p>
        </w:tc>
        <w:tc>
          <w:tcPr>
            <w:tcW w:w="80" w:type="dxa"/>
            <w:vAlign w:val="bottom"/>
            <w:shd w:val="clear" w:color="auto" w:fill="D4EEED"/>
          </w:tcPr>
          <w:p>
            <w:pPr>
              <w:spacing w:after="0"/>
              <w:rPr>
                <w:sz w:val="21"/>
                <w:szCs w:val="21"/>
                <w:color w:val="auto"/>
              </w:rPr>
            </w:pPr>
          </w:p>
        </w:tc>
      </w:tr>
      <w:tr>
        <w:trPr>
          <w:trHeight w:val="244"/>
        </w:trPr>
        <w:tc>
          <w:tcPr>
            <w:tcW w:w="6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2,838</w:t>
            </w:r>
          </w:p>
        </w:tc>
        <w:tc>
          <w:tcPr>
            <w:tcW w:w="16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3,078</w:t>
            </w:r>
          </w:p>
        </w:tc>
        <w:tc>
          <w:tcPr>
            <w:tcW w:w="80" w:type="dxa"/>
            <w:vAlign w:val="bottom"/>
            <w:shd w:val="clear" w:color="auto" w:fill="FEFEFE"/>
          </w:tcPr>
          <w:p>
            <w:pPr>
              <w:spacing w:after="0"/>
              <w:rPr>
                <w:sz w:val="21"/>
                <w:szCs w:val="21"/>
                <w:color w:val="auto"/>
              </w:rPr>
            </w:pPr>
          </w:p>
        </w:tc>
      </w:tr>
      <w:tr>
        <w:trPr>
          <w:trHeight w:val="244"/>
        </w:trPr>
        <w:tc>
          <w:tcPr>
            <w:tcW w:w="624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1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606</w:t>
            </w:r>
          </w:p>
        </w:tc>
        <w:tc>
          <w:tcPr>
            <w:tcW w:w="16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1,339</w:t>
            </w:r>
          </w:p>
        </w:tc>
        <w:tc>
          <w:tcPr>
            <w:tcW w:w="80" w:type="dxa"/>
            <w:vAlign w:val="bottom"/>
            <w:shd w:val="clear" w:color="auto" w:fill="D4EEED"/>
          </w:tcPr>
          <w:p>
            <w:pPr>
              <w:spacing w:after="0"/>
              <w:rPr>
                <w:sz w:val="21"/>
                <w:szCs w:val="21"/>
                <w:color w:val="auto"/>
              </w:rPr>
            </w:pPr>
          </w:p>
        </w:tc>
      </w:tr>
      <w:tr>
        <w:trPr>
          <w:trHeight w:val="244"/>
        </w:trPr>
        <w:tc>
          <w:tcPr>
            <w:tcW w:w="6240" w:type="dxa"/>
            <w:vAlign w:val="bottom"/>
            <w:tcBorders>
              <w:bottom w:val="single" w:sz="8" w:color="D4EEED"/>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80" w:type="dxa"/>
            <w:vAlign w:val="bottom"/>
            <w:tcBorders>
              <w:bottom w:val="single" w:sz="8" w:color="D4EEED"/>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160" w:type="dxa"/>
            <w:vAlign w:val="bottom"/>
            <w:tcBorders>
              <w:bottom w:val="single" w:sz="8" w:color="D4EEED"/>
            </w:tcBorders>
            <w:shd w:val="clear" w:color="auto" w:fill="FEFEFE"/>
          </w:tcPr>
          <w:p>
            <w:pPr>
              <w:spacing w:after="0"/>
              <w:rPr>
                <w:sz w:val="21"/>
                <w:szCs w:val="21"/>
                <w:color w:val="auto"/>
              </w:rPr>
            </w:pPr>
          </w:p>
        </w:tc>
        <w:tc>
          <w:tcPr>
            <w:tcW w:w="80" w:type="dxa"/>
            <w:vAlign w:val="bottom"/>
            <w:tcBorders>
              <w:bottom w:val="single" w:sz="8" w:color="D4EEED"/>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659</w:t>
            </w:r>
          </w:p>
        </w:tc>
        <w:tc>
          <w:tcPr>
            <w:tcW w:w="80" w:type="dxa"/>
            <w:vAlign w:val="bottom"/>
            <w:tcBorders>
              <w:bottom w:val="single" w:sz="8" w:color="D4EEED"/>
            </w:tcBorders>
            <w:shd w:val="clear" w:color="auto" w:fill="FEFEFE"/>
          </w:tcPr>
          <w:p>
            <w:pPr>
              <w:spacing w:after="0"/>
              <w:rPr>
                <w:sz w:val="21"/>
                <w:szCs w:val="21"/>
                <w:color w:val="auto"/>
              </w:rPr>
            </w:pPr>
          </w:p>
        </w:tc>
      </w:tr>
      <w:tr>
        <w:trPr>
          <w:trHeight w:val="274"/>
        </w:trPr>
        <w:tc>
          <w:tcPr>
            <w:tcW w:w="6240" w:type="dxa"/>
            <w:vAlign w:val="bottom"/>
            <w:tcBorders>
              <w:bottom w:val="single" w:sz="8" w:color="FEFEFE"/>
            </w:tcBorders>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Total assets</w:t>
            </w:r>
          </w:p>
        </w:tc>
        <w:tc>
          <w:tcPr>
            <w:tcW w:w="180" w:type="dxa"/>
            <w:vAlign w:val="bottom"/>
            <w:tcBorders>
              <w:bottom w:val="single" w:sz="8" w:color="FEFEFE"/>
            </w:tcBorders>
            <w:shd w:val="clear" w:color="auto" w:fill="D4EEED"/>
          </w:tcPr>
          <w:p>
            <w:pPr>
              <w:spacing w:after="0"/>
              <w:rPr>
                <w:sz w:val="23"/>
                <w:szCs w:val="23"/>
                <w:color w:val="auto"/>
              </w:rPr>
            </w:pPr>
          </w:p>
        </w:tc>
        <w:tc>
          <w:tcPr>
            <w:tcW w:w="14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200,225</w:t>
            </w:r>
          </w:p>
        </w:tc>
        <w:tc>
          <w:tcPr>
            <w:tcW w:w="160" w:type="dxa"/>
            <w:vAlign w:val="bottom"/>
            <w:tcBorders>
              <w:bottom w:val="single" w:sz="8" w:color="FEFEFE"/>
            </w:tcBorders>
            <w:shd w:val="clear" w:color="auto" w:fill="D4EEED"/>
          </w:tcPr>
          <w:p>
            <w:pPr>
              <w:spacing w:after="0"/>
              <w:rPr>
                <w:sz w:val="23"/>
                <w:szCs w:val="23"/>
                <w:color w:val="auto"/>
              </w:rPr>
            </w:pPr>
          </w:p>
        </w:tc>
        <w:tc>
          <w:tcPr>
            <w:tcW w:w="80" w:type="dxa"/>
            <w:vAlign w:val="bottom"/>
            <w:tcBorders>
              <w:bottom w:val="single" w:sz="8" w:color="FEFEFE"/>
            </w:tcBorders>
            <w:shd w:val="clear" w:color="auto" w:fill="D4EEED"/>
          </w:tcPr>
          <w:p>
            <w:pPr>
              <w:spacing w:after="0"/>
              <w:rPr>
                <w:sz w:val="23"/>
                <w:szCs w:val="23"/>
                <w:color w:val="auto"/>
              </w:rPr>
            </w:pPr>
          </w:p>
        </w:tc>
        <w:tc>
          <w:tcPr>
            <w:tcW w:w="14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95,935</w:t>
            </w:r>
          </w:p>
        </w:tc>
        <w:tc>
          <w:tcPr>
            <w:tcW w:w="80" w:type="dxa"/>
            <w:vAlign w:val="bottom"/>
            <w:tcBorders>
              <w:bottom w:val="single" w:sz="8" w:color="FEFEFE"/>
            </w:tcBorders>
            <w:shd w:val="clear" w:color="auto" w:fill="D4EEED"/>
          </w:tcPr>
          <w:p>
            <w:pPr>
              <w:spacing w:after="0"/>
              <w:rPr>
                <w:sz w:val="23"/>
                <w:szCs w:val="23"/>
                <w:color w:val="auto"/>
              </w:rPr>
            </w:pPr>
          </w:p>
        </w:tc>
      </w:tr>
      <w:tr>
        <w:trPr>
          <w:trHeight w:val="229"/>
        </w:trPr>
        <w:tc>
          <w:tcPr>
            <w:tcW w:w="6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8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1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18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r>
      <w:tr>
        <w:trPr>
          <w:trHeight w:val="244"/>
        </w:trPr>
        <w:tc>
          <w:tcPr>
            <w:tcW w:w="624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60" w:type="dxa"/>
            <w:vAlign w:val="bottom"/>
            <w:shd w:val="clear" w:color="auto" w:fill="D4EEED"/>
          </w:tcPr>
          <w:p>
            <w:pPr>
              <w:spacing w:after="0"/>
              <w:rPr>
                <w:sz w:val="21"/>
                <w:szCs w:val="21"/>
                <w:color w:val="auto"/>
              </w:rPr>
            </w:pPr>
          </w:p>
        </w:tc>
        <w:tc>
          <w:tcPr>
            <w:tcW w:w="16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8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r>
      <w:tr>
        <w:trPr>
          <w:trHeight w:val="244"/>
        </w:trPr>
        <w:tc>
          <w:tcPr>
            <w:tcW w:w="624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3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2,424</w:t>
            </w:r>
          </w:p>
        </w:tc>
        <w:tc>
          <w:tcPr>
            <w:tcW w:w="160" w:type="dxa"/>
            <w:vAlign w:val="bottom"/>
            <w:shd w:val="clear" w:color="auto" w:fill="FEFEFE"/>
          </w:tcPr>
          <w:p>
            <w:pPr>
              <w:spacing w:after="0"/>
              <w:rPr>
                <w:sz w:val="21"/>
                <w:szCs w:val="21"/>
                <w:color w:val="auto"/>
              </w:rPr>
            </w:pPr>
          </w:p>
        </w:tc>
        <w:tc>
          <w:tcPr>
            <w:tcW w:w="22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1,283</w:t>
            </w:r>
          </w:p>
        </w:tc>
        <w:tc>
          <w:tcPr>
            <w:tcW w:w="80" w:type="dxa"/>
            <w:vAlign w:val="bottom"/>
            <w:shd w:val="clear" w:color="auto" w:fill="FEFEFE"/>
          </w:tcPr>
          <w:p>
            <w:pPr>
              <w:spacing w:after="0"/>
              <w:rPr>
                <w:sz w:val="21"/>
                <w:szCs w:val="21"/>
                <w:color w:val="auto"/>
              </w:rPr>
            </w:pPr>
          </w:p>
        </w:tc>
      </w:tr>
      <w:tr>
        <w:trPr>
          <w:trHeight w:val="244"/>
        </w:trPr>
        <w:tc>
          <w:tcPr>
            <w:tcW w:w="624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1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20,872</w:t>
            </w:r>
          </w:p>
        </w:tc>
        <w:tc>
          <w:tcPr>
            <w:tcW w:w="16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7,386</w:t>
            </w:r>
          </w:p>
        </w:tc>
        <w:tc>
          <w:tcPr>
            <w:tcW w:w="80" w:type="dxa"/>
            <w:vAlign w:val="bottom"/>
            <w:shd w:val="clear" w:color="auto" w:fill="D4EEED"/>
          </w:tcPr>
          <w:p>
            <w:pPr>
              <w:spacing w:after="0"/>
              <w:rPr>
                <w:sz w:val="21"/>
                <w:szCs w:val="21"/>
                <w:color w:val="auto"/>
              </w:rPr>
            </w:pPr>
          </w:p>
        </w:tc>
      </w:tr>
      <w:tr>
        <w:trPr>
          <w:trHeight w:val="244"/>
        </w:trPr>
        <w:tc>
          <w:tcPr>
            <w:tcW w:w="6240" w:type="dxa"/>
            <w:vAlign w:val="bottom"/>
            <w:tcBorders>
              <w:bottom w:val="single" w:sz="8" w:color="D4EEED"/>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180" w:type="dxa"/>
            <w:vAlign w:val="bottom"/>
            <w:tcBorders>
              <w:bottom w:val="single" w:sz="8" w:color="D4EEED"/>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1,060</w:t>
            </w:r>
          </w:p>
        </w:tc>
        <w:tc>
          <w:tcPr>
            <w:tcW w:w="160" w:type="dxa"/>
            <w:vAlign w:val="bottom"/>
            <w:tcBorders>
              <w:bottom w:val="single" w:sz="8" w:color="D4EEED"/>
            </w:tcBorders>
            <w:shd w:val="clear" w:color="auto" w:fill="FEFEFE"/>
          </w:tcPr>
          <w:p>
            <w:pPr>
              <w:spacing w:after="0"/>
              <w:rPr>
                <w:sz w:val="21"/>
                <w:szCs w:val="21"/>
                <w:color w:val="auto"/>
              </w:rPr>
            </w:pPr>
          </w:p>
        </w:tc>
        <w:tc>
          <w:tcPr>
            <w:tcW w:w="80" w:type="dxa"/>
            <w:vAlign w:val="bottom"/>
            <w:tcBorders>
              <w:bottom w:val="single" w:sz="8" w:color="D4EEED"/>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80" w:type="dxa"/>
            <w:vAlign w:val="bottom"/>
            <w:tcBorders>
              <w:bottom w:val="single" w:sz="8" w:color="D4EEED"/>
            </w:tcBorders>
            <w:shd w:val="clear" w:color="auto" w:fill="FEFEFE"/>
          </w:tcPr>
          <w:p>
            <w:pPr>
              <w:spacing w:after="0"/>
              <w:rPr>
                <w:sz w:val="21"/>
                <w:szCs w:val="21"/>
                <w:color w:val="auto"/>
              </w:rPr>
            </w:pPr>
          </w:p>
        </w:tc>
      </w:tr>
      <w:tr>
        <w:trPr>
          <w:trHeight w:val="234"/>
        </w:trPr>
        <w:tc>
          <w:tcPr>
            <w:tcW w:w="6240" w:type="dxa"/>
            <w:vAlign w:val="bottom"/>
            <w:shd w:val="clear" w:color="auto" w:fill="D4EEED"/>
          </w:tcPr>
          <w:p>
            <w:pPr>
              <w:ind w:left="4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80" w:type="dxa"/>
            <w:vAlign w:val="bottom"/>
            <w:shd w:val="clear" w:color="auto" w:fill="D4EEED"/>
          </w:tcPr>
          <w:p>
            <w:pPr>
              <w:spacing w:after="0"/>
              <w:rPr>
                <w:sz w:val="20"/>
                <w:szCs w:val="20"/>
                <w:color w:val="auto"/>
              </w:rPr>
            </w:pPr>
          </w:p>
        </w:tc>
        <w:tc>
          <w:tcPr>
            <w:tcW w:w="140" w:type="dxa"/>
            <w:vAlign w:val="bottom"/>
            <w:shd w:val="clear" w:color="auto" w:fill="D4EEED"/>
          </w:tcPr>
          <w:p>
            <w:pPr>
              <w:spacing w:after="0"/>
              <w:rPr>
                <w:sz w:val="20"/>
                <w:szCs w:val="20"/>
                <w:color w:val="auto"/>
              </w:rPr>
            </w:pPr>
          </w:p>
        </w:tc>
        <w:tc>
          <w:tcPr>
            <w:tcW w:w="11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24,356</w:t>
            </w:r>
          </w:p>
        </w:tc>
        <w:tc>
          <w:tcPr>
            <w:tcW w:w="16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c>
          <w:tcPr>
            <w:tcW w:w="140" w:type="dxa"/>
            <w:vAlign w:val="bottom"/>
            <w:shd w:val="clear" w:color="auto" w:fill="D4EEED"/>
          </w:tcPr>
          <w:p>
            <w:pPr>
              <w:spacing w:after="0"/>
              <w:rPr>
                <w:sz w:val="20"/>
                <w:szCs w:val="20"/>
                <w:color w:val="auto"/>
              </w:rPr>
            </w:pPr>
          </w:p>
        </w:tc>
        <w:tc>
          <w:tcPr>
            <w:tcW w:w="11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9,506</w:t>
            </w:r>
          </w:p>
        </w:tc>
        <w:tc>
          <w:tcPr>
            <w:tcW w:w="80" w:type="dxa"/>
            <w:vAlign w:val="bottom"/>
            <w:shd w:val="clear" w:color="auto" w:fill="D4EEED"/>
          </w:tcPr>
          <w:p>
            <w:pPr>
              <w:spacing w:after="0"/>
              <w:rPr>
                <w:sz w:val="20"/>
                <w:szCs w:val="20"/>
                <w:color w:val="auto"/>
              </w:rPr>
            </w:pPr>
          </w:p>
        </w:tc>
      </w:tr>
      <w:tr>
        <w:trPr>
          <w:trHeight w:val="244"/>
        </w:trPr>
        <w:tc>
          <w:tcPr>
            <w:tcW w:w="6240" w:type="dxa"/>
            <w:vAlign w:val="bottom"/>
            <w:tcBorders>
              <w:bottom w:val="single" w:sz="8" w:color="D4EEED"/>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80" w:type="dxa"/>
            <w:vAlign w:val="bottom"/>
            <w:tcBorders>
              <w:bottom w:val="single" w:sz="8" w:color="D4EEED"/>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4,057</w:t>
            </w:r>
          </w:p>
        </w:tc>
        <w:tc>
          <w:tcPr>
            <w:tcW w:w="160" w:type="dxa"/>
            <w:vAlign w:val="bottom"/>
            <w:tcBorders>
              <w:bottom w:val="single" w:sz="8" w:color="D4EEED"/>
            </w:tcBorders>
            <w:shd w:val="clear" w:color="auto" w:fill="FEFEFE"/>
          </w:tcPr>
          <w:p>
            <w:pPr>
              <w:spacing w:after="0"/>
              <w:rPr>
                <w:sz w:val="21"/>
                <w:szCs w:val="21"/>
                <w:color w:val="auto"/>
              </w:rPr>
            </w:pPr>
          </w:p>
        </w:tc>
        <w:tc>
          <w:tcPr>
            <w:tcW w:w="80" w:type="dxa"/>
            <w:vAlign w:val="bottom"/>
            <w:tcBorders>
              <w:bottom w:val="single" w:sz="8" w:color="D4EEED"/>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4,709</w:t>
            </w:r>
          </w:p>
        </w:tc>
        <w:tc>
          <w:tcPr>
            <w:tcW w:w="80" w:type="dxa"/>
            <w:vAlign w:val="bottom"/>
            <w:tcBorders>
              <w:bottom w:val="single" w:sz="8" w:color="D4EEED"/>
            </w:tcBorders>
            <w:shd w:val="clear" w:color="auto" w:fill="FEFEFE"/>
          </w:tcPr>
          <w:p>
            <w:pPr>
              <w:spacing w:after="0"/>
              <w:rPr>
                <w:sz w:val="21"/>
                <w:szCs w:val="21"/>
                <w:color w:val="auto"/>
              </w:rPr>
            </w:pPr>
          </w:p>
        </w:tc>
      </w:tr>
      <w:tr>
        <w:trPr>
          <w:trHeight w:val="234"/>
        </w:trPr>
        <w:tc>
          <w:tcPr>
            <w:tcW w:w="6240" w:type="dxa"/>
            <w:vAlign w:val="bottom"/>
            <w:tcBorders>
              <w:bottom w:val="single" w:sz="8" w:color="FEFEFE"/>
            </w:tcBorders>
            <w:shd w:val="clear" w:color="auto" w:fill="D4EEED"/>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180" w:type="dxa"/>
            <w:vAlign w:val="bottom"/>
            <w:tcBorders>
              <w:bottom w:val="single" w:sz="8" w:color="FEFEFE"/>
            </w:tcBorders>
            <w:shd w:val="clear" w:color="auto" w:fill="D4EEED"/>
          </w:tcPr>
          <w:p>
            <w:pPr>
              <w:spacing w:after="0"/>
              <w:rPr>
                <w:sz w:val="20"/>
                <w:szCs w:val="20"/>
                <w:color w:val="auto"/>
              </w:rPr>
            </w:pPr>
          </w:p>
        </w:tc>
        <w:tc>
          <w:tcPr>
            <w:tcW w:w="140" w:type="dxa"/>
            <w:vAlign w:val="bottom"/>
            <w:tcBorders>
              <w:bottom w:val="single" w:sz="8" w:color="auto"/>
            </w:tcBorders>
            <w:shd w:val="clear" w:color="auto" w:fill="D4EEED"/>
          </w:tcPr>
          <w:p>
            <w:pPr>
              <w:spacing w:after="0"/>
              <w:rPr>
                <w:sz w:val="20"/>
                <w:szCs w:val="20"/>
                <w:color w:val="auto"/>
              </w:rPr>
            </w:pPr>
          </w:p>
        </w:tc>
        <w:tc>
          <w:tcPr>
            <w:tcW w:w="11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28,413</w:t>
            </w:r>
          </w:p>
        </w:tc>
        <w:tc>
          <w:tcPr>
            <w:tcW w:w="160" w:type="dxa"/>
            <w:vAlign w:val="bottom"/>
            <w:tcBorders>
              <w:bottom w:val="single" w:sz="8" w:color="FEFEFE"/>
            </w:tcBorders>
            <w:shd w:val="clear" w:color="auto" w:fill="D4EEED"/>
          </w:tcPr>
          <w:p>
            <w:pPr>
              <w:spacing w:after="0"/>
              <w:rPr>
                <w:sz w:val="20"/>
                <w:szCs w:val="20"/>
                <w:color w:val="auto"/>
              </w:rPr>
            </w:pPr>
          </w:p>
        </w:tc>
        <w:tc>
          <w:tcPr>
            <w:tcW w:w="80" w:type="dxa"/>
            <w:vAlign w:val="bottom"/>
            <w:tcBorders>
              <w:bottom w:val="single" w:sz="8" w:color="FEFEFE"/>
            </w:tcBorders>
            <w:shd w:val="clear" w:color="auto" w:fill="D4EEED"/>
          </w:tcPr>
          <w:p>
            <w:pPr>
              <w:spacing w:after="0"/>
              <w:rPr>
                <w:sz w:val="20"/>
                <w:szCs w:val="20"/>
                <w:color w:val="auto"/>
              </w:rPr>
            </w:pPr>
          </w:p>
        </w:tc>
        <w:tc>
          <w:tcPr>
            <w:tcW w:w="140" w:type="dxa"/>
            <w:vAlign w:val="bottom"/>
            <w:tcBorders>
              <w:bottom w:val="single" w:sz="8" w:color="auto"/>
            </w:tcBorders>
            <w:shd w:val="clear" w:color="auto" w:fill="D4EEED"/>
          </w:tcPr>
          <w:p>
            <w:pPr>
              <w:spacing w:after="0"/>
              <w:rPr>
                <w:sz w:val="20"/>
                <w:szCs w:val="20"/>
                <w:color w:val="auto"/>
              </w:rPr>
            </w:pPr>
          </w:p>
        </w:tc>
        <w:tc>
          <w:tcPr>
            <w:tcW w:w="11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14,215</w:t>
            </w:r>
          </w:p>
        </w:tc>
        <w:tc>
          <w:tcPr>
            <w:tcW w:w="80" w:type="dxa"/>
            <w:vAlign w:val="bottom"/>
            <w:tcBorders>
              <w:bottom w:val="single" w:sz="8" w:color="FEFEFE"/>
            </w:tcBorders>
            <w:shd w:val="clear" w:color="auto" w:fill="D4EEED"/>
          </w:tcPr>
          <w:p>
            <w:pPr>
              <w:spacing w:after="0"/>
              <w:rPr>
                <w:sz w:val="20"/>
                <w:szCs w:val="20"/>
                <w:color w:val="auto"/>
              </w:rPr>
            </w:pPr>
          </w:p>
        </w:tc>
      </w:tr>
      <w:tr>
        <w:trPr>
          <w:trHeight w:val="234"/>
        </w:trPr>
        <w:tc>
          <w:tcPr>
            <w:tcW w:w="6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Commitments and contingencies (See Note 8)</w:t>
            </w:r>
          </w:p>
        </w:tc>
        <w:tc>
          <w:tcPr>
            <w:tcW w:w="18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116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118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r>
      <w:tr>
        <w:trPr>
          <w:trHeight w:val="244"/>
        </w:trPr>
        <w:tc>
          <w:tcPr>
            <w:tcW w:w="624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60" w:type="dxa"/>
            <w:vAlign w:val="bottom"/>
            <w:shd w:val="clear" w:color="auto" w:fill="D4EEED"/>
          </w:tcPr>
          <w:p>
            <w:pPr>
              <w:spacing w:after="0"/>
              <w:rPr>
                <w:sz w:val="21"/>
                <w:szCs w:val="21"/>
                <w:color w:val="auto"/>
              </w:rPr>
            </w:pPr>
          </w:p>
        </w:tc>
        <w:tc>
          <w:tcPr>
            <w:tcW w:w="16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8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r>
      <w:tr>
        <w:trPr>
          <w:trHeight w:val="224"/>
        </w:trPr>
        <w:tc>
          <w:tcPr>
            <w:tcW w:w="6240" w:type="dxa"/>
            <w:vAlign w:val="bottom"/>
            <w:shd w:val="clear" w:color="auto" w:fill="FEFEFE"/>
          </w:tcPr>
          <w:p>
            <w:pPr>
              <w:ind w:left="200"/>
              <w:spacing w:after="0" w:line="225" w:lineRule="exact"/>
              <w:rPr>
                <w:sz w:val="20"/>
                <w:szCs w:val="20"/>
                <w:color w:val="auto"/>
              </w:rPr>
            </w:pPr>
            <w:r>
              <w:rPr>
                <w:rFonts w:ascii="Times New Roman" w:cs="Times New Roman" w:eastAsia="Times New Roman" w:hAnsi="Times New Roman"/>
                <w:sz w:val="20"/>
                <w:szCs w:val="20"/>
                <w:color w:val="auto"/>
              </w:rPr>
              <w:t>Preferred stock; $0.001 par value per share; 5,000,000 shares authorized</w:t>
            </w:r>
          </w:p>
        </w:tc>
        <w:tc>
          <w:tcPr>
            <w:tcW w:w="18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1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18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r>
      <w:tr>
        <w:trPr>
          <w:trHeight w:val="230"/>
        </w:trPr>
        <w:tc>
          <w:tcPr>
            <w:tcW w:w="6240" w:type="dxa"/>
            <w:vAlign w:val="bottom"/>
            <w:shd w:val="clear" w:color="auto" w:fill="FEFEFE"/>
          </w:tcPr>
          <w:p>
            <w:pPr>
              <w:ind w:left="360"/>
              <w:spacing w:after="0"/>
              <w:rPr>
                <w:sz w:val="20"/>
                <w:szCs w:val="20"/>
                <w:color w:val="auto"/>
              </w:rPr>
            </w:pPr>
            <w:r>
              <w:rPr>
                <w:rFonts w:ascii="Times New Roman" w:cs="Times New Roman" w:eastAsia="Times New Roman" w:hAnsi="Times New Roman"/>
                <w:sz w:val="20"/>
                <w:szCs w:val="20"/>
                <w:color w:val="auto"/>
              </w:rPr>
              <w:t>as of December 31, 2024 and December 31, 2023; no shares issued and</w:t>
            </w:r>
          </w:p>
        </w:tc>
        <w:tc>
          <w:tcPr>
            <w:tcW w:w="18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160" w:type="dxa"/>
            <w:vAlign w:val="bottom"/>
            <w:shd w:val="clear" w:color="auto" w:fill="FEFEFE"/>
          </w:tcPr>
          <w:p>
            <w:pPr>
              <w:spacing w:after="0"/>
              <w:rPr>
                <w:sz w:val="19"/>
                <w:szCs w:val="19"/>
                <w:color w:val="auto"/>
              </w:rPr>
            </w:pPr>
          </w:p>
        </w:tc>
        <w:tc>
          <w:tcPr>
            <w:tcW w:w="16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118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r>
      <w:tr>
        <w:trPr>
          <w:trHeight w:val="249"/>
        </w:trPr>
        <w:tc>
          <w:tcPr>
            <w:tcW w:w="6240" w:type="dxa"/>
            <w:vAlign w:val="bottom"/>
            <w:shd w:val="clear" w:color="auto" w:fill="FEFEFE"/>
          </w:tcPr>
          <w:p>
            <w:pPr>
              <w:ind w:left="360"/>
              <w:spacing w:after="0"/>
              <w:rPr>
                <w:sz w:val="20"/>
                <w:szCs w:val="20"/>
                <w:color w:val="auto"/>
              </w:rPr>
            </w:pPr>
            <w:r>
              <w:rPr>
                <w:rFonts w:ascii="Times New Roman" w:cs="Times New Roman" w:eastAsia="Times New Roman" w:hAnsi="Times New Roman"/>
                <w:sz w:val="20"/>
                <w:szCs w:val="20"/>
                <w:color w:val="auto"/>
              </w:rPr>
              <w:t>outstanding as of December 31, 2024 and December 31, 2023</w:t>
            </w:r>
          </w:p>
        </w:tc>
        <w:tc>
          <w:tcPr>
            <w:tcW w:w="1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320" w:type="dxa"/>
            <w:vAlign w:val="bottom"/>
            <w:gridSpan w:val="2"/>
            <w:shd w:val="clear" w:color="auto" w:fill="FEFEFE"/>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26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6240" w:type="dxa"/>
            <w:vAlign w:val="bottom"/>
            <w:shd w:val="clear" w:color="auto" w:fill="D4EEED"/>
          </w:tcPr>
          <w:p>
            <w:pPr>
              <w:ind w:left="200"/>
              <w:spacing w:after="0" w:line="225" w:lineRule="exact"/>
              <w:rPr>
                <w:sz w:val="20"/>
                <w:szCs w:val="20"/>
                <w:color w:val="auto"/>
              </w:rPr>
            </w:pPr>
            <w:r>
              <w:rPr>
                <w:rFonts w:ascii="Times New Roman" w:cs="Times New Roman" w:eastAsia="Times New Roman" w:hAnsi="Times New Roman"/>
                <w:sz w:val="20"/>
                <w:szCs w:val="20"/>
                <w:color w:val="auto"/>
              </w:rPr>
              <w:t>Common stock, $0.001 par value per share; 115,000,000 shares</w:t>
            </w:r>
          </w:p>
        </w:tc>
        <w:tc>
          <w:tcPr>
            <w:tcW w:w="180" w:type="dxa"/>
            <w:vAlign w:val="bottom"/>
            <w:shd w:val="clear" w:color="auto" w:fill="D4EEED"/>
          </w:tcPr>
          <w:p>
            <w:pPr>
              <w:spacing w:after="0"/>
              <w:rPr>
                <w:sz w:val="19"/>
                <w:szCs w:val="19"/>
                <w:color w:val="auto"/>
              </w:rPr>
            </w:pPr>
          </w:p>
        </w:tc>
        <w:tc>
          <w:tcPr>
            <w:tcW w:w="140" w:type="dxa"/>
            <w:vAlign w:val="bottom"/>
            <w:shd w:val="clear" w:color="auto" w:fill="D4EEED"/>
          </w:tcPr>
          <w:p>
            <w:pPr>
              <w:spacing w:after="0"/>
              <w:rPr>
                <w:sz w:val="19"/>
                <w:szCs w:val="19"/>
                <w:color w:val="auto"/>
              </w:rPr>
            </w:pPr>
          </w:p>
        </w:tc>
        <w:tc>
          <w:tcPr>
            <w:tcW w:w="1160" w:type="dxa"/>
            <w:vAlign w:val="bottom"/>
            <w:shd w:val="clear" w:color="auto" w:fill="D4EEED"/>
          </w:tcPr>
          <w:p>
            <w:pPr>
              <w:spacing w:after="0"/>
              <w:rPr>
                <w:sz w:val="19"/>
                <w:szCs w:val="19"/>
                <w:color w:val="auto"/>
              </w:rPr>
            </w:pPr>
          </w:p>
        </w:tc>
        <w:tc>
          <w:tcPr>
            <w:tcW w:w="160" w:type="dxa"/>
            <w:vAlign w:val="bottom"/>
            <w:shd w:val="clear" w:color="auto" w:fill="D4EEED"/>
          </w:tcPr>
          <w:p>
            <w:pPr>
              <w:spacing w:after="0"/>
              <w:rPr>
                <w:sz w:val="19"/>
                <w:szCs w:val="19"/>
                <w:color w:val="auto"/>
              </w:rPr>
            </w:pPr>
          </w:p>
        </w:tc>
        <w:tc>
          <w:tcPr>
            <w:tcW w:w="80" w:type="dxa"/>
            <w:vAlign w:val="bottom"/>
            <w:shd w:val="clear" w:color="auto" w:fill="D4EEED"/>
          </w:tcPr>
          <w:p>
            <w:pPr>
              <w:spacing w:after="0"/>
              <w:rPr>
                <w:sz w:val="19"/>
                <w:szCs w:val="19"/>
                <w:color w:val="auto"/>
              </w:rPr>
            </w:pPr>
          </w:p>
        </w:tc>
        <w:tc>
          <w:tcPr>
            <w:tcW w:w="140" w:type="dxa"/>
            <w:vAlign w:val="bottom"/>
            <w:shd w:val="clear" w:color="auto" w:fill="D4EEED"/>
          </w:tcPr>
          <w:p>
            <w:pPr>
              <w:spacing w:after="0"/>
              <w:rPr>
                <w:sz w:val="19"/>
                <w:szCs w:val="19"/>
                <w:color w:val="auto"/>
              </w:rPr>
            </w:pPr>
          </w:p>
        </w:tc>
        <w:tc>
          <w:tcPr>
            <w:tcW w:w="1180" w:type="dxa"/>
            <w:vAlign w:val="bottom"/>
            <w:shd w:val="clear" w:color="auto" w:fill="D4EEED"/>
          </w:tcPr>
          <w:p>
            <w:pPr>
              <w:spacing w:after="0"/>
              <w:rPr>
                <w:sz w:val="19"/>
                <w:szCs w:val="19"/>
                <w:color w:val="auto"/>
              </w:rPr>
            </w:pPr>
          </w:p>
        </w:tc>
        <w:tc>
          <w:tcPr>
            <w:tcW w:w="80" w:type="dxa"/>
            <w:vAlign w:val="bottom"/>
            <w:shd w:val="clear" w:color="auto" w:fill="D4EEED"/>
          </w:tcPr>
          <w:p>
            <w:pPr>
              <w:spacing w:after="0"/>
              <w:rPr>
                <w:sz w:val="19"/>
                <w:szCs w:val="19"/>
                <w:color w:val="auto"/>
              </w:rPr>
            </w:pPr>
          </w:p>
        </w:tc>
      </w:tr>
      <w:tr>
        <w:trPr>
          <w:trHeight w:val="230"/>
        </w:trPr>
        <w:tc>
          <w:tcPr>
            <w:tcW w:w="6240" w:type="dxa"/>
            <w:vAlign w:val="bottom"/>
            <w:shd w:val="clear" w:color="auto" w:fill="D4EEED"/>
          </w:tcPr>
          <w:p>
            <w:pPr>
              <w:ind w:left="360"/>
              <w:spacing w:after="0"/>
              <w:rPr>
                <w:sz w:val="20"/>
                <w:szCs w:val="20"/>
                <w:color w:val="auto"/>
              </w:rPr>
            </w:pPr>
            <w:r>
              <w:rPr>
                <w:rFonts w:ascii="Times New Roman" w:cs="Times New Roman" w:eastAsia="Times New Roman" w:hAnsi="Times New Roman"/>
                <w:sz w:val="20"/>
                <w:szCs w:val="20"/>
                <w:color w:val="auto"/>
              </w:rPr>
              <w:t>authorized as of December 31, 2024 and December 31, 2023;</w:t>
            </w:r>
          </w:p>
        </w:tc>
        <w:tc>
          <w:tcPr>
            <w:tcW w:w="180" w:type="dxa"/>
            <w:vAlign w:val="bottom"/>
            <w:shd w:val="clear" w:color="auto" w:fill="D4EEED"/>
          </w:tcPr>
          <w:p>
            <w:pPr>
              <w:spacing w:after="0"/>
              <w:rPr>
                <w:sz w:val="19"/>
                <w:szCs w:val="19"/>
                <w:color w:val="auto"/>
              </w:rPr>
            </w:pPr>
          </w:p>
        </w:tc>
        <w:tc>
          <w:tcPr>
            <w:tcW w:w="140" w:type="dxa"/>
            <w:vAlign w:val="bottom"/>
            <w:shd w:val="clear" w:color="auto" w:fill="D4EEED"/>
          </w:tcPr>
          <w:p>
            <w:pPr>
              <w:spacing w:after="0"/>
              <w:rPr>
                <w:sz w:val="19"/>
                <w:szCs w:val="19"/>
                <w:color w:val="auto"/>
              </w:rPr>
            </w:pPr>
          </w:p>
        </w:tc>
        <w:tc>
          <w:tcPr>
            <w:tcW w:w="1160" w:type="dxa"/>
            <w:vAlign w:val="bottom"/>
            <w:shd w:val="clear" w:color="auto" w:fill="D4EEED"/>
          </w:tcPr>
          <w:p>
            <w:pPr>
              <w:spacing w:after="0"/>
              <w:rPr>
                <w:sz w:val="19"/>
                <w:szCs w:val="19"/>
                <w:color w:val="auto"/>
              </w:rPr>
            </w:pPr>
          </w:p>
        </w:tc>
        <w:tc>
          <w:tcPr>
            <w:tcW w:w="160" w:type="dxa"/>
            <w:vAlign w:val="bottom"/>
            <w:shd w:val="clear" w:color="auto" w:fill="D4EEED"/>
          </w:tcPr>
          <w:p>
            <w:pPr>
              <w:spacing w:after="0"/>
              <w:rPr>
                <w:sz w:val="19"/>
                <w:szCs w:val="19"/>
                <w:color w:val="auto"/>
              </w:rPr>
            </w:pPr>
          </w:p>
        </w:tc>
        <w:tc>
          <w:tcPr>
            <w:tcW w:w="80" w:type="dxa"/>
            <w:vAlign w:val="bottom"/>
            <w:shd w:val="clear" w:color="auto" w:fill="D4EEED"/>
          </w:tcPr>
          <w:p>
            <w:pPr>
              <w:spacing w:after="0"/>
              <w:rPr>
                <w:sz w:val="19"/>
                <w:szCs w:val="19"/>
                <w:color w:val="auto"/>
              </w:rPr>
            </w:pPr>
          </w:p>
        </w:tc>
        <w:tc>
          <w:tcPr>
            <w:tcW w:w="140" w:type="dxa"/>
            <w:vAlign w:val="bottom"/>
            <w:shd w:val="clear" w:color="auto" w:fill="D4EEED"/>
          </w:tcPr>
          <w:p>
            <w:pPr>
              <w:spacing w:after="0"/>
              <w:rPr>
                <w:sz w:val="19"/>
                <w:szCs w:val="19"/>
                <w:color w:val="auto"/>
              </w:rPr>
            </w:pPr>
          </w:p>
        </w:tc>
        <w:tc>
          <w:tcPr>
            <w:tcW w:w="1180" w:type="dxa"/>
            <w:vAlign w:val="bottom"/>
            <w:shd w:val="clear" w:color="auto" w:fill="D4EEED"/>
          </w:tcPr>
          <w:p>
            <w:pPr>
              <w:spacing w:after="0"/>
              <w:rPr>
                <w:sz w:val="19"/>
                <w:szCs w:val="19"/>
                <w:color w:val="auto"/>
              </w:rPr>
            </w:pPr>
          </w:p>
        </w:tc>
        <w:tc>
          <w:tcPr>
            <w:tcW w:w="80" w:type="dxa"/>
            <w:vAlign w:val="bottom"/>
            <w:shd w:val="clear" w:color="auto" w:fill="D4EEED"/>
          </w:tcPr>
          <w:p>
            <w:pPr>
              <w:spacing w:after="0"/>
              <w:rPr>
                <w:sz w:val="19"/>
                <w:szCs w:val="19"/>
                <w:color w:val="auto"/>
              </w:rPr>
            </w:pPr>
          </w:p>
        </w:tc>
      </w:tr>
      <w:tr>
        <w:trPr>
          <w:trHeight w:val="230"/>
        </w:trPr>
        <w:tc>
          <w:tcPr>
            <w:tcW w:w="6240" w:type="dxa"/>
            <w:vAlign w:val="bottom"/>
            <w:shd w:val="clear" w:color="auto" w:fill="D4EEED"/>
          </w:tcPr>
          <w:p>
            <w:pPr>
              <w:ind w:left="300"/>
              <w:spacing w:after="0"/>
              <w:rPr>
                <w:sz w:val="20"/>
                <w:szCs w:val="20"/>
                <w:color w:val="auto"/>
              </w:rPr>
            </w:pPr>
            <w:r>
              <w:rPr>
                <w:rFonts w:ascii="Times New Roman" w:cs="Times New Roman" w:eastAsia="Times New Roman" w:hAnsi="Times New Roman"/>
                <w:sz w:val="20"/>
                <w:szCs w:val="20"/>
                <w:color w:val="auto"/>
              </w:rPr>
              <w:t>63,815,065 and 43,909,069 shares issued and outstanding as of</w:t>
            </w:r>
          </w:p>
        </w:tc>
        <w:tc>
          <w:tcPr>
            <w:tcW w:w="180" w:type="dxa"/>
            <w:vAlign w:val="bottom"/>
            <w:shd w:val="clear" w:color="auto" w:fill="D4EEED"/>
          </w:tcPr>
          <w:p>
            <w:pPr>
              <w:spacing w:after="0"/>
              <w:rPr>
                <w:sz w:val="19"/>
                <w:szCs w:val="19"/>
                <w:color w:val="auto"/>
              </w:rPr>
            </w:pPr>
          </w:p>
        </w:tc>
        <w:tc>
          <w:tcPr>
            <w:tcW w:w="140" w:type="dxa"/>
            <w:vAlign w:val="bottom"/>
            <w:shd w:val="clear" w:color="auto" w:fill="D4EEED"/>
          </w:tcPr>
          <w:p>
            <w:pPr>
              <w:spacing w:after="0"/>
              <w:rPr>
                <w:sz w:val="19"/>
                <w:szCs w:val="19"/>
                <w:color w:val="auto"/>
              </w:rPr>
            </w:pPr>
          </w:p>
        </w:tc>
        <w:tc>
          <w:tcPr>
            <w:tcW w:w="1160" w:type="dxa"/>
            <w:vAlign w:val="bottom"/>
            <w:shd w:val="clear" w:color="auto" w:fill="D4EEED"/>
          </w:tcPr>
          <w:p>
            <w:pPr>
              <w:spacing w:after="0"/>
              <w:rPr>
                <w:sz w:val="19"/>
                <w:szCs w:val="19"/>
                <w:color w:val="auto"/>
              </w:rPr>
            </w:pPr>
          </w:p>
        </w:tc>
        <w:tc>
          <w:tcPr>
            <w:tcW w:w="160" w:type="dxa"/>
            <w:vAlign w:val="bottom"/>
            <w:shd w:val="clear" w:color="auto" w:fill="D4EEED"/>
          </w:tcPr>
          <w:p>
            <w:pPr>
              <w:spacing w:after="0"/>
              <w:rPr>
                <w:sz w:val="19"/>
                <w:szCs w:val="19"/>
                <w:color w:val="auto"/>
              </w:rPr>
            </w:pPr>
          </w:p>
        </w:tc>
        <w:tc>
          <w:tcPr>
            <w:tcW w:w="80" w:type="dxa"/>
            <w:vAlign w:val="bottom"/>
            <w:shd w:val="clear" w:color="auto" w:fill="D4EEED"/>
          </w:tcPr>
          <w:p>
            <w:pPr>
              <w:spacing w:after="0"/>
              <w:rPr>
                <w:sz w:val="19"/>
                <w:szCs w:val="19"/>
                <w:color w:val="auto"/>
              </w:rPr>
            </w:pPr>
          </w:p>
        </w:tc>
        <w:tc>
          <w:tcPr>
            <w:tcW w:w="140" w:type="dxa"/>
            <w:vAlign w:val="bottom"/>
            <w:shd w:val="clear" w:color="auto" w:fill="D4EEED"/>
          </w:tcPr>
          <w:p>
            <w:pPr>
              <w:spacing w:after="0"/>
              <w:rPr>
                <w:sz w:val="19"/>
                <w:szCs w:val="19"/>
                <w:color w:val="auto"/>
              </w:rPr>
            </w:pPr>
          </w:p>
        </w:tc>
        <w:tc>
          <w:tcPr>
            <w:tcW w:w="1180" w:type="dxa"/>
            <w:vAlign w:val="bottom"/>
            <w:shd w:val="clear" w:color="auto" w:fill="D4EEED"/>
          </w:tcPr>
          <w:p>
            <w:pPr>
              <w:spacing w:after="0"/>
              <w:rPr>
                <w:sz w:val="19"/>
                <w:szCs w:val="19"/>
                <w:color w:val="auto"/>
              </w:rPr>
            </w:pPr>
          </w:p>
        </w:tc>
        <w:tc>
          <w:tcPr>
            <w:tcW w:w="80" w:type="dxa"/>
            <w:vAlign w:val="bottom"/>
            <w:shd w:val="clear" w:color="auto" w:fill="D4EEED"/>
          </w:tcPr>
          <w:p>
            <w:pPr>
              <w:spacing w:after="0"/>
              <w:rPr>
                <w:sz w:val="19"/>
                <w:szCs w:val="19"/>
                <w:color w:val="auto"/>
              </w:rPr>
            </w:pPr>
          </w:p>
        </w:tc>
      </w:tr>
      <w:tr>
        <w:trPr>
          <w:trHeight w:val="249"/>
        </w:trPr>
        <w:tc>
          <w:tcPr>
            <w:tcW w:w="6240" w:type="dxa"/>
            <w:vAlign w:val="bottom"/>
            <w:shd w:val="clear" w:color="auto" w:fill="D4EEED"/>
          </w:tcPr>
          <w:p>
            <w:pPr>
              <w:ind w:left="360"/>
              <w:spacing w:after="0"/>
              <w:rPr>
                <w:sz w:val="20"/>
                <w:szCs w:val="20"/>
                <w:color w:val="auto"/>
              </w:rPr>
            </w:pPr>
            <w:r>
              <w:rPr>
                <w:rFonts w:ascii="Times New Roman" w:cs="Times New Roman" w:eastAsia="Times New Roman" w:hAnsi="Times New Roman"/>
                <w:sz w:val="20"/>
                <w:szCs w:val="20"/>
                <w:color w:val="auto"/>
              </w:rPr>
              <w:t>December 31, 2024 and December 31, 2023, respectively</w:t>
            </w:r>
          </w:p>
        </w:tc>
        <w:tc>
          <w:tcPr>
            <w:tcW w:w="1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6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shd w:val="clear" w:color="auto" w:fill="D4EEED"/>
          </w:tcPr>
          <w:p>
            <w:pPr>
              <w:spacing w:after="0"/>
              <w:rPr>
                <w:sz w:val="21"/>
                <w:szCs w:val="21"/>
                <w:color w:val="auto"/>
              </w:rPr>
            </w:pPr>
          </w:p>
        </w:tc>
      </w:tr>
      <w:tr>
        <w:trPr>
          <w:trHeight w:val="244"/>
        </w:trPr>
        <w:tc>
          <w:tcPr>
            <w:tcW w:w="62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440,758</w:t>
            </w:r>
          </w:p>
        </w:tc>
        <w:tc>
          <w:tcPr>
            <w:tcW w:w="16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270,150</w:t>
            </w:r>
          </w:p>
        </w:tc>
        <w:tc>
          <w:tcPr>
            <w:tcW w:w="80" w:type="dxa"/>
            <w:vAlign w:val="bottom"/>
            <w:shd w:val="clear" w:color="auto" w:fill="FEFEFE"/>
          </w:tcPr>
          <w:p>
            <w:pPr>
              <w:spacing w:after="0"/>
              <w:rPr>
                <w:sz w:val="21"/>
                <w:szCs w:val="21"/>
                <w:color w:val="auto"/>
              </w:rPr>
            </w:pPr>
          </w:p>
        </w:tc>
      </w:tr>
      <w:tr>
        <w:trPr>
          <w:trHeight w:val="244"/>
        </w:trPr>
        <w:tc>
          <w:tcPr>
            <w:tcW w:w="624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1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320" w:type="dxa"/>
            <w:vAlign w:val="bottom"/>
            <w:gridSpan w:val="2"/>
            <w:shd w:val="clear" w:color="auto" w:fill="D4EEED"/>
          </w:tcPr>
          <w:p>
            <w:pPr>
              <w:jc w:val="right"/>
              <w:ind w:right="100"/>
              <w:spacing w:after="0"/>
              <w:rPr>
                <w:sz w:val="20"/>
                <w:szCs w:val="20"/>
                <w:color w:val="auto"/>
              </w:rPr>
            </w:pPr>
            <w:r>
              <w:rPr>
                <w:rFonts w:ascii="Times New Roman" w:cs="Times New Roman" w:eastAsia="Times New Roman" w:hAnsi="Times New Roman"/>
                <w:sz w:val="20"/>
                <w:szCs w:val="20"/>
                <w:color w:val="auto"/>
              </w:rPr>
              <w:t>(269,158)</w:t>
            </w:r>
          </w:p>
        </w:tc>
        <w:tc>
          <w:tcPr>
            <w:tcW w:w="8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260" w:type="dxa"/>
            <w:vAlign w:val="bottom"/>
            <w:gridSpan w:val="2"/>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(188,554)</w:t>
            </w:r>
          </w:p>
        </w:tc>
      </w:tr>
      <w:tr>
        <w:trPr>
          <w:trHeight w:val="244"/>
        </w:trPr>
        <w:tc>
          <w:tcPr>
            <w:tcW w:w="6240" w:type="dxa"/>
            <w:vAlign w:val="bottom"/>
            <w:tcBorders>
              <w:bottom w:val="single" w:sz="8" w:color="D4EEED"/>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Accumulated other comprehensive gain</w:t>
            </w:r>
          </w:p>
        </w:tc>
        <w:tc>
          <w:tcPr>
            <w:tcW w:w="180" w:type="dxa"/>
            <w:vAlign w:val="bottom"/>
            <w:tcBorders>
              <w:bottom w:val="single" w:sz="8" w:color="D4EEED"/>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160" w:type="dxa"/>
            <w:vAlign w:val="bottom"/>
            <w:tcBorders>
              <w:bottom w:val="single" w:sz="8" w:color="D4EEED"/>
            </w:tcBorders>
            <w:shd w:val="clear" w:color="auto" w:fill="FEFEFE"/>
          </w:tcPr>
          <w:p>
            <w:pPr>
              <w:spacing w:after="0"/>
              <w:rPr>
                <w:sz w:val="21"/>
                <w:szCs w:val="21"/>
                <w:color w:val="auto"/>
              </w:rPr>
            </w:pPr>
          </w:p>
        </w:tc>
        <w:tc>
          <w:tcPr>
            <w:tcW w:w="80" w:type="dxa"/>
            <w:vAlign w:val="bottom"/>
            <w:tcBorders>
              <w:bottom w:val="single" w:sz="8" w:color="D4EEED"/>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80" w:type="dxa"/>
            <w:vAlign w:val="bottom"/>
            <w:tcBorders>
              <w:bottom w:val="single" w:sz="8" w:color="D4EEED"/>
            </w:tcBorders>
            <w:shd w:val="clear" w:color="auto" w:fill="FEFEFE"/>
          </w:tcPr>
          <w:p>
            <w:pPr>
              <w:spacing w:after="0"/>
              <w:rPr>
                <w:sz w:val="21"/>
                <w:szCs w:val="21"/>
                <w:color w:val="auto"/>
              </w:rPr>
            </w:pPr>
          </w:p>
        </w:tc>
      </w:tr>
      <w:tr>
        <w:trPr>
          <w:trHeight w:val="234"/>
        </w:trPr>
        <w:tc>
          <w:tcPr>
            <w:tcW w:w="6240" w:type="dxa"/>
            <w:vAlign w:val="bottom"/>
            <w:tcBorders>
              <w:bottom w:val="single" w:sz="8" w:color="FEFEFE"/>
            </w:tcBorders>
            <w:shd w:val="clear" w:color="auto" w:fill="D4EEED"/>
          </w:tcPr>
          <w:p>
            <w:pPr>
              <w:ind w:left="10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180" w:type="dxa"/>
            <w:vAlign w:val="bottom"/>
            <w:tcBorders>
              <w:bottom w:val="single" w:sz="8" w:color="FEFEFE"/>
            </w:tcBorders>
            <w:shd w:val="clear" w:color="auto" w:fill="D4EEED"/>
          </w:tcPr>
          <w:p>
            <w:pPr>
              <w:spacing w:after="0"/>
              <w:rPr>
                <w:sz w:val="20"/>
                <w:szCs w:val="20"/>
                <w:color w:val="auto"/>
              </w:rPr>
            </w:pPr>
          </w:p>
        </w:tc>
        <w:tc>
          <w:tcPr>
            <w:tcW w:w="140" w:type="dxa"/>
            <w:vAlign w:val="bottom"/>
            <w:tcBorders>
              <w:bottom w:val="single" w:sz="8" w:color="auto"/>
            </w:tcBorders>
            <w:shd w:val="clear" w:color="auto" w:fill="D4EEED"/>
          </w:tcPr>
          <w:p>
            <w:pPr>
              <w:spacing w:after="0"/>
              <w:rPr>
                <w:sz w:val="20"/>
                <w:szCs w:val="20"/>
                <w:color w:val="auto"/>
              </w:rPr>
            </w:pPr>
          </w:p>
        </w:tc>
        <w:tc>
          <w:tcPr>
            <w:tcW w:w="11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171,812</w:t>
            </w:r>
          </w:p>
        </w:tc>
        <w:tc>
          <w:tcPr>
            <w:tcW w:w="160" w:type="dxa"/>
            <w:vAlign w:val="bottom"/>
            <w:tcBorders>
              <w:bottom w:val="single" w:sz="8" w:color="FEFEFE"/>
            </w:tcBorders>
            <w:shd w:val="clear" w:color="auto" w:fill="D4EEED"/>
          </w:tcPr>
          <w:p>
            <w:pPr>
              <w:spacing w:after="0"/>
              <w:rPr>
                <w:sz w:val="20"/>
                <w:szCs w:val="20"/>
                <w:color w:val="auto"/>
              </w:rPr>
            </w:pPr>
          </w:p>
        </w:tc>
        <w:tc>
          <w:tcPr>
            <w:tcW w:w="80" w:type="dxa"/>
            <w:vAlign w:val="bottom"/>
            <w:tcBorders>
              <w:bottom w:val="single" w:sz="8" w:color="FEFEFE"/>
            </w:tcBorders>
            <w:shd w:val="clear" w:color="auto" w:fill="D4EEED"/>
          </w:tcPr>
          <w:p>
            <w:pPr>
              <w:spacing w:after="0"/>
              <w:rPr>
                <w:sz w:val="20"/>
                <w:szCs w:val="20"/>
                <w:color w:val="auto"/>
              </w:rPr>
            </w:pPr>
          </w:p>
        </w:tc>
        <w:tc>
          <w:tcPr>
            <w:tcW w:w="140" w:type="dxa"/>
            <w:vAlign w:val="bottom"/>
            <w:tcBorders>
              <w:bottom w:val="single" w:sz="8" w:color="auto"/>
            </w:tcBorders>
            <w:shd w:val="clear" w:color="auto" w:fill="D4EEED"/>
          </w:tcPr>
          <w:p>
            <w:pPr>
              <w:spacing w:after="0"/>
              <w:rPr>
                <w:sz w:val="20"/>
                <w:szCs w:val="20"/>
                <w:color w:val="auto"/>
              </w:rPr>
            </w:pPr>
          </w:p>
        </w:tc>
        <w:tc>
          <w:tcPr>
            <w:tcW w:w="11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81,720</w:t>
            </w:r>
          </w:p>
        </w:tc>
        <w:tc>
          <w:tcPr>
            <w:tcW w:w="80" w:type="dxa"/>
            <w:vAlign w:val="bottom"/>
            <w:tcBorders>
              <w:bottom w:val="single" w:sz="8" w:color="FEFEFE"/>
            </w:tcBorders>
            <w:shd w:val="clear" w:color="auto" w:fill="D4EEED"/>
          </w:tcPr>
          <w:p>
            <w:pPr>
              <w:spacing w:after="0"/>
              <w:rPr>
                <w:sz w:val="20"/>
                <w:szCs w:val="20"/>
                <w:color w:val="auto"/>
              </w:rPr>
            </w:pPr>
          </w:p>
        </w:tc>
      </w:tr>
      <w:tr>
        <w:trPr>
          <w:trHeight w:val="234"/>
        </w:trPr>
        <w:tc>
          <w:tcPr>
            <w:tcW w:w="624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180" w:type="dxa"/>
            <w:vAlign w:val="bottom"/>
            <w:shd w:val="clear" w:color="auto" w:fill="FEFEFE"/>
          </w:tcPr>
          <w:p>
            <w:pPr>
              <w:spacing w:after="0"/>
              <w:rPr>
                <w:sz w:val="20"/>
                <w:szCs w:val="20"/>
                <w:color w:val="auto"/>
              </w:rPr>
            </w:pPr>
          </w:p>
        </w:tc>
        <w:tc>
          <w:tcPr>
            <w:tcW w:w="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200,225</w:t>
            </w:r>
          </w:p>
        </w:tc>
        <w:tc>
          <w:tcPr>
            <w:tcW w:w="16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95,935</w:t>
            </w:r>
          </w:p>
        </w:tc>
        <w:tc>
          <w:tcPr>
            <w:tcW w:w="80" w:type="dxa"/>
            <w:vAlign w:val="bottom"/>
            <w:shd w:val="clear" w:color="auto" w:fill="FEFEFE"/>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960" w:h="17280" w:orient="portrait"/>
          <w:cols w:equalWidth="0" w:num="1">
            <w:col w:w="10080"/>
          </w:cols>
          <w:pgMar w:left="1440" w:top="1440" w:right="1440" w:bottom="895" w:gutter="0" w:footer="0" w:header="0"/>
          <w:type w:val="continuous"/>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LARIMAR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67"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5800" w:type="dxa"/>
            <w:vAlign w:val="bottom"/>
            <w:shd w:val="clear" w:color="auto" w:fill="FEFEFE"/>
          </w:tcPr>
          <w:p>
            <w:pPr>
              <w:spacing w:after="0"/>
              <w:rPr>
                <w:sz w:val="17"/>
                <w:szCs w:val="17"/>
                <w:color w:val="auto"/>
              </w:rPr>
            </w:pPr>
          </w:p>
        </w:tc>
        <w:tc>
          <w:tcPr>
            <w:tcW w:w="620" w:type="dxa"/>
            <w:vAlign w:val="bottom"/>
            <w:shd w:val="clear" w:color="auto" w:fill="FEFEFE"/>
          </w:tcPr>
          <w:p>
            <w:pPr>
              <w:spacing w:after="0"/>
              <w:rPr>
                <w:sz w:val="17"/>
                <w:szCs w:val="17"/>
                <w:color w:val="auto"/>
              </w:rPr>
            </w:pPr>
          </w:p>
        </w:tc>
        <w:tc>
          <w:tcPr>
            <w:tcW w:w="240" w:type="dxa"/>
            <w:vAlign w:val="bottom"/>
            <w:shd w:val="clear" w:color="auto" w:fill="FEFEFE"/>
          </w:tcPr>
          <w:p>
            <w:pPr>
              <w:spacing w:after="0"/>
              <w:rPr>
                <w:sz w:val="17"/>
                <w:szCs w:val="17"/>
                <w:color w:val="auto"/>
              </w:rPr>
            </w:pPr>
          </w:p>
        </w:tc>
        <w:tc>
          <w:tcPr>
            <w:tcW w:w="2700" w:type="dxa"/>
            <w:vAlign w:val="bottom"/>
            <w:gridSpan w:val="6"/>
            <w:shd w:val="clear" w:color="auto" w:fill="FEFEFE"/>
          </w:tcPr>
          <w:p>
            <w:pPr>
              <w:ind w:left="2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8"/>
        </w:trPr>
        <w:tc>
          <w:tcPr>
            <w:tcW w:w="5800" w:type="dxa"/>
            <w:vAlign w:val="bottom"/>
            <w:tcBorders>
              <w:top w:val="single" w:sz="8" w:color="FEFEFE"/>
              <w:bottom w:val="single" w:sz="8" w:color="D4EEED"/>
            </w:tcBorders>
            <w:shd w:val="clear" w:color="auto" w:fill="FEFEFE"/>
          </w:tcPr>
          <w:p>
            <w:pPr>
              <w:spacing w:after="0"/>
              <w:rPr>
                <w:sz w:val="16"/>
                <w:szCs w:val="16"/>
                <w:color w:val="auto"/>
              </w:rPr>
            </w:pPr>
          </w:p>
        </w:tc>
        <w:tc>
          <w:tcPr>
            <w:tcW w:w="620" w:type="dxa"/>
            <w:vAlign w:val="bottom"/>
            <w:tcBorders>
              <w:top w:val="single" w:sz="8" w:color="FEFEFE"/>
              <w:bottom w:val="single" w:sz="8" w:color="D4EEED"/>
            </w:tcBorders>
            <w:shd w:val="clear" w:color="auto" w:fill="FEFEFE"/>
          </w:tcPr>
          <w:p>
            <w:pPr>
              <w:spacing w:after="0"/>
              <w:rPr>
                <w:sz w:val="16"/>
                <w:szCs w:val="16"/>
                <w:color w:val="auto"/>
              </w:rPr>
            </w:pPr>
          </w:p>
        </w:tc>
        <w:tc>
          <w:tcPr>
            <w:tcW w:w="240" w:type="dxa"/>
            <w:vAlign w:val="bottom"/>
            <w:tcBorders>
              <w:top w:val="single" w:sz="8" w:color="auto"/>
              <w:bottom w:val="single" w:sz="8" w:color="auto"/>
            </w:tcBorders>
            <w:shd w:val="clear" w:color="auto" w:fill="FEFEFE"/>
          </w:tcPr>
          <w:p>
            <w:pPr>
              <w:spacing w:after="0"/>
              <w:rPr>
                <w:sz w:val="16"/>
                <w:szCs w:val="16"/>
                <w:color w:val="auto"/>
              </w:rPr>
            </w:pPr>
          </w:p>
        </w:tc>
        <w:tc>
          <w:tcPr>
            <w:tcW w:w="1060" w:type="dxa"/>
            <w:vAlign w:val="bottom"/>
            <w:tcBorders>
              <w:top w:val="single" w:sz="8" w:color="auto"/>
              <w:bottom w:val="single" w:sz="8" w:color="auto"/>
            </w:tcBorders>
            <w:shd w:val="clear" w:color="auto" w:fill="FEFEFE"/>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D4EEED"/>
            </w:tcBorders>
            <w:shd w:val="clear" w:color="auto" w:fill="FEFEFE"/>
          </w:tcPr>
          <w:p>
            <w:pPr>
              <w:spacing w:after="0"/>
              <w:rPr>
                <w:sz w:val="16"/>
                <w:szCs w:val="16"/>
                <w:color w:val="auto"/>
              </w:rPr>
            </w:pPr>
          </w:p>
        </w:tc>
        <w:tc>
          <w:tcPr>
            <w:tcW w:w="140" w:type="dxa"/>
            <w:vAlign w:val="bottom"/>
            <w:tcBorders>
              <w:top w:val="single" w:sz="8" w:color="auto"/>
              <w:bottom w:val="single" w:sz="8" w:color="D4EEED"/>
            </w:tcBorders>
            <w:shd w:val="clear" w:color="auto" w:fill="FEFEFE"/>
          </w:tcPr>
          <w:p>
            <w:pPr>
              <w:spacing w:after="0"/>
              <w:rPr>
                <w:sz w:val="16"/>
                <w:szCs w:val="16"/>
                <w:color w:val="auto"/>
              </w:rPr>
            </w:pPr>
          </w:p>
        </w:tc>
        <w:tc>
          <w:tcPr>
            <w:tcW w:w="240" w:type="dxa"/>
            <w:vAlign w:val="bottom"/>
            <w:tcBorders>
              <w:top w:val="single" w:sz="8" w:color="auto"/>
              <w:bottom w:val="single" w:sz="8" w:color="auto"/>
            </w:tcBorders>
            <w:shd w:val="clear" w:color="auto" w:fill="FEFEFE"/>
          </w:tcPr>
          <w:p>
            <w:pPr>
              <w:spacing w:after="0"/>
              <w:rPr>
                <w:sz w:val="16"/>
                <w:szCs w:val="16"/>
                <w:color w:val="auto"/>
              </w:rPr>
            </w:pPr>
          </w:p>
        </w:tc>
        <w:tc>
          <w:tcPr>
            <w:tcW w:w="1080" w:type="dxa"/>
            <w:vAlign w:val="bottom"/>
            <w:tcBorders>
              <w:top w:val="single" w:sz="8" w:color="auto"/>
              <w:bottom w:val="single" w:sz="8" w:color="auto"/>
            </w:tcBorders>
            <w:shd w:val="clear" w:color="auto" w:fill="FEFEFE"/>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FEFEFE"/>
              <w:bottom w:val="single" w:sz="8" w:color="D4EEED"/>
            </w:tcBorders>
            <w:shd w:val="clear" w:color="auto" w:fill="FEFEFE"/>
          </w:tcPr>
          <w:p>
            <w:pPr>
              <w:spacing w:after="0"/>
              <w:rPr>
                <w:sz w:val="16"/>
                <w:szCs w:val="16"/>
                <w:color w:val="auto"/>
              </w:rPr>
            </w:pPr>
          </w:p>
        </w:tc>
      </w:tr>
      <w:tr>
        <w:trPr>
          <w:trHeight w:val="234"/>
        </w:trPr>
        <w:tc>
          <w:tcPr>
            <w:tcW w:w="580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620" w:type="dxa"/>
            <w:vAlign w:val="bottom"/>
            <w:shd w:val="clear" w:color="auto" w:fill="D4EEED"/>
          </w:tcPr>
          <w:p>
            <w:pPr>
              <w:spacing w:after="0"/>
              <w:rPr>
                <w:sz w:val="20"/>
                <w:szCs w:val="20"/>
                <w:color w:val="auto"/>
              </w:rPr>
            </w:pPr>
          </w:p>
        </w:tc>
        <w:tc>
          <w:tcPr>
            <w:tcW w:w="240" w:type="dxa"/>
            <w:vAlign w:val="bottom"/>
            <w:shd w:val="clear" w:color="auto" w:fill="D4EEED"/>
          </w:tcPr>
          <w:p>
            <w:pPr>
              <w:spacing w:after="0"/>
              <w:rPr>
                <w:sz w:val="20"/>
                <w:szCs w:val="20"/>
                <w:color w:val="auto"/>
              </w:rPr>
            </w:pPr>
          </w:p>
        </w:tc>
        <w:tc>
          <w:tcPr>
            <w:tcW w:w="1060" w:type="dxa"/>
            <w:vAlign w:val="bottom"/>
            <w:shd w:val="clear" w:color="auto" w:fill="D4EEED"/>
          </w:tcPr>
          <w:p>
            <w:pPr>
              <w:spacing w:after="0"/>
              <w:rPr>
                <w:sz w:val="20"/>
                <w:szCs w:val="20"/>
                <w:color w:val="auto"/>
              </w:rPr>
            </w:pPr>
          </w:p>
        </w:tc>
        <w:tc>
          <w:tcPr>
            <w:tcW w:w="100" w:type="dxa"/>
            <w:vAlign w:val="bottom"/>
            <w:shd w:val="clear" w:color="auto" w:fill="D4EEED"/>
          </w:tcPr>
          <w:p>
            <w:pPr>
              <w:spacing w:after="0"/>
              <w:rPr>
                <w:sz w:val="20"/>
                <w:szCs w:val="20"/>
                <w:color w:val="auto"/>
              </w:rPr>
            </w:pPr>
          </w:p>
        </w:tc>
        <w:tc>
          <w:tcPr>
            <w:tcW w:w="140" w:type="dxa"/>
            <w:vAlign w:val="bottom"/>
            <w:shd w:val="clear" w:color="auto" w:fill="D4EEED"/>
          </w:tcPr>
          <w:p>
            <w:pPr>
              <w:spacing w:after="0"/>
              <w:rPr>
                <w:sz w:val="20"/>
                <w:szCs w:val="20"/>
                <w:color w:val="auto"/>
              </w:rPr>
            </w:pPr>
          </w:p>
        </w:tc>
        <w:tc>
          <w:tcPr>
            <w:tcW w:w="240" w:type="dxa"/>
            <w:vAlign w:val="bottom"/>
            <w:shd w:val="clear" w:color="auto" w:fill="D4EEED"/>
          </w:tcPr>
          <w:p>
            <w:pPr>
              <w:spacing w:after="0"/>
              <w:rPr>
                <w:sz w:val="20"/>
                <w:szCs w:val="20"/>
                <w:color w:val="auto"/>
              </w:rPr>
            </w:pPr>
          </w:p>
        </w:tc>
        <w:tc>
          <w:tcPr>
            <w:tcW w:w="108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r>
      <w:tr>
        <w:trPr>
          <w:trHeight w:val="244"/>
        </w:trPr>
        <w:tc>
          <w:tcPr>
            <w:tcW w:w="580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620" w:type="dxa"/>
            <w:vAlign w:val="bottom"/>
            <w:shd w:val="clear" w:color="auto" w:fill="FEFEFE"/>
          </w:tcPr>
          <w:p>
            <w:pPr>
              <w:spacing w:after="0"/>
              <w:rPr>
                <w:sz w:val="21"/>
                <w:szCs w:val="21"/>
                <w:color w:val="auto"/>
              </w:rPr>
            </w:pPr>
          </w:p>
        </w:tc>
        <w:tc>
          <w:tcPr>
            <w:tcW w:w="240" w:type="dxa"/>
            <w:vAlign w:val="bottom"/>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73,278</w:t>
            </w:r>
          </w:p>
        </w:tc>
        <w:tc>
          <w:tcPr>
            <w:tcW w:w="1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40" w:type="dxa"/>
            <w:vAlign w:val="bottom"/>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27,670</w:t>
            </w:r>
          </w:p>
        </w:tc>
        <w:tc>
          <w:tcPr>
            <w:tcW w:w="80" w:type="dxa"/>
            <w:vAlign w:val="bottom"/>
            <w:shd w:val="clear" w:color="auto" w:fill="FEFEFE"/>
          </w:tcPr>
          <w:p>
            <w:pPr>
              <w:spacing w:after="0"/>
              <w:rPr>
                <w:sz w:val="21"/>
                <w:szCs w:val="21"/>
                <w:color w:val="auto"/>
              </w:rPr>
            </w:pPr>
          </w:p>
        </w:tc>
      </w:tr>
      <w:tr>
        <w:trPr>
          <w:trHeight w:val="244"/>
        </w:trPr>
        <w:tc>
          <w:tcPr>
            <w:tcW w:w="5800" w:type="dxa"/>
            <w:vAlign w:val="bottom"/>
            <w:tcBorders>
              <w:bottom w:val="single" w:sz="8" w:color="FEFEFE"/>
            </w:tcBorders>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620" w:type="dxa"/>
            <w:vAlign w:val="bottom"/>
            <w:tcBorders>
              <w:bottom w:val="single" w:sz="8" w:color="FEFEFE"/>
            </w:tcBorders>
            <w:shd w:val="clear" w:color="auto" w:fill="D4EEED"/>
          </w:tcPr>
          <w:p>
            <w:pPr>
              <w:spacing w:after="0"/>
              <w:rPr>
                <w:sz w:val="21"/>
                <w:szCs w:val="21"/>
                <w:color w:val="auto"/>
              </w:rPr>
            </w:pPr>
          </w:p>
        </w:tc>
        <w:tc>
          <w:tcPr>
            <w:tcW w:w="240" w:type="dxa"/>
            <w:vAlign w:val="bottom"/>
            <w:tcBorders>
              <w:bottom w:val="single" w:sz="8" w:color="auto"/>
            </w:tcBorders>
            <w:shd w:val="clear" w:color="auto" w:fill="D4EEED"/>
          </w:tcPr>
          <w:p>
            <w:pPr>
              <w:spacing w:after="0"/>
              <w:rPr>
                <w:sz w:val="21"/>
                <w:szCs w:val="21"/>
                <w:color w:val="auto"/>
              </w:rPr>
            </w:pPr>
          </w:p>
        </w:tc>
        <w:tc>
          <w:tcPr>
            <w:tcW w:w="10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17,612</w:t>
            </w:r>
          </w:p>
        </w:tc>
        <w:tc>
          <w:tcPr>
            <w:tcW w:w="100" w:type="dxa"/>
            <w:vAlign w:val="bottom"/>
            <w:tcBorders>
              <w:bottom w:val="single" w:sz="8" w:color="FEFEFE"/>
            </w:tcBorders>
            <w:shd w:val="clear" w:color="auto" w:fill="D4EEED"/>
          </w:tcPr>
          <w:p>
            <w:pPr>
              <w:spacing w:after="0"/>
              <w:rPr>
                <w:sz w:val="21"/>
                <w:szCs w:val="21"/>
                <w:color w:val="auto"/>
              </w:rPr>
            </w:pPr>
          </w:p>
        </w:tc>
        <w:tc>
          <w:tcPr>
            <w:tcW w:w="140" w:type="dxa"/>
            <w:vAlign w:val="bottom"/>
            <w:tcBorders>
              <w:bottom w:val="single" w:sz="8" w:color="FEFEFE"/>
            </w:tcBorders>
            <w:shd w:val="clear" w:color="auto" w:fill="D4EEED"/>
          </w:tcPr>
          <w:p>
            <w:pPr>
              <w:spacing w:after="0"/>
              <w:rPr>
                <w:sz w:val="21"/>
                <w:szCs w:val="21"/>
                <w:color w:val="auto"/>
              </w:rPr>
            </w:pPr>
          </w:p>
        </w:tc>
        <w:tc>
          <w:tcPr>
            <w:tcW w:w="240" w:type="dxa"/>
            <w:vAlign w:val="bottom"/>
            <w:tcBorders>
              <w:bottom w:val="single" w:sz="8" w:color="auto"/>
            </w:tcBorders>
            <w:shd w:val="clear" w:color="auto" w:fill="D4EEED"/>
          </w:tcPr>
          <w:p>
            <w:pPr>
              <w:spacing w:after="0"/>
              <w:rPr>
                <w:sz w:val="21"/>
                <w:szCs w:val="21"/>
                <w:color w:val="auto"/>
              </w:rPr>
            </w:pPr>
          </w:p>
        </w:tc>
        <w:tc>
          <w:tcPr>
            <w:tcW w:w="10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14,088</w:t>
            </w:r>
          </w:p>
        </w:tc>
        <w:tc>
          <w:tcPr>
            <w:tcW w:w="80" w:type="dxa"/>
            <w:vAlign w:val="bottom"/>
            <w:tcBorders>
              <w:bottom w:val="single" w:sz="8" w:color="FEFEFE"/>
            </w:tcBorders>
            <w:shd w:val="clear" w:color="auto" w:fill="D4EEED"/>
          </w:tcPr>
          <w:p>
            <w:pPr>
              <w:spacing w:after="0"/>
              <w:rPr>
                <w:sz w:val="21"/>
                <w:szCs w:val="21"/>
                <w:color w:val="auto"/>
              </w:rPr>
            </w:pPr>
          </w:p>
        </w:tc>
      </w:tr>
      <w:tr>
        <w:trPr>
          <w:trHeight w:val="234"/>
        </w:trPr>
        <w:tc>
          <w:tcPr>
            <w:tcW w:w="5800" w:type="dxa"/>
            <w:vAlign w:val="bottom"/>
            <w:tcBorders>
              <w:bottom w:val="single" w:sz="8" w:color="D4EEED"/>
            </w:tcBorders>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620" w:type="dxa"/>
            <w:vAlign w:val="bottom"/>
            <w:tcBorders>
              <w:bottom w:val="single" w:sz="8" w:color="D4EEED"/>
            </w:tcBorders>
            <w:shd w:val="clear" w:color="auto" w:fill="FEFEFE"/>
          </w:tcPr>
          <w:p>
            <w:pPr>
              <w:spacing w:after="0"/>
              <w:rPr>
                <w:sz w:val="20"/>
                <w:szCs w:val="20"/>
                <w:color w:val="auto"/>
              </w:rPr>
            </w:pPr>
          </w:p>
        </w:tc>
        <w:tc>
          <w:tcPr>
            <w:tcW w:w="240" w:type="dxa"/>
            <w:vAlign w:val="bottom"/>
            <w:tcBorders>
              <w:bottom w:val="single" w:sz="8" w:color="auto"/>
            </w:tcBorders>
            <w:shd w:val="clear" w:color="auto" w:fill="FEFEFE"/>
          </w:tcPr>
          <w:p>
            <w:pPr>
              <w:spacing w:after="0"/>
              <w:rPr>
                <w:sz w:val="20"/>
                <w:szCs w:val="20"/>
                <w:color w:val="auto"/>
              </w:rPr>
            </w:pPr>
          </w:p>
        </w:tc>
        <w:tc>
          <w:tcPr>
            <w:tcW w:w="10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90,890</w:t>
            </w:r>
          </w:p>
        </w:tc>
        <w:tc>
          <w:tcPr>
            <w:tcW w:w="100" w:type="dxa"/>
            <w:vAlign w:val="bottom"/>
            <w:tcBorders>
              <w:bottom w:val="single" w:sz="8" w:color="D4EEED"/>
            </w:tcBorders>
            <w:shd w:val="clear" w:color="auto" w:fill="FEFEFE"/>
          </w:tcPr>
          <w:p>
            <w:pPr>
              <w:spacing w:after="0"/>
              <w:rPr>
                <w:sz w:val="20"/>
                <w:szCs w:val="20"/>
                <w:color w:val="auto"/>
              </w:rPr>
            </w:pPr>
          </w:p>
        </w:tc>
        <w:tc>
          <w:tcPr>
            <w:tcW w:w="140" w:type="dxa"/>
            <w:vAlign w:val="bottom"/>
            <w:tcBorders>
              <w:bottom w:val="single" w:sz="8" w:color="D4EEED"/>
            </w:tcBorders>
            <w:shd w:val="clear" w:color="auto" w:fill="FEFEFE"/>
          </w:tcPr>
          <w:p>
            <w:pPr>
              <w:spacing w:after="0"/>
              <w:rPr>
                <w:sz w:val="20"/>
                <w:szCs w:val="20"/>
                <w:color w:val="auto"/>
              </w:rPr>
            </w:pPr>
          </w:p>
        </w:tc>
        <w:tc>
          <w:tcPr>
            <w:tcW w:w="240" w:type="dxa"/>
            <w:vAlign w:val="bottom"/>
            <w:tcBorders>
              <w:bottom w:val="single" w:sz="8" w:color="auto"/>
            </w:tcBorders>
            <w:shd w:val="clear" w:color="auto" w:fill="FEFEFE"/>
          </w:tcPr>
          <w:p>
            <w:pPr>
              <w:spacing w:after="0"/>
              <w:rPr>
                <w:sz w:val="20"/>
                <w:szCs w:val="20"/>
                <w:color w:val="auto"/>
              </w:rPr>
            </w:pPr>
          </w:p>
        </w:tc>
        <w:tc>
          <w:tcPr>
            <w:tcW w:w="10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41,758</w:t>
            </w:r>
          </w:p>
        </w:tc>
        <w:tc>
          <w:tcPr>
            <w:tcW w:w="80" w:type="dxa"/>
            <w:vAlign w:val="bottom"/>
            <w:tcBorders>
              <w:bottom w:val="single" w:sz="8" w:color="D4EEED"/>
            </w:tcBorders>
            <w:shd w:val="clear" w:color="auto" w:fill="FEFEFE"/>
          </w:tcPr>
          <w:p>
            <w:pPr>
              <w:spacing w:after="0"/>
              <w:rPr>
                <w:sz w:val="20"/>
                <w:szCs w:val="20"/>
                <w:color w:val="auto"/>
              </w:rPr>
            </w:pPr>
          </w:p>
        </w:tc>
      </w:tr>
      <w:tr>
        <w:trPr>
          <w:trHeight w:val="234"/>
        </w:trPr>
        <w:tc>
          <w:tcPr>
            <w:tcW w:w="580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620" w:type="dxa"/>
            <w:vAlign w:val="bottom"/>
            <w:shd w:val="clear" w:color="auto" w:fill="D4EEED"/>
          </w:tcPr>
          <w:p>
            <w:pPr>
              <w:spacing w:after="0"/>
              <w:rPr>
                <w:sz w:val="20"/>
                <w:szCs w:val="20"/>
                <w:color w:val="auto"/>
              </w:rPr>
            </w:pPr>
          </w:p>
        </w:tc>
        <w:tc>
          <w:tcPr>
            <w:tcW w:w="240" w:type="dxa"/>
            <w:vAlign w:val="bottom"/>
            <w:shd w:val="clear" w:color="auto" w:fill="D4EEED"/>
          </w:tcPr>
          <w:p>
            <w:pPr>
              <w:spacing w:after="0"/>
              <w:rPr>
                <w:sz w:val="20"/>
                <w:szCs w:val="20"/>
                <w:color w:val="auto"/>
              </w:rPr>
            </w:pPr>
          </w:p>
        </w:tc>
        <w:tc>
          <w:tcPr>
            <w:tcW w:w="10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(90,890)</w:t>
            </w:r>
          </w:p>
        </w:tc>
        <w:tc>
          <w:tcPr>
            <w:tcW w:w="100" w:type="dxa"/>
            <w:vAlign w:val="bottom"/>
            <w:shd w:val="clear" w:color="auto" w:fill="D4EEED"/>
          </w:tcPr>
          <w:p>
            <w:pPr>
              <w:spacing w:after="0"/>
              <w:rPr>
                <w:sz w:val="20"/>
                <w:szCs w:val="20"/>
                <w:color w:val="auto"/>
              </w:rPr>
            </w:pPr>
          </w:p>
        </w:tc>
        <w:tc>
          <w:tcPr>
            <w:tcW w:w="140" w:type="dxa"/>
            <w:vAlign w:val="bottom"/>
            <w:shd w:val="clear" w:color="auto" w:fill="D4EEED"/>
          </w:tcPr>
          <w:p>
            <w:pPr>
              <w:spacing w:after="0"/>
              <w:rPr>
                <w:sz w:val="20"/>
                <w:szCs w:val="20"/>
                <w:color w:val="auto"/>
              </w:rPr>
            </w:pPr>
          </w:p>
        </w:tc>
        <w:tc>
          <w:tcPr>
            <w:tcW w:w="240" w:type="dxa"/>
            <w:vAlign w:val="bottom"/>
            <w:shd w:val="clear" w:color="auto" w:fill="D4EEED"/>
          </w:tcPr>
          <w:p>
            <w:pPr>
              <w:spacing w:after="0"/>
              <w:rPr>
                <w:sz w:val="20"/>
                <w:szCs w:val="20"/>
                <w:color w:val="auto"/>
              </w:rPr>
            </w:pPr>
          </w:p>
        </w:tc>
        <w:tc>
          <w:tcPr>
            <w:tcW w:w="10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(41,758)</w:t>
            </w:r>
          </w:p>
        </w:tc>
        <w:tc>
          <w:tcPr>
            <w:tcW w:w="80" w:type="dxa"/>
            <w:vAlign w:val="bottom"/>
            <w:shd w:val="clear" w:color="auto" w:fill="D4EEED"/>
          </w:tcPr>
          <w:p>
            <w:pPr>
              <w:spacing w:after="0"/>
              <w:rPr>
                <w:sz w:val="20"/>
                <w:szCs w:val="20"/>
                <w:color w:val="auto"/>
              </w:rPr>
            </w:pPr>
          </w:p>
        </w:tc>
      </w:tr>
      <w:tr>
        <w:trPr>
          <w:trHeight w:val="244"/>
        </w:trPr>
        <w:tc>
          <w:tcPr>
            <w:tcW w:w="5800" w:type="dxa"/>
            <w:vAlign w:val="bottom"/>
            <w:tcBorders>
              <w:bottom w:val="single" w:sz="8" w:color="D4EEED"/>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Other income, net</w:t>
            </w:r>
          </w:p>
        </w:tc>
        <w:tc>
          <w:tcPr>
            <w:tcW w:w="620" w:type="dxa"/>
            <w:vAlign w:val="bottom"/>
            <w:tcBorders>
              <w:bottom w:val="single" w:sz="8" w:color="D4EEED"/>
            </w:tcBorders>
            <w:shd w:val="clear" w:color="auto" w:fill="FEFEFE"/>
          </w:tcPr>
          <w:p>
            <w:pPr>
              <w:spacing w:after="0"/>
              <w:rPr>
                <w:sz w:val="21"/>
                <w:szCs w:val="21"/>
                <w:color w:val="auto"/>
              </w:rPr>
            </w:pPr>
          </w:p>
        </w:tc>
        <w:tc>
          <w:tcPr>
            <w:tcW w:w="240" w:type="dxa"/>
            <w:vAlign w:val="bottom"/>
            <w:tcBorders>
              <w:bottom w:val="single" w:sz="8" w:color="auto"/>
            </w:tcBorders>
            <w:shd w:val="clear" w:color="auto" w:fill="FEFEFE"/>
          </w:tcPr>
          <w:p>
            <w:pPr>
              <w:spacing w:after="0"/>
              <w:rPr>
                <w:sz w:val="21"/>
                <w:szCs w:val="21"/>
                <w:color w:val="auto"/>
              </w:rPr>
            </w:pPr>
          </w:p>
        </w:tc>
        <w:tc>
          <w:tcPr>
            <w:tcW w:w="10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10,286</w:t>
            </w:r>
          </w:p>
        </w:tc>
        <w:tc>
          <w:tcPr>
            <w:tcW w:w="100" w:type="dxa"/>
            <w:vAlign w:val="bottom"/>
            <w:tcBorders>
              <w:bottom w:val="single" w:sz="8" w:color="D4EEED"/>
            </w:tcBorders>
            <w:shd w:val="clear" w:color="auto" w:fill="FEFEFE"/>
          </w:tcPr>
          <w:p>
            <w:pPr>
              <w:spacing w:after="0"/>
              <w:rPr>
                <w:sz w:val="21"/>
                <w:szCs w:val="21"/>
                <w:color w:val="auto"/>
              </w:rPr>
            </w:pPr>
          </w:p>
        </w:tc>
        <w:tc>
          <w:tcPr>
            <w:tcW w:w="140" w:type="dxa"/>
            <w:vAlign w:val="bottom"/>
            <w:tcBorders>
              <w:bottom w:val="single" w:sz="8" w:color="D4EEED"/>
            </w:tcBorders>
            <w:shd w:val="clear" w:color="auto" w:fill="FEFEFE"/>
          </w:tcPr>
          <w:p>
            <w:pPr>
              <w:spacing w:after="0"/>
              <w:rPr>
                <w:sz w:val="21"/>
                <w:szCs w:val="21"/>
                <w:color w:val="auto"/>
              </w:rPr>
            </w:pPr>
          </w:p>
        </w:tc>
        <w:tc>
          <w:tcPr>
            <w:tcW w:w="240" w:type="dxa"/>
            <w:vAlign w:val="bottom"/>
            <w:tcBorders>
              <w:bottom w:val="single" w:sz="8" w:color="auto"/>
            </w:tcBorders>
            <w:shd w:val="clear" w:color="auto" w:fill="FEFEFE"/>
          </w:tcPr>
          <w:p>
            <w:pPr>
              <w:spacing w:after="0"/>
              <w:rPr>
                <w:sz w:val="21"/>
                <w:szCs w:val="21"/>
                <w:color w:val="auto"/>
              </w:rPr>
            </w:pPr>
          </w:p>
        </w:tc>
        <w:tc>
          <w:tcPr>
            <w:tcW w:w="10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4,809</w:t>
            </w:r>
          </w:p>
        </w:tc>
        <w:tc>
          <w:tcPr>
            <w:tcW w:w="80" w:type="dxa"/>
            <w:vAlign w:val="bottom"/>
            <w:tcBorders>
              <w:bottom w:val="single" w:sz="8" w:color="D4EEED"/>
            </w:tcBorders>
            <w:shd w:val="clear" w:color="auto" w:fill="FEFEFE"/>
          </w:tcPr>
          <w:p>
            <w:pPr>
              <w:spacing w:after="0"/>
              <w:rPr>
                <w:sz w:val="21"/>
                <w:szCs w:val="21"/>
                <w:color w:val="auto"/>
              </w:rPr>
            </w:pPr>
          </w:p>
        </w:tc>
      </w:tr>
      <w:tr>
        <w:trPr>
          <w:trHeight w:val="274"/>
        </w:trPr>
        <w:tc>
          <w:tcPr>
            <w:tcW w:w="5800" w:type="dxa"/>
            <w:vAlign w:val="bottom"/>
            <w:tcBorders>
              <w:bottom w:val="single" w:sz="8" w:color="FEFEFE"/>
            </w:tcBorders>
            <w:shd w:val="clear" w:color="auto" w:fill="D4EEED"/>
          </w:tcPr>
          <w:p>
            <w:pPr>
              <w:spacing w:after="0"/>
              <w:rPr>
                <w:sz w:val="20"/>
                <w:szCs w:val="20"/>
                <w:color w:val="auto"/>
              </w:rPr>
            </w:pPr>
            <w:r>
              <w:rPr>
                <w:rFonts w:ascii="Times New Roman" w:cs="Times New Roman" w:eastAsia="Times New Roman" w:hAnsi="Times New Roman"/>
                <w:sz w:val="20"/>
                <w:szCs w:val="20"/>
                <w:color w:val="auto"/>
              </w:rPr>
              <w:t>Net loss</w:t>
            </w:r>
          </w:p>
        </w:tc>
        <w:tc>
          <w:tcPr>
            <w:tcW w:w="620" w:type="dxa"/>
            <w:vAlign w:val="bottom"/>
            <w:tcBorders>
              <w:bottom w:val="single" w:sz="8" w:color="FEFEFE"/>
            </w:tcBorders>
            <w:shd w:val="clear" w:color="auto" w:fill="D4EEED"/>
          </w:tcPr>
          <w:p>
            <w:pPr>
              <w:spacing w:after="0"/>
              <w:rPr>
                <w:sz w:val="23"/>
                <w:szCs w:val="23"/>
                <w:color w:val="auto"/>
              </w:rPr>
            </w:pPr>
          </w:p>
        </w:tc>
        <w:tc>
          <w:tcPr>
            <w:tcW w:w="240" w:type="dxa"/>
            <w:vAlign w:val="bottom"/>
            <w:tcBorders>
              <w:bottom w:val="single" w:sz="8" w:color="auto"/>
            </w:tcBorders>
            <w:shd w:val="clear" w:color="auto" w:fill="D4EEED"/>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(80,604)</w:t>
            </w:r>
          </w:p>
        </w:tc>
        <w:tc>
          <w:tcPr>
            <w:tcW w:w="100" w:type="dxa"/>
            <w:vAlign w:val="bottom"/>
            <w:tcBorders>
              <w:bottom w:val="single" w:sz="8" w:color="FEFEFE"/>
            </w:tcBorders>
            <w:shd w:val="clear" w:color="auto" w:fill="D4EEED"/>
          </w:tcPr>
          <w:p>
            <w:pPr>
              <w:spacing w:after="0"/>
              <w:rPr>
                <w:sz w:val="23"/>
                <w:szCs w:val="23"/>
                <w:color w:val="auto"/>
              </w:rPr>
            </w:pPr>
          </w:p>
        </w:tc>
        <w:tc>
          <w:tcPr>
            <w:tcW w:w="140" w:type="dxa"/>
            <w:vAlign w:val="bottom"/>
            <w:tcBorders>
              <w:bottom w:val="single" w:sz="8" w:color="FEFEFE"/>
            </w:tcBorders>
            <w:shd w:val="clear" w:color="auto" w:fill="D4EEED"/>
          </w:tcPr>
          <w:p>
            <w:pPr>
              <w:spacing w:after="0"/>
              <w:rPr>
                <w:sz w:val="23"/>
                <w:szCs w:val="23"/>
                <w:color w:val="auto"/>
              </w:rPr>
            </w:pPr>
          </w:p>
        </w:tc>
        <w:tc>
          <w:tcPr>
            <w:tcW w:w="240" w:type="dxa"/>
            <w:vAlign w:val="bottom"/>
            <w:tcBorders>
              <w:bottom w:val="single" w:sz="8" w:color="auto"/>
            </w:tcBorders>
            <w:shd w:val="clear" w:color="auto" w:fill="D4EEED"/>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(36,949)</w:t>
            </w:r>
          </w:p>
        </w:tc>
        <w:tc>
          <w:tcPr>
            <w:tcW w:w="80" w:type="dxa"/>
            <w:vAlign w:val="bottom"/>
            <w:tcBorders>
              <w:bottom w:val="single" w:sz="8" w:color="FEFEFE"/>
            </w:tcBorders>
            <w:shd w:val="clear" w:color="auto" w:fill="D4EEED"/>
          </w:tcPr>
          <w:p>
            <w:pPr>
              <w:spacing w:after="0"/>
              <w:rPr>
                <w:sz w:val="23"/>
                <w:szCs w:val="23"/>
                <w:color w:val="auto"/>
              </w:rPr>
            </w:pPr>
          </w:p>
        </w:tc>
      </w:tr>
      <w:tr>
        <w:trPr>
          <w:trHeight w:val="269"/>
        </w:trPr>
        <w:tc>
          <w:tcPr>
            <w:tcW w:w="5800" w:type="dxa"/>
            <w:vAlign w:val="bottom"/>
            <w:tcBorders>
              <w:bottom w:val="single" w:sz="8" w:color="D4EEED"/>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620" w:type="dxa"/>
            <w:vAlign w:val="bottom"/>
            <w:tcBorders>
              <w:bottom w:val="single" w:sz="8" w:color="D4EEED"/>
            </w:tcBorders>
            <w:shd w:val="clear" w:color="auto" w:fill="FEFEFE"/>
          </w:tcPr>
          <w:p>
            <w:pPr>
              <w:spacing w:after="0"/>
              <w:rPr>
                <w:sz w:val="23"/>
                <w:szCs w:val="23"/>
                <w:color w:val="auto"/>
              </w:rPr>
            </w:pPr>
          </w:p>
        </w:tc>
        <w:tc>
          <w:tcPr>
            <w:tcW w:w="240" w:type="dxa"/>
            <w:vAlign w:val="bottom"/>
            <w:tcBorders>
              <w:bottom w:val="single" w:sz="8" w:color="auto"/>
            </w:tcBorders>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100" w:type="dxa"/>
            <w:vAlign w:val="bottom"/>
            <w:tcBorders>
              <w:bottom w:val="single" w:sz="8" w:color="D4EEED"/>
            </w:tcBorders>
            <w:shd w:val="clear" w:color="auto" w:fill="FEFEFE"/>
          </w:tcPr>
          <w:p>
            <w:pPr>
              <w:spacing w:after="0"/>
              <w:rPr>
                <w:sz w:val="23"/>
                <w:szCs w:val="23"/>
                <w:color w:val="auto"/>
              </w:rPr>
            </w:pPr>
          </w:p>
        </w:tc>
        <w:tc>
          <w:tcPr>
            <w:tcW w:w="140" w:type="dxa"/>
            <w:vAlign w:val="bottom"/>
            <w:tcBorders>
              <w:bottom w:val="single" w:sz="8" w:color="D4EEED"/>
            </w:tcBorders>
            <w:shd w:val="clear" w:color="auto" w:fill="FEFEFE"/>
          </w:tcPr>
          <w:p>
            <w:pPr>
              <w:spacing w:after="0"/>
              <w:rPr>
                <w:sz w:val="23"/>
                <w:szCs w:val="23"/>
                <w:color w:val="auto"/>
              </w:rPr>
            </w:pPr>
          </w:p>
        </w:tc>
        <w:tc>
          <w:tcPr>
            <w:tcW w:w="240" w:type="dxa"/>
            <w:vAlign w:val="bottom"/>
            <w:tcBorders>
              <w:bottom w:val="single" w:sz="8" w:color="auto"/>
            </w:tcBorders>
            <w:shd w:val="clear" w:color="auto" w:fill="FEFEFE"/>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(0.84)</w:t>
            </w:r>
          </w:p>
        </w:tc>
        <w:tc>
          <w:tcPr>
            <w:tcW w:w="80" w:type="dxa"/>
            <w:vAlign w:val="bottom"/>
            <w:tcBorders>
              <w:bottom w:val="single" w:sz="8" w:color="D4EEED"/>
            </w:tcBorders>
            <w:shd w:val="clear" w:color="auto" w:fill="FEFEFE"/>
          </w:tcPr>
          <w:p>
            <w:pPr>
              <w:spacing w:after="0"/>
              <w:rPr>
                <w:sz w:val="23"/>
                <w:szCs w:val="23"/>
                <w:color w:val="auto"/>
              </w:rPr>
            </w:pPr>
          </w:p>
        </w:tc>
      </w:tr>
      <w:tr>
        <w:trPr>
          <w:trHeight w:val="269"/>
        </w:trPr>
        <w:tc>
          <w:tcPr>
            <w:tcW w:w="5800" w:type="dxa"/>
            <w:vAlign w:val="bottom"/>
            <w:tcBorders>
              <w:bottom w:val="single" w:sz="8" w:color="FEFEFE"/>
            </w:tcBorders>
            <w:shd w:val="clear" w:color="auto" w:fill="D4EEED"/>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 basic and diluted</w:t>
            </w:r>
          </w:p>
        </w:tc>
        <w:tc>
          <w:tcPr>
            <w:tcW w:w="620" w:type="dxa"/>
            <w:vAlign w:val="bottom"/>
            <w:tcBorders>
              <w:bottom w:val="single" w:sz="8" w:color="FEFEFE"/>
            </w:tcBorders>
            <w:shd w:val="clear" w:color="auto" w:fill="D4EEED"/>
          </w:tcPr>
          <w:p>
            <w:pPr>
              <w:spacing w:after="0"/>
              <w:rPr>
                <w:sz w:val="23"/>
                <w:szCs w:val="23"/>
                <w:color w:val="auto"/>
              </w:rPr>
            </w:pPr>
          </w:p>
        </w:tc>
        <w:tc>
          <w:tcPr>
            <w:tcW w:w="240" w:type="dxa"/>
            <w:vAlign w:val="bottom"/>
            <w:tcBorders>
              <w:bottom w:val="single" w:sz="8" w:color="auto"/>
            </w:tcBorders>
            <w:shd w:val="clear" w:color="auto" w:fill="D4EEED"/>
          </w:tcPr>
          <w:p>
            <w:pPr>
              <w:spacing w:after="0"/>
              <w:rPr>
                <w:sz w:val="23"/>
                <w:szCs w:val="23"/>
                <w:color w:val="auto"/>
              </w:rPr>
            </w:pPr>
          </w:p>
        </w:tc>
        <w:tc>
          <w:tcPr>
            <w:tcW w:w="10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61,256,084</w:t>
            </w:r>
          </w:p>
        </w:tc>
        <w:tc>
          <w:tcPr>
            <w:tcW w:w="100" w:type="dxa"/>
            <w:vAlign w:val="bottom"/>
            <w:tcBorders>
              <w:bottom w:val="single" w:sz="8" w:color="FEFEFE"/>
            </w:tcBorders>
            <w:shd w:val="clear" w:color="auto" w:fill="D4EEED"/>
          </w:tcPr>
          <w:p>
            <w:pPr>
              <w:spacing w:after="0"/>
              <w:rPr>
                <w:sz w:val="23"/>
                <w:szCs w:val="23"/>
                <w:color w:val="auto"/>
              </w:rPr>
            </w:pPr>
          </w:p>
        </w:tc>
        <w:tc>
          <w:tcPr>
            <w:tcW w:w="140" w:type="dxa"/>
            <w:vAlign w:val="bottom"/>
            <w:tcBorders>
              <w:bottom w:val="single" w:sz="8" w:color="FEFEFE"/>
            </w:tcBorders>
            <w:shd w:val="clear" w:color="auto" w:fill="D4EEED"/>
          </w:tcPr>
          <w:p>
            <w:pPr>
              <w:spacing w:after="0"/>
              <w:rPr>
                <w:sz w:val="23"/>
                <w:szCs w:val="23"/>
                <w:color w:val="auto"/>
              </w:rPr>
            </w:pPr>
          </w:p>
        </w:tc>
        <w:tc>
          <w:tcPr>
            <w:tcW w:w="240" w:type="dxa"/>
            <w:vAlign w:val="bottom"/>
            <w:tcBorders>
              <w:bottom w:val="single" w:sz="8" w:color="auto"/>
            </w:tcBorders>
            <w:shd w:val="clear" w:color="auto" w:fill="D4EEED"/>
          </w:tcPr>
          <w:p>
            <w:pPr>
              <w:spacing w:after="0"/>
              <w:rPr>
                <w:sz w:val="23"/>
                <w:szCs w:val="23"/>
                <w:color w:val="auto"/>
              </w:rPr>
            </w:pPr>
          </w:p>
        </w:tc>
        <w:tc>
          <w:tcPr>
            <w:tcW w:w="10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43,901,241</w:t>
            </w:r>
          </w:p>
        </w:tc>
        <w:tc>
          <w:tcPr>
            <w:tcW w:w="80" w:type="dxa"/>
            <w:vAlign w:val="bottom"/>
            <w:tcBorders>
              <w:bottom w:val="single" w:sz="8" w:color="FEFEFE"/>
            </w:tcBorders>
            <w:shd w:val="clear" w:color="auto" w:fill="D4EEED"/>
          </w:tcPr>
          <w:p>
            <w:pPr>
              <w:spacing w:after="0"/>
              <w:rPr>
                <w:sz w:val="23"/>
                <w:szCs w:val="23"/>
                <w:color w:val="auto"/>
              </w:rPr>
            </w:pPr>
          </w:p>
        </w:tc>
      </w:tr>
      <w:tr>
        <w:trPr>
          <w:trHeight w:val="229"/>
        </w:trPr>
        <w:tc>
          <w:tcPr>
            <w:tcW w:w="58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620" w:type="dxa"/>
            <w:vAlign w:val="bottom"/>
            <w:shd w:val="clear" w:color="auto" w:fill="FEFEFE"/>
          </w:tcPr>
          <w:p>
            <w:pPr>
              <w:spacing w:after="0"/>
              <w:rPr>
                <w:sz w:val="19"/>
                <w:szCs w:val="19"/>
                <w:color w:val="auto"/>
              </w:rPr>
            </w:pPr>
          </w:p>
        </w:tc>
        <w:tc>
          <w:tcPr>
            <w:tcW w:w="240" w:type="dxa"/>
            <w:vAlign w:val="bottom"/>
            <w:shd w:val="clear" w:color="auto" w:fill="FEFEFE"/>
          </w:tcPr>
          <w:p>
            <w:pPr>
              <w:spacing w:after="0"/>
              <w:rPr>
                <w:sz w:val="19"/>
                <w:szCs w:val="19"/>
                <w:color w:val="auto"/>
              </w:rPr>
            </w:pPr>
          </w:p>
        </w:tc>
        <w:tc>
          <w:tcPr>
            <w:tcW w:w="106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240" w:type="dxa"/>
            <w:vAlign w:val="bottom"/>
            <w:shd w:val="clear" w:color="auto" w:fill="FEFEFE"/>
          </w:tcPr>
          <w:p>
            <w:pPr>
              <w:spacing w:after="0"/>
              <w:rPr>
                <w:sz w:val="19"/>
                <w:szCs w:val="19"/>
                <w:color w:val="auto"/>
              </w:rPr>
            </w:pPr>
          </w:p>
        </w:tc>
        <w:tc>
          <w:tcPr>
            <w:tcW w:w="108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r>
      <w:tr>
        <w:trPr>
          <w:trHeight w:val="244"/>
        </w:trPr>
        <w:tc>
          <w:tcPr>
            <w:tcW w:w="580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Net loss</w:t>
            </w:r>
          </w:p>
        </w:tc>
        <w:tc>
          <w:tcPr>
            <w:tcW w:w="620" w:type="dxa"/>
            <w:vAlign w:val="bottom"/>
            <w:shd w:val="clear" w:color="auto" w:fill="D4EEED"/>
          </w:tcPr>
          <w:p>
            <w:pPr>
              <w:spacing w:after="0"/>
              <w:rPr>
                <w:sz w:val="21"/>
                <w:szCs w:val="21"/>
                <w:color w:val="auto"/>
              </w:rPr>
            </w:pPr>
          </w:p>
        </w:tc>
        <w:tc>
          <w:tcPr>
            <w:tcW w:w="240" w:type="dxa"/>
            <w:vAlign w:val="bottom"/>
            <w:shd w:val="clear" w:color="auto" w:fill="D4EEED"/>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(80,604)</w:t>
            </w:r>
          </w:p>
        </w:tc>
        <w:tc>
          <w:tcPr>
            <w:tcW w:w="10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240" w:type="dxa"/>
            <w:vAlign w:val="bottom"/>
            <w:shd w:val="clear" w:color="auto" w:fill="D4EEED"/>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(36,949)</w:t>
            </w:r>
          </w:p>
        </w:tc>
        <w:tc>
          <w:tcPr>
            <w:tcW w:w="80" w:type="dxa"/>
            <w:vAlign w:val="bottom"/>
            <w:shd w:val="clear" w:color="auto" w:fill="D4EEED"/>
          </w:tcPr>
          <w:p>
            <w:pPr>
              <w:spacing w:after="0"/>
              <w:rPr>
                <w:sz w:val="21"/>
                <w:szCs w:val="21"/>
                <w:color w:val="auto"/>
              </w:rPr>
            </w:pPr>
          </w:p>
        </w:tc>
      </w:tr>
      <w:tr>
        <w:trPr>
          <w:trHeight w:val="244"/>
        </w:trPr>
        <w:tc>
          <w:tcPr>
            <w:tcW w:w="58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62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06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108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r>
      <w:tr>
        <w:trPr>
          <w:trHeight w:val="244"/>
        </w:trPr>
        <w:tc>
          <w:tcPr>
            <w:tcW w:w="5800" w:type="dxa"/>
            <w:vAlign w:val="bottom"/>
            <w:tcBorders>
              <w:bottom w:val="single" w:sz="8" w:color="FEFEFE"/>
            </w:tcBorders>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Unrealized gain on marketable securities</w:t>
            </w:r>
          </w:p>
        </w:tc>
        <w:tc>
          <w:tcPr>
            <w:tcW w:w="620" w:type="dxa"/>
            <w:vAlign w:val="bottom"/>
            <w:tcBorders>
              <w:bottom w:val="single" w:sz="8" w:color="FEFEFE"/>
            </w:tcBorders>
            <w:shd w:val="clear" w:color="auto" w:fill="D4EEED"/>
          </w:tcPr>
          <w:p>
            <w:pPr>
              <w:spacing w:after="0"/>
              <w:rPr>
                <w:sz w:val="21"/>
                <w:szCs w:val="21"/>
                <w:color w:val="auto"/>
              </w:rPr>
            </w:pPr>
          </w:p>
        </w:tc>
        <w:tc>
          <w:tcPr>
            <w:tcW w:w="240" w:type="dxa"/>
            <w:vAlign w:val="bottom"/>
            <w:tcBorders>
              <w:bottom w:val="single" w:sz="8" w:color="auto"/>
            </w:tcBorders>
            <w:shd w:val="clear" w:color="auto" w:fill="D4EEED"/>
          </w:tcPr>
          <w:p>
            <w:pPr>
              <w:spacing w:after="0"/>
              <w:rPr>
                <w:sz w:val="21"/>
                <w:szCs w:val="21"/>
                <w:color w:val="auto"/>
              </w:rPr>
            </w:pPr>
          </w:p>
        </w:tc>
        <w:tc>
          <w:tcPr>
            <w:tcW w:w="10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00" w:type="dxa"/>
            <w:vAlign w:val="bottom"/>
            <w:tcBorders>
              <w:bottom w:val="single" w:sz="8" w:color="FEFEFE"/>
            </w:tcBorders>
            <w:shd w:val="clear" w:color="auto" w:fill="D4EEED"/>
          </w:tcPr>
          <w:p>
            <w:pPr>
              <w:spacing w:after="0"/>
              <w:rPr>
                <w:sz w:val="21"/>
                <w:szCs w:val="21"/>
                <w:color w:val="auto"/>
              </w:rPr>
            </w:pPr>
          </w:p>
        </w:tc>
        <w:tc>
          <w:tcPr>
            <w:tcW w:w="140" w:type="dxa"/>
            <w:vAlign w:val="bottom"/>
            <w:tcBorders>
              <w:bottom w:val="single" w:sz="8" w:color="FEFEFE"/>
            </w:tcBorders>
            <w:shd w:val="clear" w:color="auto" w:fill="D4EEED"/>
          </w:tcPr>
          <w:p>
            <w:pPr>
              <w:spacing w:after="0"/>
              <w:rPr>
                <w:sz w:val="21"/>
                <w:szCs w:val="21"/>
                <w:color w:val="auto"/>
              </w:rPr>
            </w:pPr>
          </w:p>
        </w:tc>
        <w:tc>
          <w:tcPr>
            <w:tcW w:w="240" w:type="dxa"/>
            <w:vAlign w:val="bottom"/>
            <w:tcBorders>
              <w:bottom w:val="single" w:sz="8" w:color="auto"/>
            </w:tcBorders>
            <w:shd w:val="clear" w:color="auto" w:fill="D4EEED"/>
          </w:tcPr>
          <w:p>
            <w:pPr>
              <w:spacing w:after="0"/>
              <w:rPr>
                <w:sz w:val="21"/>
                <w:szCs w:val="21"/>
                <w:color w:val="auto"/>
              </w:rPr>
            </w:pPr>
          </w:p>
        </w:tc>
        <w:tc>
          <w:tcPr>
            <w:tcW w:w="10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80" w:type="dxa"/>
            <w:vAlign w:val="bottom"/>
            <w:tcBorders>
              <w:bottom w:val="single" w:sz="8" w:color="FEFEFE"/>
            </w:tcBorders>
            <w:shd w:val="clear" w:color="auto" w:fill="D4EEED"/>
          </w:tcPr>
          <w:p>
            <w:pPr>
              <w:spacing w:after="0"/>
              <w:rPr>
                <w:sz w:val="21"/>
                <w:szCs w:val="21"/>
                <w:color w:val="auto"/>
              </w:rPr>
            </w:pPr>
          </w:p>
        </w:tc>
      </w:tr>
      <w:tr>
        <w:trPr>
          <w:trHeight w:val="234"/>
        </w:trPr>
        <w:tc>
          <w:tcPr>
            <w:tcW w:w="5800" w:type="dxa"/>
            <w:vAlign w:val="bottom"/>
            <w:tcBorders>
              <w:bottom w:val="single" w:sz="8" w:color="D4EEED"/>
            </w:tcBorders>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Total other comprehensive gain</w:t>
            </w:r>
          </w:p>
        </w:tc>
        <w:tc>
          <w:tcPr>
            <w:tcW w:w="620" w:type="dxa"/>
            <w:vAlign w:val="bottom"/>
            <w:tcBorders>
              <w:bottom w:val="single" w:sz="8" w:color="D4EEED"/>
            </w:tcBorders>
            <w:shd w:val="clear" w:color="auto" w:fill="FEFEFE"/>
          </w:tcPr>
          <w:p>
            <w:pPr>
              <w:spacing w:after="0"/>
              <w:rPr>
                <w:sz w:val="20"/>
                <w:szCs w:val="20"/>
                <w:color w:val="auto"/>
              </w:rPr>
            </w:pPr>
          </w:p>
        </w:tc>
        <w:tc>
          <w:tcPr>
            <w:tcW w:w="240" w:type="dxa"/>
            <w:vAlign w:val="bottom"/>
            <w:tcBorders>
              <w:bottom w:val="single" w:sz="8" w:color="auto"/>
            </w:tcBorders>
            <w:shd w:val="clear" w:color="auto" w:fill="FEFEFE"/>
          </w:tcPr>
          <w:p>
            <w:pPr>
              <w:spacing w:after="0"/>
              <w:rPr>
                <w:sz w:val="20"/>
                <w:szCs w:val="20"/>
                <w:color w:val="auto"/>
              </w:rPr>
            </w:pPr>
          </w:p>
        </w:tc>
        <w:tc>
          <w:tcPr>
            <w:tcW w:w="10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00" w:type="dxa"/>
            <w:vAlign w:val="bottom"/>
            <w:tcBorders>
              <w:bottom w:val="single" w:sz="8" w:color="D4EEED"/>
            </w:tcBorders>
            <w:shd w:val="clear" w:color="auto" w:fill="FEFEFE"/>
          </w:tcPr>
          <w:p>
            <w:pPr>
              <w:spacing w:after="0"/>
              <w:rPr>
                <w:sz w:val="20"/>
                <w:szCs w:val="20"/>
                <w:color w:val="auto"/>
              </w:rPr>
            </w:pPr>
          </w:p>
        </w:tc>
        <w:tc>
          <w:tcPr>
            <w:tcW w:w="140" w:type="dxa"/>
            <w:vAlign w:val="bottom"/>
            <w:tcBorders>
              <w:bottom w:val="single" w:sz="8" w:color="D4EEED"/>
            </w:tcBorders>
            <w:shd w:val="clear" w:color="auto" w:fill="FEFEFE"/>
          </w:tcPr>
          <w:p>
            <w:pPr>
              <w:spacing w:after="0"/>
              <w:rPr>
                <w:sz w:val="20"/>
                <w:szCs w:val="20"/>
                <w:color w:val="auto"/>
              </w:rPr>
            </w:pPr>
          </w:p>
        </w:tc>
        <w:tc>
          <w:tcPr>
            <w:tcW w:w="240" w:type="dxa"/>
            <w:vAlign w:val="bottom"/>
            <w:tcBorders>
              <w:bottom w:val="single" w:sz="8" w:color="auto"/>
            </w:tcBorders>
            <w:shd w:val="clear" w:color="auto" w:fill="FEFEFE"/>
          </w:tcPr>
          <w:p>
            <w:pPr>
              <w:spacing w:after="0"/>
              <w:rPr>
                <w:sz w:val="20"/>
                <w:szCs w:val="20"/>
                <w:color w:val="auto"/>
              </w:rPr>
            </w:pPr>
          </w:p>
        </w:tc>
        <w:tc>
          <w:tcPr>
            <w:tcW w:w="10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80" w:type="dxa"/>
            <w:vAlign w:val="bottom"/>
            <w:tcBorders>
              <w:bottom w:val="single" w:sz="8" w:color="D4EEED"/>
            </w:tcBorders>
            <w:shd w:val="clear" w:color="auto" w:fill="FEFEFE"/>
          </w:tcPr>
          <w:p>
            <w:pPr>
              <w:spacing w:after="0"/>
              <w:rPr>
                <w:sz w:val="20"/>
                <w:szCs w:val="20"/>
                <w:color w:val="auto"/>
              </w:rPr>
            </w:pPr>
          </w:p>
        </w:tc>
      </w:tr>
      <w:tr>
        <w:trPr>
          <w:trHeight w:val="234"/>
        </w:trPr>
        <w:tc>
          <w:tcPr>
            <w:tcW w:w="580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Total comprehensive loss</w:t>
            </w:r>
          </w:p>
        </w:tc>
        <w:tc>
          <w:tcPr>
            <w:tcW w:w="620" w:type="dxa"/>
            <w:vAlign w:val="bottom"/>
            <w:shd w:val="clear" w:color="auto" w:fill="D4EEED"/>
          </w:tcPr>
          <w:p>
            <w:pPr>
              <w:spacing w:after="0"/>
              <w:rPr>
                <w:sz w:val="20"/>
                <w:szCs w:val="20"/>
                <w:color w:val="auto"/>
              </w:rPr>
            </w:pPr>
          </w:p>
        </w:tc>
        <w:tc>
          <w:tcPr>
            <w:tcW w:w="240" w:type="dxa"/>
            <w:vAlign w:val="bottom"/>
            <w:tcBorders>
              <w:bottom w:val="single" w:sz="8" w:color="auto"/>
            </w:tcBorders>
            <w:shd w:val="clear" w:color="auto" w:fill="D4EEED"/>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(80,537)</w:t>
            </w:r>
          </w:p>
        </w:tc>
        <w:tc>
          <w:tcPr>
            <w:tcW w:w="100" w:type="dxa"/>
            <w:vAlign w:val="bottom"/>
            <w:shd w:val="clear" w:color="auto" w:fill="D4EEED"/>
          </w:tcPr>
          <w:p>
            <w:pPr>
              <w:spacing w:after="0"/>
              <w:rPr>
                <w:sz w:val="20"/>
                <w:szCs w:val="20"/>
                <w:color w:val="auto"/>
              </w:rPr>
            </w:pPr>
          </w:p>
        </w:tc>
        <w:tc>
          <w:tcPr>
            <w:tcW w:w="140" w:type="dxa"/>
            <w:vAlign w:val="bottom"/>
            <w:shd w:val="clear" w:color="auto" w:fill="D4EEED"/>
          </w:tcPr>
          <w:p>
            <w:pPr>
              <w:spacing w:after="0"/>
              <w:rPr>
                <w:sz w:val="20"/>
                <w:szCs w:val="20"/>
                <w:color w:val="auto"/>
              </w:rPr>
            </w:pPr>
          </w:p>
        </w:tc>
        <w:tc>
          <w:tcPr>
            <w:tcW w:w="240" w:type="dxa"/>
            <w:vAlign w:val="bottom"/>
            <w:tcBorders>
              <w:bottom w:val="single" w:sz="8" w:color="auto"/>
            </w:tcBorders>
            <w:shd w:val="clear" w:color="auto" w:fill="D4EEED"/>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(36,837)</w:t>
            </w:r>
          </w:p>
        </w:tc>
        <w:tc>
          <w:tcPr>
            <w:tcW w:w="80" w:type="dxa"/>
            <w:vAlign w:val="bottom"/>
            <w:shd w:val="clear" w:color="auto" w:fill="D4EEED"/>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960" w:h="17280" w:orient="portrait"/>
          <w:cols w:equalWidth="0" w:num="1">
            <w:col w:w="10080"/>
          </w:cols>
          <w:pgMar w:left="1440" w:top="1440" w:right="1440" w:bottom="895" w:gutter="0" w:footer="0" w:header="0"/>
          <w:type w:val="continuous"/>
        </w:sectPr>
      </w:pPr>
    </w:p>
    <w:bookmarkStart w:id="111" w:name="page112"/>
    <w:bookmarkEnd w:id="111"/>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LARIMAR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21" w:lineRule="exact"/>
        <w:rPr>
          <w:sz w:val="20"/>
          <w:szCs w:val="20"/>
          <w:color w:val="auto"/>
        </w:rPr>
      </w:pPr>
    </w:p>
    <w:tbl>
      <w:tblPr>
        <w:tblLayout w:type="fixed"/>
        <w:tblInd w:w="720" w:type="dxa"/>
        <w:tblCellMar>
          <w:top w:w="0" w:type="dxa"/>
          <w:left w:w="0" w:type="dxa"/>
          <w:bottom w:w="0" w:type="dxa"/>
          <w:right w:w="0" w:type="dxa"/>
        </w:tblCellMar>
      </w:tblPr>
      <w:tr>
        <w:trPr>
          <w:trHeight w:val="183"/>
        </w:trPr>
        <w:tc>
          <w:tcPr>
            <w:tcW w:w="528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02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90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90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820" w:type="dxa"/>
            <w:vAlign w:val="bottom"/>
            <w:shd w:val="clear" w:color="auto" w:fill="FEFEFE"/>
          </w:tcPr>
          <w:p>
            <w:pPr>
              <w:spacing w:after="0"/>
              <w:rPr>
                <w:sz w:val="15"/>
                <w:szCs w:val="15"/>
                <w:color w:val="auto"/>
              </w:rPr>
            </w:pPr>
          </w:p>
        </w:tc>
        <w:tc>
          <w:tcPr>
            <w:tcW w:w="260" w:type="dxa"/>
            <w:vAlign w:val="bottom"/>
            <w:shd w:val="clear" w:color="auto" w:fill="FEFEFE"/>
          </w:tcPr>
          <w:p>
            <w:pPr>
              <w:spacing w:after="0"/>
              <w:rPr>
                <w:sz w:val="15"/>
                <w:szCs w:val="15"/>
                <w:color w:val="auto"/>
              </w:rPr>
            </w:pPr>
          </w:p>
        </w:tc>
        <w:tc>
          <w:tcPr>
            <w:tcW w:w="1300" w:type="dxa"/>
            <w:vAlign w:val="bottom"/>
            <w:gridSpan w:val="3"/>
            <w:shd w:val="clear" w:color="auto" w:fill="FEFEFE"/>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00" w:type="dxa"/>
            <w:vAlign w:val="bottom"/>
            <w:shd w:val="clear" w:color="auto" w:fill="FEFEFE"/>
          </w:tcPr>
          <w:p>
            <w:pPr>
              <w:spacing w:after="0"/>
              <w:rPr>
                <w:sz w:val="15"/>
                <w:szCs w:val="15"/>
                <w:color w:val="auto"/>
              </w:rPr>
            </w:pPr>
          </w:p>
        </w:tc>
        <w:tc>
          <w:tcPr>
            <w:tcW w:w="84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r>
      <w:tr>
        <w:trPr>
          <w:trHeight w:val="186"/>
        </w:trPr>
        <w:tc>
          <w:tcPr>
            <w:tcW w:w="5280" w:type="dxa"/>
            <w:vAlign w:val="bottom"/>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1020" w:type="dxa"/>
            <w:vAlign w:val="bottom"/>
            <w:shd w:val="clear" w:color="auto" w:fill="FEFEFE"/>
          </w:tcPr>
          <w:p>
            <w:pPr>
              <w:spacing w:after="0"/>
              <w:rPr>
                <w:sz w:val="16"/>
                <w:szCs w:val="16"/>
                <w:color w:val="auto"/>
              </w:rPr>
            </w:pPr>
          </w:p>
        </w:tc>
        <w:tc>
          <w:tcPr>
            <w:tcW w:w="26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900" w:type="dxa"/>
            <w:vAlign w:val="bottom"/>
            <w:shd w:val="clear" w:color="auto" w:fill="FEFEFE"/>
          </w:tcPr>
          <w:p>
            <w:pPr>
              <w:spacing w:after="0"/>
              <w:rPr>
                <w:sz w:val="16"/>
                <w:szCs w:val="16"/>
                <w:color w:val="auto"/>
              </w:rPr>
            </w:pPr>
          </w:p>
        </w:tc>
        <w:tc>
          <w:tcPr>
            <w:tcW w:w="26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1160" w:type="dxa"/>
            <w:vAlign w:val="bottom"/>
            <w:gridSpan w:val="2"/>
            <w:shd w:val="clear" w:color="auto" w:fill="FEFEFE"/>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200" w:type="dxa"/>
            <w:vAlign w:val="bottom"/>
            <w:shd w:val="clear" w:color="auto" w:fill="FEFEFE"/>
          </w:tcPr>
          <w:p>
            <w:pPr>
              <w:spacing w:after="0"/>
              <w:rPr>
                <w:sz w:val="16"/>
                <w:szCs w:val="16"/>
                <w:color w:val="auto"/>
              </w:rPr>
            </w:pPr>
          </w:p>
        </w:tc>
        <w:tc>
          <w:tcPr>
            <w:tcW w:w="820" w:type="dxa"/>
            <w:vAlign w:val="bottom"/>
            <w:shd w:val="clear" w:color="auto" w:fill="FEFEFE"/>
          </w:tcPr>
          <w:p>
            <w:pPr>
              <w:spacing w:after="0"/>
              <w:rPr>
                <w:sz w:val="16"/>
                <w:szCs w:val="16"/>
                <w:color w:val="auto"/>
              </w:rPr>
            </w:pPr>
          </w:p>
        </w:tc>
        <w:tc>
          <w:tcPr>
            <w:tcW w:w="26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1160" w:type="dxa"/>
            <w:vAlign w:val="bottom"/>
            <w:gridSpan w:val="2"/>
            <w:shd w:val="clear" w:color="auto" w:fill="FEFEFE"/>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00" w:type="dxa"/>
            <w:vAlign w:val="bottom"/>
            <w:shd w:val="clear" w:color="auto" w:fill="FEFEFE"/>
          </w:tcPr>
          <w:p>
            <w:pPr>
              <w:spacing w:after="0"/>
              <w:rPr>
                <w:sz w:val="16"/>
                <w:szCs w:val="16"/>
                <w:color w:val="auto"/>
              </w:rPr>
            </w:pPr>
          </w:p>
        </w:tc>
        <w:tc>
          <w:tcPr>
            <w:tcW w:w="960" w:type="dxa"/>
            <w:vAlign w:val="bottom"/>
            <w:gridSpan w:val="2"/>
            <w:shd w:val="clear" w:color="auto" w:fill="FEFEFE"/>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190"/>
        </w:trPr>
        <w:tc>
          <w:tcPr>
            <w:tcW w:w="5280" w:type="dxa"/>
            <w:vAlign w:val="bottom"/>
            <w:tcBorders>
              <w:bottom w:val="single" w:sz="8" w:color="FEFEFE"/>
            </w:tcBorders>
            <w:shd w:val="clear" w:color="auto" w:fill="FEFEFE"/>
          </w:tcPr>
          <w:p>
            <w:pPr>
              <w:spacing w:after="0"/>
              <w:rPr>
                <w:sz w:val="16"/>
                <w:szCs w:val="16"/>
                <w:color w:val="auto"/>
              </w:rPr>
            </w:pPr>
          </w:p>
        </w:tc>
        <w:tc>
          <w:tcPr>
            <w:tcW w:w="80" w:type="dxa"/>
            <w:vAlign w:val="bottom"/>
            <w:tcBorders>
              <w:bottom w:val="single" w:sz="8" w:color="FEFEFE"/>
            </w:tcBorders>
            <w:shd w:val="clear" w:color="auto" w:fill="FEFEFE"/>
          </w:tcPr>
          <w:p>
            <w:pPr>
              <w:spacing w:after="0"/>
              <w:rPr>
                <w:sz w:val="16"/>
                <w:szCs w:val="16"/>
                <w:color w:val="auto"/>
              </w:rPr>
            </w:pPr>
          </w:p>
        </w:tc>
        <w:tc>
          <w:tcPr>
            <w:tcW w:w="2320" w:type="dxa"/>
            <w:vAlign w:val="bottom"/>
            <w:tcBorders>
              <w:bottom w:val="single" w:sz="8" w:color="auto"/>
            </w:tcBorders>
            <w:gridSpan w:val="4"/>
            <w:shd w:val="clear" w:color="auto" w:fill="FEFEFE"/>
          </w:tcPr>
          <w:p>
            <w:pPr>
              <w:jc w:val="right"/>
              <w:ind w:right="586"/>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Borders>
              <w:bottom w:val="single" w:sz="8" w:color="FEFEFE"/>
            </w:tcBorders>
            <w:shd w:val="clear" w:color="auto" w:fill="FEFEFE"/>
          </w:tcPr>
          <w:p>
            <w:pPr>
              <w:spacing w:after="0"/>
              <w:rPr>
                <w:sz w:val="16"/>
                <w:szCs w:val="16"/>
                <w:color w:val="auto"/>
              </w:rPr>
            </w:pPr>
          </w:p>
        </w:tc>
        <w:tc>
          <w:tcPr>
            <w:tcW w:w="120" w:type="dxa"/>
            <w:vAlign w:val="bottom"/>
            <w:tcBorders>
              <w:bottom w:val="single" w:sz="8" w:color="FEFEFE"/>
            </w:tcBorders>
            <w:shd w:val="clear" w:color="auto" w:fill="FEFEFE"/>
          </w:tcPr>
          <w:p>
            <w:pPr>
              <w:spacing w:after="0"/>
              <w:rPr>
                <w:sz w:val="16"/>
                <w:szCs w:val="16"/>
                <w:color w:val="auto"/>
              </w:rPr>
            </w:pPr>
          </w:p>
        </w:tc>
        <w:tc>
          <w:tcPr>
            <w:tcW w:w="1160" w:type="dxa"/>
            <w:vAlign w:val="bottom"/>
            <w:tcBorders>
              <w:bottom w:val="single" w:sz="8" w:color="FEFEFE"/>
            </w:tcBorders>
            <w:gridSpan w:val="2"/>
            <w:shd w:val="clear" w:color="auto" w:fill="FEFEFE"/>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280" w:type="dxa"/>
            <w:vAlign w:val="bottom"/>
            <w:tcBorders>
              <w:bottom w:val="single" w:sz="8" w:color="FEFEFE"/>
            </w:tcBorders>
            <w:gridSpan w:val="3"/>
            <w:shd w:val="clear" w:color="auto" w:fill="FEFEFE"/>
          </w:tcPr>
          <w:p>
            <w:pPr>
              <w:jc w:val="center"/>
              <w:ind w:right="165"/>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300" w:type="dxa"/>
            <w:vAlign w:val="bottom"/>
            <w:tcBorders>
              <w:bottom w:val="single" w:sz="8" w:color="FEFEFE"/>
            </w:tcBorders>
            <w:gridSpan w:val="3"/>
            <w:shd w:val="clear" w:color="auto" w:fill="FEFEFE"/>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160" w:type="dxa"/>
            <w:vAlign w:val="bottom"/>
            <w:tcBorders>
              <w:bottom w:val="single" w:sz="8" w:color="FEFEFE"/>
            </w:tcBorders>
            <w:gridSpan w:val="3"/>
            <w:shd w:val="clear" w:color="auto" w:fill="FEFEFE"/>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Stockholders’</w:t>
            </w:r>
          </w:p>
        </w:tc>
      </w:tr>
      <w:tr>
        <w:trPr>
          <w:trHeight w:val="176"/>
        </w:trPr>
        <w:tc>
          <w:tcPr>
            <w:tcW w:w="528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1020" w:type="dxa"/>
            <w:vAlign w:val="bottom"/>
            <w:shd w:val="clear" w:color="auto" w:fill="FEFEFE"/>
          </w:tcPr>
          <w:p>
            <w:pPr>
              <w:jc w:val="right"/>
              <w:ind w:right="208"/>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6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900" w:type="dxa"/>
            <w:vAlign w:val="bottom"/>
            <w:shd w:val="clear" w:color="auto" w:fill="FEFEFE"/>
          </w:tcPr>
          <w:p>
            <w:pPr>
              <w:jc w:val="right"/>
              <w:ind w:right="106"/>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26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160" w:type="dxa"/>
            <w:vAlign w:val="bottom"/>
            <w:gridSpan w:val="2"/>
            <w:shd w:val="clear" w:color="auto" w:fill="FEFEFE"/>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shd w:val="clear" w:color="auto" w:fill="FEFEFE"/>
          </w:tcPr>
          <w:p>
            <w:pPr>
              <w:spacing w:after="0"/>
              <w:rPr>
                <w:sz w:val="15"/>
                <w:szCs w:val="15"/>
                <w:color w:val="auto"/>
              </w:rPr>
            </w:pPr>
          </w:p>
        </w:tc>
        <w:tc>
          <w:tcPr>
            <w:tcW w:w="1080" w:type="dxa"/>
            <w:vAlign w:val="bottom"/>
            <w:gridSpan w:val="2"/>
            <w:shd w:val="clear" w:color="auto" w:fill="FEFEFE"/>
          </w:tcPr>
          <w:p>
            <w:pPr>
              <w:jc w:val="center"/>
              <w:ind w:right="365"/>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140" w:type="dxa"/>
            <w:vAlign w:val="bottom"/>
            <w:shd w:val="clear" w:color="auto" w:fill="FEFEFE"/>
          </w:tcPr>
          <w:p>
            <w:pPr>
              <w:spacing w:after="0"/>
              <w:rPr>
                <w:sz w:val="15"/>
                <w:szCs w:val="15"/>
                <w:color w:val="auto"/>
              </w:rPr>
            </w:pPr>
          </w:p>
        </w:tc>
        <w:tc>
          <w:tcPr>
            <w:tcW w:w="1160" w:type="dxa"/>
            <w:vAlign w:val="bottom"/>
            <w:gridSpan w:val="2"/>
            <w:shd w:val="clear" w:color="auto" w:fill="FEFEFE"/>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Gain</w:t>
            </w:r>
          </w:p>
        </w:tc>
        <w:tc>
          <w:tcPr>
            <w:tcW w:w="200" w:type="dxa"/>
            <w:vAlign w:val="bottom"/>
            <w:shd w:val="clear" w:color="auto" w:fill="FEFEFE"/>
          </w:tcPr>
          <w:p>
            <w:pPr>
              <w:spacing w:after="0"/>
              <w:rPr>
                <w:sz w:val="15"/>
                <w:szCs w:val="15"/>
                <w:color w:val="auto"/>
              </w:rPr>
            </w:pPr>
          </w:p>
        </w:tc>
        <w:tc>
          <w:tcPr>
            <w:tcW w:w="960" w:type="dxa"/>
            <w:vAlign w:val="bottom"/>
            <w:gridSpan w:val="2"/>
            <w:shd w:val="clear" w:color="auto" w:fill="FEFEFE"/>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6"/>
              </w:rPr>
              <w:t>Equity</w:t>
            </w:r>
          </w:p>
        </w:tc>
      </w:tr>
      <w:tr>
        <w:trPr>
          <w:trHeight w:val="222"/>
        </w:trPr>
        <w:tc>
          <w:tcPr>
            <w:tcW w:w="5360" w:type="dxa"/>
            <w:vAlign w:val="bottom"/>
            <w:tcBorders>
              <w:top w:val="single" w:sz="8" w:color="D4EEED"/>
            </w:tcBorders>
            <w:gridSpan w:val="2"/>
            <w:shd w:val="clear" w:color="auto" w:fill="D4EEED"/>
          </w:tcPr>
          <w:p>
            <w:pPr>
              <w:spacing w:after="0"/>
              <w:rPr>
                <w:sz w:val="20"/>
                <w:szCs w:val="20"/>
                <w:color w:val="auto"/>
              </w:rPr>
            </w:pPr>
            <w:r>
              <w:rPr>
                <w:rFonts w:ascii="Times New Roman" w:cs="Times New Roman" w:eastAsia="Times New Roman" w:hAnsi="Times New Roman"/>
                <w:sz w:val="19"/>
                <w:szCs w:val="19"/>
                <w:b w:val="1"/>
                <w:bCs w:val="1"/>
                <w:color w:val="auto"/>
              </w:rPr>
              <w:t>Balances as of December 31, 2023</w:t>
            </w:r>
          </w:p>
        </w:tc>
        <w:tc>
          <w:tcPr>
            <w:tcW w:w="102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43,909,069</w:t>
            </w:r>
          </w:p>
        </w:tc>
        <w:tc>
          <w:tcPr>
            <w:tcW w:w="260" w:type="dxa"/>
            <w:vAlign w:val="bottom"/>
            <w:tcBorders>
              <w:top w:val="single" w:sz="8" w:color="D4EEED"/>
            </w:tcBorders>
            <w:shd w:val="clear" w:color="auto" w:fill="D4EEED"/>
          </w:tcPr>
          <w:p>
            <w:pPr>
              <w:spacing w:after="0"/>
              <w:rPr>
                <w:sz w:val="19"/>
                <w:szCs w:val="19"/>
                <w:color w:val="auto"/>
              </w:rPr>
            </w:pPr>
          </w:p>
        </w:tc>
        <w:tc>
          <w:tcPr>
            <w:tcW w:w="14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0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260" w:type="dxa"/>
            <w:vAlign w:val="bottom"/>
            <w:tcBorders>
              <w:top w:val="single" w:sz="8" w:color="D4EEED"/>
            </w:tcBorders>
            <w:shd w:val="clear" w:color="auto" w:fill="D4EEED"/>
          </w:tcPr>
          <w:p>
            <w:pPr>
              <w:spacing w:after="0"/>
              <w:rPr>
                <w:sz w:val="19"/>
                <w:szCs w:val="19"/>
                <w:color w:val="auto"/>
              </w:rPr>
            </w:pPr>
          </w:p>
        </w:tc>
        <w:tc>
          <w:tcPr>
            <w:tcW w:w="12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EED"/>
              </w:rPr>
              <w:t>$</w:t>
            </w:r>
          </w:p>
        </w:tc>
        <w:tc>
          <w:tcPr>
            <w:tcW w:w="90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shd w:val="clear" w:color="auto" w:fill="D4EEED"/>
              </w:rPr>
              <w:t>270,150</w:t>
            </w:r>
          </w:p>
        </w:tc>
        <w:tc>
          <w:tcPr>
            <w:tcW w:w="260" w:type="dxa"/>
            <w:vAlign w:val="bottom"/>
            <w:tcBorders>
              <w:top w:val="single" w:sz="8" w:color="D4EEED"/>
            </w:tcBorders>
            <w:shd w:val="clear" w:color="auto" w:fill="D4EEED"/>
          </w:tcPr>
          <w:p>
            <w:pPr>
              <w:spacing w:after="0"/>
              <w:rPr>
                <w:sz w:val="19"/>
                <w:szCs w:val="19"/>
                <w:color w:val="auto"/>
              </w:rPr>
            </w:pPr>
          </w:p>
        </w:tc>
        <w:tc>
          <w:tcPr>
            <w:tcW w:w="200" w:type="dxa"/>
            <w:vAlign w:val="bottom"/>
            <w:tcBorders>
              <w:top w:val="single" w:sz="8" w:color="auto"/>
            </w:tcBorders>
            <w:shd w:val="clear" w:color="auto" w:fill="D4EEED"/>
          </w:tcPr>
          <w:p>
            <w:pPr>
              <w:jc w:val="right"/>
              <w:ind w:right="12"/>
              <w:spacing w:after="0"/>
              <w:rPr>
                <w:sz w:val="20"/>
                <w:szCs w:val="20"/>
                <w:color w:val="auto"/>
              </w:rPr>
            </w:pPr>
            <w:r>
              <w:rPr>
                <w:rFonts w:ascii="Times New Roman" w:cs="Times New Roman" w:eastAsia="Times New Roman" w:hAnsi="Times New Roman"/>
                <w:sz w:val="19"/>
                <w:szCs w:val="19"/>
                <w:color w:val="auto"/>
                <w:w w:val="83"/>
                <w:shd w:val="clear" w:color="auto" w:fill="D4EEED"/>
              </w:rPr>
              <w:t>$</w:t>
            </w:r>
          </w:p>
        </w:tc>
        <w:tc>
          <w:tcPr>
            <w:tcW w:w="82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shd w:val="clear" w:color="auto" w:fill="D4EEED"/>
              </w:rPr>
              <w:t>(188,554</w:t>
            </w:r>
          </w:p>
        </w:tc>
        <w:tc>
          <w:tcPr>
            <w:tcW w:w="260" w:type="dxa"/>
            <w:vAlign w:val="bottom"/>
            <w:tcBorders>
              <w:top w:val="single" w:sz="8" w:color="D4EEED"/>
            </w:tcBorders>
            <w:shd w:val="clear" w:color="auto" w:fill="D4EEED"/>
          </w:tcPr>
          <w:p>
            <w:pPr>
              <w:jc w:val="right"/>
              <w:ind w:right="85"/>
              <w:spacing w:after="0"/>
              <w:rPr>
                <w:sz w:val="20"/>
                <w:szCs w:val="20"/>
                <w:color w:val="auto"/>
              </w:rPr>
            </w:pPr>
            <w:r>
              <w:rPr>
                <w:rFonts w:ascii="Times New Roman" w:cs="Times New Roman" w:eastAsia="Times New Roman" w:hAnsi="Times New Roman"/>
                <w:sz w:val="19"/>
                <w:szCs w:val="19"/>
                <w:color w:val="auto"/>
                <w:w w:val="94"/>
              </w:rPr>
              <w:t>)</w:t>
            </w:r>
          </w:p>
        </w:tc>
        <w:tc>
          <w:tcPr>
            <w:tcW w:w="14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w w:val="83"/>
                <w:shd w:val="clear" w:color="auto" w:fill="D4EEED"/>
              </w:rPr>
              <w:t>$</w:t>
            </w:r>
          </w:p>
        </w:tc>
        <w:tc>
          <w:tcPr>
            <w:tcW w:w="90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81</w:t>
            </w:r>
          </w:p>
        </w:tc>
        <w:tc>
          <w:tcPr>
            <w:tcW w:w="260" w:type="dxa"/>
            <w:vAlign w:val="bottom"/>
            <w:tcBorders>
              <w:top w:val="single" w:sz="8" w:color="D4EEED"/>
            </w:tcBorders>
            <w:shd w:val="clear" w:color="auto" w:fill="D4EEED"/>
          </w:tcPr>
          <w:p>
            <w:pPr>
              <w:spacing w:after="0"/>
              <w:rPr>
                <w:sz w:val="19"/>
                <w:szCs w:val="19"/>
                <w:color w:val="auto"/>
              </w:rPr>
            </w:pPr>
          </w:p>
        </w:tc>
        <w:tc>
          <w:tcPr>
            <w:tcW w:w="200" w:type="dxa"/>
            <w:vAlign w:val="bottom"/>
            <w:tcBorders>
              <w:top w:val="single" w:sz="8" w:color="auto"/>
            </w:tcBorders>
            <w:shd w:val="clear" w:color="auto" w:fill="D4EEED"/>
          </w:tcPr>
          <w:p>
            <w:pPr>
              <w:jc w:val="right"/>
              <w:ind w:right="12"/>
              <w:spacing w:after="0"/>
              <w:rPr>
                <w:sz w:val="20"/>
                <w:szCs w:val="20"/>
                <w:color w:val="auto"/>
              </w:rPr>
            </w:pPr>
            <w:r>
              <w:rPr>
                <w:rFonts w:ascii="Times New Roman" w:cs="Times New Roman" w:eastAsia="Times New Roman" w:hAnsi="Times New Roman"/>
                <w:sz w:val="19"/>
                <w:szCs w:val="19"/>
                <w:color w:val="auto"/>
                <w:w w:val="83"/>
                <w:shd w:val="clear" w:color="auto" w:fill="D4EEED"/>
              </w:rPr>
              <w:t>$</w:t>
            </w:r>
          </w:p>
        </w:tc>
        <w:tc>
          <w:tcPr>
            <w:tcW w:w="84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shd w:val="clear" w:color="auto" w:fill="D4EEED"/>
              </w:rPr>
              <w:t>81,720</w:t>
            </w:r>
          </w:p>
        </w:tc>
        <w:tc>
          <w:tcPr>
            <w:tcW w:w="120" w:type="dxa"/>
            <w:vAlign w:val="bottom"/>
            <w:tcBorders>
              <w:top w:val="single" w:sz="8" w:color="D4EEED"/>
            </w:tcBorders>
            <w:shd w:val="clear" w:color="auto" w:fill="D4EEED"/>
          </w:tcPr>
          <w:p>
            <w:pPr>
              <w:spacing w:after="0"/>
              <w:rPr>
                <w:sz w:val="19"/>
                <w:szCs w:val="19"/>
                <w:color w:val="auto"/>
              </w:rPr>
            </w:pPr>
          </w:p>
        </w:tc>
      </w:tr>
      <w:tr>
        <w:trPr>
          <w:trHeight w:val="244"/>
        </w:trPr>
        <w:tc>
          <w:tcPr>
            <w:tcW w:w="53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Issuance of common stock, net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19,736,842</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2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161,736</w:t>
            </w:r>
          </w:p>
        </w:tc>
        <w:tc>
          <w:tcPr>
            <w:tcW w:w="2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080" w:type="dxa"/>
            <w:vAlign w:val="bottom"/>
            <w:gridSpan w:val="2"/>
            <w:shd w:val="clear" w:color="auto" w:fill="FEFEFE"/>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shd w:val="clear" w:color="auto" w:fill="FEFEFE"/>
          </w:tcPr>
          <w:p>
            <w:pPr>
              <w:spacing w:after="0"/>
              <w:rPr>
                <w:sz w:val="21"/>
                <w:szCs w:val="21"/>
                <w:color w:val="auto"/>
              </w:rPr>
            </w:pPr>
          </w:p>
        </w:tc>
        <w:tc>
          <w:tcPr>
            <w:tcW w:w="116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161,756</w:t>
            </w:r>
          </w:p>
        </w:tc>
        <w:tc>
          <w:tcPr>
            <w:tcW w:w="120" w:type="dxa"/>
            <w:vAlign w:val="bottom"/>
            <w:shd w:val="clear" w:color="auto" w:fill="FEFEFE"/>
          </w:tcPr>
          <w:p>
            <w:pPr>
              <w:spacing w:after="0"/>
              <w:rPr>
                <w:sz w:val="21"/>
                <w:szCs w:val="21"/>
                <w:color w:val="auto"/>
              </w:rPr>
            </w:pPr>
          </w:p>
        </w:tc>
      </w:tr>
      <w:tr>
        <w:trPr>
          <w:trHeight w:val="244"/>
        </w:trPr>
        <w:tc>
          <w:tcPr>
            <w:tcW w:w="5360" w:type="dxa"/>
            <w:vAlign w:val="bottom"/>
            <w:gridSpan w:val="2"/>
            <w:shd w:val="clear" w:color="auto" w:fill="D4EEED"/>
          </w:tcPr>
          <w:p>
            <w:pPr>
              <w:ind w:left="100"/>
              <w:spacing w:after="0"/>
              <w:rPr>
                <w:sz w:val="20"/>
                <w:szCs w:val="20"/>
                <w:color w:val="auto"/>
              </w:rPr>
            </w:pPr>
            <w:r>
              <w:rPr>
                <w:rFonts w:ascii="Times New Roman" w:cs="Times New Roman" w:eastAsia="Times New Roman" w:hAnsi="Times New Roman"/>
                <w:sz w:val="20"/>
                <w:szCs w:val="20"/>
                <w:color w:val="auto"/>
              </w:rPr>
              <w:t>Vesting of restricted stock units</w:t>
            </w:r>
          </w:p>
        </w:tc>
        <w:tc>
          <w:tcPr>
            <w:tcW w:w="10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153,750</w:t>
            </w:r>
          </w:p>
        </w:tc>
        <w:tc>
          <w:tcPr>
            <w:tcW w:w="26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90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26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1160" w:type="dxa"/>
            <w:vAlign w:val="bottom"/>
            <w:gridSpan w:val="2"/>
            <w:shd w:val="clear" w:color="auto" w:fill="D4EEED"/>
          </w:tcPr>
          <w:p>
            <w:pPr>
              <w:jc w:val="right"/>
              <w:ind w:right="200"/>
              <w:spacing w:after="0"/>
              <w:rPr>
                <w:sz w:val="20"/>
                <w:szCs w:val="20"/>
                <w:color w:val="auto"/>
              </w:rPr>
            </w:pPr>
            <w:r>
              <w:rPr>
                <w:rFonts w:ascii="Times New Roman" w:cs="Times New Roman" w:eastAsia="Times New Roman" w:hAnsi="Times New Roman"/>
                <w:sz w:val="19"/>
                <w:szCs w:val="19"/>
                <w:color w:val="auto"/>
              </w:rPr>
              <w:t>(1)</w:t>
            </w:r>
          </w:p>
        </w:tc>
        <w:tc>
          <w:tcPr>
            <w:tcW w:w="200" w:type="dxa"/>
            <w:vAlign w:val="bottom"/>
            <w:shd w:val="clear" w:color="auto" w:fill="D4EEED"/>
          </w:tcPr>
          <w:p>
            <w:pPr>
              <w:spacing w:after="0"/>
              <w:rPr>
                <w:sz w:val="21"/>
                <w:szCs w:val="21"/>
                <w:color w:val="auto"/>
              </w:rPr>
            </w:pPr>
          </w:p>
        </w:tc>
        <w:tc>
          <w:tcPr>
            <w:tcW w:w="1080" w:type="dxa"/>
            <w:vAlign w:val="bottom"/>
            <w:gridSpan w:val="2"/>
            <w:shd w:val="clear" w:color="auto" w:fill="D4EEED"/>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shd w:val="clear" w:color="auto" w:fill="D4EEED"/>
          </w:tcPr>
          <w:p>
            <w:pPr>
              <w:spacing w:after="0"/>
              <w:rPr>
                <w:sz w:val="21"/>
                <w:szCs w:val="21"/>
                <w:color w:val="auto"/>
              </w:rPr>
            </w:pPr>
          </w:p>
        </w:tc>
        <w:tc>
          <w:tcPr>
            <w:tcW w:w="1160" w:type="dxa"/>
            <w:vAlign w:val="bottom"/>
            <w:gridSpan w:val="2"/>
            <w:shd w:val="clear" w:color="auto" w:fill="D4EEED"/>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shd w:val="clear" w:color="auto" w:fill="D4EEED"/>
          </w:tcPr>
          <w:p>
            <w:pPr>
              <w:spacing w:after="0"/>
              <w:rPr>
                <w:sz w:val="21"/>
                <w:szCs w:val="21"/>
                <w:color w:val="auto"/>
              </w:rPr>
            </w:pPr>
          </w:p>
        </w:tc>
        <w:tc>
          <w:tcPr>
            <w:tcW w:w="960" w:type="dxa"/>
            <w:vAlign w:val="bottom"/>
            <w:gridSpan w:val="2"/>
            <w:shd w:val="clear" w:color="auto" w:fill="D4EEED"/>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r>
      <w:tr>
        <w:trPr>
          <w:trHeight w:val="244"/>
        </w:trPr>
        <w:tc>
          <w:tcPr>
            <w:tcW w:w="53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Exercise of stock options</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15,404</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2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080" w:type="dxa"/>
            <w:vAlign w:val="bottom"/>
            <w:gridSpan w:val="2"/>
            <w:shd w:val="clear" w:color="auto" w:fill="FEFEFE"/>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shd w:val="clear" w:color="auto" w:fill="FEFEFE"/>
          </w:tcPr>
          <w:p>
            <w:pPr>
              <w:spacing w:after="0"/>
              <w:rPr>
                <w:sz w:val="21"/>
                <w:szCs w:val="21"/>
                <w:color w:val="auto"/>
              </w:rPr>
            </w:pPr>
          </w:p>
        </w:tc>
        <w:tc>
          <w:tcPr>
            <w:tcW w:w="116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120" w:type="dxa"/>
            <w:vAlign w:val="bottom"/>
            <w:shd w:val="clear" w:color="auto" w:fill="FEFEFE"/>
          </w:tcPr>
          <w:p>
            <w:pPr>
              <w:spacing w:after="0"/>
              <w:rPr>
                <w:sz w:val="21"/>
                <w:szCs w:val="21"/>
                <w:color w:val="auto"/>
              </w:rPr>
            </w:pPr>
          </w:p>
        </w:tc>
      </w:tr>
      <w:tr>
        <w:trPr>
          <w:trHeight w:val="244"/>
        </w:trPr>
        <w:tc>
          <w:tcPr>
            <w:tcW w:w="5360" w:type="dxa"/>
            <w:vAlign w:val="bottom"/>
            <w:gridSpan w:val="2"/>
            <w:shd w:val="clear" w:color="auto" w:fill="D4EEED"/>
          </w:tcPr>
          <w:p>
            <w:pPr>
              <w:ind w:left="1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0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90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90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8,796</w:t>
            </w:r>
          </w:p>
        </w:tc>
        <w:tc>
          <w:tcPr>
            <w:tcW w:w="26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080" w:type="dxa"/>
            <w:vAlign w:val="bottom"/>
            <w:gridSpan w:val="2"/>
            <w:shd w:val="clear" w:color="auto" w:fill="D4EEED"/>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shd w:val="clear" w:color="auto" w:fill="D4EEED"/>
          </w:tcPr>
          <w:p>
            <w:pPr>
              <w:spacing w:after="0"/>
              <w:rPr>
                <w:sz w:val="21"/>
                <w:szCs w:val="21"/>
                <w:color w:val="auto"/>
              </w:rPr>
            </w:pPr>
          </w:p>
        </w:tc>
        <w:tc>
          <w:tcPr>
            <w:tcW w:w="1160" w:type="dxa"/>
            <w:vAlign w:val="bottom"/>
            <w:gridSpan w:val="2"/>
            <w:shd w:val="clear" w:color="auto" w:fill="D4EEED"/>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shd w:val="clear" w:color="auto" w:fill="D4EEED"/>
          </w:tcPr>
          <w:p>
            <w:pPr>
              <w:spacing w:after="0"/>
              <w:rPr>
                <w:sz w:val="21"/>
                <w:szCs w:val="21"/>
                <w:color w:val="auto"/>
              </w:rPr>
            </w:pPr>
          </w:p>
        </w:tc>
        <w:tc>
          <w:tcPr>
            <w:tcW w:w="84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8,796</w:t>
            </w:r>
          </w:p>
        </w:tc>
        <w:tc>
          <w:tcPr>
            <w:tcW w:w="120" w:type="dxa"/>
            <w:vAlign w:val="bottom"/>
            <w:shd w:val="clear" w:color="auto" w:fill="D4EEED"/>
          </w:tcPr>
          <w:p>
            <w:pPr>
              <w:spacing w:after="0"/>
              <w:rPr>
                <w:sz w:val="21"/>
                <w:szCs w:val="21"/>
                <w:color w:val="auto"/>
              </w:rPr>
            </w:pPr>
          </w:p>
        </w:tc>
      </w:tr>
      <w:tr>
        <w:trPr>
          <w:trHeight w:val="244"/>
        </w:trPr>
        <w:tc>
          <w:tcPr>
            <w:tcW w:w="53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Unrealized gain on marketable debt securities</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16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shd w:val="clear" w:color="auto" w:fill="FEFEFE"/>
          </w:tcPr>
          <w:p>
            <w:pPr>
              <w:spacing w:after="0"/>
              <w:rPr>
                <w:sz w:val="21"/>
                <w:szCs w:val="21"/>
                <w:color w:val="auto"/>
              </w:rPr>
            </w:pPr>
          </w:p>
        </w:tc>
        <w:tc>
          <w:tcPr>
            <w:tcW w:w="1080" w:type="dxa"/>
            <w:vAlign w:val="bottom"/>
            <w:gridSpan w:val="2"/>
            <w:shd w:val="clear" w:color="auto" w:fill="FEFEFE"/>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shd w:val="clear" w:color="auto" w:fill="FEFEFE"/>
          </w:tcPr>
          <w:p>
            <w:pPr>
              <w:spacing w:after="0"/>
              <w:rPr>
                <w:sz w:val="21"/>
                <w:szCs w:val="21"/>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67</w:t>
            </w:r>
          </w:p>
        </w:tc>
        <w:tc>
          <w:tcPr>
            <w:tcW w:w="2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67</w:t>
            </w:r>
          </w:p>
        </w:tc>
        <w:tc>
          <w:tcPr>
            <w:tcW w:w="120" w:type="dxa"/>
            <w:vAlign w:val="bottom"/>
            <w:shd w:val="clear" w:color="auto" w:fill="FEFEFE"/>
          </w:tcPr>
          <w:p>
            <w:pPr>
              <w:spacing w:after="0"/>
              <w:rPr>
                <w:sz w:val="21"/>
                <w:szCs w:val="21"/>
                <w:color w:val="auto"/>
              </w:rPr>
            </w:pPr>
          </w:p>
        </w:tc>
      </w:tr>
      <w:tr>
        <w:trPr>
          <w:trHeight w:val="244"/>
        </w:trPr>
        <w:tc>
          <w:tcPr>
            <w:tcW w:w="5360" w:type="dxa"/>
            <w:vAlign w:val="bottom"/>
            <w:gridSpan w:val="2"/>
            <w:shd w:val="clear" w:color="auto" w:fill="D4EEED"/>
          </w:tcPr>
          <w:p>
            <w:pPr>
              <w:ind w:left="100"/>
              <w:spacing w:after="0"/>
              <w:rPr>
                <w:sz w:val="20"/>
                <w:szCs w:val="20"/>
                <w:color w:val="auto"/>
              </w:rPr>
            </w:pPr>
            <w:r>
              <w:rPr>
                <w:rFonts w:ascii="Times New Roman" w:cs="Times New Roman" w:eastAsia="Times New Roman" w:hAnsi="Times New Roman"/>
                <w:sz w:val="20"/>
                <w:szCs w:val="20"/>
                <w:color w:val="auto"/>
              </w:rPr>
              <w:t>Net Loss</w:t>
            </w:r>
          </w:p>
        </w:tc>
        <w:tc>
          <w:tcPr>
            <w:tcW w:w="10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90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1160" w:type="dxa"/>
            <w:vAlign w:val="bottom"/>
            <w:gridSpan w:val="2"/>
            <w:shd w:val="clear" w:color="auto" w:fill="D4EEED"/>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shd w:val="clear" w:color="auto" w:fill="D4EEED"/>
          </w:tcPr>
          <w:p>
            <w:pPr>
              <w:spacing w:after="0"/>
              <w:rPr>
                <w:sz w:val="21"/>
                <w:szCs w:val="21"/>
                <w:color w:val="auto"/>
              </w:rPr>
            </w:pPr>
          </w:p>
        </w:tc>
        <w:tc>
          <w:tcPr>
            <w:tcW w:w="1080" w:type="dxa"/>
            <w:vAlign w:val="bottom"/>
            <w:gridSpan w:val="2"/>
            <w:shd w:val="clear" w:color="auto" w:fill="D4EEED"/>
          </w:tcPr>
          <w:p>
            <w:pPr>
              <w:jc w:val="right"/>
              <w:ind w:right="85"/>
              <w:spacing w:after="0"/>
              <w:rPr>
                <w:sz w:val="20"/>
                <w:szCs w:val="20"/>
                <w:color w:val="auto"/>
              </w:rPr>
            </w:pPr>
            <w:r>
              <w:rPr>
                <w:rFonts w:ascii="Times New Roman" w:cs="Times New Roman" w:eastAsia="Times New Roman" w:hAnsi="Times New Roman"/>
                <w:sz w:val="19"/>
                <w:szCs w:val="19"/>
                <w:color w:val="auto"/>
              </w:rPr>
              <w:t>(80,604)</w:t>
            </w:r>
          </w:p>
        </w:tc>
        <w:tc>
          <w:tcPr>
            <w:tcW w:w="140" w:type="dxa"/>
            <w:vAlign w:val="bottom"/>
            <w:shd w:val="clear" w:color="auto" w:fill="D4EEED"/>
          </w:tcPr>
          <w:p>
            <w:pPr>
              <w:spacing w:after="0"/>
              <w:rPr>
                <w:sz w:val="21"/>
                <w:szCs w:val="21"/>
                <w:color w:val="auto"/>
              </w:rPr>
            </w:pPr>
          </w:p>
        </w:tc>
        <w:tc>
          <w:tcPr>
            <w:tcW w:w="1160" w:type="dxa"/>
            <w:vAlign w:val="bottom"/>
            <w:gridSpan w:val="2"/>
            <w:shd w:val="clear" w:color="auto" w:fill="D4EEED"/>
          </w:tcPr>
          <w:p>
            <w:pPr>
              <w:jc w:val="right"/>
              <w:ind w:right="28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shd w:val="clear" w:color="auto" w:fill="D4EEED"/>
          </w:tcPr>
          <w:p>
            <w:pPr>
              <w:spacing w:after="0"/>
              <w:rPr>
                <w:sz w:val="21"/>
                <w:szCs w:val="21"/>
                <w:color w:val="auto"/>
              </w:rPr>
            </w:pPr>
          </w:p>
        </w:tc>
        <w:tc>
          <w:tcPr>
            <w:tcW w:w="960" w:type="dxa"/>
            <w:vAlign w:val="bottom"/>
            <w:gridSpan w:val="2"/>
            <w:shd w:val="clear" w:color="auto" w:fill="D4EEED"/>
          </w:tcPr>
          <w:p>
            <w:pPr>
              <w:jc w:val="right"/>
              <w:ind w:right="60"/>
              <w:spacing w:after="0"/>
              <w:rPr>
                <w:sz w:val="20"/>
                <w:szCs w:val="20"/>
                <w:color w:val="auto"/>
              </w:rPr>
            </w:pPr>
            <w:r>
              <w:rPr>
                <w:rFonts w:ascii="Times New Roman" w:cs="Times New Roman" w:eastAsia="Times New Roman" w:hAnsi="Times New Roman"/>
                <w:sz w:val="19"/>
                <w:szCs w:val="19"/>
                <w:color w:val="auto"/>
              </w:rPr>
              <w:t>(80,604)</w:t>
            </w:r>
          </w:p>
        </w:tc>
      </w:tr>
      <w:tr>
        <w:trPr>
          <w:trHeight w:val="222"/>
        </w:trPr>
        <w:tc>
          <w:tcPr>
            <w:tcW w:w="5360" w:type="dxa"/>
            <w:vAlign w:val="bottom"/>
            <w:tcBorders>
              <w:top w:val="single" w:sz="8" w:color="FEFEFE"/>
            </w:tcBorders>
            <w:gridSpan w:val="2"/>
            <w:shd w:val="clear" w:color="auto" w:fill="FEFEFE"/>
          </w:tcPr>
          <w:p>
            <w:pPr>
              <w:spacing w:after="0"/>
              <w:rPr>
                <w:sz w:val="20"/>
                <w:szCs w:val="20"/>
                <w:color w:val="auto"/>
              </w:rPr>
            </w:pPr>
            <w:r>
              <w:rPr>
                <w:rFonts w:ascii="Times New Roman" w:cs="Times New Roman" w:eastAsia="Times New Roman" w:hAnsi="Times New Roman"/>
                <w:sz w:val="19"/>
                <w:szCs w:val="19"/>
                <w:b w:val="1"/>
                <w:bCs w:val="1"/>
                <w:color w:val="auto"/>
              </w:rPr>
              <w:t>Balances as of December 31, 2024</w:t>
            </w:r>
          </w:p>
        </w:tc>
        <w:tc>
          <w:tcPr>
            <w:tcW w:w="10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63,815,065</w:t>
            </w:r>
          </w:p>
        </w:tc>
        <w:tc>
          <w:tcPr>
            <w:tcW w:w="260" w:type="dxa"/>
            <w:vAlign w:val="bottom"/>
            <w:tcBorders>
              <w:top w:val="single" w:sz="8" w:color="FEFEFE"/>
            </w:tcBorders>
            <w:shd w:val="clear" w:color="auto" w:fill="FEFEFE"/>
          </w:tcPr>
          <w:p>
            <w:pPr>
              <w:spacing w:after="0"/>
              <w:rPr>
                <w:sz w:val="19"/>
                <w:szCs w:val="19"/>
                <w:color w:val="auto"/>
              </w:rPr>
            </w:pPr>
          </w:p>
        </w:tc>
        <w:tc>
          <w:tcPr>
            <w:tcW w:w="1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64</w:t>
            </w:r>
          </w:p>
        </w:tc>
        <w:tc>
          <w:tcPr>
            <w:tcW w:w="260" w:type="dxa"/>
            <w:vAlign w:val="bottom"/>
            <w:tcBorders>
              <w:top w:val="single" w:sz="8" w:color="FEFEFE"/>
            </w:tcBorders>
            <w:shd w:val="clear" w:color="auto" w:fill="FEFEFE"/>
          </w:tcPr>
          <w:p>
            <w:pPr>
              <w:spacing w:after="0"/>
              <w:rPr>
                <w:sz w:val="19"/>
                <w:szCs w:val="19"/>
                <w:color w:val="auto"/>
              </w:rPr>
            </w:pPr>
          </w:p>
        </w:tc>
        <w:tc>
          <w:tcPr>
            <w:tcW w:w="1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9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rPr>
              <w:t>440,758</w:t>
            </w:r>
          </w:p>
        </w:tc>
        <w:tc>
          <w:tcPr>
            <w:tcW w:w="260" w:type="dxa"/>
            <w:vAlign w:val="bottom"/>
            <w:tcBorders>
              <w:top w:val="single" w:sz="8" w:color="FEFEFE"/>
            </w:tcBorders>
            <w:shd w:val="clear" w:color="auto" w:fill="FEFEFE"/>
          </w:tcPr>
          <w:p>
            <w:pPr>
              <w:spacing w:after="0"/>
              <w:rPr>
                <w:sz w:val="19"/>
                <w:szCs w:val="19"/>
                <w:color w:val="auto"/>
              </w:rPr>
            </w:pPr>
          </w:p>
        </w:tc>
        <w:tc>
          <w:tcPr>
            <w:tcW w:w="200" w:type="dxa"/>
            <w:vAlign w:val="bottom"/>
            <w:tcBorders>
              <w:top w:val="single" w:sz="8" w:color="auto"/>
              <w:bottom w:val="single" w:sz="8" w:color="auto"/>
            </w:tcBorders>
            <w:shd w:val="clear" w:color="auto" w:fill="FEFEFE"/>
          </w:tcPr>
          <w:p>
            <w:pPr>
              <w:jc w:val="right"/>
              <w:ind w:right="12"/>
              <w:spacing w:after="0"/>
              <w:rPr>
                <w:sz w:val="20"/>
                <w:szCs w:val="20"/>
                <w:color w:val="auto"/>
              </w:rPr>
            </w:pPr>
            <w:r>
              <w:rPr>
                <w:rFonts w:ascii="Times New Roman" w:cs="Times New Roman" w:eastAsia="Times New Roman" w:hAnsi="Times New Roman"/>
                <w:sz w:val="19"/>
                <w:szCs w:val="19"/>
                <w:color w:val="auto"/>
                <w:highlight w:val="white"/>
                <w:w w:val="83"/>
              </w:rPr>
              <w:t>$</w:t>
            </w:r>
          </w:p>
        </w:tc>
        <w:tc>
          <w:tcPr>
            <w:tcW w:w="8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rPr>
              <w:t>(269,158</w:t>
            </w:r>
          </w:p>
        </w:tc>
        <w:tc>
          <w:tcPr>
            <w:tcW w:w="260" w:type="dxa"/>
            <w:vAlign w:val="bottom"/>
            <w:tcBorders>
              <w:top w:val="single" w:sz="8" w:color="FEFEFE"/>
            </w:tcBorders>
            <w:shd w:val="clear" w:color="auto" w:fill="FEFEFE"/>
          </w:tcPr>
          <w:p>
            <w:pPr>
              <w:jc w:val="right"/>
              <w:ind w:right="85"/>
              <w:spacing w:after="0"/>
              <w:rPr>
                <w:sz w:val="20"/>
                <w:szCs w:val="20"/>
                <w:color w:val="auto"/>
              </w:rPr>
            </w:pPr>
            <w:r>
              <w:rPr>
                <w:rFonts w:ascii="Times New Roman" w:cs="Times New Roman" w:eastAsia="Times New Roman" w:hAnsi="Times New Roman"/>
                <w:sz w:val="19"/>
                <w:szCs w:val="19"/>
                <w:color w:val="auto"/>
                <w:w w:val="94"/>
              </w:rPr>
              <w:t>)</w:t>
            </w:r>
          </w:p>
        </w:tc>
        <w:tc>
          <w:tcPr>
            <w:tcW w:w="1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w w:val="83"/>
              </w:rPr>
              <w:t>$</w:t>
            </w:r>
          </w:p>
        </w:tc>
        <w:tc>
          <w:tcPr>
            <w:tcW w:w="90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rPr>
              <w:t>148</w:t>
            </w:r>
          </w:p>
        </w:tc>
        <w:tc>
          <w:tcPr>
            <w:tcW w:w="260" w:type="dxa"/>
            <w:vAlign w:val="bottom"/>
            <w:tcBorders>
              <w:top w:val="single" w:sz="8" w:color="FEFEFE"/>
            </w:tcBorders>
            <w:shd w:val="clear" w:color="auto" w:fill="FEFEFE"/>
          </w:tcPr>
          <w:p>
            <w:pPr>
              <w:spacing w:after="0"/>
              <w:rPr>
                <w:sz w:val="19"/>
                <w:szCs w:val="19"/>
                <w:color w:val="auto"/>
              </w:rPr>
            </w:pPr>
          </w:p>
        </w:tc>
        <w:tc>
          <w:tcPr>
            <w:tcW w:w="200" w:type="dxa"/>
            <w:vAlign w:val="bottom"/>
            <w:tcBorders>
              <w:top w:val="single" w:sz="8" w:color="auto"/>
              <w:bottom w:val="single" w:sz="8" w:color="auto"/>
            </w:tcBorders>
            <w:shd w:val="clear" w:color="auto" w:fill="FEFEFE"/>
          </w:tcPr>
          <w:p>
            <w:pPr>
              <w:jc w:val="right"/>
              <w:ind w:right="12"/>
              <w:spacing w:after="0"/>
              <w:rPr>
                <w:sz w:val="20"/>
                <w:szCs w:val="20"/>
                <w:color w:val="auto"/>
              </w:rPr>
            </w:pPr>
            <w:r>
              <w:rPr>
                <w:rFonts w:ascii="Times New Roman" w:cs="Times New Roman" w:eastAsia="Times New Roman" w:hAnsi="Times New Roman"/>
                <w:sz w:val="19"/>
                <w:szCs w:val="19"/>
                <w:color w:val="auto"/>
                <w:highlight w:val="white"/>
                <w:w w:val="83"/>
              </w:rPr>
              <w:t>$</w:t>
            </w:r>
          </w:p>
        </w:tc>
        <w:tc>
          <w:tcPr>
            <w:tcW w:w="8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9"/>
                <w:szCs w:val="19"/>
                <w:color w:val="auto"/>
                <w:highlight w:val="white"/>
              </w:rPr>
              <w:t>171,812</w:t>
            </w:r>
          </w:p>
        </w:tc>
        <w:tc>
          <w:tcPr>
            <w:tcW w:w="120" w:type="dxa"/>
            <w:vAlign w:val="bottom"/>
            <w:tcBorders>
              <w:top w:val="single" w:sz="8" w:color="FEFEFE"/>
            </w:tcBorders>
            <w:shd w:val="clear" w:color="auto" w:fill="FEFEFE"/>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3"/>
        </w:trPr>
        <w:tc>
          <w:tcPr>
            <w:tcW w:w="5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98"/>
        </w:trPr>
        <w:tc>
          <w:tcPr>
            <w:tcW w:w="528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0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90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90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200" w:type="dxa"/>
            <w:vAlign w:val="bottom"/>
            <w:shd w:val="clear" w:color="auto" w:fill="FEFEFE"/>
          </w:tcPr>
          <w:p>
            <w:pPr>
              <w:spacing w:after="0"/>
              <w:rPr>
                <w:sz w:val="17"/>
                <w:szCs w:val="17"/>
                <w:color w:val="auto"/>
              </w:rPr>
            </w:pPr>
          </w:p>
        </w:tc>
        <w:tc>
          <w:tcPr>
            <w:tcW w:w="8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300" w:type="dxa"/>
            <w:vAlign w:val="bottom"/>
            <w:gridSpan w:val="3"/>
            <w:shd w:val="clear" w:color="auto" w:fill="FEFEFE"/>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00" w:type="dxa"/>
            <w:vAlign w:val="bottom"/>
            <w:shd w:val="clear" w:color="auto" w:fill="FEFEFE"/>
          </w:tcPr>
          <w:p>
            <w:pPr>
              <w:spacing w:after="0"/>
              <w:rPr>
                <w:sz w:val="17"/>
                <w:szCs w:val="17"/>
                <w:color w:val="auto"/>
              </w:rPr>
            </w:pPr>
          </w:p>
        </w:tc>
        <w:tc>
          <w:tcPr>
            <w:tcW w:w="84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r>
      <w:tr>
        <w:trPr>
          <w:trHeight w:val="206"/>
        </w:trPr>
        <w:tc>
          <w:tcPr>
            <w:tcW w:w="528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0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90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20" w:type="dxa"/>
            <w:vAlign w:val="bottom"/>
            <w:shd w:val="clear" w:color="auto" w:fill="FEFEFE"/>
          </w:tcPr>
          <w:p>
            <w:pPr>
              <w:spacing w:after="0"/>
              <w:rPr>
                <w:sz w:val="17"/>
                <w:szCs w:val="17"/>
                <w:color w:val="auto"/>
              </w:rPr>
            </w:pPr>
          </w:p>
        </w:tc>
        <w:tc>
          <w:tcPr>
            <w:tcW w:w="1160" w:type="dxa"/>
            <w:vAlign w:val="bottom"/>
            <w:gridSpan w:val="2"/>
            <w:shd w:val="clear" w:color="auto" w:fill="FEFEFE"/>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200" w:type="dxa"/>
            <w:vAlign w:val="bottom"/>
            <w:shd w:val="clear" w:color="auto" w:fill="FEFEFE"/>
          </w:tcPr>
          <w:p>
            <w:pPr>
              <w:spacing w:after="0"/>
              <w:rPr>
                <w:sz w:val="17"/>
                <w:szCs w:val="17"/>
                <w:color w:val="auto"/>
              </w:rPr>
            </w:pPr>
          </w:p>
        </w:tc>
        <w:tc>
          <w:tcPr>
            <w:tcW w:w="820" w:type="dxa"/>
            <w:vAlign w:val="bottom"/>
            <w:shd w:val="clear" w:color="auto" w:fill="FEFEFE"/>
          </w:tcPr>
          <w:p>
            <w:pPr>
              <w:spacing w:after="0"/>
              <w:rPr>
                <w:sz w:val="17"/>
                <w:szCs w:val="17"/>
                <w:color w:val="auto"/>
              </w:rPr>
            </w:pPr>
          </w:p>
        </w:tc>
        <w:tc>
          <w:tcPr>
            <w:tcW w:w="2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160" w:type="dxa"/>
            <w:vAlign w:val="bottom"/>
            <w:gridSpan w:val="2"/>
            <w:shd w:val="clear" w:color="auto" w:fill="FEFEFE"/>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00" w:type="dxa"/>
            <w:vAlign w:val="bottom"/>
            <w:shd w:val="clear" w:color="auto" w:fill="FEFEFE"/>
          </w:tcPr>
          <w:p>
            <w:pPr>
              <w:spacing w:after="0"/>
              <w:rPr>
                <w:sz w:val="17"/>
                <w:szCs w:val="17"/>
                <w:color w:val="auto"/>
              </w:rPr>
            </w:pPr>
          </w:p>
        </w:tc>
        <w:tc>
          <w:tcPr>
            <w:tcW w:w="960" w:type="dxa"/>
            <w:vAlign w:val="bottom"/>
            <w:gridSpan w:val="2"/>
            <w:shd w:val="clear" w:color="auto" w:fill="FEFEFE"/>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190"/>
        </w:trPr>
        <w:tc>
          <w:tcPr>
            <w:tcW w:w="5280" w:type="dxa"/>
            <w:vAlign w:val="bottom"/>
            <w:tcBorders>
              <w:bottom w:val="single" w:sz="8" w:color="FEFEFE"/>
            </w:tcBorders>
            <w:shd w:val="clear" w:color="auto" w:fill="FEFEFE"/>
          </w:tcPr>
          <w:p>
            <w:pPr>
              <w:spacing w:after="0"/>
              <w:rPr>
                <w:sz w:val="16"/>
                <w:szCs w:val="16"/>
                <w:color w:val="auto"/>
              </w:rPr>
            </w:pPr>
          </w:p>
        </w:tc>
        <w:tc>
          <w:tcPr>
            <w:tcW w:w="80" w:type="dxa"/>
            <w:vAlign w:val="bottom"/>
            <w:tcBorders>
              <w:bottom w:val="single" w:sz="8" w:color="auto"/>
            </w:tcBorders>
            <w:shd w:val="clear" w:color="auto" w:fill="FEFEFE"/>
          </w:tcPr>
          <w:p>
            <w:pPr>
              <w:spacing w:after="0"/>
              <w:rPr>
                <w:sz w:val="16"/>
                <w:szCs w:val="16"/>
                <w:color w:val="auto"/>
              </w:rPr>
            </w:pPr>
          </w:p>
        </w:tc>
        <w:tc>
          <w:tcPr>
            <w:tcW w:w="2320" w:type="dxa"/>
            <w:vAlign w:val="bottom"/>
            <w:tcBorders>
              <w:bottom w:val="single" w:sz="8" w:color="auto"/>
            </w:tcBorders>
            <w:gridSpan w:val="4"/>
            <w:shd w:val="clear" w:color="auto" w:fill="FEFEFE"/>
          </w:tcPr>
          <w:p>
            <w:pPr>
              <w:jc w:val="right"/>
              <w:ind w:right="626"/>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Borders>
              <w:bottom w:val="single" w:sz="8" w:color="FEFEFE"/>
            </w:tcBorders>
            <w:shd w:val="clear" w:color="auto" w:fill="FEFEFE"/>
          </w:tcPr>
          <w:p>
            <w:pPr>
              <w:spacing w:after="0"/>
              <w:rPr>
                <w:sz w:val="16"/>
                <w:szCs w:val="16"/>
                <w:color w:val="auto"/>
              </w:rPr>
            </w:pPr>
          </w:p>
        </w:tc>
        <w:tc>
          <w:tcPr>
            <w:tcW w:w="120" w:type="dxa"/>
            <w:vAlign w:val="bottom"/>
            <w:tcBorders>
              <w:bottom w:val="single" w:sz="8" w:color="FEFEFE"/>
            </w:tcBorders>
            <w:shd w:val="clear" w:color="auto" w:fill="FEFEFE"/>
          </w:tcPr>
          <w:p>
            <w:pPr>
              <w:spacing w:after="0"/>
              <w:rPr>
                <w:sz w:val="16"/>
                <w:szCs w:val="16"/>
                <w:color w:val="auto"/>
              </w:rPr>
            </w:pPr>
          </w:p>
        </w:tc>
        <w:tc>
          <w:tcPr>
            <w:tcW w:w="1160" w:type="dxa"/>
            <w:vAlign w:val="bottom"/>
            <w:tcBorders>
              <w:bottom w:val="single" w:sz="8" w:color="FEFEFE"/>
            </w:tcBorders>
            <w:gridSpan w:val="2"/>
            <w:shd w:val="clear" w:color="auto" w:fill="FEFEFE"/>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280" w:type="dxa"/>
            <w:vAlign w:val="bottom"/>
            <w:tcBorders>
              <w:bottom w:val="single" w:sz="8" w:color="FEFEFE"/>
            </w:tcBorders>
            <w:gridSpan w:val="3"/>
            <w:shd w:val="clear" w:color="auto" w:fill="FEFEFE"/>
          </w:tcPr>
          <w:p>
            <w:pPr>
              <w:jc w:val="center"/>
              <w:ind w:right="165"/>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300" w:type="dxa"/>
            <w:vAlign w:val="bottom"/>
            <w:tcBorders>
              <w:bottom w:val="single" w:sz="8" w:color="FEFEFE"/>
            </w:tcBorders>
            <w:gridSpan w:val="3"/>
            <w:shd w:val="clear" w:color="auto" w:fill="FEFEFE"/>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160" w:type="dxa"/>
            <w:vAlign w:val="bottom"/>
            <w:tcBorders>
              <w:bottom w:val="single" w:sz="8" w:color="FEFEFE"/>
            </w:tcBorders>
            <w:gridSpan w:val="3"/>
            <w:shd w:val="clear" w:color="auto" w:fill="FEFEFE"/>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Stockholders’</w:t>
            </w:r>
          </w:p>
        </w:tc>
      </w:tr>
      <w:tr>
        <w:trPr>
          <w:trHeight w:val="188"/>
        </w:trPr>
        <w:tc>
          <w:tcPr>
            <w:tcW w:w="5280" w:type="dxa"/>
            <w:vAlign w:val="bottom"/>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1020" w:type="dxa"/>
            <w:vAlign w:val="bottom"/>
            <w:shd w:val="clear" w:color="auto" w:fill="FEFEFE"/>
          </w:tcPr>
          <w:p>
            <w:pPr>
              <w:jc w:val="right"/>
              <w:ind w:right="248"/>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6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900" w:type="dxa"/>
            <w:vAlign w:val="bottom"/>
            <w:shd w:val="clear" w:color="auto" w:fill="FEFEFE"/>
          </w:tcPr>
          <w:p>
            <w:pPr>
              <w:jc w:val="right"/>
              <w:ind w:right="106"/>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26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1160" w:type="dxa"/>
            <w:vAlign w:val="bottom"/>
            <w:gridSpan w:val="2"/>
            <w:shd w:val="clear" w:color="auto" w:fill="FEFEFE"/>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shd w:val="clear" w:color="auto" w:fill="FEFEFE"/>
          </w:tcPr>
          <w:p>
            <w:pPr>
              <w:spacing w:after="0"/>
              <w:rPr>
                <w:sz w:val="16"/>
                <w:szCs w:val="16"/>
                <w:color w:val="auto"/>
              </w:rPr>
            </w:pPr>
          </w:p>
        </w:tc>
        <w:tc>
          <w:tcPr>
            <w:tcW w:w="1080" w:type="dxa"/>
            <w:vAlign w:val="bottom"/>
            <w:gridSpan w:val="2"/>
            <w:shd w:val="clear" w:color="auto" w:fill="FEFEFE"/>
          </w:tcPr>
          <w:p>
            <w:pPr>
              <w:jc w:val="center"/>
              <w:ind w:right="365"/>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140" w:type="dxa"/>
            <w:vAlign w:val="bottom"/>
            <w:shd w:val="clear" w:color="auto" w:fill="FEFEFE"/>
          </w:tcPr>
          <w:p>
            <w:pPr>
              <w:spacing w:after="0"/>
              <w:rPr>
                <w:sz w:val="16"/>
                <w:szCs w:val="16"/>
                <w:color w:val="auto"/>
              </w:rPr>
            </w:pPr>
          </w:p>
        </w:tc>
        <w:tc>
          <w:tcPr>
            <w:tcW w:w="1160" w:type="dxa"/>
            <w:vAlign w:val="bottom"/>
            <w:gridSpan w:val="2"/>
            <w:shd w:val="clear" w:color="auto" w:fill="FEFEFE"/>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9"/>
              </w:rPr>
              <w:t>Gain (Loss)</w:t>
            </w:r>
          </w:p>
        </w:tc>
        <w:tc>
          <w:tcPr>
            <w:tcW w:w="200" w:type="dxa"/>
            <w:vAlign w:val="bottom"/>
            <w:shd w:val="clear" w:color="auto" w:fill="FEFEFE"/>
          </w:tcPr>
          <w:p>
            <w:pPr>
              <w:spacing w:after="0"/>
              <w:rPr>
                <w:sz w:val="16"/>
                <w:szCs w:val="16"/>
                <w:color w:val="auto"/>
              </w:rPr>
            </w:pPr>
          </w:p>
        </w:tc>
        <w:tc>
          <w:tcPr>
            <w:tcW w:w="960" w:type="dxa"/>
            <w:vAlign w:val="bottom"/>
            <w:gridSpan w:val="2"/>
            <w:shd w:val="clear" w:color="auto" w:fill="FEFEFE"/>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6"/>
              </w:rPr>
              <w:t>Equity</w:t>
            </w:r>
          </w:p>
        </w:tc>
      </w:tr>
      <w:tr>
        <w:trPr>
          <w:trHeight w:val="222"/>
        </w:trPr>
        <w:tc>
          <w:tcPr>
            <w:tcW w:w="5280" w:type="dxa"/>
            <w:vAlign w:val="bottom"/>
            <w:tcBorders>
              <w:top w:val="single" w:sz="8" w:color="D4EEED"/>
            </w:tcBorders>
            <w:shd w:val="clear" w:color="auto" w:fill="D4EEED"/>
          </w:tcPr>
          <w:p>
            <w:pPr>
              <w:spacing w:after="0"/>
              <w:rPr>
                <w:sz w:val="20"/>
                <w:szCs w:val="20"/>
                <w:color w:val="auto"/>
              </w:rPr>
            </w:pPr>
            <w:r>
              <w:rPr>
                <w:rFonts w:ascii="Times New Roman" w:cs="Times New Roman" w:eastAsia="Times New Roman" w:hAnsi="Times New Roman"/>
                <w:sz w:val="19"/>
                <w:szCs w:val="19"/>
                <w:b w:val="1"/>
                <w:bCs w:val="1"/>
                <w:color w:val="auto"/>
              </w:rPr>
              <w:t>Balances as of December 31, 2022</w:t>
            </w:r>
          </w:p>
        </w:tc>
        <w:tc>
          <w:tcPr>
            <w:tcW w:w="80" w:type="dxa"/>
            <w:vAlign w:val="bottom"/>
            <w:tcBorders>
              <w:top w:val="single" w:sz="8" w:color="auto"/>
            </w:tcBorders>
            <w:shd w:val="clear" w:color="auto" w:fill="D4EEED"/>
          </w:tcPr>
          <w:p>
            <w:pPr>
              <w:spacing w:after="0"/>
              <w:rPr>
                <w:sz w:val="19"/>
                <w:szCs w:val="19"/>
                <w:color w:val="auto"/>
              </w:rPr>
            </w:pPr>
          </w:p>
        </w:tc>
        <w:tc>
          <w:tcPr>
            <w:tcW w:w="102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43,269,200</w:t>
            </w:r>
          </w:p>
        </w:tc>
        <w:tc>
          <w:tcPr>
            <w:tcW w:w="260" w:type="dxa"/>
            <w:vAlign w:val="bottom"/>
            <w:tcBorders>
              <w:top w:val="single" w:sz="8" w:color="D4EEED"/>
            </w:tcBorders>
            <w:shd w:val="clear" w:color="auto" w:fill="D4EEED"/>
          </w:tcPr>
          <w:p>
            <w:pPr>
              <w:spacing w:after="0"/>
              <w:rPr>
                <w:sz w:val="19"/>
                <w:szCs w:val="19"/>
                <w:color w:val="auto"/>
              </w:rPr>
            </w:pPr>
          </w:p>
        </w:tc>
        <w:tc>
          <w:tcPr>
            <w:tcW w:w="14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0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260" w:type="dxa"/>
            <w:vAlign w:val="bottom"/>
            <w:tcBorders>
              <w:top w:val="single" w:sz="8" w:color="D4EEED"/>
            </w:tcBorders>
            <w:shd w:val="clear" w:color="auto" w:fill="D4EEED"/>
          </w:tcPr>
          <w:p>
            <w:pPr>
              <w:spacing w:after="0"/>
              <w:rPr>
                <w:sz w:val="19"/>
                <w:szCs w:val="19"/>
                <w:color w:val="auto"/>
              </w:rPr>
            </w:pPr>
          </w:p>
        </w:tc>
        <w:tc>
          <w:tcPr>
            <w:tcW w:w="12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EED"/>
              </w:rPr>
              <w:t>$</w:t>
            </w:r>
          </w:p>
        </w:tc>
        <w:tc>
          <w:tcPr>
            <w:tcW w:w="90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shd w:val="clear" w:color="auto" w:fill="D4EEED"/>
              </w:rPr>
              <w:t>262,496</w:t>
            </w:r>
          </w:p>
        </w:tc>
        <w:tc>
          <w:tcPr>
            <w:tcW w:w="260" w:type="dxa"/>
            <w:vAlign w:val="bottom"/>
            <w:tcBorders>
              <w:top w:val="single" w:sz="8" w:color="D4EEED"/>
            </w:tcBorders>
            <w:shd w:val="clear" w:color="auto" w:fill="D4EEED"/>
          </w:tcPr>
          <w:p>
            <w:pPr>
              <w:spacing w:after="0"/>
              <w:rPr>
                <w:sz w:val="19"/>
                <w:szCs w:val="19"/>
                <w:color w:val="auto"/>
              </w:rPr>
            </w:pPr>
          </w:p>
        </w:tc>
        <w:tc>
          <w:tcPr>
            <w:tcW w:w="200" w:type="dxa"/>
            <w:vAlign w:val="bottom"/>
            <w:tcBorders>
              <w:top w:val="single" w:sz="8" w:color="auto"/>
            </w:tcBorders>
            <w:shd w:val="clear" w:color="auto" w:fill="D4EEED"/>
          </w:tcPr>
          <w:p>
            <w:pPr>
              <w:jc w:val="right"/>
              <w:ind w:right="12"/>
              <w:spacing w:after="0"/>
              <w:rPr>
                <w:sz w:val="20"/>
                <w:szCs w:val="20"/>
                <w:color w:val="auto"/>
              </w:rPr>
            </w:pPr>
            <w:r>
              <w:rPr>
                <w:rFonts w:ascii="Times New Roman" w:cs="Times New Roman" w:eastAsia="Times New Roman" w:hAnsi="Times New Roman"/>
                <w:sz w:val="19"/>
                <w:szCs w:val="19"/>
                <w:color w:val="auto"/>
                <w:w w:val="83"/>
                <w:shd w:val="clear" w:color="auto" w:fill="D4EEED"/>
              </w:rPr>
              <w:t>$</w:t>
            </w:r>
          </w:p>
        </w:tc>
        <w:tc>
          <w:tcPr>
            <w:tcW w:w="82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shd w:val="clear" w:color="auto" w:fill="D4EEED"/>
              </w:rPr>
              <w:t>(151,605</w:t>
            </w:r>
          </w:p>
        </w:tc>
        <w:tc>
          <w:tcPr>
            <w:tcW w:w="260" w:type="dxa"/>
            <w:vAlign w:val="bottom"/>
            <w:tcBorders>
              <w:top w:val="single" w:sz="8" w:color="D4EEED"/>
            </w:tcBorders>
            <w:shd w:val="clear" w:color="auto" w:fill="D4EEED"/>
          </w:tcPr>
          <w:p>
            <w:pPr>
              <w:jc w:val="right"/>
              <w:ind w:right="85"/>
              <w:spacing w:after="0"/>
              <w:rPr>
                <w:sz w:val="20"/>
                <w:szCs w:val="20"/>
                <w:color w:val="auto"/>
              </w:rPr>
            </w:pPr>
            <w:r>
              <w:rPr>
                <w:rFonts w:ascii="Times New Roman" w:cs="Times New Roman" w:eastAsia="Times New Roman" w:hAnsi="Times New Roman"/>
                <w:sz w:val="19"/>
                <w:szCs w:val="19"/>
                <w:color w:val="auto"/>
                <w:w w:val="94"/>
              </w:rPr>
              <w:t>)</w:t>
            </w:r>
          </w:p>
        </w:tc>
        <w:tc>
          <w:tcPr>
            <w:tcW w:w="14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w w:val="83"/>
                <w:shd w:val="clear" w:color="auto" w:fill="D4EEED"/>
              </w:rPr>
              <w:t>$</w:t>
            </w:r>
          </w:p>
        </w:tc>
        <w:tc>
          <w:tcPr>
            <w:tcW w:w="90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260" w:type="dxa"/>
            <w:vAlign w:val="bottom"/>
            <w:tcBorders>
              <w:top w:val="single" w:sz="8" w:color="D4EEED"/>
            </w:tcBorders>
            <w:shd w:val="clear" w:color="auto" w:fill="D4EEED"/>
          </w:tcPr>
          <w:p>
            <w:pPr>
              <w:spacing w:after="0"/>
              <w:rPr>
                <w:sz w:val="19"/>
                <w:szCs w:val="19"/>
                <w:color w:val="auto"/>
              </w:rPr>
            </w:pPr>
          </w:p>
        </w:tc>
        <w:tc>
          <w:tcPr>
            <w:tcW w:w="200" w:type="dxa"/>
            <w:vAlign w:val="bottom"/>
            <w:tcBorders>
              <w:top w:val="single" w:sz="8" w:color="auto"/>
            </w:tcBorders>
            <w:shd w:val="clear" w:color="auto" w:fill="D4EEED"/>
          </w:tcPr>
          <w:p>
            <w:pPr>
              <w:jc w:val="right"/>
              <w:ind w:right="12"/>
              <w:spacing w:after="0"/>
              <w:rPr>
                <w:sz w:val="20"/>
                <w:szCs w:val="20"/>
                <w:color w:val="auto"/>
              </w:rPr>
            </w:pPr>
            <w:r>
              <w:rPr>
                <w:rFonts w:ascii="Times New Roman" w:cs="Times New Roman" w:eastAsia="Times New Roman" w:hAnsi="Times New Roman"/>
                <w:sz w:val="19"/>
                <w:szCs w:val="19"/>
                <w:color w:val="auto"/>
                <w:w w:val="83"/>
                <w:shd w:val="clear" w:color="auto" w:fill="D4EEED"/>
              </w:rPr>
              <w:t>$</w:t>
            </w:r>
          </w:p>
        </w:tc>
        <w:tc>
          <w:tcPr>
            <w:tcW w:w="84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shd w:val="clear" w:color="auto" w:fill="D4EEED"/>
              </w:rPr>
              <w:t>110,903</w:t>
            </w:r>
          </w:p>
        </w:tc>
        <w:tc>
          <w:tcPr>
            <w:tcW w:w="120" w:type="dxa"/>
            <w:vAlign w:val="bottom"/>
            <w:tcBorders>
              <w:top w:val="single" w:sz="8" w:color="D4EEED"/>
            </w:tcBorders>
            <w:shd w:val="clear" w:color="auto" w:fill="D4EEED"/>
          </w:tcPr>
          <w:p>
            <w:pPr>
              <w:spacing w:after="0"/>
              <w:rPr>
                <w:sz w:val="19"/>
                <w:szCs w:val="19"/>
                <w:color w:val="auto"/>
              </w:rPr>
            </w:pPr>
          </w:p>
        </w:tc>
      </w:tr>
      <w:tr>
        <w:trPr>
          <w:trHeight w:val="244"/>
        </w:trPr>
        <w:tc>
          <w:tcPr>
            <w:tcW w:w="528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8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7,615</w:t>
            </w:r>
          </w:p>
        </w:tc>
        <w:tc>
          <w:tcPr>
            <w:tcW w:w="2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7,615</w:t>
            </w:r>
          </w:p>
        </w:tc>
        <w:tc>
          <w:tcPr>
            <w:tcW w:w="120" w:type="dxa"/>
            <w:vAlign w:val="bottom"/>
            <w:shd w:val="clear" w:color="auto" w:fill="FEFEFE"/>
          </w:tcPr>
          <w:p>
            <w:pPr>
              <w:spacing w:after="0"/>
              <w:rPr>
                <w:sz w:val="21"/>
                <w:szCs w:val="21"/>
                <w:color w:val="auto"/>
              </w:rPr>
            </w:pPr>
          </w:p>
        </w:tc>
      </w:tr>
      <w:tr>
        <w:trPr>
          <w:trHeight w:val="244"/>
        </w:trPr>
        <w:tc>
          <w:tcPr>
            <w:tcW w:w="5360" w:type="dxa"/>
            <w:vAlign w:val="bottom"/>
            <w:gridSpan w:val="2"/>
            <w:shd w:val="clear" w:color="auto" w:fill="D4EEED"/>
          </w:tcPr>
          <w:p>
            <w:pPr>
              <w:ind w:left="100"/>
              <w:spacing w:after="0"/>
              <w:rPr>
                <w:sz w:val="20"/>
                <w:szCs w:val="20"/>
                <w:color w:val="auto"/>
              </w:rPr>
            </w:pPr>
            <w:r>
              <w:rPr>
                <w:rFonts w:ascii="Times New Roman" w:cs="Times New Roman" w:eastAsia="Times New Roman" w:hAnsi="Times New Roman"/>
                <w:sz w:val="20"/>
                <w:szCs w:val="20"/>
                <w:color w:val="auto"/>
              </w:rPr>
              <w:t>Exercise of stock options</w:t>
            </w:r>
          </w:p>
        </w:tc>
        <w:tc>
          <w:tcPr>
            <w:tcW w:w="10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11,466</w:t>
            </w:r>
          </w:p>
        </w:tc>
        <w:tc>
          <w:tcPr>
            <w:tcW w:w="26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90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90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6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080" w:type="dxa"/>
            <w:vAlign w:val="bottom"/>
            <w:gridSpan w:val="2"/>
            <w:shd w:val="clear" w:color="auto" w:fill="D4EEED"/>
          </w:tcPr>
          <w:p>
            <w:pPr>
              <w:jc w:val="right"/>
              <w:ind w:right="165"/>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4EEED"/>
          </w:tcPr>
          <w:p>
            <w:pPr>
              <w:spacing w:after="0"/>
              <w:rPr>
                <w:sz w:val="21"/>
                <w:szCs w:val="21"/>
                <w:color w:val="auto"/>
              </w:rPr>
            </w:pPr>
          </w:p>
        </w:tc>
        <w:tc>
          <w:tcPr>
            <w:tcW w:w="1160" w:type="dxa"/>
            <w:vAlign w:val="bottom"/>
            <w:gridSpan w:val="2"/>
            <w:shd w:val="clear" w:color="auto" w:fill="D4EEED"/>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EED"/>
          </w:tcPr>
          <w:p>
            <w:pPr>
              <w:spacing w:after="0"/>
              <w:rPr>
                <w:sz w:val="21"/>
                <w:szCs w:val="21"/>
                <w:color w:val="auto"/>
              </w:rPr>
            </w:pPr>
          </w:p>
        </w:tc>
        <w:tc>
          <w:tcPr>
            <w:tcW w:w="84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20" w:type="dxa"/>
            <w:vAlign w:val="bottom"/>
            <w:shd w:val="clear" w:color="auto" w:fill="D4EEED"/>
          </w:tcPr>
          <w:p>
            <w:pPr>
              <w:spacing w:after="0"/>
              <w:rPr>
                <w:sz w:val="21"/>
                <w:szCs w:val="21"/>
                <w:color w:val="auto"/>
              </w:rPr>
            </w:pPr>
          </w:p>
        </w:tc>
      </w:tr>
      <w:tr>
        <w:trPr>
          <w:trHeight w:val="244"/>
        </w:trPr>
        <w:tc>
          <w:tcPr>
            <w:tcW w:w="53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Exercise of warrants</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628,403</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080" w:type="dxa"/>
            <w:vAlign w:val="bottom"/>
            <w:gridSpan w:val="2"/>
            <w:shd w:val="clear" w:color="auto" w:fill="FEFEFE"/>
          </w:tcPr>
          <w:p>
            <w:pPr>
              <w:jc w:val="right"/>
              <w:ind w:right="165"/>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FEFEFE"/>
          </w:tcPr>
          <w:p>
            <w:pPr>
              <w:spacing w:after="0"/>
              <w:rPr>
                <w:sz w:val="21"/>
                <w:szCs w:val="21"/>
                <w:color w:val="auto"/>
              </w:rPr>
            </w:pPr>
          </w:p>
        </w:tc>
        <w:tc>
          <w:tcPr>
            <w:tcW w:w="116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FEFEFE"/>
          </w:tcPr>
          <w:p>
            <w:pPr>
              <w:spacing w:after="0"/>
              <w:rPr>
                <w:sz w:val="21"/>
                <w:szCs w:val="21"/>
                <w:color w:val="auto"/>
              </w:rPr>
            </w:pP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20" w:type="dxa"/>
            <w:vAlign w:val="bottom"/>
            <w:shd w:val="clear" w:color="auto" w:fill="FEFEFE"/>
          </w:tcPr>
          <w:p>
            <w:pPr>
              <w:spacing w:after="0"/>
              <w:rPr>
                <w:sz w:val="21"/>
                <w:szCs w:val="21"/>
                <w:color w:val="auto"/>
              </w:rPr>
            </w:pPr>
          </w:p>
        </w:tc>
      </w:tr>
      <w:tr>
        <w:trPr>
          <w:trHeight w:val="244"/>
        </w:trPr>
        <w:tc>
          <w:tcPr>
            <w:tcW w:w="5360" w:type="dxa"/>
            <w:vAlign w:val="bottom"/>
            <w:gridSpan w:val="2"/>
            <w:shd w:val="clear" w:color="auto" w:fill="D4EEED"/>
          </w:tcPr>
          <w:p>
            <w:pPr>
              <w:ind w:left="100"/>
              <w:spacing w:after="0"/>
              <w:rPr>
                <w:sz w:val="20"/>
                <w:szCs w:val="20"/>
                <w:color w:val="auto"/>
              </w:rPr>
            </w:pPr>
            <w:r>
              <w:rPr>
                <w:rFonts w:ascii="Times New Roman" w:cs="Times New Roman" w:eastAsia="Times New Roman" w:hAnsi="Times New Roman"/>
                <w:sz w:val="20"/>
                <w:szCs w:val="20"/>
                <w:color w:val="auto"/>
              </w:rPr>
              <w:t>Unrealized gain on marketable securities</w:t>
            </w:r>
          </w:p>
        </w:tc>
        <w:tc>
          <w:tcPr>
            <w:tcW w:w="10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90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1160" w:type="dxa"/>
            <w:vAlign w:val="bottom"/>
            <w:gridSpan w:val="2"/>
            <w:shd w:val="clear" w:color="auto" w:fill="D4EEED"/>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EED"/>
          </w:tcPr>
          <w:p>
            <w:pPr>
              <w:spacing w:after="0"/>
              <w:rPr>
                <w:sz w:val="21"/>
                <w:szCs w:val="21"/>
                <w:color w:val="auto"/>
              </w:rPr>
            </w:pPr>
          </w:p>
        </w:tc>
        <w:tc>
          <w:tcPr>
            <w:tcW w:w="1080" w:type="dxa"/>
            <w:vAlign w:val="bottom"/>
            <w:gridSpan w:val="2"/>
            <w:shd w:val="clear" w:color="auto" w:fill="D4EEED"/>
          </w:tcPr>
          <w:p>
            <w:pPr>
              <w:jc w:val="right"/>
              <w:ind w:right="165"/>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4EEED"/>
          </w:tcPr>
          <w:p>
            <w:pPr>
              <w:spacing w:after="0"/>
              <w:rPr>
                <w:sz w:val="21"/>
                <w:szCs w:val="21"/>
                <w:color w:val="auto"/>
              </w:rPr>
            </w:pPr>
          </w:p>
        </w:tc>
        <w:tc>
          <w:tcPr>
            <w:tcW w:w="90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26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84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120" w:type="dxa"/>
            <w:vAlign w:val="bottom"/>
            <w:shd w:val="clear" w:color="auto" w:fill="D4EEED"/>
          </w:tcPr>
          <w:p>
            <w:pPr>
              <w:spacing w:after="0"/>
              <w:rPr>
                <w:sz w:val="21"/>
                <w:szCs w:val="21"/>
                <w:color w:val="auto"/>
              </w:rPr>
            </w:pPr>
          </w:p>
        </w:tc>
      </w:tr>
      <w:tr>
        <w:trPr>
          <w:trHeight w:val="244"/>
        </w:trPr>
        <w:tc>
          <w:tcPr>
            <w:tcW w:w="5360" w:type="dxa"/>
            <w:vAlign w:val="bottom"/>
            <w:gridSpan w:val="2"/>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Net loss</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90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116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FEFEFE"/>
          </w:tcPr>
          <w:p>
            <w:pPr>
              <w:spacing w:after="0"/>
              <w:rPr>
                <w:sz w:val="21"/>
                <w:szCs w:val="21"/>
                <w:color w:val="auto"/>
              </w:rPr>
            </w:pPr>
          </w:p>
        </w:tc>
        <w:tc>
          <w:tcPr>
            <w:tcW w:w="1080" w:type="dxa"/>
            <w:vAlign w:val="bottom"/>
            <w:gridSpan w:val="2"/>
            <w:shd w:val="clear" w:color="auto" w:fill="FEFEFE"/>
          </w:tcPr>
          <w:p>
            <w:pPr>
              <w:jc w:val="right"/>
              <w:ind w:right="85"/>
              <w:spacing w:after="0"/>
              <w:rPr>
                <w:sz w:val="20"/>
                <w:szCs w:val="20"/>
                <w:color w:val="auto"/>
              </w:rPr>
            </w:pPr>
            <w:r>
              <w:rPr>
                <w:rFonts w:ascii="Times New Roman" w:cs="Times New Roman" w:eastAsia="Times New Roman" w:hAnsi="Times New Roman"/>
                <w:sz w:val="20"/>
                <w:szCs w:val="20"/>
                <w:color w:val="auto"/>
              </w:rPr>
              <w:t>(36,949)</w:t>
            </w:r>
          </w:p>
        </w:tc>
        <w:tc>
          <w:tcPr>
            <w:tcW w:w="140" w:type="dxa"/>
            <w:vAlign w:val="bottom"/>
            <w:shd w:val="clear" w:color="auto" w:fill="FEFEFE"/>
          </w:tcPr>
          <w:p>
            <w:pPr>
              <w:spacing w:after="0"/>
              <w:rPr>
                <w:sz w:val="21"/>
                <w:szCs w:val="21"/>
                <w:color w:val="auto"/>
              </w:rPr>
            </w:pPr>
          </w:p>
        </w:tc>
        <w:tc>
          <w:tcPr>
            <w:tcW w:w="1160" w:type="dxa"/>
            <w:vAlign w:val="bottom"/>
            <w:gridSpan w:val="2"/>
            <w:shd w:val="clear" w:color="auto" w:fill="FEFEFE"/>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FEFEFE"/>
          </w:tcPr>
          <w:p>
            <w:pPr>
              <w:spacing w:after="0"/>
              <w:rPr>
                <w:sz w:val="21"/>
                <w:szCs w:val="21"/>
                <w:color w:val="auto"/>
              </w:rPr>
            </w:pPr>
          </w:p>
        </w:tc>
        <w:tc>
          <w:tcPr>
            <w:tcW w:w="960" w:type="dxa"/>
            <w:vAlign w:val="bottom"/>
            <w:gridSpan w:val="2"/>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rPr>
              <w:t>(36,949)</w:t>
            </w:r>
          </w:p>
        </w:tc>
      </w:tr>
      <w:tr>
        <w:trPr>
          <w:trHeight w:val="222"/>
        </w:trPr>
        <w:tc>
          <w:tcPr>
            <w:tcW w:w="5280" w:type="dxa"/>
            <w:vAlign w:val="bottom"/>
            <w:tcBorders>
              <w:top w:val="single" w:sz="8" w:color="D4EEED"/>
            </w:tcBorders>
            <w:shd w:val="clear" w:color="auto" w:fill="D4EEED"/>
          </w:tcPr>
          <w:p>
            <w:pPr>
              <w:spacing w:after="0"/>
              <w:rPr>
                <w:sz w:val="20"/>
                <w:szCs w:val="20"/>
                <w:color w:val="auto"/>
              </w:rPr>
            </w:pPr>
            <w:r>
              <w:rPr>
                <w:rFonts w:ascii="Times New Roman" w:cs="Times New Roman" w:eastAsia="Times New Roman" w:hAnsi="Times New Roman"/>
                <w:sz w:val="19"/>
                <w:szCs w:val="19"/>
                <w:b w:val="1"/>
                <w:bCs w:val="1"/>
                <w:color w:val="auto"/>
              </w:rPr>
              <w:t>Balances as of December 31, 2023</w:t>
            </w:r>
          </w:p>
        </w:tc>
        <w:tc>
          <w:tcPr>
            <w:tcW w:w="80" w:type="dxa"/>
            <w:vAlign w:val="bottom"/>
            <w:tcBorders>
              <w:top w:val="single" w:sz="8" w:color="auto"/>
              <w:bottom w:val="single" w:sz="8" w:color="auto"/>
            </w:tcBorders>
            <w:shd w:val="clear" w:color="auto" w:fill="D4EEED"/>
          </w:tcPr>
          <w:p>
            <w:pPr>
              <w:spacing w:after="0"/>
              <w:rPr>
                <w:sz w:val="19"/>
                <w:szCs w:val="19"/>
                <w:color w:val="auto"/>
              </w:rPr>
            </w:pPr>
          </w:p>
        </w:tc>
        <w:tc>
          <w:tcPr>
            <w:tcW w:w="102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43,909,069</w:t>
            </w:r>
          </w:p>
        </w:tc>
        <w:tc>
          <w:tcPr>
            <w:tcW w:w="260" w:type="dxa"/>
            <w:vAlign w:val="bottom"/>
            <w:tcBorders>
              <w:top w:val="single" w:sz="8" w:color="D4EEED"/>
            </w:tcBorders>
            <w:shd w:val="clear" w:color="auto" w:fill="D4EEED"/>
          </w:tcPr>
          <w:p>
            <w:pPr>
              <w:spacing w:after="0"/>
              <w:rPr>
                <w:sz w:val="19"/>
                <w:szCs w:val="19"/>
                <w:color w:val="auto"/>
              </w:rPr>
            </w:pPr>
          </w:p>
        </w:tc>
        <w:tc>
          <w:tcPr>
            <w:tcW w:w="14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0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260" w:type="dxa"/>
            <w:vAlign w:val="bottom"/>
            <w:tcBorders>
              <w:top w:val="single" w:sz="8" w:color="D4EEED"/>
            </w:tcBorders>
            <w:shd w:val="clear" w:color="auto" w:fill="D4EEED"/>
          </w:tcPr>
          <w:p>
            <w:pPr>
              <w:spacing w:after="0"/>
              <w:rPr>
                <w:sz w:val="19"/>
                <w:szCs w:val="19"/>
                <w:color w:val="auto"/>
              </w:rPr>
            </w:pPr>
          </w:p>
        </w:tc>
        <w:tc>
          <w:tcPr>
            <w:tcW w:w="12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EED"/>
              </w:rPr>
              <w:t>$</w:t>
            </w:r>
          </w:p>
        </w:tc>
        <w:tc>
          <w:tcPr>
            <w:tcW w:w="90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shd w:val="clear" w:color="auto" w:fill="D4EEED"/>
              </w:rPr>
              <w:t>270,150</w:t>
            </w:r>
          </w:p>
        </w:tc>
        <w:tc>
          <w:tcPr>
            <w:tcW w:w="260" w:type="dxa"/>
            <w:vAlign w:val="bottom"/>
            <w:tcBorders>
              <w:top w:val="single" w:sz="8" w:color="D4EEED"/>
            </w:tcBorders>
            <w:shd w:val="clear" w:color="auto" w:fill="D4EEED"/>
          </w:tcPr>
          <w:p>
            <w:pPr>
              <w:spacing w:after="0"/>
              <w:rPr>
                <w:sz w:val="19"/>
                <w:szCs w:val="19"/>
                <w:color w:val="auto"/>
              </w:rPr>
            </w:pPr>
          </w:p>
        </w:tc>
        <w:tc>
          <w:tcPr>
            <w:tcW w:w="200" w:type="dxa"/>
            <w:vAlign w:val="bottom"/>
            <w:tcBorders>
              <w:top w:val="single" w:sz="8" w:color="auto"/>
              <w:bottom w:val="single" w:sz="8" w:color="auto"/>
            </w:tcBorders>
            <w:shd w:val="clear" w:color="auto" w:fill="D4EEED"/>
          </w:tcPr>
          <w:p>
            <w:pPr>
              <w:jc w:val="right"/>
              <w:ind w:right="12"/>
              <w:spacing w:after="0"/>
              <w:rPr>
                <w:sz w:val="20"/>
                <w:szCs w:val="20"/>
                <w:color w:val="auto"/>
              </w:rPr>
            </w:pPr>
            <w:r>
              <w:rPr>
                <w:rFonts w:ascii="Times New Roman" w:cs="Times New Roman" w:eastAsia="Times New Roman" w:hAnsi="Times New Roman"/>
                <w:sz w:val="19"/>
                <w:szCs w:val="19"/>
                <w:color w:val="auto"/>
                <w:w w:val="83"/>
                <w:shd w:val="clear" w:color="auto" w:fill="D4EEED"/>
              </w:rPr>
              <w:t>$</w:t>
            </w:r>
          </w:p>
        </w:tc>
        <w:tc>
          <w:tcPr>
            <w:tcW w:w="82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shd w:val="clear" w:color="auto" w:fill="D4EEED"/>
              </w:rPr>
              <w:t>(188,554</w:t>
            </w:r>
          </w:p>
        </w:tc>
        <w:tc>
          <w:tcPr>
            <w:tcW w:w="260" w:type="dxa"/>
            <w:vAlign w:val="bottom"/>
            <w:tcBorders>
              <w:top w:val="single" w:sz="8" w:color="D4EEED"/>
            </w:tcBorders>
            <w:shd w:val="clear" w:color="auto" w:fill="D4EEED"/>
          </w:tcPr>
          <w:p>
            <w:pPr>
              <w:jc w:val="right"/>
              <w:ind w:right="85"/>
              <w:spacing w:after="0"/>
              <w:rPr>
                <w:sz w:val="20"/>
                <w:szCs w:val="20"/>
                <w:color w:val="auto"/>
              </w:rPr>
            </w:pPr>
            <w:r>
              <w:rPr>
                <w:rFonts w:ascii="Times New Roman" w:cs="Times New Roman" w:eastAsia="Times New Roman" w:hAnsi="Times New Roman"/>
                <w:sz w:val="19"/>
                <w:szCs w:val="19"/>
                <w:color w:val="auto"/>
                <w:w w:val="94"/>
              </w:rPr>
              <w:t>)</w:t>
            </w:r>
          </w:p>
        </w:tc>
        <w:tc>
          <w:tcPr>
            <w:tcW w:w="14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w w:val="83"/>
                <w:shd w:val="clear" w:color="auto" w:fill="D4EEED"/>
              </w:rPr>
              <w:t>$</w:t>
            </w:r>
          </w:p>
        </w:tc>
        <w:tc>
          <w:tcPr>
            <w:tcW w:w="90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rPr>
              <w:t>81</w:t>
            </w:r>
          </w:p>
        </w:tc>
        <w:tc>
          <w:tcPr>
            <w:tcW w:w="260" w:type="dxa"/>
            <w:vAlign w:val="bottom"/>
            <w:tcBorders>
              <w:top w:val="single" w:sz="8" w:color="D4EEED"/>
            </w:tcBorders>
            <w:shd w:val="clear" w:color="auto" w:fill="D4EEED"/>
          </w:tcPr>
          <w:p>
            <w:pPr>
              <w:spacing w:after="0"/>
              <w:rPr>
                <w:sz w:val="19"/>
                <w:szCs w:val="19"/>
                <w:color w:val="auto"/>
              </w:rPr>
            </w:pPr>
          </w:p>
        </w:tc>
        <w:tc>
          <w:tcPr>
            <w:tcW w:w="200" w:type="dxa"/>
            <w:vAlign w:val="bottom"/>
            <w:tcBorders>
              <w:top w:val="single" w:sz="8" w:color="auto"/>
              <w:bottom w:val="single" w:sz="8" w:color="auto"/>
            </w:tcBorders>
            <w:shd w:val="clear" w:color="auto" w:fill="D4EEED"/>
          </w:tcPr>
          <w:p>
            <w:pPr>
              <w:jc w:val="right"/>
              <w:ind w:right="12"/>
              <w:spacing w:after="0"/>
              <w:rPr>
                <w:sz w:val="20"/>
                <w:szCs w:val="20"/>
                <w:color w:val="auto"/>
              </w:rPr>
            </w:pPr>
            <w:r>
              <w:rPr>
                <w:rFonts w:ascii="Times New Roman" w:cs="Times New Roman" w:eastAsia="Times New Roman" w:hAnsi="Times New Roman"/>
                <w:sz w:val="19"/>
                <w:szCs w:val="19"/>
                <w:color w:val="auto"/>
                <w:w w:val="83"/>
                <w:shd w:val="clear" w:color="auto" w:fill="D4EEED"/>
              </w:rPr>
              <w:t>$</w:t>
            </w:r>
          </w:p>
        </w:tc>
        <w:tc>
          <w:tcPr>
            <w:tcW w:w="84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19"/>
                <w:szCs w:val="19"/>
                <w:color w:val="auto"/>
                <w:shd w:val="clear" w:color="auto" w:fill="D4EEED"/>
              </w:rPr>
              <w:t>81,720</w:t>
            </w:r>
          </w:p>
        </w:tc>
        <w:tc>
          <w:tcPr>
            <w:tcW w:w="120" w:type="dxa"/>
            <w:vAlign w:val="bottom"/>
            <w:tcBorders>
              <w:top w:val="single" w:sz="8" w:color="D4EEED"/>
            </w:tcBorders>
            <w:shd w:val="clear" w:color="auto" w:fill="D4EEED"/>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7280" w:h="12960" w:orient="landscape"/>
          <w:cols w:equalWidth="0" w:num="1">
            <w:col w:w="14400"/>
          </w:cols>
          <w:pgMar w:left="1440" w:top="144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7280" w:h="12960" w:orient="landscape"/>
          <w:cols w:equalWidth="0" w:num="1">
            <w:col w:w="14400"/>
          </w:cols>
          <w:pgMar w:left="1440" w:top="1440" w:right="1440" w:bottom="535" w:gutter="0" w:footer="0" w:header="0"/>
          <w:type w:val="continuous"/>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LARIMAR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67"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6720" w:type="dxa"/>
            <w:vAlign w:val="bottom"/>
            <w:shd w:val="clear" w:color="auto" w:fill="FEFEFE"/>
          </w:tcPr>
          <w:p>
            <w:pPr>
              <w:spacing w:after="0"/>
              <w:rPr>
                <w:sz w:val="17"/>
                <w:szCs w:val="17"/>
                <w:color w:val="auto"/>
              </w:rPr>
            </w:pPr>
          </w:p>
        </w:tc>
        <w:tc>
          <w:tcPr>
            <w:tcW w:w="42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2080" w:type="dxa"/>
            <w:vAlign w:val="bottom"/>
            <w:gridSpan w:val="6"/>
            <w:shd w:val="clear" w:color="auto" w:fill="FEFEFE"/>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8"/>
        </w:trPr>
        <w:tc>
          <w:tcPr>
            <w:tcW w:w="6720" w:type="dxa"/>
            <w:vAlign w:val="bottom"/>
            <w:tcBorders>
              <w:top w:val="single" w:sz="8" w:color="FEFEFE"/>
              <w:bottom w:val="single" w:sz="8" w:color="D4EEED"/>
            </w:tcBorders>
            <w:shd w:val="clear" w:color="auto" w:fill="FEFEFE"/>
          </w:tcPr>
          <w:p>
            <w:pPr>
              <w:spacing w:after="0"/>
              <w:rPr>
                <w:sz w:val="16"/>
                <w:szCs w:val="16"/>
                <w:color w:val="auto"/>
              </w:rPr>
            </w:pPr>
          </w:p>
        </w:tc>
        <w:tc>
          <w:tcPr>
            <w:tcW w:w="420" w:type="dxa"/>
            <w:vAlign w:val="bottom"/>
            <w:tcBorders>
              <w:top w:val="single" w:sz="8" w:color="FEFEFE"/>
              <w:bottom w:val="single" w:sz="8" w:color="D4EEED"/>
            </w:tcBorders>
            <w:shd w:val="clear" w:color="auto" w:fill="FEFEFE"/>
          </w:tcPr>
          <w:p>
            <w:pPr>
              <w:spacing w:after="0"/>
              <w:rPr>
                <w:sz w:val="16"/>
                <w:szCs w:val="16"/>
                <w:color w:val="auto"/>
              </w:rPr>
            </w:pPr>
          </w:p>
        </w:tc>
        <w:tc>
          <w:tcPr>
            <w:tcW w:w="140" w:type="dxa"/>
            <w:vAlign w:val="bottom"/>
            <w:tcBorders>
              <w:top w:val="single" w:sz="8" w:color="auto"/>
              <w:bottom w:val="single" w:sz="8" w:color="auto"/>
            </w:tcBorders>
            <w:shd w:val="clear" w:color="auto" w:fill="FEFEFE"/>
          </w:tcPr>
          <w:p>
            <w:pPr>
              <w:spacing w:after="0"/>
              <w:rPr>
                <w:sz w:val="16"/>
                <w:szCs w:val="16"/>
                <w:color w:val="auto"/>
              </w:rPr>
            </w:pPr>
          </w:p>
        </w:tc>
        <w:tc>
          <w:tcPr>
            <w:tcW w:w="820" w:type="dxa"/>
            <w:vAlign w:val="bottom"/>
            <w:tcBorders>
              <w:top w:val="single" w:sz="8" w:color="auto"/>
              <w:bottom w:val="single" w:sz="8" w:color="auto"/>
            </w:tcBorders>
            <w:shd w:val="clear" w:color="auto" w:fill="FEFEFE"/>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D4EEED"/>
            </w:tcBorders>
            <w:shd w:val="clear" w:color="auto" w:fill="FEFEFE"/>
          </w:tcPr>
          <w:p>
            <w:pPr>
              <w:spacing w:after="0"/>
              <w:rPr>
                <w:sz w:val="16"/>
                <w:szCs w:val="16"/>
                <w:color w:val="auto"/>
              </w:rPr>
            </w:pPr>
          </w:p>
        </w:tc>
        <w:tc>
          <w:tcPr>
            <w:tcW w:w="220" w:type="dxa"/>
            <w:vAlign w:val="bottom"/>
            <w:tcBorders>
              <w:top w:val="single" w:sz="8" w:color="auto"/>
              <w:bottom w:val="single" w:sz="8" w:color="D4EEED"/>
            </w:tcBorders>
            <w:shd w:val="clear" w:color="auto" w:fill="FEFEFE"/>
          </w:tcPr>
          <w:p>
            <w:pPr>
              <w:spacing w:after="0"/>
              <w:rPr>
                <w:sz w:val="16"/>
                <w:szCs w:val="16"/>
                <w:color w:val="auto"/>
              </w:rPr>
            </w:pPr>
          </w:p>
        </w:tc>
        <w:tc>
          <w:tcPr>
            <w:tcW w:w="120" w:type="dxa"/>
            <w:vAlign w:val="bottom"/>
            <w:tcBorders>
              <w:top w:val="single" w:sz="8" w:color="auto"/>
              <w:bottom w:val="single" w:sz="8" w:color="auto"/>
            </w:tcBorders>
            <w:shd w:val="clear" w:color="auto" w:fill="FEFEFE"/>
          </w:tcPr>
          <w:p>
            <w:pPr>
              <w:spacing w:after="0"/>
              <w:rPr>
                <w:sz w:val="16"/>
                <w:szCs w:val="16"/>
                <w:color w:val="auto"/>
              </w:rPr>
            </w:pPr>
          </w:p>
        </w:tc>
        <w:tc>
          <w:tcPr>
            <w:tcW w:w="760" w:type="dxa"/>
            <w:vAlign w:val="bottom"/>
            <w:tcBorders>
              <w:top w:val="single" w:sz="8" w:color="auto"/>
              <w:bottom w:val="single" w:sz="8" w:color="auto"/>
            </w:tcBorders>
            <w:shd w:val="clear" w:color="auto" w:fill="FEFEFE"/>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FEFEFE"/>
              <w:bottom w:val="single" w:sz="8" w:color="D4EEED"/>
            </w:tcBorders>
            <w:shd w:val="clear" w:color="auto" w:fill="FEFEFE"/>
          </w:tcPr>
          <w:p>
            <w:pPr>
              <w:spacing w:after="0"/>
              <w:rPr>
                <w:sz w:val="16"/>
                <w:szCs w:val="16"/>
                <w:color w:val="auto"/>
              </w:rPr>
            </w:pPr>
          </w:p>
        </w:tc>
      </w:tr>
      <w:tr>
        <w:trPr>
          <w:trHeight w:val="234"/>
        </w:trPr>
        <w:tc>
          <w:tcPr>
            <w:tcW w:w="67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420" w:type="dxa"/>
            <w:vAlign w:val="bottom"/>
            <w:shd w:val="clear" w:color="auto" w:fill="D4EEED"/>
          </w:tcPr>
          <w:p>
            <w:pPr>
              <w:spacing w:after="0"/>
              <w:rPr>
                <w:sz w:val="20"/>
                <w:szCs w:val="20"/>
                <w:color w:val="auto"/>
              </w:rPr>
            </w:pPr>
          </w:p>
        </w:tc>
        <w:tc>
          <w:tcPr>
            <w:tcW w:w="140" w:type="dxa"/>
            <w:vAlign w:val="bottom"/>
            <w:shd w:val="clear" w:color="auto" w:fill="D4EEED"/>
          </w:tcPr>
          <w:p>
            <w:pPr>
              <w:spacing w:after="0"/>
              <w:rPr>
                <w:sz w:val="20"/>
                <w:szCs w:val="20"/>
                <w:color w:val="auto"/>
              </w:rPr>
            </w:pPr>
          </w:p>
        </w:tc>
        <w:tc>
          <w:tcPr>
            <w:tcW w:w="82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c>
          <w:tcPr>
            <w:tcW w:w="220" w:type="dxa"/>
            <w:vAlign w:val="bottom"/>
            <w:shd w:val="clear" w:color="auto" w:fill="D4EEED"/>
          </w:tcPr>
          <w:p>
            <w:pPr>
              <w:spacing w:after="0"/>
              <w:rPr>
                <w:sz w:val="20"/>
                <w:szCs w:val="20"/>
                <w:color w:val="auto"/>
              </w:rPr>
            </w:pPr>
          </w:p>
        </w:tc>
        <w:tc>
          <w:tcPr>
            <w:tcW w:w="120" w:type="dxa"/>
            <w:vAlign w:val="bottom"/>
            <w:shd w:val="clear" w:color="auto" w:fill="D4EEED"/>
          </w:tcPr>
          <w:p>
            <w:pPr>
              <w:spacing w:after="0"/>
              <w:rPr>
                <w:sz w:val="20"/>
                <w:szCs w:val="20"/>
                <w:color w:val="auto"/>
              </w:rPr>
            </w:pPr>
          </w:p>
        </w:tc>
        <w:tc>
          <w:tcPr>
            <w:tcW w:w="76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r>
      <w:tr>
        <w:trPr>
          <w:trHeight w:val="244"/>
        </w:trPr>
        <w:tc>
          <w:tcPr>
            <w:tcW w:w="67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Net loss</w:t>
            </w:r>
          </w:p>
        </w:tc>
        <w:tc>
          <w:tcPr>
            <w:tcW w:w="420" w:type="dxa"/>
            <w:vAlign w:val="bottom"/>
            <w:shd w:val="clear" w:color="auto" w:fill="FEFEFE"/>
          </w:tcPr>
          <w:p>
            <w:pPr>
              <w:spacing w:after="0"/>
              <w:rPr>
                <w:sz w:val="21"/>
                <w:szCs w:val="21"/>
                <w:color w:val="auto"/>
              </w:rPr>
            </w:pPr>
          </w:p>
        </w:tc>
        <w:tc>
          <w:tcPr>
            <w:tcW w:w="1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(80,604)</w:t>
            </w:r>
          </w:p>
        </w:tc>
        <w:tc>
          <w:tcPr>
            <w:tcW w:w="8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(36,949)</w:t>
            </w:r>
          </w:p>
        </w:tc>
        <w:tc>
          <w:tcPr>
            <w:tcW w:w="80" w:type="dxa"/>
            <w:vAlign w:val="bottom"/>
            <w:shd w:val="clear" w:color="auto" w:fill="FEFEFE"/>
          </w:tcPr>
          <w:p>
            <w:pPr>
              <w:spacing w:after="0"/>
              <w:rPr>
                <w:sz w:val="21"/>
                <w:szCs w:val="21"/>
                <w:color w:val="auto"/>
              </w:rPr>
            </w:pPr>
          </w:p>
        </w:tc>
      </w:tr>
      <w:tr>
        <w:trPr>
          <w:trHeight w:val="244"/>
        </w:trPr>
        <w:tc>
          <w:tcPr>
            <w:tcW w:w="67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42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82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22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76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r>
      <w:tr>
        <w:trPr>
          <w:trHeight w:val="244"/>
        </w:trPr>
        <w:tc>
          <w:tcPr>
            <w:tcW w:w="67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42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8,796</w:t>
            </w:r>
          </w:p>
        </w:tc>
        <w:tc>
          <w:tcPr>
            <w:tcW w:w="8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7,615</w:t>
            </w:r>
          </w:p>
        </w:tc>
        <w:tc>
          <w:tcPr>
            <w:tcW w:w="80" w:type="dxa"/>
            <w:vAlign w:val="bottom"/>
            <w:shd w:val="clear" w:color="auto" w:fill="FEFEFE"/>
          </w:tcPr>
          <w:p>
            <w:pPr>
              <w:spacing w:after="0"/>
              <w:rPr>
                <w:sz w:val="21"/>
                <w:szCs w:val="21"/>
                <w:color w:val="auto"/>
              </w:rPr>
            </w:pPr>
          </w:p>
        </w:tc>
      </w:tr>
      <w:tr>
        <w:trPr>
          <w:trHeight w:val="244"/>
        </w:trPr>
        <w:tc>
          <w:tcPr>
            <w:tcW w:w="672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Lease expense</w:t>
            </w:r>
          </w:p>
        </w:tc>
        <w:tc>
          <w:tcPr>
            <w:tcW w:w="42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900" w:type="dxa"/>
            <w:vAlign w:val="bottom"/>
            <w:gridSpan w:val="2"/>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(189)</w:t>
            </w:r>
          </w:p>
        </w:tc>
        <w:tc>
          <w:tcPr>
            <w:tcW w:w="22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840" w:type="dxa"/>
            <w:vAlign w:val="bottom"/>
            <w:gridSpan w:val="2"/>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(82)</w:t>
            </w:r>
          </w:p>
        </w:tc>
      </w:tr>
      <w:tr>
        <w:trPr>
          <w:trHeight w:val="244"/>
        </w:trPr>
        <w:tc>
          <w:tcPr>
            <w:tcW w:w="67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Depreciation expense</w:t>
            </w:r>
          </w:p>
        </w:tc>
        <w:tc>
          <w:tcPr>
            <w:tcW w:w="42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8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311</w:t>
            </w:r>
          </w:p>
        </w:tc>
        <w:tc>
          <w:tcPr>
            <w:tcW w:w="80" w:type="dxa"/>
            <w:vAlign w:val="bottom"/>
            <w:shd w:val="clear" w:color="auto" w:fill="FEFEFE"/>
          </w:tcPr>
          <w:p>
            <w:pPr>
              <w:spacing w:after="0"/>
              <w:rPr>
                <w:sz w:val="21"/>
                <w:szCs w:val="21"/>
                <w:color w:val="auto"/>
              </w:rPr>
            </w:pPr>
          </w:p>
        </w:tc>
      </w:tr>
      <w:tr>
        <w:trPr>
          <w:trHeight w:val="244"/>
        </w:trPr>
        <w:tc>
          <w:tcPr>
            <w:tcW w:w="672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Net accretion of discount on marketable securities</w:t>
            </w:r>
          </w:p>
        </w:tc>
        <w:tc>
          <w:tcPr>
            <w:tcW w:w="42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900" w:type="dxa"/>
            <w:vAlign w:val="bottom"/>
            <w:gridSpan w:val="2"/>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(5,256)</w:t>
            </w:r>
          </w:p>
        </w:tc>
        <w:tc>
          <w:tcPr>
            <w:tcW w:w="22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840" w:type="dxa"/>
            <w:vAlign w:val="bottom"/>
            <w:gridSpan w:val="2"/>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(1,843)</w:t>
            </w:r>
          </w:p>
        </w:tc>
      </w:tr>
      <w:tr>
        <w:trPr>
          <w:trHeight w:val="244"/>
        </w:trPr>
        <w:tc>
          <w:tcPr>
            <w:tcW w:w="67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b w:val="1"/>
                <w:bCs w:val="1"/>
                <w:color w:val="auto"/>
              </w:rPr>
              <w:t>Changes in operating assets and liabilities:</w:t>
            </w:r>
          </w:p>
        </w:tc>
        <w:tc>
          <w:tcPr>
            <w:tcW w:w="42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76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r>
      <w:tr>
        <w:trPr>
          <w:trHeight w:val="244"/>
        </w:trPr>
        <w:tc>
          <w:tcPr>
            <w:tcW w:w="6720" w:type="dxa"/>
            <w:vAlign w:val="bottom"/>
            <w:shd w:val="clear" w:color="auto" w:fill="D4EEED"/>
          </w:tcPr>
          <w:p>
            <w:pPr>
              <w:ind w:left="4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42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900" w:type="dxa"/>
            <w:vAlign w:val="bottom"/>
            <w:gridSpan w:val="2"/>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(8,465)</w:t>
            </w:r>
          </w:p>
        </w:tc>
        <w:tc>
          <w:tcPr>
            <w:tcW w:w="22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840" w:type="dxa"/>
            <w:vAlign w:val="bottom"/>
            <w:gridSpan w:val="2"/>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(1,065)</w:t>
            </w:r>
          </w:p>
        </w:tc>
      </w:tr>
      <w:tr>
        <w:trPr>
          <w:trHeight w:val="244"/>
        </w:trPr>
        <w:tc>
          <w:tcPr>
            <w:tcW w:w="67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42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1,141</w:t>
            </w:r>
          </w:p>
        </w:tc>
        <w:tc>
          <w:tcPr>
            <w:tcW w:w="8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84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(403)</w:t>
            </w:r>
          </w:p>
        </w:tc>
      </w:tr>
      <w:tr>
        <w:trPr>
          <w:trHeight w:val="244"/>
        </w:trPr>
        <w:tc>
          <w:tcPr>
            <w:tcW w:w="6720" w:type="dxa"/>
            <w:vAlign w:val="bottom"/>
            <w:shd w:val="clear" w:color="auto" w:fill="D4EEED"/>
          </w:tcPr>
          <w:p>
            <w:pPr>
              <w:ind w:left="400"/>
              <w:spacing w:after="0"/>
              <w:rPr>
                <w:sz w:val="20"/>
                <w:szCs w:val="20"/>
                <w:color w:val="auto"/>
              </w:rPr>
            </w:pPr>
            <w:r>
              <w:rPr>
                <w:rFonts w:ascii="Times New Roman" w:cs="Times New Roman" w:eastAsia="Times New Roman" w:hAnsi="Times New Roman"/>
                <w:sz w:val="20"/>
                <w:szCs w:val="20"/>
                <w:color w:val="auto"/>
              </w:rPr>
              <w:t>Accrued expenses</w:t>
            </w:r>
          </w:p>
        </w:tc>
        <w:tc>
          <w:tcPr>
            <w:tcW w:w="42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8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13,436</w:t>
            </w:r>
          </w:p>
        </w:tc>
        <w:tc>
          <w:tcPr>
            <w:tcW w:w="80" w:type="dxa"/>
            <w:vAlign w:val="bottom"/>
            <w:shd w:val="clear" w:color="auto" w:fill="D4EEED"/>
          </w:tcPr>
          <w:p>
            <w:pPr>
              <w:spacing w:after="0"/>
              <w:rPr>
                <w:sz w:val="21"/>
                <w:szCs w:val="21"/>
                <w:color w:val="auto"/>
              </w:rPr>
            </w:pPr>
          </w:p>
        </w:tc>
        <w:tc>
          <w:tcPr>
            <w:tcW w:w="22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840" w:type="dxa"/>
            <w:vAlign w:val="bottom"/>
            <w:gridSpan w:val="2"/>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(1,022)</w:t>
            </w:r>
          </w:p>
        </w:tc>
      </w:tr>
      <w:tr>
        <w:trPr>
          <w:trHeight w:val="244"/>
        </w:trPr>
        <w:tc>
          <w:tcPr>
            <w:tcW w:w="67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Other assets</w:t>
            </w:r>
          </w:p>
        </w:tc>
        <w:tc>
          <w:tcPr>
            <w:tcW w:w="42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84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r>
      <w:tr>
        <w:trPr>
          <w:trHeight w:val="259"/>
        </w:trPr>
        <w:tc>
          <w:tcPr>
            <w:tcW w:w="6720" w:type="dxa"/>
            <w:vAlign w:val="bottom"/>
            <w:tcBorders>
              <w:top w:val="single" w:sz="8" w:color="D4EEED"/>
              <w:bottom w:val="single" w:sz="8" w:color="D4EEED"/>
            </w:tcBorders>
            <w:shd w:val="clear" w:color="auto" w:fill="D4EEED"/>
          </w:tcPr>
          <w:p>
            <w:pPr>
              <w:ind w:left="100"/>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420" w:type="dxa"/>
            <w:vAlign w:val="bottom"/>
            <w:tcBorders>
              <w:top w:val="single" w:sz="8" w:color="D4EEED"/>
              <w:bottom w:val="single" w:sz="8" w:color="D4EEED"/>
            </w:tcBorders>
            <w:shd w:val="clear" w:color="auto" w:fill="D4EEED"/>
          </w:tcPr>
          <w:p>
            <w:pPr>
              <w:spacing w:after="0"/>
              <w:rPr>
                <w:sz w:val="22"/>
                <w:szCs w:val="22"/>
                <w:color w:val="auto"/>
              </w:rPr>
            </w:pPr>
          </w:p>
        </w:tc>
        <w:tc>
          <w:tcPr>
            <w:tcW w:w="140" w:type="dxa"/>
            <w:vAlign w:val="bottom"/>
            <w:tcBorders>
              <w:top w:val="single" w:sz="8" w:color="auto"/>
              <w:bottom w:val="single" w:sz="8" w:color="auto"/>
            </w:tcBorders>
            <w:shd w:val="clear" w:color="auto" w:fill="D4EEED"/>
          </w:tcPr>
          <w:p>
            <w:pPr>
              <w:spacing w:after="0"/>
              <w:rPr>
                <w:sz w:val="22"/>
                <w:szCs w:val="22"/>
                <w:color w:val="auto"/>
              </w:rPr>
            </w:pPr>
          </w:p>
        </w:tc>
        <w:tc>
          <w:tcPr>
            <w:tcW w:w="82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(70,760)</w:t>
            </w:r>
          </w:p>
        </w:tc>
        <w:tc>
          <w:tcPr>
            <w:tcW w:w="80" w:type="dxa"/>
            <w:vAlign w:val="bottom"/>
            <w:tcBorders>
              <w:top w:val="single" w:sz="8" w:color="D4EEED"/>
              <w:bottom w:val="single" w:sz="8" w:color="D4EEED"/>
            </w:tcBorders>
            <w:shd w:val="clear" w:color="auto" w:fill="D4EEED"/>
          </w:tcPr>
          <w:p>
            <w:pPr>
              <w:spacing w:after="0"/>
              <w:rPr>
                <w:sz w:val="22"/>
                <w:szCs w:val="22"/>
                <w:color w:val="auto"/>
              </w:rPr>
            </w:pPr>
          </w:p>
        </w:tc>
        <w:tc>
          <w:tcPr>
            <w:tcW w:w="220" w:type="dxa"/>
            <w:vAlign w:val="bottom"/>
            <w:tcBorders>
              <w:top w:val="single" w:sz="8" w:color="D4EEED"/>
              <w:bottom w:val="single" w:sz="8" w:color="D4EEED"/>
            </w:tcBorders>
            <w:shd w:val="clear" w:color="auto" w:fill="D4EEED"/>
          </w:tcPr>
          <w:p>
            <w:pPr>
              <w:spacing w:after="0"/>
              <w:rPr>
                <w:sz w:val="22"/>
                <w:szCs w:val="22"/>
                <w:color w:val="auto"/>
              </w:rPr>
            </w:pPr>
          </w:p>
        </w:tc>
        <w:tc>
          <w:tcPr>
            <w:tcW w:w="120" w:type="dxa"/>
            <w:vAlign w:val="bottom"/>
            <w:tcBorders>
              <w:top w:val="single" w:sz="8" w:color="auto"/>
              <w:bottom w:val="single" w:sz="8" w:color="auto"/>
            </w:tcBorders>
            <w:shd w:val="clear" w:color="auto" w:fill="D4EEED"/>
          </w:tcPr>
          <w:p>
            <w:pPr>
              <w:spacing w:after="0"/>
              <w:rPr>
                <w:sz w:val="22"/>
                <w:szCs w:val="22"/>
                <w:color w:val="auto"/>
              </w:rPr>
            </w:pPr>
          </w:p>
        </w:tc>
        <w:tc>
          <w:tcPr>
            <w:tcW w:w="76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(33,459)</w:t>
            </w:r>
          </w:p>
        </w:tc>
        <w:tc>
          <w:tcPr>
            <w:tcW w:w="80" w:type="dxa"/>
            <w:vAlign w:val="bottom"/>
            <w:tcBorders>
              <w:top w:val="single" w:sz="8" w:color="D4EEED"/>
              <w:bottom w:val="single" w:sz="8" w:color="D4EEED"/>
            </w:tcBorders>
            <w:shd w:val="clear" w:color="auto" w:fill="D4EEED"/>
          </w:tcPr>
          <w:p>
            <w:pPr>
              <w:spacing w:after="0"/>
              <w:rPr>
                <w:sz w:val="22"/>
                <w:szCs w:val="22"/>
                <w:color w:val="auto"/>
              </w:rPr>
            </w:pPr>
          </w:p>
        </w:tc>
      </w:tr>
      <w:tr>
        <w:trPr>
          <w:trHeight w:val="214"/>
        </w:trPr>
        <w:tc>
          <w:tcPr>
            <w:tcW w:w="6720" w:type="dxa"/>
            <w:vAlign w:val="bottom"/>
            <w:tcBorders>
              <w:top w:val="single" w:sz="8" w:color="FEFEFE"/>
            </w:tcBorders>
            <w:shd w:val="clear" w:color="auto" w:fill="FEFEFE"/>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420" w:type="dxa"/>
            <w:vAlign w:val="bottom"/>
            <w:tcBorders>
              <w:top w:val="single" w:sz="8" w:color="FEFEFE"/>
            </w:tcBorders>
            <w:shd w:val="clear" w:color="auto" w:fill="FEFEFE"/>
          </w:tcPr>
          <w:p>
            <w:pPr>
              <w:spacing w:after="0"/>
              <w:rPr>
                <w:sz w:val="18"/>
                <w:szCs w:val="18"/>
                <w:color w:val="auto"/>
              </w:rPr>
            </w:pPr>
          </w:p>
        </w:tc>
        <w:tc>
          <w:tcPr>
            <w:tcW w:w="140" w:type="dxa"/>
            <w:vAlign w:val="bottom"/>
            <w:tcBorders>
              <w:top w:val="single" w:sz="8" w:color="auto"/>
            </w:tcBorders>
            <w:shd w:val="clear" w:color="auto" w:fill="FEFEFE"/>
          </w:tcPr>
          <w:p>
            <w:pPr>
              <w:spacing w:after="0"/>
              <w:rPr>
                <w:sz w:val="18"/>
                <w:szCs w:val="18"/>
                <w:color w:val="auto"/>
              </w:rPr>
            </w:pPr>
          </w:p>
        </w:tc>
        <w:tc>
          <w:tcPr>
            <w:tcW w:w="820" w:type="dxa"/>
            <w:vAlign w:val="bottom"/>
            <w:tcBorders>
              <w:top w:val="single" w:sz="8" w:color="auto"/>
            </w:tcBorders>
            <w:shd w:val="clear" w:color="auto" w:fill="FEFEFE"/>
          </w:tcPr>
          <w:p>
            <w:pPr>
              <w:spacing w:after="0"/>
              <w:rPr>
                <w:sz w:val="18"/>
                <w:szCs w:val="18"/>
                <w:color w:val="auto"/>
              </w:rPr>
            </w:pPr>
          </w:p>
        </w:tc>
        <w:tc>
          <w:tcPr>
            <w:tcW w:w="80" w:type="dxa"/>
            <w:vAlign w:val="bottom"/>
            <w:tcBorders>
              <w:top w:val="single" w:sz="8" w:color="FEFEFE"/>
            </w:tcBorders>
            <w:shd w:val="clear" w:color="auto" w:fill="FEFEFE"/>
          </w:tcPr>
          <w:p>
            <w:pPr>
              <w:spacing w:after="0"/>
              <w:rPr>
                <w:sz w:val="18"/>
                <w:szCs w:val="18"/>
                <w:color w:val="auto"/>
              </w:rPr>
            </w:pPr>
          </w:p>
        </w:tc>
        <w:tc>
          <w:tcPr>
            <w:tcW w:w="220" w:type="dxa"/>
            <w:vAlign w:val="bottom"/>
            <w:tcBorders>
              <w:top w:val="single" w:sz="8" w:color="FEFEFE"/>
            </w:tcBorders>
            <w:shd w:val="clear" w:color="auto" w:fill="FEFEFE"/>
          </w:tcPr>
          <w:p>
            <w:pPr>
              <w:spacing w:after="0"/>
              <w:rPr>
                <w:sz w:val="18"/>
                <w:szCs w:val="18"/>
                <w:color w:val="auto"/>
              </w:rPr>
            </w:pPr>
          </w:p>
        </w:tc>
        <w:tc>
          <w:tcPr>
            <w:tcW w:w="120" w:type="dxa"/>
            <w:vAlign w:val="bottom"/>
            <w:tcBorders>
              <w:top w:val="single" w:sz="8" w:color="auto"/>
            </w:tcBorders>
            <w:shd w:val="clear" w:color="auto" w:fill="FEFEFE"/>
          </w:tcPr>
          <w:p>
            <w:pPr>
              <w:spacing w:after="0"/>
              <w:rPr>
                <w:sz w:val="18"/>
                <w:szCs w:val="18"/>
                <w:color w:val="auto"/>
              </w:rPr>
            </w:pPr>
          </w:p>
        </w:tc>
        <w:tc>
          <w:tcPr>
            <w:tcW w:w="760" w:type="dxa"/>
            <w:vAlign w:val="bottom"/>
            <w:tcBorders>
              <w:top w:val="single" w:sz="8" w:color="auto"/>
            </w:tcBorders>
            <w:shd w:val="clear" w:color="auto" w:fill="FEFEFE"/>
          </w:tcPr>
          <w:p>
            <w:pPr>
              <w:spacing w:after="0"/>
              <w:rPr>
                <w:sz w:val="18"/>
                <w:szCs w:val="18"/>
                <w:color w:val="auto"/>
              </w:rPr>
            </w:pPr>
          </w:p>
        </w:tc>
        <w:tc>
          <w:tcPr>
            <w:tcW w:w="80" w:type="dxa"/>
            <w:vAlign w:val="bottom"/>
            <w:tcBorders>
              <w:top w:val="single" w:sz="8" w:color="FEFEFE"/>
            </w:tcBorders>
            <w:shd w:val="clear" w:color="auto" w:fill="FEFEFE"/>
          </w:tcPr>
          <w:p>
            <w:pPr>
              <w:spacing w:after="0"/>
              <w:rPr>
                <w:sz w:val="18"/>
                <w:szCs w:val="18"/>
                <w:color w:val="auto"/>
              </w:rPr>
            </w:pPr>
          </w:p>
        </w:tc>
      </w:tr>
      <w:tr>
        <w:trPr>
          <w:trHeight w:val="244"/>
        </w:trPr>
        <w:tc>
          <w:tcPr>
            <w:tcW w:w="67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Purchase of property and equipment</w:t>
            </w:r>
          </w:p>
        </w:tc>
        <w:tc>
          <w:tcPr>
            <w:tcW w:w="42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8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(515)</w:t>
            </w:r>
          </w:p>
        </w:tc>
        <w:tc>
          <w:tcPr>
            <w:tcW w:w="80" w:type="dxa"/>
            <w:vAlign w:val="bottom"/>
            <w:shd w:val="clear" w:color="auto" w:fill="D4EEED"/>
          </w:tcPr>
          <w:p>
            <w:pPr>
              <w:spacing w:after="0"/>
              <w:rPr>
                <w:sz w:val="21"/>
                <w:szCs w:val="21"/>
                <w:color w:val="auto"/>
              </w:rPr>
            </w:pPr>
          </w:p>
        </w:tc>
        <w:tc>
          <w:tcPr>
            <w:tcW w:w="22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7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80" w:type="dxa"/>
            <w:vAlign w:val="bottom"/>
            <w:shd w:val="clear" w:color="auto" w:fill="D4EEED"/>
          </w:tcPr>
          <w:p>
            <w:pPr>
              <w:spacing w:after="0"/>
              <w:rPr>
                <w:sz w:val="21"/>
                <w:szCs w:val="21"/>
                <w:color w:val="auto"/>
              </w:rPr>
            </w:pPr>
          </w:p>
        </w:tc>
      </w:tr>
      <w:tr>
        <w:trPr>
          <w:trHeight w:val="244"/>
        </w:trPr>
        <w:tc>
          <w:tcPr>
            <w:tcW w:w="67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Purchase of marketable securities</w:t>
            </w:r>
          </w:p>
        </w:tc>
        <w:tc>
          <w:tcPr>
            <w:tcW w:w="42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90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(227,872)</w:t>
            </w: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84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(101,233)</w:t>
            </w:r>
          </w:p>
        </w:tc>
      </w:tr>
      <w:tr>
        <w:trPr>
          <w:trHeight w:val="269"/>
        </w:trPr>
        <w:tc>
          <w:tcPr>
            <w:tcW w:w="6720" w:type="dxa"/>
            <w:vAlign w:val="bottom"/>
            <w:tcBorders>
              <w:bottom w:val="single" w:sz="8" w:color="D4EEED"/>
            </w:tcBorders>
            <w:shd w:val="clear" w:color="auto" w:fill="D4EEED"/>
          </w:tcPr>
          <w:p>
            <w:pPr>
              <w:spacing w:after="0"/>
              <w:rPr>
                <w:sz w:val="20"/>
                <w:szCs w:val="20"/>
                <w:color w:val="auto"/>
              </w:rPr>
            </w:pPr>
            <w:r>
              <w:rPr>
                <w:rFonts w:ascii="Times New Roman" w:cs="Times New Roman" w:eastAsia="Times New Roman" w:hAnsi="Times New Roman"/>
                <w:sz w:val="20"/>
                <w:szCs w:val="20"/>
                <w:color w:val="auto"/>
              </w:rPr>
              <w:t>Maturities and sales of marketable securities</w:t>
            </w:r>
          </w:p>
        </w:tc>
        <w:tc>
          <w:tcPr>
            <w:tcW w:w="420" w:type="dxa"/>
            <w:vAlign w:val="bottom"/>
            <w:tcBorders>
              <w:bottom w:val="single" w:sz="8" w:color="D4EEED"/>
            </w:tcBorders>
            <w:shd w:val="clear" w:color="auto" w:fill="D4EEED"/>
          </w:tcPr>
          <w:p>
            <w:pPr>
              <w:spacing w:after="0"/>
              <w:rPr>
                <w:sz w:val="22"/>
                <w:szCs w:val="22"/>
                <w:color w:val="auto"/>
              </w:rPr>
            </w:pPr>
          </w:p>
        </w:tc>
        <w:tc>
          <w:tcPr>
            <w:tcW w:w="140" w:type="dxa"/>
            <w:vAlign w:val="bottom"/>
            <w:tcBorders>
              <w:bottom w:val="single" w:sz="8" w:color="auto"/>
            </w:tcBorders>
            <w:shd w:val="clear" w:color="auto" w:fill="D4EEED"/>
          </w:tcPr>
          <w:p>
            <w:pPr>
              <w:spacing w:after="0"/>
              <w:rPr>
                <w:sz w:val="22"/>
                <w:szCs w:val="22"/>
                <w:color w:val="auto"/>
              </w:rPr>
            </w:pPr>
          </w:p>
        </w:tc>
        <w:tc>
          <w:tcPr>
            <w:tcW w:w="82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143,000</w:t>
            </w:r>
          </w:p>
        </w:tc>
        <w:tc>
          <w:tcPr>
            <w:tcW w:w="80" w:type="dxa"/>
            <w:vAlign w:val="bottom"/>
            <w:tcBorders>
              <w:bottom w:val="single" w:sz="8" w:color="D4EEED"/>
            </w:tcBorders>
            <w:shd w:val="clear" w:color="auto" w:fill="D4EEED"/>
          </w:tcPr>
          <w:p>
            <w:pPr>
              <w:spacing w:after="0"/>
              <w:rPr>
                <w:sz w:val="22"/>
                <w:szCs w:val="22"/>
                <w:color w:val="auto"/>
              </w:rPr>
            </w:pPr>
          </w:p>
        </w:tc>
        <w:tc>
          <w:tcPr>
            <w:tcW w:w="220" w:type="dxa"/>
            <w:vAlign w:val="bottom"/>
            <w:tcBorders>
              <w:bottom w:val="single" w:sz="8" w:color="D4EEED"/>
            </w:tcBorders>
            <w:shd w:val="clear" w:color="auto" w:fill="D4EEED"/>
          </w:tcPr>
          <w:p>
            <w:pPr>
              <w:spacing w:after="0"/>
              <w:rPr>
                <w:sz w:val="22"/>
                <w:szCs w:val="22"/>
                <w:color w:val="auto"/>
              </w:rPr>
            </w:pPr>
          </w:p>
        </w:tc>
        <w:tc>
          <w:tcPr>
            <w:tcW w:w="120" w:type="dxa"/>
            <w:vAlign w:val="bottom"/>
            <w:tcBorders>
              <w:bottom w:val="single" w:sz="8" w:color="auto"/>
            </w:tcBorders>
            <w:shd w:val="clear" w:color="auto" w:fill="D4EEED"/>
          </w:tcPr>
          <w:p>
            <w:pPr>
              <w:spacing w:after="0"/>
              <w:rPr>
                <w:sz w:val="22"/>
                <w:szCs w:val="22"/>
                <w:color w:val="auto"/>
              </w:rPr>
            </w:pPr>
          </w:p>
        </w:tc>
        <w:tc>
          <w:tcPr>
            <w:tcW w:w="7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134,750</w:t>
            </w:r>
          </w:p>
        </w:tc>
        <w:tc>
          <w:tcPr>
            <w:tcW w:w="80" w:type="dxa"/>
            <w:vAlign w:val="bottom"/>
            <w:tcBorders>
              <w:bottom w:val="single" w:sz="8" w:color="D4EEED"/>
            </w:tcBorders>
            <w:shd w:val="clear" w:color="auto" w:fill="D4EEED"/>
          </w:tcPr>
          <w:p>
            <w:pPr>
              <w:spacing w:after="0"/>
              <w:rPr>
                <w:sz w:val="22"/>
                <w:szCs w:val="22"/>
                <w:color w:val="auto"/>
              </w:rPr>
            </w:pPr>
          </w:p>
        </w:tc>
      </w:tr>
      <w:tr>
        <w:trPr>
          <w:trHeight w:val="214"/>
        </w:trPr>
        <w:tc>
          <w:tcPr>
            <w:tcW w:w="6720" w:type="dxa"/>
            <w:vAlign w:val="bottom"/>
            <w:tcBorders>
              <w:top w:val="single" w:sz="8" w:color="FEFEFE"/>
              <w:bottom w:val="single" w:sz="8" w:color="D4EEED"/>
            </w:tcBorders>
            <w:shd w:val="clear" w:color="auto" w:fill="FEFEFE"/>
          </w:tcPr>
          <w:p>
            <w:pPr>
              <w:ind w:left="100"/>
              <w:spacing w:after="0" w:line="214" w:lineRule="exact"/>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420" w:type="dxa"/>
            <w:vAlign w:val="bottom"/>
            <w:tcBorders>
              <w:top w:val="single" w:sz="8" w:color="FEFEFE"/>
              <w:bottom w:val="single" w:sz="8" w:color="D4EEED"/>
            </w:tcBorders>
            <w:shd w:val="clear" w:color="auto" w:fill="FEFEFE"/>
          </w:tcPr>
          <w:p>
            <w:pPr>
              <w:spacing w:after="0"/>
              <w:rPr>
                <w:sz w:val="18"/>
                <w:szCs w:val="18"/>
                <w:color w:val="auto"/>
              </w:rPr>
            </w:pPr>
          </w:p>
        </w:tc>
        <w:tc>
          <w:tcPr>
            <w:tcW w:w="140" w:type="dxa"/>
            <w:vAlign w:val="bottom"/>
            <w:tcBorders>
              <w:top w:val="single" w:sz="8" w:color="auto"/>
              <w:bottom w:val="single" w:sz="8" w:color="auto"/>
            </w:tcBorders>
            <w:shd w:val="clear" w:color="auto" w:fill="FEFEFE"/>
          </w:tcPr>
          <w:p>
            <w:pPr>
              <w:spacing w:after="0"/>
              <w:rPr>
                <w:sz w:val="18"/>
                <w:szCs w:val="18"/>
                <w:color w:val="auto"/>
              </w:rPr>
            </w:pPr>
          </w:p>
        </w:tc>
        <w:tc>
          <w:tcPr>
            <w:tcW w:w="820" w:type="dxa"/>
            <w:vAlign w:val="bottom"/>
            <w:tcBorders>
              <w:top w:val="single" w:sz="8" w:color="auto"/>
              <w:bottom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color w:val="auto"/>
              </w:rPr>
              <w:t>(85,387)</w:t>
            </w:r>
          </w:p>
        </w:tc>
        <w:tc>
          <w:tcPr>
            <w:tcW w:w="80" w:type="dxa"/>
            <w:vAlign w:val="bottom"/>
            <w:tcBorders>
              <w:top w:val="single" w:sz="8" w:color="FEFEFE"/>
              <w:bottom w:val="single" w:sz="8" w:color="D4EEED"/>
            </w:tcBorders>
            <w:shd w:val="clear" w:color="auto" w:fill="FEFEFE"/>
          </w:tcPr>
          <w:p>
            <w:pPr>
              <w:spacing w:after="0"/>
              <w:rPr>
                <w:sz w:val="18"/>
                <w:szCs w:val="18"/>
                <w:color w:val="auto"/>
              </w:rPr>
            </w:pPr>
          </w:p>
        </w:tc>
        <w:tc>
          <w:tcPr>
            <w:tcW w:w="220" w:type="dxa"/>
            <w:vAlign w:val="bottom"/>
            <w:tcBorders>
              <w:top w:val="single" w:sz="8" w:color="FEFEFE"/>
              <w:bottom w:val="single" w:sz="8" w:color="D4EEED"/>
            </w:tcBorders>
            <w:shd w:val="clear" w:color="auto" w:fill="FEFEFE"/>
          </w:tcPr>
          <w:p>
            <w:pPr>
              <w:spacing w:after="0"/>
              <w:rPr>
                <w:sz w:val="18"/>
                <w:szCs w:val="18"/>
                <w:color w:val="auto"/>
              </w:rPr>
            </w:pPr>
          </w:p>
        </w:tc>
        <w:tc>
          <w:tcPr>
            <w:tcW w:w="120" w:type="dxa"/>
            <w:vAlign w:val="bottom"/>
            <w:tcBorders>
              <w:top w:val="single" w:sz="8" w:color="auto"/>
              <w:bottom w:val="single" w:sz="8" w:color="auto"/>
            </w:tcBorders>
            <w:shd w:val="clear" w:color="auto" w:fill="FEFEFE"/>
          </w:tcPr>
          <w:p>
            <w:pPr>
              <w:spacing w:after="0"/>
              <w:rPr>
                <w:sz w:val="18"/>
                <w:szCs w:val="18"/>
                <w:color w:val="auto"/>
              </w:rPr>
            </w:pPr>
          </w:p>
        </w:tc>
        <w:tc>
          <w:tcPr>
            <w:tcW w:w="760" w:type="dxa"/>
            <w:vAlign w:val="bottom"/>
            <w:tcBorders>
              <w:top w:val="single" w:sz="8" w:color="auto"/>
              <w:bottom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color w:val="auto"/>
              </w:rPr>
              <w:t>33,353</w:t>
            </w:r>
          </w:p>
        </w:tc>
        <w:tc>
          <w:tcPr>
            <w:tcW w:w="80" w:type="dxa"/>
            <w:vAlign w:val="bottom"/>
            <w:tcBorders>
              <w:top w:val="single" w:sz="8" w:color="FEFEFE"/>
              <w:bottom w:val="single" w:sz="8" w:color="D4EEED"/>
            </w:tcBorders>
            <w:shd w:val="clear" w:color="auto" w:fill="FEFEFE"/>
          </w:tcPr>
          <w:p>
            <w:pPr>
              <w:spacing w:after="0"/>
              <w:rPr>
                <w:sz w:val="18"/>
                <w:szCs w:val="18"/>
                <w:color w:val="auto"/>
              </w:rPr>
            </w:pPr>
          </w:p>
        </w:tc>
      </w:tr>
      <w:tr>
        <w:trPr>
          <w:trHeight w:val="234"/>
        </w:trPr>
        <w:tc>
          <w:tcPr>
            <w:tcW w:w="67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420" w:type="dxa"/>
            <w:vAlign w:val="bottom"/>
            <w:shd w:val="clear" w:color="auto" w:fill="D4EEED"/>
          </w:tcPr>
          <w:p>
            <w:pPr>
              <w:spacing w:after="0"/>
              <w:rPr>
                <w:sz w:val="20"/>
                <w:szCs w:val="20"/>
                <w:color w:val="auto"/>
              </w:rPr>
            </w:pPr>
          </w:p>
        </w:tc>
        <w:tc>
          <w:tcPr>
            <w:tcW w:w="140" w:type="dxa"/>
            <w:vAlign w:val="bottom"/>
            <w:shd w:val="clear" w:color="auto" w:fill="D4EEED"/>
          </w:tcPr>
          <w:p>
            <w:pPr>
              <w:spacing w:after="0"/>
              <w:rPr>
                <w:sz w:val="20"/>
                <w:szCs w:val="20"/>
                <w:color w:val="auto"/>
              </w:rPr>
            </w:pPr>
          </w:p>
        </w:tc>
        <w:tc>
          <w:tcPr>
            <w:tcW w:w="82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c>
          <w:tcPr>
            <w:tcW w:w="220" w:type="dxa"/>
            <w:vAlign w:val="bottom"/>
            <w:shd w:val="clear" w:color="auto" w:fill="D4EEED"/>
          </w:tcPr>
          <w:p>
            <w:pPr>
              <w:spacing w:after="0"/>
              <w:rPr>
                <w:sz w:val="20"/>
                <w:szCs w:val="20"/>
                <w:color w:val="auto"/>
              </w:rPr>
            </w:pPr>
          </w:p>
        </w:tc>
        <w:tc>
          <w:tcPr>
            <w:tcW w:w="120" w:type="dxa"/>
            <w:vAlign w:val="bottom"/>
            <w:shd w:val="clear" w:color="auto" w:fill="D4EEED"/>
          </w:tcPr>
          <w:p>
            <w:pPr>
              <w:spacing w:after="0"/>
              <w:rPr>
                <w:sz w:val="20"/>
                <w:szCs w:val="20"/>
                <w:color w:val="auto"/>
              </w:rPr>
            </w:pPr>
          </w:p>
        </w:tc>
        <w:tc>
          <w:tcPr>
            <w:tcW w:w="76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r>
      <w:tr>
        <w:trPr>
          <w:trHeight w:val="244"/>
        </w:trPr>
        <w:tc>
          <w:tcPr>
            <w:tcW w:w="67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Proceeds from sale of common stock, net of issuance costs</w:t>
            </w:r>
          </w:p>
        </w:tc>
        <w:tc>
          <w:tcPr>
            <w:tcW w:w="42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161,806</w:t>
            </w:r>
          </w:p>
        </w:tc>
        <w:tc>
          <w:tcPr>
            <w:tcW w:w="8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FEFEFE"/>
          </w:tcPr>
          <w:p>
            <w:pPr>
              <w:spacing w:after="0"/>
              <w:rPr>
                <w:sz w:val="21"/>
                <w:szCs w:val="21"/>
                <w:color w:val="auto"/>
              </w:rPr>
            </w:pPr>
          </w:p>
        </w:tc>
      </w:tr>
      <w:tr>
        <w:trPr>
          <w:trHeight w:val="269"/>
        </w:trPr>
        <w:tc>
          <w:tcPr>
            <w:tcW w:w="6720" w:type="dxa"/>
            <w:vAlign w:val="bottom"/>
            <w:tcBorders>
              <w:bottom w:val="single" w:sz="8" w:color="D4EEED"/>
            </w:tcBorders>
            <w:shd w:val="clear" w:color="auto" w:fill="D4EEED"/>
          </w:tcPr>
          <w:p>
            <w:pPr>
              <w:spacing w:after="0"/>
              <w:rPr>
                <w:sz w:val="20"/>
                <w:szCs w:val="20"/>
                <w:color w:val="auto"/>
              </w:rPr>
            </w:pPr>
            <w:r>
              <w:rPr>
                <w:rFonts w:ascii="Times New Roman" w:cs="Times New Roman" w:eastAsia="Times New Roman" w:hAnsi="Times New Roman"/>
                <w:sz w:val="20"/>
                <w:szCs w:val="20"/>
                <w:color w:val="auto"/>
              </w:rPr>
              <w:t>Proceeds from exercise of stock options and warrants</w:t>
            </w:r>
          </w:p>
        </w:tc>
        <w:tc>
          <w:tcPr>
            <w:tcW w:w="420" w:type="dxa"/>
            <w:vAlign w:val="bottom"/>
            <w:tcBorders>
              <w:bottom w:val="single" w:sz="8" w:color="D4EEED"/>
            </w:tcBorders>
            <w:shd w:val="clear" w:color="auto" w:fill="D4EEED"/>
          </w:tcPr>
          <w:p>
            <w:pPr>
              <w:spacing w:after="0"/>
              <w:rPr>
                <w:sz w:val="22"/>
                <w:szCs w:val="22"/>
                <w:color w:val="auto"/>
              </w:rPr>
            </w:pPr>
          </w:p>
        </w:tc>
        <w:tc>
          <w:tcPr>
            <w:tcW w:w="140" w:type="dxa"/>
            <w:vAlign w:val="bottom"/>
            <w:tcBorders>
              <w:bottom w:val="single" w:sz="8" w:color="auto"/>
            </w:tcBorders>
            <w:shd w:val="clear" w:color="auto" w:fill="D4EEED"/>
          </w:tcPr>
          <w:p>
            <w:pPr>
              <w:spacing w:after="0"/>
              <w:rPr>
                <w:sz w:val="22"/>
                <w:szCs w:val="22"/>
                <w:color w:val="auto"/>
              </w:rPr>
            </w:pPr>
          </w:p>
        </w:tc>
        <w:tc>
          <w:tcPr>
            <w:tcW w:w="82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80" w:type="dxa"/>
            <w:vAlign w:val="bottom"/>
            <w:tcBorders>
              <w:bottom w:val="single" w:sz="8" w:color="D4EEED"/>
            </w:tcBorders>
            <w:shd w:val="clear" w:color="auto" w:fill="D4EEED"/>
          </w:tcPr>
          <w:p>
            <w:pPr>
              <w:spacing w:after="0"/>
              <w:rPr>
                <w:sz w:val="22"/>
                <w:szCs w:val="22"/>
                <w:color w:val="auto"/>
              </w:rPr>
            </w:pPr>
          </w:p>
        </w:tc>
        <w:tc>
          <w:tcPr>
            <w:tcW w:w="220" w:type="dxa"/>
            <w:vAlign w:val="bottom"/>
            <w:tcBorders>
              <w:bottom w:val="single" w:sz="8" w:color="D4EEED"/>
            </w:tcBorders>
            <w:shd w:val="clear" w:color="auto" w:fill="D4EEED"/>
          </w:tcPr>
          <w:p>
            <w:pPr>
              <w:spacing w:after="0"/>
              <w:rPr>
                <w:sz w:val="22"/>
                <w:szCs w:val="22"/>
                <w:color w:val="auto"/>
              </w:rPr>
            </w:pPr>
          </w:p>
        </w:tc>
        <w:tc>
          <w:tcPr>
            <w:tcW w:w="120" w:type="dxa"/>
            <w:vAlign w:val="bottom"/>
            <w:tcBorders>
              <w:bottom w:val="single" w:sz="8" w:color="auto"/>
            </w:tcBorders>
            <w:shd w:val="clear" w:color="auto" w:fill="D4EEED"/>
          </w:tcPr>
          <w:p>
            <w:pPr>
              <w:spacing w:after="0"/>
              <w:rPr>
                <w:sz w:val="22"/>
                <w:szCs w:val="22"/>
                <w:color w:val="auto"/>
              </w:rPr>
            </w:pPr>
          </w:p>
        </w:tc>
        <w:tc>
          <w:tcPr>
            <w:tcW w:w="7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Borders>
              <w:bottom w:val="single" w:sz="8" w:color="D4EEED"/>
            </w:tcBorders>
            <w:shd w:val="clear" w:color="auto" w:fill="D4EEED"/>
          </w:tcPr>
          <w:p>
            <w:pPr>
              <w:spacing w:after="0"/>
              <w:rPr>
                <w:sz w:val="22"/>
                <w:szCs w:val="22"/>
                <w:color w:val="auto"/>
              </w:rPr>
            </w:pPr>
          </w:p>
        </w:tc>
      </w:tr>
      <w:tr>
        <w:trPr>
          <w:trHeight w:val="214"/>
        </w:trPr>
        <w:tc>
          <w:tcPr>
            <w:tcW w:w="6720" w:type="dxa"/>
            <w:vAlign w:val="bottom"/>
            <w:tcBorders>
              <w:top w:val="single" w:sz="8" w:color="FEFEFE"/>
              <w:bottom w:val="single" w:sz="8" w:color="D4EEED"/>
            </w:tcBorders>
            <w:shd w:val="clear" w:color="auto" w:fill="FEFEFE"/>
          </w:tcPr>
          <w:p>
            <w:pPr>
              <w:ind w:left="100"/>
              <w:spacing w:after="0" w:line="214" w:lineRule="exact"/>
              <w:rPr>
                <w:sz w:val="20"/>
                <w:szCs w:val="20"/>
                <w:color w:val="auto"/>
              </w:rPr>
            </w:pPr>
            <w:r>
              <w:rPr>
                <w:rFonts w:ascii="Times New Roman" w:cs="Times New Roman" w:eastAsia="Times New Roman" w:hAnsi="Times New Roman"/>
                <w:sz w:val="20"/>
                <w:szCs w:val="20"/>
                <w:color w:val="auto"/>
              </w:rPr>
              <w:t>Net cash provided by financing activities</w:t>
            </w:r>
          </w:p>
        </w:tc>
        <w:tc>
          <w:tcPr>
            <w:tcW w:w="420" w:type="dxa"/>
            <w:vAlign w:val="bottom"/>
            <w:tcBorders>
              <w:top w:val="single" w:sz="8" w:color="FEFEFE"/>
              <w:bottom w:val="single" w:sz="8" w:color="D4EEED"/>
            </w:tcBorders>
            <w:shd w:val="clear" w:color="auto" w:fill="FEFEFE"/>
          </w:tcPr>
          <w:p>
            <w:pPr>
              <w:spacing w:after="0"/>
              <w:rPr>
                <w:sz w:val="18"/>
                <w:szCs w:val="18"/>
                <w:color w:val="auto"/>
              </w:rPr>
            </w:pPr>
          </w:p>
        </w:tc>
        <w:tc>
          <w:tcPr>
            <w:tcW w:w="140" w:type="dxa"/>
            <w:vAlign w:val="bottom"/>
            <w:tcBorders>
              <w:top w:val="single" w:sz="8" w:color="auto"/>
              <w:bottom w:val="single" w:sz="8" w:color="auto"/>
            </w:tcBorders>
            <w:shd w:val="clear" w:color="auto" w:fill="FEFEFE"/>
          </w:tcPr>
          <w:p>
            <w:pPr>
              <w:spacing w:after="0"/>
              <w:rPr>
                <w:sz w:val="18"/>
                <w:szCs w:val="18"/>
                <w:color w:val="auto"/>
              </w:rPr>
            </w:pPr>
          </w:p>
        </w:tc>
        <w:tc>
          <w:tcPr>
            <w:tcW w:w="820" w:type="dxa"/>
            <w:vAlign w:val="bottom"/>
            <w:tcBorders>
              <w:top w:val="single" w:sz="8" w:color="auto"/>
              <w:bottom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color w:val="auto"/>
              </w:rPr>
              <w:t>161,883</w:t>
            </w:r>
          </w:p>
        </w:tc>
        <w:tc>
          <w:tcPr>
            <w:tcW w:w="80" w:type="dxa"/>
            <w:vAlign w:val="bottom"/>
            <w:tcBorders>
              <w:top w:val="single" w:sz="8" w:color="FEFEFE"/>
              <w:bottom w:val="single" w:sz="8" w:color="D4EEED"/>
            </w:tcBorders>
            <w:shd w:val="clear" w:color="auto" w:fill="FEFEFE"/>
          </w:tcPr>
          <w:p>
            <w:pPr>
              <w:spacing w:after="0"/>
              <w:rPr>
                <w:sz w:val="18"/>
                <w:szCs w:val="18"/>
                <w:color w:val="auto"/>
              </w:rPr>
            </w:pPr>
          </w:p>
        </w:tc>
        <w:tc>
          <w:tcPr>
            <w:tcW w:w="220" w:type="dxa"/>
            <w:vAlign w:val="bottom"/>
            <w:tcBorders>
              <w:top w:val="single" w:sz="8" w:color="FEFEFE"/>
              <w:bottom w:val="single" w:sz="8" w:color="D4EEED"/>
            </w:tcBorders>
            <w:shd w:val="clear" w:color="auto" w:fill="FEFEFE"/>
          </w:tcPr>
          <w:p>
            <w:pPr>
              <w:spacing w:after="0"/>
              <w:rPr>
                <w:sz w:val="18"/>
                <w:szCs w:val="18"/>
                <w:color w:val="auto"/>
              </w:rPr>
            </w:pPr>
          </w:p>
        </w:tc>
        <w:tc>
          <w:tcPr>
            <w:tcW w:w="120" w:type="dxa"/>
            <w:vAlign w:val="bottom"/>
            <w:tcBorders>
              <w:top w:val="single" w:sz="8" w:color="auto"/>
              <w:bottom w:val="single" w:sz="8" w:color="auto"/>
            </w:tcBorders>
            <w:shd w:val="clear" w:color="auto" w:fill="FEFEFE"/>
          </w:tcPr>
          <w:p>
            <w:pPr>
              <w:spacing w:after="0"/>
              <w:rPr>
                <w:sz w:val="18"/>
                <w:szCs w:val="18"/>
                <w:color w:val="auto"/>
              </w:rPr>
            </w:pPr>
          </w:p>
        </w:tc>
        <w:tc>
          <w:tcPr>
            <w:tcW w:w="760" w:type="dxa"/>
            <w:vAlign w:val="bottom"/>
            <w:tcBorders>
              <w:top w:val="single" w:sz="8" w:color="auto"/>
              <w:bottom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color w:val="auto"/>
              </w:rPr>
              <w:t>30</w:t>
            </w:r>
          </w:p>
        </w:tc>
        <w:tc>
          <w:tcPr>
            <w:tcW w:w="80" w:type="dxa"/>
            <w:vAlign w:val="bottom"/>
            <w:tcBorders>
              <w:top w:val="single" w:sz="8" w:color="FEFEFE"/>
              <w:bottom w:val="single" w:sz="8" w:color="D4EEED"/>
            </w:tcBorders>
            <w:shd w:val="clear" w:color="auto" w:fill="FEFEFE"/>
          </w:tcPr>
          <w:p>
            <w:pPr>
              <w:spacing w:after="0"/>
              <w:rPr>
                <w:sz w:val="18"/>
                <w:szCs w:val="18"/>
                <w:color w:val="auto"/>
              </w:rPr>
            </w:pPr>
          </w:p>
        </w:tc>
      </w:tr>
      <w:tr>
        <w:trPr>
          <w:trHeight w:val="234"/>
        </w:trPr>
        <w:tc>
          <w:tcPr>
            <w:tcW w:w="67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Net increase (decrease) in cash, cash equivalents and restricted cash</w:t>
            </w:r>
          </w:p>
        </w:tc>
        <w:tc>
          <w:tcPr>
            <w:tcW w:w="420" w:type="dxa"/>
            <w:vAlign w:val="bottom"/>
            <w:shd w:val="clear" w:color="auto" w:fill="D4EEED"/>
          </w:tcPr>
          <w:p>
            <w:pPr>
              <w:spacing w:after="0"/>
              <w:rPr>
                <w:sz w:val="20"/>
                <w:szCs w:val="20"/>
                <w:color w:val="auto"/>
              </w:rPr>
            </w:pPr>
          </w:p>
        </w:tc>
        <w:tc>
          <w:tcPr>
            <w:tcW w:w="140" w:type="dxa"/>
            <w:vAlign w:val="bottom"/>
            <w:shd w:val="clear" w:color="auto" w:fill="D4EEED"/>
          </w:tcPr>
          <w:p>
            <w:pPr>
              <w:spacing w:after="0"/>
              <w:rPr>
                <w:sz w:val="20"/>
                <w:szCs w:val="20"/>
                <w:color w:val="auto"/>
              </w:rPr>
            </w:pPr>
          </w:p>
        </w:tc>
        <w:tc>
          <w:tcPr>
            <w:tcW w:w="8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5,736</w:t>
            </w:r>
          </w:p>
        </w:tc>
        <w:tc>
          <w:tcPr>
            <w:tcW w:w="80" w:type="dxa"/>
            <w:vAlign w:val="bottom"/>
            <w:shd w:val="clear" w:color="auto" w:fill="D4EEED"/>
          </w:tcPr>
          <w:p>
            <w:pPr>
              <w:spacing w:after="0"/>
              <w:rPr>
                <w:sz w:val="20"/>
                <w:szCs w:val="20"/>
                <w:color w:val="auto"/>
              </w:rPr>
            </w:pPr>
          </w:p>
        </w:tc>
        <w:tc>
          <w:tcPr>
            <w:tcW w:w="220" w:type="dxa"/>
            <w:vAlign w:val="bottom"/>
            <w:shd w:val="clear" w:color="auto" w:fill="D4EEED"/>
          </w:tcPr>
          <w:p>
            <w:pPr>
              <w:spacing w:after="0"/>
              <w:rPr>
                <w:sz w:val="20"/>
                <w:szCs w:val="20"/>
                <w:color w:val="auto"/>
              </w:rPr>
            </w:pPr>
          </w:p>
        </w:tc>
        <w:tc>
          <w:tcPr>
            <w:tcW w:w="120" w:type="dxa"/>
            <w:vAlign w:val="bottom"/>
            <w:shd w:val="clear" w:color="auto" w:fill="D4EEED"/>
          </w:tcPr>
          <w:p>
            <w:pPr>
              <w:spacing w:after="0"/>
              <w:rPr>
                <w:sz w:val="20"/>
                <w:szCs w:val="20"/>
                <w:color w:val="auto"/>
              </w:rPr>
            </w:pPr>
          </w:p>
        </w:tc>
        <w:tc>
          <w:tcPr>
            <w:tcW w:w="7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80" w:type="dxa"/>
            <w:vAlign w:val="bottom"/>
            <w:shd w:val="clear" w:color="auto" w:fill="D4EEED"/>
          </w:tcPr>
          <w:p>
            <w:pPr>
              <w:spacing w:after="0"/>
              <w:rPr>
                <w:sz w:val="20"/>
                <w:szCs w:val="20"/>
                <w:color w:val="auto"/>
              </w:rPr>
            </w:pPr>
          </w:p>
        </w:tc>
      </w:tr>
      <w:tr>
        <w:trPr>
          <w:trHeight w:val="244"/>
        </w:trPr>
        <w:tc>
          <w:tcPr>
            <w:tcW w:w="6720" w:type="dxa"/>
            <w:vAlign w:val="bottom"/>
            <w:tcBorders>
              <w:bottom w:val="single" w:sz="8" w:color="D4EEED"/>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period</w:t>
            </w:r>
          </w:p>
        </w:tc>
        <w:tc>
          <w:tcPr>
            <w:tcW w:w="420" w:type="dxa"/>
            <w:vAlign w:val="bottom"/>
            <w:tcBorders>
              <w:bottom w:val="single" w:sz="8" w:color="D4EEED"/>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8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28,088</w:t>
            </w:r>
          </w:p>
        </w:tc>
        <w:tc>
          <w:tcPr>
            <w:tcW w:w="80" w:type="dxa"/>
            <w:vAlign w:val="bottom"/>
            <w:tcBorders>
              <w:bottom w:val="single" w:sz="8" w:color="D4EEED"/>
            </w:tcBorders>
            <w:shd w:val="clear" w:color="auto" w:fill="FEFEFE"/>
          </w:tcPr>
          <w:p>
            <w:pPr>
              <w:spacing w:after="0"/>
              <w:rPr>
                <w:sz w:val="21"/>
                <w:szCs w:val="21"/>
                <w:color w:val="auto"/>
              </w:rPr>
            </w:pPr>
          </w:p>
        </w:tc>
        <w:tc>
          <w:tcPr>
            <w:tcW w:w="220" w:type="dxa"/>
            <w:vAlign w:val="bottom"/>
            <w:tcBorders>
              <w:bottom w:val="single" w:sz="8" w:color="D4EEED"/>
            </w:tcBorders>
            <w:shd w:val="clear" w:color="auto" w:fill="FEFEFE"/>
          </w:tcPr>
          <w:p>
            <w:pPr>
              <w:spacing w:after="0"/>
              <w:rPr>
                <w:sz w:val="21"/>
                <w:szCs w:val="21"/>
                <w:color w:val="auto"/>
              </w:rPr>
            </w:pPr>
          </w:p>
        </w:tc>
        <w:tc>
          <w:tcPr>
            <w:tcW w:w="120" w:type="dxa"/>
            <w:vAlign w:val="bottom"/>
            <w:tcBorders>
              <w:bottom w:val="single" w:sz="8" w:color="auto"/>
            </w:tcBorders>
            <w:shd w:val="clear" w:color="auto" w:fill="FEFEFE"/>
          </w:tcPr>
          <w:p>
            <w:pPr>
              <w:spacing w:after="0"/>
              <w:rPr>
                <w:sz w:val="21"/>
                <w:szCs w:val="21"/>
                <w:color w:val="auto"/>
              </w:rPr>
            </w:pPr>
          </w:p>
        </w:tc>
        <w:tc>
          <w:tcPr>
            <w:tcW w:w="7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28,164</w:t>
            </w:r>
          </w:p>
        </w:tc>
        <w:tc>
          <w:tcPr>
            <w:tcW w:w="80" w:type="dxa"/>
            <w:vAlign w:val="bottom"/>
            <w:tcBorders>
              <w:bottom w:val="single" w:sz="8" w:color="D4EEED"/>
            </w:tcBorders>
            <w:shd w:val="clear" w:color="auto" w:fill="FEFEFE"/>
          </w:tcPr>
          <w:p>
            <w:pPr>
              <w:spacing w:after="0"/>
              <w:rPr>
                <w:sz w:val="21"/>
                <w:szCs w:val="21"/>
                <w:color w:val="auto"/>
              </w:rPr>
            </w:pPr>
          </w:p>
        </w:tc>
      </w:tr>
      <w:tr>
        <w:trPr>
          <w:trHeight w:val="274"/>
        </w:trPr>
        <w:tc>
          <w:tcPr>
            <w:tcW w:w="6720" w:type="dxa"/>
            <w:vAlign w:val="bottom"/>
            <w:tcBorders>
              <w:bottom w:val="single" w:sz="8" w:color="FEFEFE"/>
            </w:tcBorders>
            <w:shd w:val="clear" w:color="auto" w:fill="D4EEED"/>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end of period</w:t>
            </w:r>
          </w:p>
        </w:tc>
        <w:tc>
          <w:tcPr>
            <w:tcW w:w="420" w:type="dxa"/>
            <w:vAlign w:val="bottom"/>
            <w:tcBorders>
              <w:bottom w:val="single" w:sz="8" w:color="FEFEFE"/>
            </w:tcBorders>
            <w:shd w:val="clear" w:color="auto" w:fill="D4EEED"/>
          </w:tcPr>
          <w:p>
            <w:pPr>
              <w:spacing w:after="0"/>
              <w:rPr>
                <w:sz w:val="23"/>
                <w:szCs w:val="23"/>
                <w:color w:val="auto"/>
              </w:rPr>
            </w:pPr>
          </w:p>
        </w:tc>
        <w:tc>
          <w:tcPr>
            <w:tcW w:w="14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82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33,824</w:t>
            </w:r>
          </w:p>
        </w:tc>
        <w:tc>
          <w:tcPr>
            <w:tcW w:w="80" w:type="dxa"/>
            <w:vAlign w:val="bottom"/>
            <w:tcBorders>
              <w:bottom w:val="single" w:sz="8" w:color="FEFEFE"/>
            </w:tcBorders>
            <w:shd w:val="clear" w:color="auto" w:fill="D4EEED"/>
          </w:tcPr>
          <w:p>
            <w:pPr>
              <w:spacing w:after="0"/>
              <w:rPr>
                <w:sz w:val="23"/>
                <w:szCs w:val="23"/>
                <w:color w:val="auto"/>
              </w:rPr>
            </w:pPr>
          </w:p>
        </w:tc>
        <w:tc>
          <w:tcPr>
            <w:tcW w:w="220" w:type="dxa"/>
            <w:vAlign w:val="bottom"/>
            <w:tcBorders>
              <w:bottom w:val="single" w:sz="8" w:color="FEFEFE"/>
            </w:tcBorders>
            <w:shd w:val="clear" w:color="auto" w:fill="D4EEED"/>
          </w:tcPr>
          <w:p>
            <w:pPr>
              <w:spacing w:after="0"/>
              <w:rPr>
                <w:sz w:val="23"/>
                <w:szCs w:val="23"/>
                <w:color w:val="auto"/>
              </w:rPr>
            </w:pPr>
          </w:p>
        </w:tc>
        <w:tc>
          <w:tcPr>
            <w:tcW w:w="12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7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28,088</w:t>
            </w:r>
          </w:p>
        </w:tc>
        <w:tc>
          <w:tcPr>
            <w:tcW w:w="80" w:type="dxa"/>
            <w:vAlign w:val="bottom"/>
            <w:tcBorders>
              <w:bottom w:val="single" w:sz="8" w:color="FEFEFE"/>
            </w:tcBorders>
            <w:shd w:val="clear" w:color="auto" w:fill="D4EEED"/>
          </w:tcPr>
          <w:p>
            <w:pPr>
              <w:spacing w:after="0"/>
              <w:rPr>
                <w:sz w:val="23"/>
                <w:szCs w:val="23"/>
                <w:color w:val="auto"/>
              </w:rPr>
            </w:pPr>
          </w:p>
        </w:tc>
      </w:tr>
      <w:tr>
        <w:trPr>
          <w:trHeight w:val="229"/>
        </w:trPr>
        <w:tc>
          <w:tcPr>
            <w:tcW w:w="67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non-cash investing and financing activities:</w:t>
            </w:r>
          </w:p>
        </w:tc>
        <w:tc>
          <w:tcPr>
            <w:tcW w:w="42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8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22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76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r>
      <w:tr>
        <w:trPr>
          <w:trHeight w:val="244"/>
        </w:trPr>
        <w:tc>
          <w:tcPr>
            <w:tcW w:w="67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Leased assets obtained in exchange for new operating lease liabilities</w:t>
            </w:r>
          </w:p>
        </w:tc>
        <w:tc>
          <w:tcPr>
            <w:tcW w:w="420" w:type="dxa"/>
            <w:vAlign w:val="bottom"/>
            <w:shd w:val="clear" w:color="auto" w:fill="D4EEED"/>
          </w:tcPr>
          <w:p>
            <w:pPr>
              <w:spacing w:after="0"/>
              <w:rPr>
                <w:sz w:val="21"/>
                <w:szCs w:val="21"/>
                <w:color w:val="auto"/>
              </w:rPr>
            </w:pPr>
          </w:p>
        </w:tc>
        <w:tc>
          <w:tcPr>
            <w:tcW w:w="14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465</w:t>
            </w:r>
          </w:p>
        </w:tc>
        <w:tc>
          <w:tcPr>
            <w:tcW w:w="80" w:type="dxa"/>
            <w:vAlign w:val="bottom"/>
            <w:shd w:val="clear" w:color="auto" w:fill="D4EEED"/>
          </w:tcPr>
          <w:p>
            <w:pPr>
              <w:spacing w:after="0"/>
              <w:rPr>
                <w:sz w:val="21"/>
                <w:szCs w:val="21"/>
                <w:color w:val="auto"/>
              </w:rPr>
            </w:pPr>
          </w:p>
        </w:tc>
        <w:tc>
          <w:tcPr>
            <w:tcW w:w="220" w:type="dxa"/>
            <w:vAlign w:val="bottom"/>
            <w:shd w:val="clear" w:color="auto" w:fill="D4EEED"/>
          </w:tcPr>
          <w:p>
            <w:pPr>
              <w:spacing w:after="0"/>
              <w:rPr>
                <w:sz w:val="21"/>
                <w:szCs w:val="21"/>
                <w:color w:val="auto"/>
              </w:rPr>
            </w:pPr>
          </w:p>
        </w:tc>
        <w:tc>
          <w:tcPr>
            <w:tcW w:w="1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790</w:t>
            </w:r>
          </w:p>
        </w:tc>
        <w:tc>
          <w:tcPr>
            <w:tcW w:w="80" w:type="dxa"/>
            <w:vAlign w:val="bottom"/>
            <w:shd w:val="clear" w:color="auto" w:fill="D4EEED"/>
          </w:tcPr>
          <w:p>
            <w:pPr>
              <w:spacing w:after="0"/>
              <w:rPr>
                <w:sz w:val="21"/>
                <w:szCs w:val="21"/>
                <w:color w:val="auto"/>
              </w:rPr>
            </w:pPr>
          </w:p>
        </w:tc>
      </w:tr>
      <w:tr>
        <w:trPr>
          <w:trHeight w:val="244"/>
        </w:trPr>
        <w:tc>
          <w:tcPr>
            <w:tcW w:w="67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Offering costs included in accounts payable and accrued expense</w:t>
            </w:r>
          </w:p>
        </w:tc>
        <w:tc>
          <w:tcPr>
            <w:tcW w:w="42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shd w:val="clear" w:color="auto" w:fill="FEFEFE"/>
          </w:tcPr>
          <w:p>
            <w:pPr>
              <w:spacing w:after="0"/>
              <w:rPr>
                <w:sz w:val="21"/>
                <w:szCs w:val="21"/>
                <w:color w:val="auto"/>
              </w:rPr>
            </w:pPr>
          </w:p>
        </w:tc>
        <w:tc>
          <w:tcPr>
            <w:tcW w:w="22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84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7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Proceeds from exercise of stock options included in other current assets</w:t>
            </w:r>
          </w:p>
        </w:tc>
        <w:tc>
          <w:tcPr>
            <w:tcW w:w="42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900" w:type="dxa"/>
            <w:vAlign w:val="bottom"/>
            <w:gridSpan w:val="2"/>
            <w:shd w:val="clear" w:color="auto" w:fill="D4EEE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7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shd w:val="clear" w:color="auto" w:fill="D4EEED"/>
          </w:tcPr>
          <w:p>
            <w:pPr>
              <w:spacing w:after="0"/>
              <w:rPr>
                <w:sz w:val="21"/>
                <w:szCs w:val="21"/>
                <w:color w:val="auto"/>
              </w:rPr>
            </w:pP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960" w:h="17280" w:orient="portrait"/>
          <w:cols w:equalWidth="0" w:num="1">
            <w:col w:w="10080"/>
          </w:cols>
          <w:pgMar w:left="1440" w:top="1440" w:right="1440" w:bottom="895"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LARIMAR THERAPEUTICS,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24" w:lineRule="exact"/>
        <w:rPr>
          <w:sz w:val="20"/>
          <w:szCs w:val="20"/>
          <w:color w:val="auto"/>
        </w:rPr>
      </w:pPr>
    </w:p>
    <w:p>
      <w:pPr>
        <w:ind w:left="860" w:hanging="500"/>
        <w:spacing w:after="0"/>
        <w:tabs>
          <w:tab w:leader="none" w:pos="86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Business and Basis of Presentation</w:t>
      </w:r>
    </w:p>
    <w:p>
      <w:pPr>
        <w:spacing w:after="0" w:line="108" w:lineRule="exact"/>
        <w:rPr>
          <w:sz w:val="20"/>
          <w:szCs w:val="20"/>
          <w:color w:val="auto"/>
        </w:rPr>
      </w:pPr>
    </w:p>
    <w:p>
      <w:pPr>
        <w:ind w:left="360" w:right="360" w:firstLine="490"/>
        <w:spacing w:after="0" w:line="230" w:lineRule="auto"/>
        <w:rPr>
          <w:sz w:val="20"/>
          <w:szCs w:val="20"/>
          <w:color w:val="auto"/>
        </w:rPr>
      </w:pPr>
      <w:r>
        <w:rPr>
          <w:rFonts w:ascii="Times New Roman" w:cs="Times New Roman" w:eastAsia="Times New Roman" w:hAnsi="Times New Roman"/>
          <w:sz w:val="20"/>
          <w:szCs w:val="20"/>
          <w:color w:val="auto"/>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nomlabofusp (nomlabofusp is the International Nonproprietary Name and the United States Adopted Name for CTI-1601),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w:t>
      </w:r>
    </w:p>
    <w:p>
      <w:pPr>
        <w:spacing w:after="0" w:line="72" w:lineRule="exact"/>
        <w:rPr>
          <w:sz w:val="20"/>
          <w:szCs w:val="20"/>
          <w:color w:val="auto"/>
        </w:rPr>
      </w:pPr>
    </w:p>
    <w:p>
      <w:pPr>
        <w:ind w:left="360" w:right="740" w:firstLine="490"/>
        <w:spacing w:after="0" w:line="258" w:lineRule="auto"/>
        <w:rPr>
          <w:sz w:val="20"/>
          <w:szCs w:val="20"/>
          <w:color w:val="auto"/>
        </w:rPr>
      </w:pPr>
      <w:r>
        <w:rPr>
          <w:rFonts w:ascii="Times New Roman" w:cs="Times New Roman" w:eastAsia="Times New Roman" w:hAnsi="Times New Roman"/>
          <w:sz w:val="20"/>
          <w:szCs w:val="20"/>
          <w:color w:val="auto"/>
        </w:rPr>
        <w:t>Larimar has completed two Phase 1 clinical trials and a Phase 2 dose exploration trial, and has an ongoing Phase 2 OLE trial in patients with FA and an ongoing run-in study in adolescent patients with FA.</w:t>
      </w:r>
    </w:p>
    <w:p>
      <w:pPr>
        <w:spacing w:after="0" w:line="49" w:lineRule="exact"/>
        <w:rPr>
          <w:sz w:val="20"/>
          <w:szCs w:val="20"/>
          <w:color w:val="auto"/>
        </w:rPr>
      </w:pPr>
    </w:p>
    <w:p>
      <w:pPr>
        <w:ind w:left="360" w:right="440" w:firstLine="490"/>
        <w:spacing w:after="0" w:line="230" w:lineRule="auto"/>
        <w:rPr>
          <w:sz w:val="20"/>
          <w:szCs w:val="20"/>
          <w:color w:val="auto"/>
        </w:rPr>
      </w:pPr>
      <w:r>
        <w:rPr>
          <w:rFonts w:ascii="Times New Roman" w:cs="Times New Roman" w:eastAsia="Times New Roman" w:hAnsi="Times New Roman"/>
          <w:sz w:val="20"/>
          <w:szCs w:val="20"/>
          <w:color w:val="auto"/>
        </w:rPr>
        <w:t>In May 2021, the Company reported positive top-line data from its Phase 1 FA program after completing dosing of the single ascending dose ("SAD") trial in December 2020 and of the multiple ascending dose ("MAD") trial in March 2021. Data from these trials demonstrated proof-of-concept by showing that daily subcutaneous injections of nomlabofusp for up to 13 days resulted in dose-dependent increases in FXN levels from baseline compared to placebo in all evaluated tissues (buccal cells, skin, and platelets). There were no serious adverse events associated with either the MAD or SAD trials.</w:t>
      </w:r>
    </w:p>
    <w:p>
      <w:pPr>
        <w:spacing w:after="0" w:line="68" w:lineRule="exact"/>
        <w:rPr>
          <w:sz w:val="20"/>
          <w:szCs w:val="20"/>
          <w:color w:val="auto"/>
        </w:rPr>
      </w:pPr>
    </w:p>
    <w:p>
      <w:pPr>
        <w:ind w:left="360" w:right="400" w:firstLine="490"/>
        <w:spacing w:after="0" w:line="235" w:lineRule="auto"/>
        <w:rPr>
          <w:sz w:val="20"/>
          <w:szCs w:val="20"/>
          <w:color w:val="auto"/>
        </w:rPr>
      </w:pPr>
      <w:r>
        <w:rPr>
          <w:rFonts w:ascii="Times New Roman" w:cs="Times New Roman" w:eastAsia="Times New Roman" w:hAnsi="Times New Roman"/>
          <w:sz w:val="20"/>
          <w:szCs w:val="20"/>
          <w:color w:val="auto"/>
        </w:rPr>
        <w:t>In May 2023, the Company reported preliminary unblinded top-line data from the 25 mg cohort of the Phase 2 four-week, placebo-controlled, dose exploration trial of nomlabofusp in FA patients. Data from the cohort indicated nomlabofusp was generally well tolerated and showed increases in FXN levels from baseline compared to placebo in all evaluated tissues (skin and buccal cells) at day 14.</w:t>
      </w:r>
    </w:p>
    <w:p>
      <w:pPr>
        <w:spacing w:after="0" w:line="66" w:lineRule="exact"/>
        <w:rPr>
          <w:sz w:val="20"/>
          <w:szCs w:val="20"/>
          <w:color w:val="auto"/>
        </w:rPr>
      </w:pPr>
    </w:p>
    <w:p>
      <w:pPr>
        <w:jc w:val="both"/>
        <w:ind w:left="360" w:right="800" w:firstLine="490"/>
        <w:spacing w:after="0" w:line="239" w:lineRule="auto"/>
        <w:rPr>
          <w:sz w:val="20"/>
          <w:szCs w:val="20"/>
          <w:color w:val="auto"/>
        </w:rPr>
      </w:pPr>
      <w:r>
        <w:rPr>
          <w:rFonts w:ascii="Times New Roman" w:cs="Times New Roman" w:eastAsia="Times New Roman" w:hAnsi="Times New Roman"/>
          <w:sz w:val="20"/>
          <w:szCs w:val="20"/>
          <w:color w:val="auto"/>
        </w:rPr>
        <w:t>In July 2023, the FDA cleared initiation of a second cohort (50 mg) of the four-week, placebo-controlled, Phase 2 dose exploration trial of nomlabofusp in patients with FA and the initiation of the OLE trial with daily dosing of 25 mg.</w:t>
      </w:r>
    </w:p>
    <w:p>
      <w:pPr>
        <w:spacing w:after="0" w:line="68" w:lineRule="exact"/>
        <w:rPr>
          <w:sz w:val="20"/>
          <w:szCs w:val="20"/>
          <w:color w:val="auto"/>
        </w:rPr>
      </w:pPr>
    </w:p>
    <w:p>
      <w:pPr>
        <w:ind w:left="360" w:right="460" w:firstLine="490"/>
        <w:spacing w:after="0" w:line="228" w:lineRule="auto"/>
        <w:rPr>
          <w:sz w:val="20"/>
          <w:szCs w:val="20"/>
          <w:color w:val="auto"/>
        </w:rPr>
      </w:pPr>
      <w:r>
        <w:rPr>
          <w:rFonts w:ascii="Times New Roman" w:cs="Times New Roman" w:eastAsia="Times New Roman" w:hAnsi="Times New Roman"/>
          <w:sz w:val="20"/>
          <w:szCs w:val="20"/>
          <w:color w:val="auto"/>
        </w:rPr>
        <w:t>In February 2024, the Company reported positive top-line data and successful completion of the Phase 2 dose exploration study. Nomlabofusp was generally well tolerated throughout the four-week treatment periods, had a predictable pharmacokinetic profile and led to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Patients who completed treatment in the Phase 2 dose exploration study or who previously completed a prior clinical trial of nomlabofusp are eligible to screen and possibly participate in the OLE study.</w:t>
      </w:r>
    </w:p>
    <w:p>
      <w:pPr>
        <w:spacing w:after="0" w:line="66" w:lineRule="exact"/>
        <w:rPr>
          <w:sz w:val="20"/>
          <w:szCs w:val="20"/>
          <w:color w:val="auto"/>
        </w:rPr>
      </w:pPr>
    </w:p>
    <w:p>
      <w:pPr>
        <w:ind w:left="360" w:right="420" w:firstLine="540"/>
        <w:spacing w:after="0" w:line="228" w:lineRule="auto"/>
        <w:rPr>
          <w:sz w:val="20"/>
          <w:szCs w:val="20"/>
          <w:color w:val="auto"/>
        </w:rPr>
      </w:pPr>
      <w:r>
        <w:rPr>
          <w:rFonts w:ascii="Times New Roman" w:cs="Times New Roman" w:eastAsia="Times New Roman" w:hAnsi="Times New Roman"/>
          <w:sz w:val="20"/>
          <w:szCs w:val="20"/>
          <w:color w:val="auto"/>
        </w:rPr>
        <w:t>In March 2024, Larimar dosed the first patient in the OLE trial, evaluating daily subcutaneous injections of 25 mg of nomlabofusp self-administered or administered by a caregiver. The OLE study will evaluate the safety and tolerability, pharmacokinetics, and frataxin levels in peripheral tissues as well as other exploratory pharmacodynamic markers (lipid profiles and gene expression data) following long-term subcutaneous administration of nomlabofusp. In addition, following the completion of enrollment, as well as at least one participant completing one year of dosing, clinical assessments collected during the study will be compared to data from a matched control arm derived from participants in the Friedreich’s Ataxia Clinical Outcome Measures Study ("FACOMS") database.</w:t>
      </w:r>
    </w:p>
    <w:p>
      <w:pPr>
        <w:spacing w:after="0" w:line="66" w:lineRule="exact"/>
        <w:rPr>
          <w:sz w:val="20"/>
          <w:szCs w:val="20"/>
          <w:color w:val="auto"/>
        </w:rPr>
      </w:pPr>
    </w:p>
    <w:p>
      <w:pPr>
        <w:ind w:left="360" w:right="360" w:firstLine="490"/>
        <w:spacing w:after="0" w:line="232" w:lineRule="auto"/>
        <w:rPr>
          <w:sz w:val="20"/>
          <w:szCs w:val="20"/>
          <w:color w:val="auto"/>
        </w:rPr>
      </w:pPr>
      <w:r>
        <w:rPr>
          <w:rFonts w:ascii="Times New Roman" w:cs="Times New Roman" w:eastAsia="Times New Roman" w:hAnsi="Times New Roman"/>
          <w:sz w:val="20"/>
          <w:szCs w:val="20"/>
          <w:color w:val="auto"/>
        </w:rPr>
        <w:t>On May 30, 2024, Larimar announced that the FDA's Center for Drug Evaluation and Research ("CDER") had selected nomlabofusp as one of a few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spacing w:after="0" w:line="67" w:lineRule="exact"/>
        <w:rPr>
          <w:sz w:val="20"/>
          <w:szCs w:val="20"/>
          <w:color w:val="auto"/>
        </w:rPr>
      </w:pPr>
    </w:p>
    <w:p>
      <w:pPr>
        <w:ind w:left="360" w:right="540" w:firstLine="490"/>
        <w:spacing w:after="0" w:line="230" w:lineRule="auto"/>
        <w:rPr>
          <w:sz w:val="20"/>
          <w:szCs w:val="20"/>
          <w:color w:val="auto"/>
        </w:rPr>
      </w:pPr>
      <w:r>
        <w:rPr>
          <w:rFonts w:ascii="Times New Roman" w:cs="Times New Roman" w:eastAsia="Times New Roman" w:hAnsi="Times New Roman"/>
          <w:sz w:val="20"/>
          <w:szCs w:val="20"/>
          <w:color w:val="auto"/>
        </w:rPr>
        <w:t>In September 2024, the Company received access to the Medicines and Healthcare Regulatory Agency ("MHRA”) Innovative Licensing and Access Pathway (“ILAP”) for the treatment of adults and children with FA. The ILAP is facilitating patient access to novel treatments by accelerating time to market through opportunities for enhanced engagements with UK regulatory authorities and other stakeholders. Along with the receipt of the ILAP designation, nomlabofusp has already been granted orphan drug designations in the U.S. and the European Union (the “EU”), and access to the PRIME scheme in the EU.</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960" w:h="17280" w:orient="portrait"/>
          <w:cols w:equalWidth="0" w:num="1">
            <w:col w:w="10080"/>
          </w:cols>
          <w:pgMar w:left="1440" w:top="1440" w:right="1440" w:bottom="895" w:gutter="0" w:footer="0" w:header="0"/>
          <w:type w:val="continuous"/>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 w:right="1060" w:firstLine="490"/>
        <w:spacing w:after="0" w:line="258" w:lineRule="auto"/>
        <w:rPr>
          <w:sz w:val="20"/>
          <w:szCs w:val="20"/>
          <w:color w:val="auto"/>
        </w:rPr>
      </w:pPr>
      <w:r>
        <w:rPr>
          <w:rFonts w:ascii="Times New Roman" w:cs="Times New Roman" w:eastAsia="Times New Roman" w:hAnsi="Times New Roman"/>
          <w:sz w:val="20"/>
          <w:szCs w:val="20"/>
          <w:color w:val="auto"/>
        </w:rPr>
        <w:t>In December 2024, the Company reported positive initial data from the ongoing OLE study. This data included safety, FXN levels, clinical, pharmacokinetic data and dose escalation:</w:t>
      </w:r>
    </w:p>
    <w:p>
      <w:pPr>
        <w:spacing w:after="0" w:line="60" w:lineRule="exact"/>
        <w:rPr>
          <w:sz w:val="20"/>
          <w:szCs w:val="20"/>
          <w:color w:val="auto"/>
        </w:rPr>
      </w:pPr>
    </w:p>
    <w:p>
      <w:pPr>
        <w:ind w:left="1220" w:right="600" w:hanging="370"/>
        <w:spacing w:after="0" w:line="231" w:lineRule="auto"/>
        <w:tabs>
          <w:tab w:leader="none" w:pos="12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Nomlabofusp was generally well tolerated for up to 260 days in subjects. The most common adverse events were injection site reactions, with most being mild, brief in duration, and self-limited. Two participants had serious adverse events (one seizure and one anaphylactic reaction) that resolved within 24 hours and withdrew from the study;</w:t>
      </w:r>
    </w:p>
    <w:p>
      <w:pPr>
        <w:spacing w:after="0" w:line="76" w:lineRule="exact"/>
        <w:rPr>
          <w:rFonts w:ascii="Arial" w:cs="Arial" w:eastAsia="Arial" w:hAnsi="Arial"/>
          <w:sz w:val="20"/>
          <w:szCs w:val="20"/>
          <w:color w:val="auto"/>
        </w:rPr>
      </w:pPr>
    </w:p>
    <w:p>
      <w:pPr>
        <w:ind w:left="1220" w:right="500" w:hanging="370"/>
        <w:spacing w:after="0" w:line="231" w:lineRule="auto"/>
        <w:tabs>
          <w:tab w:leader="none" w:pos="12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Long-term 25 mg tissue FXN levels showed positive mean change from baseline of 1.32 pg/μg in buccal cells and 9.28 pg/μg in skin cells at Day 90 and that 25 mg of nomlabofusp increased and maintained tissue FXN levels over time, increasing from a mean level of 15% of HV at baseline to 30% in buccal cells and from 16% to 72% in skin cells at Day 90;</w:t>
      </w:r>
    </w:p>
    <w:p>
      <w:pPr>
        <w:spacing w:after="0" w:line="76" w:lineRule="exact"/>
        <w:rPr>
          <w:rFonts w:ascii="Arial" w:cs="Arial" w:eastAsia="Arial" w:hAnsi="Arial"/>
          <w:sz w:val="20"/>
          <w:szCs w:val="20"/>
          <w:color w:val="auto"/>
        </w:rPr>
      </w:pPr>
    </w:p>
    <w:p>
      <w:pPr>
        <w:ind w:left="1220" w:hanging="370"/>
        <w:spacing w:after="0"/>
        <w:tabs>
          <w:tab w:leader="none" w:pos="12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Tissue FXN levels appear to reach steady-state levels by Day 30 in buccal cells;</w:t>
      </w:r>
    </w:p>
    <w:p>
      <w:pPr>
        <w:spacing w:after="0" w:line="110" w:lineRule="exact"/>
        <w:rPr>
          <w:rFonts w:ascii="Arial" w:cs="Arial" w:eastAsia="Arial" w:hAnsi="Arial"/>
          <w:sz w:val="20"/>
          <w:szCs w:val="20"/>
          <w:color w:val="auto"/>
        </w:rPr>
      </w:pPr>
    </w:p>
    <w:p>
      <w:pPr>
        <w:ind w:left="1220" w:right="400" w:hanging="370"/>
        <w:spacing w:after="0" w:line="231" w:lineRule="auto"/>
        <w:tabs>
          <w:tab w:leader="none" w:pos="12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Early clinical data showed trends toward improvement across a number of clinical outcomes for long-term 25 mg daily nomlabofusp including: (1) decreased values indicating early trends towards improvement in the Modified Friedreich Ataxia Rating Scale (mFARS) and the FARS-Activities of Daily Living ("ADL"), Modified Fatigue Impact Scale and 9 hole peg test at 90 days relative to baseline;</w:t>
      </w:r>
    </w:p>
    <w:p>
      <w:pPr>
        <w:spacing w:after="0" w:line="76" w:lineRule="exact"/>
        <w:rPr>
          <w:rFonts w:ascii="Arial" w:cs="Arial" w:eastAsia="Arial" w:hAnsi="Arial"/>
          <w:sz w:val="20"/>
          <w:szCs w:val="20"/>
          <w:color w:val="auto"/>
        </w:rPr>
      </w:pPr>
    </w:p>
    <w:p>
      <w:pPr>
        <w:jc w:val="both"/>
        <w:ind w:left="1220" w:right="760" w:hanging="370"/>
        <w:spacing w:after="0" w:line="236" w:lineRule="auto"/>
        <w:tabs>
          <w:tab w:leader="none" w:pos="12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Key pharmacokinetic data showed rapid absorption after subcutaneous administration with exposure appearing to reach steady state in plasma by day 30 with no further accumulation, which is consistent with data from our Phase 1 and Phase 2 studies.</w:t>
      </w:r>
    </w:p>
    <w:p>
      <w:pPr>
        <w:spacing w:after="0" w:line="66" w:lineRule="exact"/>
        <w:rPr>
          <w:sz w:val="20"/>
          <w:szCs w:val="20"/>
          <w:color w:val="auto"/>
        </w:rPr>
      </w:pPr>
    </w:p>
    <w:p>
      <w:pPr>
        <w:ind w:left="360" w:right="400" w:firstLine="490"/>
        <w:spacing w:after="0" w:line="227" w:lineRule="auto"/>
        <w:rPr>
          <w:sz w:val="20"/>
          <w:szCs w:val="20"/>
          <w:color w:val="auto"/>
        </w:rPr>
      </w:pPr>
      <w:r>
        <w:rPr>
          <w:rFonts w:ascii="Times New Roman" w:cs="Times New Roman" w:eastAsia="Times New Roman" w:hAnsi="Times New Roman"/>
          <w:sz w:val="20"/>
          <w:szCs w:val="20"/>
          <w:color w:val="auto"/>
        </w:rPr>
        <w:t>Also in December 2024, Larimar announced that it was increasing the dose in the OLE to 50 mg of nomlabofusp daily for then currently enrolled and all future OLE study participants. In March 2025, the Company announced that its Safety Monitoring Team has deemed anaphylaxis as an adverse drug reaction likely associated with nomlabofusp and therefore, Larimar expects to see additional reactions. To reduce the risk of allergic reactions, including anaphylaxis, Larimar amended the OLE protocol to administer premedication for the first month of dosing. The OLE study is ongoing with seven sites activated and participants continuing to enroll. All study participants are currently receiving the 50 mg dose of nomlabofusp. The Company plans to provide an update on OLE data on at least 30 to 40 study participants, some of whom have been receiving nomlabofusp for more than a year, in September 2025.</w:t>
      </w:r>
    </w:p>
    <w:p>
      <w:pPr>
        <w:spacing w:after="0" w:line="68" w:lineRule="exact"/>
        <w:rPr>
          <w:sz w:val="20"/>
          <w:szCs w:val="20"/>
          <w:color w:val="auto"/>
        </w:rPr>
      </w:pPr>
    </w:p>
    <w:p>
      <w:pPr>
        <w:jc w:val="both"/>
        <w:ind w:left="360" w:right="580" w:firstLine="490"/>
        <w:spacing w:after="0" w:line="230" w:lineRule="auto"/>
        <w:rPr>
          <w:sz w:val="20"/>
          <w:szCs w:val="20"/>
          <w:color w:val="auto"/>
        </w:rPr>
      </w:pPr>
      <w:r>
        <w:rPr>
          <w:rFonts w:ascii="Times New Roman" w:cs="Times New Roman" w:eastAsia="Times New Roman" w:hAnsi="Times New Roman"/>
          <w:sz w:val="20"/>
          <w:szCs w:val="20"/>
          <w:color w:val="auto"/>
        </w:rPr>
        <w:t>In January 2025, Larimar initiated dosing of adolescents (12-17 years old) in a PK run-in study for pediatric patients with FA. Study participants in the PK run-in study are randomized 2:1 to receive either nomlabofusp at a weight-base dose expected to match the PK of adults receiving the 50 mg dose, or placebo, daily for seven days.</w:t>
      </w:r>
    </w:p>
    <w:p>
      <w:pPr>
        <w:spacing w:after="0" w:line="2" w:lineRule="exact"/>
        <w:rPr>
          <w:sz w:val="20"/>
          <w:szCs w:val="20"/>
          <w:color w:val="auto"/>
        </w:rPr>
      </w:pPr>
    </w:p>
    <w:p>
      <w:pPr>
        <w:ind w:left="360" w:right="400"/>
        <w:spacing w:after="0" w:line="234" w:lineRule="auto"/>
        <w:rPr>
          <w:sz w:val="20"/>
          <w:szCs w:val="20"/>
          <w:color w:val="auto"/>
        </w:rPr>
      </w:pPr>
      <w:r>
        <w:rPr>
          <w:rFonts w:ascii="Times New Roman" w:cs="Times New Roman" w:eastAsia="Times New Roman" w:hAnsi="Times New Roman"/>
          <w:sz w:val="20"/>
          <w:szCs w:val="20"/>
          <w:color w:val="auto"/>
        </w:rPr>
        <w:t>Following assessment of safety and PK data, participants will be eligible to screen for the OLE study. The data from this cohort is expected to be presented during the nomlabofusp program update in September 2025.</w:t>
      </w:r>
    </w:p>
    <w:p>
      <w:pPr>
        <w:spacing w:after="0" w:line="67" w:lineRule="exact"/>
        <w:rPr>
          <w:sz w:val="20"/>
          <w:szCs w:val="20"/>
          <w:color w:val="auto"/>
        </w:rPr>
      </w:pPr>
    </w:p>
    <w:p>
      <w:pPr>
        <w:ind w:left="360" w:right="460" w:firstLine="490"/>
        <w:spacing w:after="0" w:line="225" w:lineRule="auto"/>
        <w:rPr>
          <w:sz w:val="20"/>
          <w:szCs w:val="20"/>
          <w:color w:val="auto"/>
        </w:rPr>
      </w:pPr>
      <w:r>
        <w:rPr>
          <w:rFonts w:ascii="Times New Roman" w:cs="Times New Roman" w:eastAsia="Times New Roman" w:hAnsi="Times New Roman"/>
          <w:sz w:val="20"/>
          <w:szCs w:val="20"/>
          <w:color w:val="auto"/>
        </w:rPr>
        <w:t>In March 2025, Larimar announced that FDA stated in written correspondence associated with a meeting through the START pilot program that they are open to considering the use of FXN concentration as a reasonably likely surrogate endpoint (“RLSE”) and the acceptability of FXN’s use as an RLSE would ultimately be a matter of review of the data in a future marketing application. FDA recommended focusing on assessments of skin FXN concentrations rather than buccal FXN concentrations due to more consistent sampling and less variability. FDA acknowledged that data the Company recently submitted appear to support a relationship between increased FXN concentrations in skin cells and relevant tissues such as the heart, dorsal root ganglion and skeletal muscle. FDA also acknowledged that the nonclinical studies Larimar submitted were performed at relevant human doses. FDA also suggested that Larimar consider exploring the relationship between increases in FXN in skin and changes in pharmacodynamic (PD) markers such as lipid profiles and/or clinical measures to provide additional support for the use of FXN as an RLSE. Larimar plans to continue discussions with FDA regarding the adequacy of the safety data set for a BLA submission seeking accelerated approval targeted for year-end 2025.</w:t>
      </w:r>
    </w:p>
    <w:p>
      <w:pPr>
        <w:spacing w:after="0" w:line="74" w:lineRule="exact"/>
        <w:rPr>
          <w:sz w:val="20"/>
          <w:szCs w:val="20"/>
          <w:color w:val="auto"/>
        </w:rPr>
      </w:pPr>
    </w:p>
    <w:p>
      <w:pPr>
        <w:ind w:left="360" w:right="700" w:firstLine="490"/>
        <w:spacing w:after="0" w:line="239" w:lineRule="auto"/>
        <w:rPr>
          <w:sz w:val="20"/>
          <w:szCs w:val="20"/>
          <w:color w:val="auto"/>
        </w:rPr>
      </w:pPr>
      <w:r>
        <w:rPr>
          <w:rFonts w:ascii="Times New Roman" w:cs="Times New Roman" w:eastAsia="Times New Roman" w:hAnsi="Times New Roman"/>
          <w:sz w:val="20"/>
          <w:szCs w:val="20"/>
          <w:color w:val="auto"/>
        </w:rPr>
        <w:t>Additionally, the Company has obtained feedback from both FDA and EMA on the global Phase 3 study protocol and is on track to initiate the study by mid-2025 with potential sites in the U.S., E.U., U.K, Canada, and Australia.</w:t>
      </w:r>
    </w:p>
    <w:p>
      <w:pPr>
        <w:spacing w:after="0" w:line="70"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19"/>
          <w:szCs w:val="19"/>
          <w:color w:val="auto"/>
        </w:rPr>
        <w:t>The Company is subject to risks and uncertainties common to pre-commercial companies in the biotechnology industry, including, but not limited to, development and commercialization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Product candidates under development will require extensive non-clinical and clinical testing and regulatory approval prior to commercialization. These efforts require significant amounts of additional capital, adequate personnel, infrastructure and extensive compliance-reporting</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960" w:h="17280" w:orient="portrait"/>
          <w:cols w:equalWidth="0" w:num="1">
            <w:col w:w="10080"/>
          </w:cols>
          <w:pgMar w:left="1440" w:top="1440" w:right="1440" w:bottom="895" w:gutter="0" w:footer="0" w:header="0"/>
          <w:type w:val="continuous"/>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right="800"/>
        <w:spacing w:after="0" w:line="260" w:lineRule="auto"/>
        <w:rPr>
          <w:sz w:val="20"/>
          <w:szCs w:val="20"/>
          <w:color w:val="auto"/>
        </w:rPr>
      </w:pPr>
      <w:r>
        <w:rPr>
          <w:rFonts w:ascii="Times New Roman" w:cs="Times New Roman" w:eastAsia="Times New Roman" w:hAnsi="Times New Roman"/>
          <w:sz w:val="20"/>
          <w:szCs w:val="20"/>
          <w:color w:val="auto"/>
        </w:rPr>
        <w:t>capabilities. Even if the Company's drug development efforts are successful, it is uncertain when, if ever, it will realize significant revenue from product sales.</w:t>
      </w:r>
    </w:p>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20" w:lineRule="exact"/>
        <w:rPr>
          <w:sz w:val="20"/>
          <w:szCs w:val="20"/>
          <w:color w:val="auto"/>
        </w:rPr>
      </w:pPr>
    </w:p>
    <w:p>
      <w:pPr>
        <w:ind w:left="360" w:right="460" w:firstLine="490"/>
        <w:spacing w:after="0" w:line="258"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Larimar and its wholly owned subsidiary. All intercompany balances and transactions have been eliminated. The accompanying consolidated financial statements have been prepared in conformity with U. S. Generally Accepted Accounting Principles ("GAAP").</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20" w:lineRule="exact"/>
        <w:rPr>
          <w:sz w:val="20"/>
          <w:szCs w:val="20"/>
          <w:color w:val="auto"/>
        </w:rPr>
      </w:pPr>
    </w:p>
    <w:p>
      <w:pPr>
        <w:ind w:left="360" w:right="600" w:firstLine="490"/>
        <w:spacing w:after="0" w:line="258" w:lineRule="auto"/>
        <w:rPr>
          <w:sz w:val="20"/>
          <w:szCs w:val="20"/>
          <w:color w:val="auto"/>
        </w:rPr>
      </w:pPr>
      <w:r>
        <w:rPr>
          <w:rFonts w:ascii="Times New Roman" w:cs="Times New Roman" w:eastAsia="Times New Roman" w:hAnsi="Times New Roman"/>
          <w:sz w:val="20"/>
          <w:szCs w:val="20"/>
          <w:color w:val="auto"/>
        </w:rPr>
        <w:t>The Company’s consolidated financial statements have been presented on the basis that it will continue as a going concern, which contemplates the realization of assets and satisfaction of liabilities in the normal course of business.</w:t>
      </w:r>
    </w:p>
    <w:p>
      <w:pPr>
        <w:spacing w:after="0" w:line="68" w:lineRule="exact"/>
        <w:rPr>
          <w:sz w:val="20"/>
          <w:szCs w:val="20"/>
          <w:color w:val="auto"/>
        </w:rPr>
      </w:pPr>
    </w:p>
    <w:p>
      <w:pPr>
        <w:ind w:left="360" w:right="420" w:firstLine="490"/>
        <w:spacing w:after="0" w:line="246" w:lineRule="auto"/>
        <w:rPr>
          <w:sz w:val="20"/>
          <w:szCs w:val="20"/>
          <w:color w:val="auto"/>
        </w:rPr>
      </w:pPr>
      <w:r>
        <w:rPr>
          <w:rFonts w:ascii="Times New Roman" w:cs="Times New Roman" w:eastAsia="Times New Roman" w:hAnsi="Times New Roman"/>
          <w:sz w:val="20"/>
          <w:szCs w:val="20"/>
          <w:color w:val="auto"/>
        </w:rPr>
        <w:t>Since its inception, the Company has incurred significant recurring operating losses and negative cash flows from operations. The Company has incurred net losses of $80.6 million and $36.9 million for the years ended December 31, 2024, and 2023, respectively, and cash flow used in operations of $70.8 million and $33.5 million for the years ended December 31, 2024 and 2023, respectively. In addition, as of December 31, 2024, the Company had an accumulated deficit of $269.2 million. The Company expects to continue to generate operating losses for the foreseeable future. As of December 31, 2024, the Company had approximately $183.5 million of cash, cash equivalents and marketable securities available for use to fund its operations and capital requirements.</w:t>
      </w:r>
    </w:p>
    <w:p>
      <w:pPr>
        <w:spacing w:after="0" w:line="80" w:lineRule="exact"/>
        <w:rPr>
          <w:sz w:val="20"/>
          <w:szCs w:val="20"/>
          <w:color w:val="auto"/>
        </w:rPr>
      </w:pPr>
    </w:p>
    <w:p>
      <w:pPr>
        <w:jc w:val="both"/>
        <w:ind w:left="360" w:right="720" w:firstLine="490"/>
        <w:spacing w:after="0" w:line="252" w:lineRule="auto"/>
        <w:rPr>
          <w:sz w:val="20"/>
          <w:szCs w:val="20"/>
          <w:color w:val="auto"/>
        </w:rPr>
      </w:pPr>
      <w:r>
        <w:rPr>
          <w:rFonts w:ascii="Times New Roman" w:cs="Times New Roman" w:eastAsia="Times New Roman" w:hAnsi="Times New Roman"/>
          <w:sz w:val="20"/>
          <w:szCs w:val="20"/>
          <w:color w:val="auto"/>
        </w:rPr>
        <w:t>The Company has funded its operations to date primarily with proceeds from sales of common stock and proceeds from the sale of prefunded warrants for the purchase of common stock, the acquisition in 2020 of cash, cash equivalents and marketable securities upon the merger with Zafgen, Inc. ("Zafgen") and, prior to the 2020 merger with Zafgen, capital contributions from Chondrial Holdings, LLC.</w:t>
      </w:r>
    </w:p>
    <w:p>
      <w:pPr>
        <w:spacing w:after="0" w:line="74" w:lineRule="exact"/>
        <w:rPr>
          <w:sz w:val="20"/>
          <w:szCs w:val="20"/>
          <w:color w:val="auto"/>
        </w:rPr>
      </w:pPr>
    </w:p>
    <w:p>
      <w:pPr>
        <w:ind w:left="360" w:right="1040" w:firstLine="490"/>
        <w:spacing w:after="0" w:line="277" w:lineRule="auto"/>
        <w:rPr>
          <w:sz w:val="20"/>
          <w:szCs w:val="20"/>
          <w:color w:val="auto"/>
        </w:rPr>
      </w:pPr>
      <w:r>
        <w:rPr>
          <w:rFonts w:ascii="Times New Roman" w:cs="Times New Roman" w:eastAsia="Times New Roman" w:hAnsi="Times New Roman"/>
          <w:sz w:val="20"/>
          <w:szCs w:val="20"/>
          <w:color w:val="auto"/>
        </w:rPr>
        <w:t>In February 2024, the Company sold 19,736,842 shares of its common stock in an underwritten public offering at a price of $8.74 per share and received net proceeds of approximately $161.8 million.</w:t>
      </w:r>
    </w:p>
    <w:p>
      <w:pPr>
        <w:spacing w:after="0" w:line="49" w:lineRule="exact"/>
        <w:rPr>
          <w:sz w:val="20"/>
          <w:szCs w:val="20"/>
          <w:color w:val="auto"/>
        </w:rPr>
      </w:pPr>
    </w:p>
    <w:p>
      <w:pPr>
        <w:ind w:left="360" w:right="540" w:firstLine="490"/>
        <w:spacing w:after="0" w:line="246" w:lineRule="auto"/>
        <w:rPr>
          <w:sz w:val="20"/>
          <w:szCs w:val="20"/>
          <w:color w:val="auto"/>
        </w:rPr>
      </w:pPr>
      <w:r>
        <w:rPr>
          <w:rFonts w:ascii="Times New Roman" w:cs="Times New Roman" w:eastAsia="Times New Roman" w:hAnsi="Times New Roman"/>
          <w:sz w:val="20"/>
          <w:szCs w:val="20"/>
          <w:color w:val="auto"/>
        </w:rPr>
        <w:t>In accordance with Accounting Standards Codification (“ASC”) 205,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these consolidated financial statements are issued. As of the issuance date of these consolidated financial statements, the Company expects its cash, cash equivalents and marketable securities will be sufficient to fund its forecasted operating expenses and capital expenditure requirements into the second quarter of 2026.</w:t>
      </w:r>
    </w:p>
    <w:p>
      <w:pPr>
        <w:spacing w:after="0" w:line="80" w:lineRule="exact"/>
        <w:rPr>
          <w:sz w:val="20"/>
          <w:szCs w:val="20"/>
          <w:color w:val="auto"/>
        </w:rPr>
      </w:pPr>
    </w:p>
    <w:p>
      <w:pPr>
        <w:ind w:left="360" w:right="360" w:firstLine="490"/>
        <w:spacing w:after="0" w:line="243" w:lineRule="auto"/>
        <w:rPr>
          <w:sz w:val="20"/>
          <w:szCs w:val="20"/>
          <w:color w:val="auto"/>
        </w:rPr>
      </w:pPr>
      <w:r>
        <w:rPr>
          <w:rFonts w:ascii="Times New Roman" w:cs="Times New Roman" w:eastAsia="Times New Roman" w:hAnsi="Times New Roman"/>
          <w:sz w:val="20"/>
          <w:szCs w:val="20"/>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 to fund its future operating and capital requirements. Unless and until the Company can generate substantial revenue, management continuously evaluates different strategies to obtain the required funding for future operations. These strategies include seeking additional funding through a combination of public or private equity offerings, debt or royalty financings, collaborations and licensing arrangements, strategic partnerships with pharmaceutical and/or larger biotechnology companies, or other sources. The incurrence of indebtedness would result in increased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spacing w:after="0" w:line="83" w:lineRule="exact"/>
        <w:rPr>
          <w:sz w:val="20"/>
          <w:szCs w:val="20"/>
          <w:color w:val="auto"/>
        </w:rPr>
      </w:pPr>
    </w:p>
    <w:p>
      <w:pPr>
        <w:ind w:left="360" w:right="380" w:firstLine="490"/>
        <w:spacing w:after="0" w:line="245" w:lineRule="auto"/>
        <w:rPr>
          <w:sz w:val="20"/>
          <w:szCs w:val="20"/>
          <w:color w:val="auto"/>
        </w:rPr>
      </w:pPr>
      <w:r>
        <w:rPr>
          <w:rFonts w:ascii="Times New Roman" w:cs="Times New Roman" w:eastAsia="Times New Roman" w:hAnsi="Times New Roman"/>
          <w:sz w:val="20"/>
          <w:szCs w:val="20"/>
          <w:color w:val="auto"/>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w:t>
      </w:r>
    </w:p>
    <w:p>
      <w:pPr>
        <w:sectPr>
          <w:pgSz w:w="12960" w:h="17280" w:orient="portrait"/>
          <w:cols w:equalWidth="0" w:num="1">
            <w:col w:w="10080"/>
          </w:cols>
          <w:pgMar w:left="1440" w:top="1440" w:right="1440" w:bottom="895"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960" w:h="17280" w:orient="portrait"/>
          <w:cols w:equalWidth="0" w:num="1">
            <w:col w:w="10080"/>
          </w:cols>
          <w:pgMar w:left="1440" w:top="1440" w:right="1440" w:bottom="895" w:gutter="0" w:footer="0" w:header="0"/>
          <w:type w:val="continuous"/>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20"/>
        <w:spacing w:after="0" w:line="249" w:lineRule="auto"/>
        <w:rPr>
          <w:sz w:val="20"/>
          <w:szCs w:val="20"/>
          <w:color w:val="auto"/>
        </w:rPr>
      </w:pPr>
      <w:r>
        <w:rPr>
          <w:rFonts w:ascii="Times New Roman" w:cs="Times New Roman" w:eastAsia="Times New Roman" w:hAnsi="Times New Roman"/>
          <w:sz w:val="20"/>
          <w:szCs w:val="20"/>
          <w:color w:val="auto"/>
        </w:rPr>
        <w:t>adverse effect on the Company's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w:t>
      </w:r>
    </w:p>
    <w:p>
      <w:pPr>
        <w:spacing w:after="0" w:line="77" w:lineRule="exact"/>
        <w:rPr>
          <w:sz w:val="20"/>
          <w:szCs w:val="20"/>
          <w:color w:val="auto"/>
        </w:rPr>
      </w:pPr>
    </w:p>
    <w:p>
      <w:pPr>
        <w:ind w:left="360" w:right="400" w:firstLine="490"/>
        <w:spacing w:after="0" w:line="246" w:lineRule="auto"/>
        <w:rPr>
          <w:sz w:val="20"/>
          <w:szCs w:val="20"/>
          <w:color w:val="auto"/>
        </w:rPr>
      </w:pPr>
      <w:r>
        <w:rPr>
          <w:rFonts w:ascii="Times New Roman" w:cs="Times New Roman" w:eastAsia="Times New Roman" w:hAnsi="Times New Roman"/>
          <w:sz w:val="20"/>
          <w:szCs w:val="20"/>
          <w:color w:val="auto"/>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pre commercialization efforts and/or commercial operations, which could adversely affect its business prospects, or the Company may be unable to continue operations. If the timing of the Company's clinical assumptions are delayed or if there are other forecasted assumption changes that negatively impact its operating plan, the Company would reduce expenditures in order to further extend cash resources.</w:t>
      </w:r>
    </w:p>
    <w:p>
      <w:pPr>
        <w:spacing w:after="0" w:line="76" w:lineRule="exact"/>
        <w:rPr>
          <w:sz w:val="20"/>
          <w:szCs w:val="20"/>
          <w:color w:val="auto"/>
        </w:rPr>
      </w:pPr>
    </w:p>
    <w:p>
      <w:pPr>
        <w:ind w:left="360" w:right="5480"/>
        <w:spacing w:after="0" w:line="367" w:lineRule="auto"/>
        <w:tabs>
          <w:tab w:leader="none" w:pos="85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Use of Estimates</w:t>
      </w:r>
    </w:p>
    <w:p>
      <w:pPr>
        <w:spacing w:after="0" w:line="1"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Significant estimates and assumptions reflected in these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 and Significant Suppliers</w:t>
      </w:r>
    </w:p>
    <w:p>
      <w:pPr>
        <w:spacing w:after="0" w:line="120" w:lineRule="exact"/>
        <w:rPr>
          <w:sz w:val="20"/>
          <w:szCs w:val="20"/>
          <w:color w:val="auto"/>
        </w:rPr>
      </w:pPr>
    </w:p>
    <w:p>
      <w:pPr>
        <w:ind w:left="360" w:right="500" w:firstLine="490"/>
        <w:spacing w:after="0" w:line="252"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principally of cash, cash equivalents and marketable securities. Cash balances may be held in financial institutions which may exceed federally insured limits. The Company has not experienced realized losses related to its cash, cash equivalents or marketable securities.</w:t>
      </w:r>
    </w:p>
    <w:p>
      <w:pPr>
        <w:spacing w:after="0" w:line="74" w:lineRule="exact"/>
        <w:rPr>
          <w:sz w:val="20"/>
          <w:szCs w:val="20"/>
          <w:color w:val="auto"/>
        </w:rPr>
      </w:pPr>
    </w:p>
    <w:p>
      <w:pPr>
        <w:ind w:left="360" w:right="360" w:firstLine="490"/>
        <w:spacing w:after="0" w:line="244" w:lineRule="auto"/>
        <w:rPr>
          <w:sz w:val="20"/>
          <w:szCs w:val="20"/>
          <w:color w:val="auto"/>
        </w:rPr>
      </w:pPr>
      <w:r>
        <w:rPr>
          <w:rFonts w:ascii="Times New Roman" w:cs="Times New Roman" w:eastAsia="Times New Roman" w:hAnsi="Times New Roman"/>
          <w:sz w:val="20"/>
          <w:szCs w:val="20"/>
          <w:color w:val="auto"/>
        </w:rPr>
        <w:t>The Company is highly dependent on third-party manufacturers to supply products for research and development activities in its programs, to scale and optimize their manufacturing processes and, ultimately, to provide commercial supply. The Company relies and expects to continue to rely on a small number of manufacturers to supply it with its requirements for drug substance and formulated drugs related to these programs. The drug substance which is in frozen liquid form for nomlabofusp is currently manufactured for the Company by a third-party manufacturer, and the frozen liquid form of drug product is made at another manufacturer. The Company is undertaking a program with a third manufacturer to begin to produce a lyophilized version of the drug product from the same drug substance, that, once available, the Company intends to use in certain of its future planned clinical trials. The Company’s research and development programs could be adversely affected by a significant interruption in these manufacturing services or in the supply of drug substance and formulated drugs.</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20" w:lineRule="exact"/>
        <w:rPr>
          <w:sz w:val="20"/>
          <w:szCs w:val="20"/>
          <w:color w:val="auto"/>
        </w:rPr>
      </w:pPr>
    </w:p>
    <w:p>
      <w:pPr>
        <w:jc w:val="both"/>
        <w:ind w:left="360" w:right="640" w:firstLine="490"/>
        <w:spacing w:after="0" w:line="258" w:lineRule="auto"/>
        <w:rPr>
          <w:sz w:val="20"/>
          <w:szCs w:val="20"/>
          <w:color w:val="auto"/>
        </w:rPr>
      </w:pPr>
      <w:r>
        <w:rPr>
          <w:rFonts w:ascii="Times New Roman" w:cs="Times New Roman" w:eastAsia="Times New Roman" w:hAnsi="Times New Roman"/>
          <w:sz w:val="20"/>
          <w:szCs w:val="20"/>
          <w:color w:val="auto"/>
        </w:rPr>
        <w:t>The Company considers all highly liquid investments with maturities of three months or less at the date of purchase to be cash equivalents. Cash equivalents consisted of money market funds as of December 31, 2024 and 2023.</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120" w:lineRule="exact"/>
        <w:rPr>
          <w:sz w:val="20"/>
          <w:szCs w:val="20"/>
          <w:color w:val="auto"/>
        </w:rPr>
      </w:pPr>
    </w:p>
    <w:p>
      <w:pPr>
        <w:ind w:left="360" w:right="620" w:firstLine="490"/>
        <w:spacing w:after="0" w:line="252" w:lineRule="auto"/>
        <w:rPr>
          <w:sz w:val="20"/>
          <w:szCs w:val="20"/>
          <w:color w:val="auto"/>
        </w:rPr>
      </w:pPr>
      <w:r>
        <w:rPr>
          <w:rFonts w:ascii="Times New Roman" w:cs="Times New Roman" w:eastAsia="Times New Roman" w:hAnsi="Times New Roman"/>
          <w:sz w:val="20"/>
          <w:szCs w:val="20"/>
          <w:color w:val="auto"/>
        </w:rPr>
        <w:t>Marketable securities consist of debt investments with original maturities greater than ninety days. The Company classifies its marketable securities as available-for-sale. Accordingly, these investments are recorded at fair value, which is based on quoted market prices. When the fair value is below the amortized cost the amount of the expected credit loss is estimated. The credit-related impairment amount, if any, would be recognized in net</w:t>
      </w: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960" w:h="17280" w:orient="portrait"/>
          <w:cols w:equalWidth="0" w:num="1">
            <w:col w:w="10080"/>
          </w:cols>
          <w:pgMar w:left="1440" w:top="1440" w:right="1440" w:bottom="906" w:gutter="0" w:footer="0" w:header="0"/>
          <w:type w:val="continuous"/>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80"/>
        <w:spacing w:after="0" w:line="246" w:lineRule="auto"/>
        <w:rPr>
          <w:sz w:val="20"/>
          <w:szCs w:val="20"/>
          <w:color w:val="auto"/>
        </w:rPr>
      </w:pPr>
      <w:r>
        <w:rPr>
          <w:rFonts w:ascii="Times New Roman" w:cs="Times New Roman" w:eastAsia="Times New Roman" w:hAnsi="Times New Roman"/>
          <w:sz w:val="20"/>
          <w:szCs w:val="20"/>
          <w:color w:val="auto"/>
        </w:rPr>
        <w:t>income; the remaining impairment amount and unrealized gains are reported as a component of accumulated other comprehensive income in stockholders’ equity. Credit losses, if any, are recognized through the use of an allowance for credit losses account and subsequent improvements in expected credit losses are recognized as a reversal of the allowance account. If the Company has the intent to sell the security or if it is more likely than not that the Company would be required to sell the security prior to recovery of its amortized cost basis, the allowance for credit loss would be written off and the excess of the amortized cost basis of the asset over its fair value would be recorded in net income.</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20" w:lineRule="exact"/>
        <w:rPr>
          <w:sz w:val="20"/>
          <w:szCs w:val="20"/>
          <w:color w:val="auto"/>
        </w:rPr>
      </w:pPr>
    </w:p>
    <w:p>
      <w:pPr>
        <w:ind w:left="360" w:right="540" w:firstLine="490"/>
        <w:spacing w:after="0" w:line="247"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Depreciation expense is recognized using the straight-line method over a five or seven-year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20" w:lineRule="exact"/>
        <w:rPr>
          <w:sz w:val="20"/>
          <w:szCs w:val="20"/>
          <w:color w:val="auto"/>
        </w:rPr>
      </w:pPr>
    </w:p>
    <w:p>
      <w:pPr>
        <w:ind w:left="360" w:right="400" w:firstLine="490"/>
        <w:spacing w:after="0" w:line="244" w:lineRule="auto"/>
        <w:rPr>
          <w:sz w:val="20"/>
          <w:szCs w:val="20"/>
          <w:color w:val="auto"/>
        </w:rPr>
      </w:pPr>
      <w:r>
        <w:rPr>
          <w:rFonts w:ascii="Times New Roman" w:cs="Times New Roman" w:eastAsia="Times New Roman" w:hAnsi="Times New Roman"/>
          <w:sz w:val="20"/>
          <w:szCs w:val="20"/>
          <w:color w:val="auto"/>
        </w:rPr>
        <w:t>Long-lived assets consist of property and equipment, net¸ and right-of-use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Any impairment loss, if indicated, is measured as the amount by which the carrying amount of the asset exceeds the estimated fair value of the asset.</w:t>
      </w:r>
    </w:p>
    <w:p>
      <w:pPr>
        <w:spacing w:after="0" w:line="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p>
    <w:p>
      <w:pPr>
        <w:spacing w:after="0" w:line="120" w:lineRule="exact"/>
        <w:rPr>
          <w:sz w:val="20"/>
          <w:szCs w:val="20"/>
          <w:color w:val="auto"/>
        </w:rPr>
      </w:pPr>
    </w:p>
    <w:p>
      <w:pPr>
        <w:ind w:left="360" w:right="420" w:firstLine="490"/>
        <w:spacing w:after="0" w:line="244" w:lineRule="auto"/>
        <w:rPr>
          <w:sz w:val="20"/>
          <w:szCs w:val="20"/>
          <w:color w:val="auto"/>
        </w:rPr>
      </w:pPr>
      <w:r>
        <w:rPr>
          <w:rFonts w:ascii="Times New Roman" w:cs="Times New Roman" w:eastAsia="Times New Roman" w:hAnsi="Times New Roman"/>
          <w:sz w:val="20"/>
          <w:szCs w:val="20"/>
          <w:color w:val="auto"/>
        </w:rPr>
        <w:t>Costs associated with internal research and development and external research and development services, including drug manufacturing and scale- up, other drug development and testing costs,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to scale up the manufacturing process, and other costs. The Company recognizes external research and development costs based on an evaluation of the progress to completion of specific tasks using information provided to the Company by its key service providers.</w:t>
      </w:r>
    </w:p>
    <w:p>
      <w:pPr>
        <w:spacing w:after="0" w:line="86" w:lineRule="exact"/>
        <w:rPr>
          <w:sz w:val="20"/>
          <w:szCs w:val="20"/>
          <w:color w:val="auto"/>
        </w:rPr>
      </w:pPr>
    </w:p>
    <w:p>
      <w:pPr>
        <w:ind w:left="360" w:right="460" w:firstLine="490"/>
        <w:spacing w:after="0" w:line="252" w:lineRule="auto"/>
        <w:rPr>
          <w:sz w:val="20"/>
          <w:szCs w:val="20"/>
          <w:color w:val="auto"/>
        </w:rPr>
      </w:pPr>
      <w:r>
        <w:rPr>
          <w:rFonts w:ascii="Times New Roman" w:cs="Times New Roman" w:eastAsia="Times New Roman" w:hAnsi="Times New Roman"/>
          <w:sz w:val="20"/>
          <w:szCs w:val="20"/>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74" w:lineRule="exact"/>
        <w:rPr>
          <w:sz w:val="20"/>
          <w:szCs w:val="20"/>
          <w:color w:val="auto"/>
        </w:rPr>
      </w:pPr>
    </w:p>
    <w:p>
      <w:pPr>
        <w:ind w:left="360" w:right="600" w:firstLine="490"/>
        <w:spacing w:after="0" w:line="277" w:lineRule="auto"/>
        <w:rPr>
          <w:sz w:val="20"/>
          <w:szCs w:val="20"/>
          <w:color w:val="auto"/>
        </w:rPr>
      </w:pPr>
      <w:r>
        <w:rPr>
          <w:rFonts w:ascii="Times New Roman" w:cs="Times New Roman" w:eastAsia="Times New Roman" w:hAnsi="Times New Roman"/>
          <w:sz w:val="20"/>
          <w:szCs w:val="20"/>
          <w:color w:val="auto"/>
        </w:rPr>
        <w:t>Upfront payments, milestone payments and annual maintenance fees under license agreements are currently expensed in the period in which they are incurred.</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Patent Costs</w:t>
      </w:r>
    </w:p>
    <w:p>
      <w:pPr>
        <w:spacing w:after="0" w:line="120" w:lineRule="exact"/>
        <w:rPr>
          <w:sz w:val="20"/>
          <w:szCs w:val="20"/>
          <w:color w:val="auto"/>
        </w:rPr>
      </w:pPr>
    </w:p>
    <w:p>
      <w:pPr>
        <w:jc w:val="both"/>
        <w:ind w:left="360" w:right="380" w:firstLine="490"/>
        <w:spacing w:after="0" w:line="258" w:lineRule="auto"/>
        <w:rPr>
          <w:sz w:val="20"/>
          <w:szCs w:val="20"/>
          <w:color w:val="auto"/>
        </w:rPr>
      </w:pPr>
      <w:r>
        <w:rPr>
          <w:rFonts w:ascii="Times New Roman" w:cs="Times New Roman" w:eastAsia="Times New Roman" w:hAnsi="Times New Roman"/>
          <w:sz w:val="20"/>
          <w:szCs w:val="20"/>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960" w:h="17280" w:orient="portrait"/>
          <w:cols w:equalWidth="0" w:num="1">
            <w:col w:w="10080"/>
          </w:cols>
          <w:pgMar w:left="1440" w:top="1440" w:right="1440" w:bottom="906" w:gutter="0" w:footer="0" w:header="0"/>
          <w:type w:val="continuous"/>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0" w:lineRule="exact"/>
        <w:rPr>
          <w:sz w:val="20"/>
          <w:szCs w:val="20"/>
          <w:color w:val="auto"/>
        </w:rPr>
      </w:pPr>
    </w:p>
    <w:p>
      <w:pPr>
        <w:ind w:left="360" w:right="480" w:firstLine="490"/>
        <w:spacing w:after="0" w:line="249" w:lineRule="auto"/>
        <w:rPr>
          <w:sz w:val="20"/>
          <w:szCs w:val="20"/>
          <w:color w:val="auto"/>
        </w:rPr>
      </w:pPr>
      <w:r>
        <w:rPr>
          <w:rFonts w:ascii="Times New Roman" w:cs="Times New Roman" w:eastAsia="Times New Roman" w:hAnsi="Times New Roman"/>
          <w:sz w:val="20"/>
          <w:szCs w:val="20"/>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spacing w:after="0" w:line="77" w:lineRule="exact"/>
        <w:rPr>
          <w:sz w:val="20"/>
          <w:szCs w:val="20"/>
          <w:color w:val="auto"/>
        </w:rPr>
      </w:pPr>
    </w:p>
    <w:p>
      <w:pPr>
        <w:jc w:val="both"/>
        <w:ind w:left="360" w:right="620" w:firstLine="490"/>
        <w:spacing w:after="0" w:line="258" w:lineRule="auto"/>
        <w:rPr>
          <w:sz w:val="20"/>
          <w:szCs w:val="20"/>
          <w:color w:val="auto"/>
        </w:rPr>
      </w:pPr>
      <w:r>
        <w:rPr>
          <w:rFonts w:ascii="Times New Roman" w:cs="Times New Roman" w:eastAsia="Times New Roman" w:hAnsi="Times New Roman"/>
          <w:sz w:val="20"/>
          <w:szCs w:val="20"/>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68" w:lineRule="exact"/>
        <w:rPr>
          <w:sz w:val="20"/>
          <w:szCs w:val="20"/>
          <w:color w:val="auto"/>
        </w:rPr>
      </w:pPr>
    </w:p>
    <w:p>
      <w:pPr>
        <w:ind w:left="360" w:right="360" w:firstLine="490"/>
        <w:spacing w:after="0" w:line="243" w:lineRule="auto"/>
        <w:rPr>
          <w:sz w:val="20"/>
          <w:szCs w:val="20"/>
          <w:color w:val="auto"/>
        </w:rPr>
      </w:pPr>
      <w:r>
        <w:rPr>
          <w:rFonts w:ascii="Times New Roman" w:cs="Times New Roman" w:eastAsia="Times New Roman" w:hAnsi="Times New Roman"/>
          <w:sz w:val="20"/>
          <w:szCs w:val="20"/>
          <w:color w:val="auto"/>
        </w:rPr>
        <w:t>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120" w:lineRule="exact"/>
        <w:rPr>
          <w:sz w:val="20"/>
          <w:szCs w:val="20"/>
          <w:color w:val="auto"/>
        </w:rPr>
      </w:pPr>
    </w:p>
    <w:p>
      <w:pPr>
        <w:ind w:left="360" w:right="640" w:firstLine="490"/>
        <w:spacing w:after="0" w:line="246" w:lineRule="auto"/>
        <w:rPr>
          <w:sz w:val="20"/>
          <w:szCs w:val="20"/>
          <w:color w:val="auto"/>
        </w:rPr>
      </w:pPr>
      <w:r>
        <w:rPr>
          <w:rFonts w:ascii="Times New Roman" w:cs="Times New Roman" w:eastAsia="Times New Roman" w:hAnsi="Times New Roman"/>
          <w:sz w:val="20"/>
          <w:szCs w:val="20"/>
          <w:color w:val="auto"/>
        </w:rPr>
        <w:t>Operating segments are defined as components of an enterprise for which separate discrete information is available for evaluation by the chief operating decision maker, or decision making group, in deciding how to allocate resources in assessing performance. The Company is managed on a consolidated basis and has one operating and reportable segment related to the development of clinical and preclinical product candidates for the development of the Company’s proprietary new therapies, primarily nomlabofusp, the Company's life science segment. The Company’s chief operating decision maker (“CODM”) is the Company's chief executive officer ("CEO").</w:t>
      </w:r>
    </w:p>
    <w:p>
      <w:pPr>
        <w:spacing w:after="0" w:line="80" w:lineRule="exact"/>
        <w:rPr>
          <w:sz w:val="20"/>
          <w:szCs w:val="20"/>
          <w:color w:val="auto"/>
        </w:rPr>
      </w:pPr>
    </w:p>
    <w:p>
      <w:pPr>
        <w:ind w:left="360" w:right="380" w:firstLine="490"/>
        <w:spacing w:after="0" w:line="252" w:lineRule="auto"/>
        <w:rPr>
          <w:sz w:val="20"/>
          <w:szCs w:val="20"/>
          <w:color w:val="auto"/>
        </w:rPr>
      </w:pPr>
      <w:r>
        <w:rPr>
          <w:rFonts w:ascii="Times New Roman" w:cs="Times New Roman" w:eastAsia="Times New Roman" w:hAnsi="Times New Roman"/>
          <w:sz w:val="20"/>
          <w:szCs w:val="20"/>
          <w:color w:val="auto"/>
        </w:rPr>
        <w:t>The accounting policies of the life science segment are the same as those described in the summary of significant accounting policies. The CODM assesses performance for the Company and its reportable segment based on net loss, which is reported on the consolidated Statements of Operations. The measure of segment assets is reported on the balance sheet as total consolidated assets. All long-lived assets are located in the U.S.</w:t>
      </w:r>
    </w:p>
    <w:p>
      <w:pPr>
        <w:spacing w:after="0" w:line="74" w:lineRule="exact"/>
        <w:rPr>
          <w:sz w:val="20"/>
          <w:szCs w:val="20"/>
          <w:color w:val="auto"/>
        </w:rPr>
      </w:pPr>
    </w:p>
    <w:p>
      <w:pPr>
        <w:jc w:val="both"/>
        <w:ind w:left="360" w:right="720" w:firstLine="490"/>
        <w:spacing w:after="0" w:line="258" w:lineRule="auto"/>
        <w:rPr>
          <w:sz w:val="20"/>
          <w:szCs w:val="20"/>
          <w:color w:val="auto"/>
        </w:rPr>
      </w:pPr>
      <w:r>
        <w:rPr>
          <w:rFonts w:ascii="Times New Roman" w:cs="Times New Roman" w:eastAsia="Times New Roman" w:hAnsi="Times New Roman"/>
          <w:sz w:val="20"/>
          <w:szCs w:val="20"/>
          <w:color w:val="auto"/>
        </w:rPr>
        <w:t>To date, the Company has not generated any product revenue. The Company expects to continue to incur significant expenses and operating losses for the foreseeable future as it advances product candidates through all stages of development and clinical trials and regulatory approval.</w:t>
      </w:r>
    </w:p>
    <w:p>
      <w:pPr>
        <w:spacing w:after="0" w:line="68" w:lineRule="exact"/>
        <w:rPr>
          <w:sz w:val="20"/>
          <w:szCs w:val="20"/>
          <w:color w:val="auto"/>
        </w:rPr>
      </w:pPr>
    </w:p>
    <w:p>
      <w:pPr>
        <w:ind w:left="360" w:right="420" w:firstLine="490"/>
        <w:spacing w:after="0" w:line="258" w:lineRule="auto"/>
        <w:rPr>
          <w:sz w:val="20"/>
          <w:szCs w:val="20"/>
          <w:color w:val="auto"/>
        </w:rPr>
      </w:pPr>
      <w:r>
        <w:rPr>
          <w:rFonts w:ascii="Times New Roman" w:cs="Times New Roman" w:eastAsia="Times New Roman" w:hAnsi="Times New Roman"/>
          <w:sz w:val="20"/>
          <w:szCs w:val="20"/>
          <w:color w:val="auto"/>
        </w:rPr>
        <w:t>The CODM uses consolidated financial information, including consolidated net loss, to evaluate performance, forecast future period financial results, allocate resources for the company by, among other things, comparing budgeted to actual results.</w:t>
      </w: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960" w:h="17280" w:orient="portrait"/>
          <w:cols w:equalWidth="0" w:num="1">
            <w:col w:w="10080"/>
          </w:cols>
          <w:pgMar w:left="1440" w:top="1440" w:right="1440" w:bottom="906" w:gutter="0" w:footer="0" w:header="0"/>
          <w:type w:val="continuous"/>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860" w:firstLine="490"/>
        <w:spacing w:after="0" w:line="277" w:lineRule="auto"/>
        <w:rPr>
          <w:sz w:val="20"/>
          <w:szCs w:val="20"/>
          <w:color w:val="auto"/>
        </w:rPr>
      </w:pPr>
      <w:r>
        <w:rPr>
          <w:rFonts w:ascii="Times New Roman" w:cs="Times New Roman" w:eastAsia="Times New Roman" w:hAnsi="Times New Roman"/>
          <w:sz w:val="20"/>
          <w:szCs w:val="20"/>
          <w:color w:val="auto"/>
        </w:rPr>
        <w:t>The table below summarizes the significant expense categories regularly reviewed by the CODM for the twelve months ended December 31, 2024 and 2023:</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4340" w:type="dxa"/>
            <w:vAlign w:val="bottom"/>
            <w:tcBorders>
              <w:bottom w:val="single" w:sz="8" w:color="D4EEED"/>
            </w:tcBorders>
            <w:shd w:val="clear" w:color="auto" w:fill="FEFEFE"/>
          </w:tcPr>
          <w:p>
            <w:pPr>
              <w:spacing w:after="0"/>
              <w:rPr>
                <w:sz w:val="17"/>
                <w:szCs w:val="17"/>
                <w:color w:val="auto"/>
              </w:rPr>
            </w:pPr>
          </w:p>
        </w:tc>
        <w:tc>
          <w:tcPr>
            <w:tcW w:w="2080" w:type="dxa"/>
            <w:vAlign w:val="bottom"/>
            <w:tcBorders>
              <w:bottom w:val="single" w:sz="8" w:color="D4EEED"/>
            </w:tcBorders>
            <w:shd w:val="clear" w:color="auto" w:fill="FEFEFE"/>
          </w:tcPr>
          <w:p>
            <w:pPr>
              <w:spacing w:after="0"/>
              <w:rPr>
                <w:sz w:val="17"/>
                <w:szCs w:val="17"/>
                <w:color w:val="auto"/>
              </w:rPr>
            </w:pPr>
          </w:p>
        </w:tc>
        <w:tc>
          <w:tcPr>
            <w:tcW w:w="280" w:type="dxa"/>
            <w:vAlign w:val="bottom"/>
            <w:tcBorders>
              <w:bottom w:val="single" w:sz="8" w:color="auto"/>
            </w:tcBorders>
            <w:shd w:val="clear" w:color="auto" w:fill="FEFEFE"/>
          </w:tcPr>
          <w:p>
            <w:pPr>
              <w:spacing w:after="0"/>
              <w:rPr>
                <w:sz w:val="17"/>
                <w:szCs w:val="17"/>
                <w:color w:val="auto"/>
              </w:rPr>
            </w:pPr>
          </w:p>
        </w:tc>
        <w:tc>
          <w:tcPr>
            <w:tcW w:w="1020" w:type="dxa"/>
            <w:vAlign w:val="bottom"/>
            <w:tcBorders>
              <w:bottom w:val="single" w:sz="8" w:color="auto"/>
            </w:tcBorders>
            <w:shd w:val="clear" w:color="auto" w:fill="FEFEFE"/>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D4EEED"/>
            </w:tcBorders>
            <w:shd w:val="clear" w:color="auto" w:fill="FEFEFE"/>
          </w:tcPr>
          <w:p>
            <w:pPr>
              <w:spacing w:after="0"/>
              <w:rPr>
                <w:sz w:val="17"/>
                <w:szCs w:val="17"/>
                <w:color w:val="auto"/>
              </w:rPr>
            </w:pPr>
          </w:p>
        </w:tc>
        <w:tc>
          <w:tcPr>
            <w:tcW w:w="80" w:type="dxa"/>
            <w:vAlign w:val="bottom"/>
            <w:tcBorders>
              <w:bottom w:val="single" w:sz="8" w:color="D4EEED"/>
            </w:tcBorders>
            <w:shd w:val="clear" w:color="auto" w:fill="FEFEFE"/>
          </w:tcPr>
          <w:p>
            <w:pPr>
              <w:spacing w:after="0"/>
              <w:rPr>
                <w:sz w:val="17"/>
                <w:szCs w:val="17"/>
                <w:color w:val="auto"/>
              </w:rPr>
            </w:pPr>
          </w:p>
        </w:tc>
        <w:tc>
          <w:tcPr>
            <w:tcW w:w="300" w:type="dxa"/>
            <w:vAlign w:val="bottom"/>
            <w:tcBorders>
              <w:bottom w:val="single" w:sz="8" w:color="auto"/>
            </w:tcBorders>
            <w:shd w:val="clear" w:color="auto" w:fill="FEFEFE"/>
          </w:tcPr>
          <w:p>
            <w:pPr>
              <w:spacing w:after="0"/>
              <w:rPr>
                <w:sz w:val="17"/>
                <w:szCs w:val="17"/>
                <w:color w:val="auto"/>
              </w:rPr>
            </w:pPr>
          </w:p>
        </w:tc>
        <w:tc>
          <w:tcPr>
            <w:tcW w:w="1020" w:type="dxa"/>
            <w:vAlign w:val="bottom"/>
            <w:tcBorders>
              <w:bottom w:val="single" w:sz="8" w:color="auto"/>
            </w:tcBorders>
            <w:shd w:val="clear" w:color="auto" w:fill="FEFEFE"/>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4EEED"/>
            </w:tcBorders>
            <w:shd w:val="clear" w:color="auto" w:fill="FEFEFE"/>
          </w:tcPr>
          <w:p>
            <w:pPr>
              <w:spacing w:after="0"/>
              <w:rPr>
                <w:sz w:val="17"/>
                <w:szCs w:val="17"/>
                <w:color w:val="auto"/>
              </w:rPr>
            </w:pPr>
          </w:p>
        </w:tc>
      </w:tr>
      <w:tr>
        <w:trPr>
          <w:trHeight w:val="234"/>
        </w:trPr>
        <w:tc>
          <w:tcPr>
            <w:tcW w:w="434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080" w:type="dxa"/>
            <w:vAlign w:val="bottom"/>
            <w:shd w:val="clear" w:color="auto" w:fill="D4EEED"/>
          </w:tcPr>
          <w:p>
            <w:pPr>
              <w:spacing w:after="0"/>
              <w:rPr>
                <w:sz w:val="20"/>
                <w:szCs w:val="20"/>
                <w:color w:val="auto"/>
              </w:rPr>
            </w:pPr>
          </w:p>
        </w:tc>
        <w:tc>
          <w:tcPr>
            <w:tcW w:w="280" w:type="dxa"/>
            <w:vAlign w:val="bottom"/>
            <w:shd w:val="clear" w:color="auto" w:fill="D4EEED"/>
          </w:tcPr>
          <w:p>
            <w:pPr>
              <w:spacing w:after="0"/>
              <w:rPr>
                <w:sz w:val="20"/>
                <w:szCs w:val="20"/>
                <w:color w:val="auto"/>
              </w:rPr>
            </w:pPr>
          </w:p>
        </w:tc>
        <w:tc>
          <w:tcPr>
            <w:tcW w:w="1020" w:type="dxa"/>
            <w:vAlign w:val="bottom"/>
            <w:shd w:val="clear" w:color="auto" w:fill="D4EEED"/>
          </w:tcPr>
          <w:p>
            <w:pPr>
              <w:spacing w:after="0"/>
              <w:rPr>
                <w:sz w:val="20"/>
                <w:szCs w:val="20"/>
                <w:color w:val="auto"/>
              </w:rPr>
            </w:pPr>
          </w:p>
        </w:tc>
        <w:tc>
          <w:tcPr>
            <w:tcW w:w="16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c>
          <w:tcPr>
            <w:tcW w:w="300" w:type="dxa"/>
            <w:vAlign w:val="bottom"/>
            <w:shd w:val="clear" w:color="auto" w:fill="D4EEED"/>
          </w:tcPr>
          <w:p>
            <w:pPr>
              <w:spacing w:after="0"/>
              <w:rPr>
                <w:sz w:val="20"/>
                <w:szCs w:val="20"/>
                <w:color w:val="auto"/>
              </w:rPr>
            </w:pPr>
          </w:p>
        </w:tc>
        <w:tc>
          <w:tcPr>
            <w:tcW w:w="102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r>
      <w:tr>
        <w:trPr>
          <w:trHeight w:val="244"/>
        </w:trPr>
        <w:tc>
          <w:tcPr>
            <w:tcW w:w="434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Technical operations</w:t>
            </w:r>
          </w:p>
        </w:tc>
        <w:tc>
          <w:tcPr>
            <w:tcW w:w="2080" w:type="dxa"/>
            <w:vAlign w:val="bottom"/>
            <w:shd w:val="clear" w:color="auto" w:fill="FEFEFE"/>
          </w:tcPr>
          <w:p>
            <w:pPr>
              <w:spacing w:after="0"/>
              <w:rPr>
                <w:sz w:val="21"/>
                <w:szCs w:val="21"/>
                <w:color w:val="auto"/>
              </w:rPr>
            </w:pPr>
          </w:p>
        </w:tc>
        <w:tc>
          <w:tcPr>
            <w:tcW w:w="280" w:type="dxa"/>
            <w:vAlign w:val="bottom"/>
            <w:shd w:val="clear" w:color="auto" w:fill="FEFEFE"/>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44,805</w:t>
            </w:r>
          </w:p>
        </w:tc>
        <w:tc>
          <w:tcPr>
            <w:tcW w:w="16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300" w:type="dxa"/>
            <w:vAlign w:val="bottom"/>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6,781</w:t>
            </w:r>
          </w:p>
        </w:tc>
        <w:tc>
          <w:tcPr>
            <w:tcW w:w="80" w:type="dxa"/>
            <w:vAlign w:val="bottom"/>
            <w:shd w:val="clear" w:color="auto" w:fill="FEFEFE"/>
          </w:tcPr>
          <w:p>
            <w:pPr>
              <w:spacing w:after="0"/>
              <w:rPr>
                <w:sz w:val="21"/>
                <w:szCs w:val="21"/>
                <w:color w:val="auto"/>
              </w:rPr>
            </w:pPr>
          </w:p>
        </w:tc>
      </w:tr>
      <w:tr>
        <w:trPr>
          <w:trHeight w:val="244"/>
        </w:trPr>
        <w:tc>
          <w:tcPr>
            <w:tcW w:w="4340" w:type="dxa"/>
            <w:vAlign w:val="bottom"/>
            <w:shd w:val="clear" w:color="auto" w:fill="D4EEED"/>
          </w:tcPr>
          <w:p>
            <w:pPr>
              <w:ind w:left="100"/>
              <w:spacing w:after="0"/>
              <w:rPr>
                <w:sz w:val="20"/>
                <w:szCs w:val="20"/>
                <w:color w:val="auto"/>
              </w:rPr>
            </w:pPr>
            <w:r>
              <w:rPr>
                <w:rFonts w:ascii="Times New Roman" w:cs="Times New Roman" w:eastAsia="Times New Roman" w:hAnsi="Times New Roman"/>
                <w:sz w:val="20"/>
                <w:szCs w:val="20"/>
                <w:color w:val="auto"/>
              </w:rPr>
              <w:t>Development</w:t>
            </w:r>
          </w:p>
        </w:tc>
        <w:tc>
          <w:tcPr>
            <w:tcW w:w="2080" w:type="dxa"/>
            <w:vAlign w:val="bottom"/>
            <w:shd w:val="clear" w:color="auto" w:fill="D4EEED"/>
          </w:tcPr>
          <w:p>
            <w:pPr>
              <w:spacing w:after="0"/>
              <w:rPr>
                <w:sz w:val="21"/>
                <w:szCs w:val="21"/>
                <w:color w:val="auto"/>
              </w:rPr>
            </w:pPr>
          </w:p>
        </w:tc>
        <w:tc>
          <w:tcPr>
            <w:tcW w:w="280" w:type="dxa"/>
            <w:vAlign w:val="bottom"/>
            <w:shd w:val="clear" w:color="auto" w:fill="D4EEED"/>
          </w:tcPr>
          <w:p>
            <w:pPr>
              <w:spacing w:after="0"/>
              <w:rPr>
                <w:sz w:val="21"/>
                <w:szCs w:val="21"/>
                <w:color w:val="auto"/>
              </w:rPr>
            </w:pPr>
          </w:p>
        </w:tc>
        <w:tc>
          <w:tcPr>
            <w:tcW w:w="10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24,361</w:t>
            </w:r>
          </w:p>
        </w:tc>
        <w:tc>
          <w:tcPr>
            <w:tcW w:w="16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300" w:type="dxa"/>
            <w:vAlign w:val="bottom"/>
            <w:shd w:val="clear" w:color="auto" w:fill="D4EEED"/>
          </w:tcPr>
          <w:p>
            <w:pPr>
              <w:spacing w:after="0"/>
              <w:rPr>
                <w:sz w:val="21"/>
                <w:szCs w:val="21"/>
                <w:color w:val="auto"/>
              </w:rPr>
            </w:pPr>
          </w:p>
        </w:tc>
        <w:tc>
          <w:tcPr>
            <w:tcW w:w="10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15,733</w:t>
            </w:r>
          </w:p>
        </w:tc>
        <w:tc>
          <w:tcPr>
            <w:tcW w:w="80" w:type="dxa"/>
            <w:vAlign w:val="bottom"/>
            <w:shd w:val="clear" w:color="auto" w:fill="D4EEED"/>
          </w:tcPr>
          <w:p>
            <w:pPr>
              <w:spacing w:after="0"/>
              <w:rPr>
                <w:sz w:val="21"/>
                <w:szCs w:val="21"/>
                <w:color w:val="auto"/>
              </w:rPr>
            </w:pPr>
          </w:p>
        </w:tc>
      </w:tr>
      <w:tr>
        <w:trPr>
          <w:trHeight w:val="244"/>
        </w:trPr>
        <w:tc>
          <w:tcPr>
            <w:tcW w:w="434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Nomlabofusp support</w:t>
            </w:r>
          </w:p>
        </w:tc>
        <w:tc>
          <w:tcPr>
            <w:tcW w:w="208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4,112</w:t>
            </w:r>
          </w:p>
        </w:tc>
        <w:tc>
          <w:tcPr>
            <w:tcW w:w="16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5,156</w:t>
            </w:r>
          </w:p>
        </w:tc>
        <w:tc>
          <w:tcPr>
            <w:tcW w:w="80" w:type="dxa"/>
            <w:vAlign w:val="bottom"/>
            <w:shd w:val="clear" w:color="auto" w:fill="FEFEFE"/>
          </w:tcPr>
          <w:p>
            <w:pPr>
              <w:spacing w:after="0"/>
              <w:rPr>
                <w:sz w:val="21"/>
                <w:szCs w:val="21"/>
                <w:color w:val="auto"/>
              </w:rPr>
            </w:pPr>
          </w:p>
        </w:tc>
      </w:tr>
      <w:tr>
        <w:trPr>
          <w:trHeight w:val="244"/>
        </w:trPr>
        <w:tc>
          <w:tcPr>
            <w:tcW w:w="4340" w:type="dxa"/>
            <w:vAlign w:val="bottom"/>
            <w:shd w:val="clear" w:color="auto" w:fill="D4EEED"/>
          </w:tcPr>
          <w:p>
            <w:pPr>
              <w:ind w:left="1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80" w:type="dxa"/>
            <w:vAlign w:val="bottom"/>
            <w:shd w:val="clear" w:color="auto" w:fill="D4EEED"/>
          </w:tcPr>
          <w:p>
            <w:pPr>
              <w:spacing w:after="0"/>
              <w:rPr>
                <w:sz w:val="21"/>
                <w:szCs w:val="21"/>
                <w:color w:val="auto"/>
              </w:rPr>
            </w:pPr>
          </w:p>
        </w:tc>
        <w:tc>
          <w:tcPr>
            <w:tcW w:w="280" w:type="dxa"/>
            <w:vAlign w:val="bottom"/>
            <w:shd w:val="clear" w:color="auto" w:fill="D4EEED"/>
          </w:tcPr>
          <w:p>
            <w:pPr>
              <w:spacing w:after="0"/>
              <w:rPr>
                <w:sz w:val="21"/>
                <w:szCs w:val="21"/>
                <w:color w:val="auto"/>
              </w:rPr>
            </w:pPr>
          </w:p>
        </w:tc>
        <w:tc>
          <w:tcPr>
            <w:tcW w:w="10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15,944</w:t>
            </w:r>
          </w:p>
        </w:tc>
        <w:tc>
          <w:tcPr>
            <w:tcW w:w="16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300" w:type="dxa"/>
            <w:vAlign w:val="bottom"/>
            <w:shd w:val="clear" w:color="auto" w:fill="D4EEED"/>
          </w:tcPr>
          <w:p>
            <w:pPr>
              <w:spacing w:after="0"/>
              <w:rPr>
                <w:sz w:val="21"/>
                <w:szCs w:val="21"/>
                <w:color w:val="auto"/>
              </w:rPr>
            </w:pPr>
          </w:p>
        </w:tc>
        <w:tc>
          <w:tcPr>
            <w:tcW w:w="10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14,088</w:t>
            </w:r>
          </w:p>
        </w:tc>
        <w:tc>
          <w:tcPr>
            <w:tcW w:w="80" w:type="dxa"/>
            <w:vAlign w:val="bottom"/>
            <w:shd w:val="clear" w:color="auto" w:fill="D4EEED"/>
          </w:tcPr>
          <w:p>
            <w:pPr>
              <w:spacing w:after="0"/>
              <w:rPr>
                <w:sz w:val="21"/>
                <w:szCs w:val="21"/>
                <w:color w:val="auto"/>
              </w:rPr>
            </w:pPr>
          </w:p>
        </w:tc>
      </w:tr>
      <w:tr>
        <w:trPr>
          <w:trHeight w:val="244"/>
        </w:trPr>
        <w:tc>
          <w:tcPr>
            <w:tcW w:w="4340" w:type="dxa"/>
            <w:vAlign w:val="bottom"/>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Commercial</w:t>
            </w:r>
          </w:p>
        </w:tc>
        <w:tc>
          <w:tcPr>
            <w:tcW w:w="2080" w:type="dxa"/>
            <w:vAlign w:val="bottom"/>
            <w:shd w:val="clear" w:color="auto" w:fill="FEFEFE"/>
          </w:tcPr>
          <w:p>
            <w:pPr>
              <w:spacing w:after="0"/>
              <w:rPr>
                <w:sz w:val="21"/>
                <w:szCs w:val="21"/>
                <w:color w:val="auto"/>
              </w:rPr>
            </w:pPr>
          </w:p>
        </w:tc>
        <w:tc>
          <w:tcPr>
            <w:tcW w:w="280" w:type="dxa"/>
            <w:vAlign w:val="bottom"/>
            <w:shd w:val="clear" w:color="auto" w:fill="FEFEFE"/>
          </w:tcPr>
          <w:p>
            <w:pPr>
              <w:spacing w:after="0"/>
              <w:rPr>
                <w:sz w:val="21"/>
                <w:szCs w:val="21"/>
                <w:color w:val="auto"/>
              </w:rPr>
            </w:pPr>
          </w:p>
        </w:tc>
        <w:tc>
          <w:tcPr>
            <w:tcW w:w="10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1,668</w:t>
            </w:r>
          </w:p>
        </w:tc>
        <w:tc>
          <w:tcPr>
            <w:tcW w:w="16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10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4340" w:type="dxa"/>
            <w:vAlign w:val="bottom"/>
            <w:tcBorders>
              <w:top w:val="single" w:sz="8" w:color="D4EEED"/>
            </w:tcBorders>
            <w:shd w:val="clear" w:color="auto" w:fill="D4EEED"/>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2080" w:type="dxa"/>
            <w:vAlign w:val="bottom"/>
            <w:tcBorders>
              <w:top w:val="single" w:sz="8" w:color="D4EEED"/>
            </w:tcBorders>
            <w:shd w:val="clear" w:color="auto" w:fill="D4EEED"/>
          </w:tcPr>
          <w:p>
            <w:pPr>
              <w:spacing w:after="0"/>
              <w:rPr>
                <w:sz w:val="20"/>
                <w:szCs w:val="20"/>
                <w:color w:val="auto"/>
              </w:rPr>
            </w:pPr>
          </w:p>
        </w:tc>
        <w:tc>
          <w:tcPr>
            <w:tcW w:w="280" w:type="dxa"/>
            <w:vAlign w:val="bottom"/>
            <w:tcBorders>
              <w:top w:val="single" w:sz="8" w:color="auto"/>
            </w:tcBorders>
            <w:shd w:val="clear" w:color="auto" w:fill="D4EEED"/>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90,890</w:t>
            </w:r>
          </w:p>
        </w:tc>
        <w:tc>
          <w:tcPr>
            <w:tcW w:w="160" w:type="dxa"/>
            <w:vAlign w:val="bottom"/>
            <w:tcBorders>
              <w:top w:val="single" w:sz="8" w:color="D4EEED"/>
            </w:tcBorders>
            <w:shd w:val="clear" w:color="auto" w:fill="D4EEED"/>
          </w:tcPr>
          <w:p>
            <w:pPr>
              <w:spacing w:after="0"/>
              <w:rPr>
                <w:sz w:val="20"/>
                <w:szCs w:val="20"/>
                <w:color w:val="auto"/>
              </w:rPr>
            </w:pPr>
          </w:p>
        </w:tc>
        <w:tc>
          <w:tcPr>
            <w:tcW w:w="80" w:type="dxa"/>
            <w:vAlign w:val="bottom"/>
            <w:tcBorders>
              <w:top w:val="single" w:sz="8" w:color="D4EEED"/>
            </w:tcBorders>
            <w:shd w:val="clear" w:color="auto" w:fill="D4EEED"/>
          </w:tcPr>
          <w:p>
            <w:pPr>
              <w:spacing w:after="0"/>
              <w:rPr>
                <w:sz w:val="20"/>
                <w:szCs w:val="20"/>
                <w:color w:val="auto"/>
              </w:rPr>
            </w:pPr>
          </w:p>
        </w:tc>
        <w:tc>
          <w:tcPr>
            <w:tcW w:w="300" w:type="dxa"/>
            <w:vAlign w:val="bottom"/>
            <w:tcBorders>
              <w:top w:val="single" w:sz="8" w:color="auto"/>
            </w:tcBorders>
            <w:shd w:val="clear" w:color="auto" w:fill="D4EEED"/>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41,758</w:t>
            </w:r>
          </w:p>
        </w:tc>
        <w:tc>
          <w:tcPr>
            <w:tcW w:w="80" w:type="dxa"/>
            <w:vAlign w:val="bottom"/>
            <w:tcBorders>
              <w:top w:val="single" w:sz="8" w:color="D4EEED"/>
            </w:tcBorders>
            <w:shd w:val="clear" w:color="auto" w:fill="D4EEED"/>
          </w:tcPr>
          <w:p>
            <w:pPr>
              <w:spacing w:after="0"/>
              <w:rPr>
                <w:sz w:val="20"/>
                <w:szCs w:val="20"/>
                <w:color w:val="auto"/>
              </w:rPr>
            </w:pPr>
          </w:p>
        </w:tc>
      </w:tr>
      <w:tr>
        <w:trPr>
          <w:trHeight w:val="244"/>
        </w:trPr>
        <w:tc>
          <w:tcPr>
            <w:tcW w:w="4340" w:type="dxa"/>
            <w:vAlign w:val="bottom"/>
            <w:tcBorders>
              <w:bottom w:val="single" w:sz="8" w:color="D4EEED"/>
            </w:tcBorders>
            <w:shd w:val="clear" w:color="auto" w:fill="FEFEFE"/>
          </w:tcPr>
          <w:p>
            <w:pPr>
              <w:ind w:left="100"/>
              <w:spacing w:after="0"/>
              <w:rPr>
                <w:sz w:val="20"/>
                <w:szCs w:val="20"/>
                <w:color w:val="auto"/>
              </w:rPr>
            </w:pPr>
            <w:r>
              <w:rPr>
                <w:rFonts w:ascii="Times New Roman" w:cs="Times New Roman" w:eastAsia="Times New Roman" w:hAnsi="Times New Roman"/>
                <w:sz w:val="20"/>
                <w:szCs w:val="20"/>
                <w:color w:val="auto"/>
              </w:rPr>
              <w:t>Other income, net</w:t>
            </w:r>
          </w:p>
        </w:tc>
        <w:tc>
          <w:tcPr>
            <w:tcW w:w="2080" w:type="dxa"/>
            <w:vAlign w:val="bottom"/>
            <w:tcBorders>
              <w:bottom w:val="single" w:sz="8" w:color="D4EEED"/>
            </w:tcBorders>
            <w:shd w:val="clear" w:color="auto" w:fill="FEFEFE"/>
          </w:tcPr>
          <w:p>
            <w:pPr>
              <w:spacing w:after="0"/>
              <w:rPr>
                <w:sz w:val="21"/>
                <w:szCs w:val="21"/>
                <w:color w:val="auto"/>
              </w:rPr>
            </w:pPr>
          </w:p>
        </w:tc>
        <w:tc>
          <w:tcPr>
            <w:tcW w:w="280" w:type="dxa"/>
            <w:vAlign w:val="bottom"/>
            <w:tcBorders>
              <w:bottom w:val="single" w:sz="8" w:color="auto"/>
            </w:tcBorders>
            <w:shd w:val="clear" w:color="auto" w:fill="FEFEFE"/>
          </w:tcPr>
          <w:p>
            <w:pPr>
              <w:spacing w:after="0"/>
              <w:rPr>
                <w:sz w:val="21"/>
                <w:szCs w:val="21"/>
                <w:color w:val="auto"/>
              </w:rPr>
            </w:pPr>
          </w:p>
        </w:tc>
        <w:tc>
          <w:tcPr>
            <w:tcW w:w="10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(10,286)</w:t>
            </w:r>
          </w:p>
        </w:tc>
        <w:tc>
          <w:tcPr>
            <w:tcW w:w="160" w:type="dxa"/>
            <w:vAlign w:val="bottom"/>
            <w:tcBorders>
              <w:bottom w:val="single" w:sz="8" w:color="D4EEED"/>
            </w:tcBorders>
            <w:shd w:val="clear" w:color="auto" w:fill="FEFEFE"/>
          </w:tcPr>
          <w:p>
            <w:pPr>
              <w:spacing w:after="0"/>
              <w:rPr>
                <w:sz w:val="21"/>
                <w:szCs w:val="21"/>
                <w:color w:val="auto"/>
              </w:rPr>
            </w:pPr>
          </w:p>
        </w:tc>
        <w:tc>
          <w:tcPr>
            <w:tcW w:w="80" w:type="dxa"/>
            <w:vAlign w:val="bottom"/>
            <w:tcBorders>
              <w:bottom w:val="single" w:sz="8" w:color="D4EEED"/>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0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(4,809)</w:t>
            </w:r>
          </w:p>
        </w:tc>
        <w:tc>
          <w:tcPr>
            <w:tcW w:w="80" w:type="dxa"/>
            <w:vAlign w:val="bottom"/>
            <w:tcBorders>
              <w:bottom w:val="single" w:sz="8" w:color="D4EEED"/>
            </w:tcBorders>
            <w:shd w:val="clear" w:color="auto" w:fill="FEFEFE"/>
          </w:tcPr>
          <w:p>
            <w:pPr>
              <w:spacing w:after="0"/>
              <w:rPr>
                <w:sz w:val="21"/>
                <w:szCs w:val="21"/>
                <w:color w:val="auto"/>
              </w:rPr>
            </w:pPr>
          </w:p>
        </w:tc>
      </w:tr>
      <w:tr>
        <w:trPr>
          <w:trHeight w:val="234"/>
        </w:trPr>
        <w:tc>
          <w:tcPr>
            <w:tcW w:w="434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Net loss</w:t>
            </w:r>
          </w:p>
        </w:tc>
        <w:tc>
          <w:tcPr>
            <w:tcW w:w="2080" w:type="dxa"/>
            <w:vAlign w:val="bottom"/>
            <w:shd w:val="clear" w:color="auto" w:fill="D4EEED"/>
          </w:tcPr>
          <w:p>
            <w:pPr>
              <w:spacing w:after="0"/>
              <w:rPr>
                <w:sz w:val="20"/>
                <w:szCs w:val="20"/>
                <w:color w:val="auto"/>
              </w:rPr>
            </w:pPr>
          </w:p>
        </w:tc>
        <w:tc>
          <w:tcPr>
            <w:tcW w:w="280" w:type="dxa"/>
            <w:vAlign w:val="bottom"/>
            <w:tcBorders>
              <w:bottom w:val="single" w:sz="8" w:color="auto"/>
            </w:tcBorders>
            <w:shd w:val="clear" w:color="auto" w:fill="D4EEED"/>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(80,604)</w:t>
            </w:r>
          </w:p>
        </w:tc>
        <w:tc>
          <w:tcPr>
            <w:tcW w:w="16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c>
          <w:tcPr>
            <w:tcW w:w="300" w:type="dxa"/>
            <w:vAlign w:val="bottom"/>
            <w:tcBorders>
              <w:bottom w:val="single" w:sz="8" w:color="auto"/>
            </w:tcBorders>
            <w:shd w:val="clear" w:color="auto" w:fill="D4EEED"/>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(36,949)</w:t>
            </w:r>
          </w:p>
        </w:tc>
        <w:tc>
          <w:tcPr>
            <w:tcW w:w="80" w:type="dxa"/>
            <w:vAlign w:val="bottom"/>
            <w:shd w:val="clear" w:color="auto" w:fill="D4EEED"/>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88" w:lineRule="exact"/>
        <w:rPr>
          <w:sz w:val="20"/>
          <w:szCs w:val="20"/>
          <w:color w:val="auto"/>
        </w:rPr>
      </w:pPr>
    </w:p>
    <w:p>
      <w:pPr>
        <w:ind w:left="360" w:right="420" w:firstLine="490"/>
        <w:spacing w:after="0" w:line="245" w:lineRule="auto"/>
        <w:rPr>
          <w:sz w:val="20"/>
          <w:szCs w:val="20"/>
          <w:color w:val="auto"/>
        </w:rPr>
      </w:pPr>
      <w:r>
        <w:rPr>
          <w:rFonts w:ascii="Times New Roman" w:cs="Times New Roman" w:eastAsia="Times New Roman" w:hAnsi="Times New Roman"/>
          <w:sz w:val="20"/>
          <w:szCs w:val="20"/>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Comprehensive Gain (Loss)</w:t>
      </w:r>
    </w:p>
    <w:p>
      <w:pPr>
        <w:spacing w:after="0" w:line="120" w:lineRule="exact"/>
        <w:rPr>
          <w:sz w:val="20"/>
          <w:szCs w:val="20"/>
          <w:color w:val="auto"/>
        </w:rPr>
      </w:pPr>
    </w:p>
    <w:p>
      <w:pPr>
        <w:ind w:left="360" w:right="560" w:firstLine="490"/>
        <w:spacing w:after="0" w:line="252" w:lineRule="auto"/>
        <w:rPr>
          <w:sz w:val="20"/>
          <w:szCs w:val="20"/>
          <w:color w:val="auto"/>
        </w:rPr>
      </w:pPr>
      <w:r>
        <w:rPr>
          <w:rFonts w:ascii="Times New Roman" w:cs="Times New Roman" w:eastAsia="Times New Roman" w:hAnsi="Times New Roman"/>
          <w:sz w:val="20"/>
          <w:szCs w:val="20"/>
          <w:color w:val="auto"/>
        </w:rPr>
        <w:t>Comprehensive gain (loss) includes net loss as well as other changes in stockholders’ equity that result from transactions and economic events other than those with stockholders. For the years ended December 31, 2024 and 2023, the Company’s only element of other comprehensive gain (loss) was unrealized gain (loss) on marketable securities.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120" w:lineRule="exact"/>
        <w:rPr>
          <w:sz w:val="20"/>
          <w:szCs w:val="20"/>
          <w:color w:val="auto"/>
        </w:rPr>
      </w:pPr>
    </w:p>
    <w:p>
      <w:pPr>
        <w:jc w:val="both"/>
        <w:ind w:left="360" w:right="680" w:firstLine="490"/>
        <w:spacing w:after="0" w:line="246" w:lineRule="auto"/>
        <w:rPr>
          <w:sz w:val="20"/>
          <w:szCs w:val="20"/>
          <w:color w:val="auto"/>
        </w:rPr>
      </w:pPr>
      <w:r>
        <w:rPr>
          <w:rFonts w:ascii="Times New Roman" w:cs="Times New Roman" w:eastAsia="Times New Roman" w:hAnsi="Times New Roman"/>
          <w:sz w:val="20"/>
          <w:szCs w:val="20"/>
          <w:color w:val="auto"/>
        </w:rPr>
        <w:t>Basic net loss per share is computed by dividing the net loss attributable to common stockholders by the weighted average number of common shares outstanding for the period. Prior to August 11, 2023, basic shares outstanding includes the weighted average effect of the Company’s prefunded warrants issued in June 2020, the exercise of which requires little or no consideration for the delivery of shares of common stock. These prefunded warrants were exercised on August 11, 2023 and the Company received cash proceeds of less than $0.1 million. Accordingly, the 628,403 shares were issued upon the exercise of these warrants and are included in issued and outstanding common stock.</w:t>
      </w:r>
    </w:p>
    <w:p>
      <w:pPr>
        <w:spacing w:after="0" w:line="80" w:lineRule="exact"/>
        <w:rPr>
          <w:sz w:val="20"/>
          <w:szCs w:val="20"/>
          <w:color w:val="auto"/>
        </w:rPr>
      </w:pPr>
    </w:p>
    <w:p>
      <w:pPr>
        <w:ind w:left="360" w:right="520" w:firstLine="490"/>
        <w:spacing w:after="0" w:line="270" w:lineRule="auto"/>
        <w:rPr>
          <w:sz w:val="20"/>
          <w:szCs w:val="20"/>
          <w:color w:val="auto"/>
        </w:rPr>
      </w:pPr>
      <w:r>
        <w:rPr>
          <w:rFonts w:ascii="Times New Roman" w:cs="Times New Roman" w:eastAsia="Times New Roman" w:hAnsi="Times New Roman"/>
          <w:sz w:val="19"/>
          <w:szCs w:val="19"/>
          <w:color w:val="auto"/>
        </w:rPr>
        <w:t>Diluted net loss per share attributable to common stockholders is computed by dividing the diluted net loss attributable to common stockholders by the weighted average number of common shares, including potentially dilutive common stock equivalents assuming the dilutive effect of outstanding stock options, outstanding restricted stock units, and unvested restricted common shares, as determined using the treasury stock method. For periods in</w:t>
      </w: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960" w:h="17280" w:orient="portrait"/>
          <w:cols w:equalWidth="0" w:num="1">
            <w:col w:w="10080"/>
          </w:cols>
          <w:pgMar w:left="1440" w:top="1440" w:right="1440" w:bottom="906" w:gutter="0" w:footer="0" w:header="0"/>
          <w:type w:val="continuous"/>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360" w:right="1080"/>
        <w:spacing w:after="0" w:line="252" w:lineRule="auto"/>
        <w:rPr>
          <w:sz w:val="20"/>
          <w:szCs w:val="20"/>
          <w:color w:val="auto"/>
        </w:rPr>
      </w:pPr>
      <w:r>
        <w:rPr>
          <w:rFonts w:ascii="Times New Roman" w:cs="Times New Roman" w:eastAsia="Times New Roman" w:hAnsi="Times New Roman"/>
          <w:sz w:val="20"/>
          <w:szCs w:val="20"/>
          <w:color w:val="auto"/>
        </w:rPr>
        <w:t>which the Company has reported net losses (all periods since inception), diluted net loss per common share attributable to common stockholders is the same as basic net loss per common share attributable to common stockholders, since dilutive common stock equivalents are not assumed to have been issued if their effect is antidilutive.</w:t>
      </w:r>
    </w:p>
    <w:p>
      <w:pPr>
        <w:spacing w:after="0" w:line="74" w:lineRule="exact"/>
        <w:rPr>
          <w:sz w:val="20"/>
          <w:szCs w:val="20"/>
          <w:color w:val="auto"/>
        </w:rPr>
      </w:pPr>
    </w:p>
    <w:p>
      <w:pPr>
        <w:ind w:left="360" w:right="460" w:firstLine="490"/>
        <w:spacing w:after="0" w:line="252" w:lineRule="auto"/>
        <w:rPr>
          <w:sz w:val="20"/>
          <w:szCs w:val="20"/>
          <w:color w:val="auto"/>
        </w:rPr>
      </w:pPr>
      <w:r>
        <w:rPr>
          <w:rFonts w:ascii="Times New Roman" w:cs="Times New Roman" w:eastAsia="Times New Roman" w:hAnsi="Times New Roman"/>
          <w:sz w:val="20"/>
          <w:szCs w:val="20"/>
          <w:color w:val="auto"/>
        </w:rPr>
        <w:t>The Company excluded 7,135,390 and 4,888,502 options to purchase common stock, outstanding as of December 31, 2024 and 2023 respectively, from the computation of diluted net loss per share for the twelve months ended December 31, 2024 and 2023, respectively, because they had an anti-dilutive impact due to the net loss incurred for the periods.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and Adopted Accounting Pronouncements</w:t>
      </w:r>
    </w:p>
    <w:p>
      <w:pPr>
        <w:spacing w:after="0" w:line="120" w:lineRule="exact"/>
        <w:rPr>
          <w:sz w:val="20"/>
          <w:szCs w:val="20"/>
          <w:color w:val="auto"/>
        </w:rPr>
      </w:pPr>
    </w:p>
    <w:p>
      <w:pPr>
        <w:ind w:left="360" w:right="380" w:firstLine="490"/>
        <w:spacing w:after="0" w:line="252" w:lineRule="auto"/>
        <w:rPr>
          <w:sz w:val="20"/>
          <w:szCs w:val="20"/>
          <w:color w:val="auto"/>
        </w:rPr>
      </w:pPr>
      <w:r>
        <w:rPr>
          <w:rFonts w:ascii="Times New Roman" w:cs="Times New Roman" w:eastAsia="Times New Roman" w:hAnsi="Times New Roman"/>
          <w:sz w:val="20"/>
          <w:szCs w:val="20"/>
          <w:color w:val="auto"/>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consolidated results of operations, cash flows or financial position.</w:t>
      </w:r>
    </w:p>
    <w:p>
      <w:pPr>
        <w:spacing w:after="0" w:line="74" w:lineRule="exact"/>
        <w:rPr>
          <w:sz w:val="20"/>
          <w:szCs w:val="20"/>
          <w:color w:val="auto"/>
        </w:rPr>
      </w:pPr>
    </w:p>
    <w:p>
      <w:pPr>
        <w:ind w:left="360" w:right="400" w:firstLine="490"/>
        <w:spacing w:after="0" w:line="244" w:lineRule="auto"/>
        <w:rPr>
          <w:sz w:val="20"/>
          <w:szCs w:val="20"/>
          <w:color w:val="auto"/>
        </w:rPr>
      </w:pPr>
      <w:r>
        <w:rPr>
          <w:rFonts w:ascii="Times New Roman" w:cs="Times New Roman" w:eastAsia="Times New Roman" w:hAnsi="Times New Roman"/>
          <w:sz w:val="20"/>
          <w:szCs w:val="20"/>
          <w:color w:val="auto"/>
        </w:rPr>
        <w:t>In November 2023, the Financial Accounting Standards Board (“FASB”) issued ASU 2023-07, Segment Reporting (Topic 280): Improvements to Reportable Segment Disclosures (“ASU 2023-07”). ASU 2023-07 requires disclosure of incremental segment information on an annual and interim basis. The amendments also require companies with a single reportable segment to provide all disclosures required by this amendment and all existing segment disclosures in ASC 280, Segment Reporting. The amendments are effective for fiscal years beginning after December 15, 2023, and interim periods beginning after December 15, 2024. The Company adopted ASU 2023-07, effective December 31, 2024, in these consolidated financial statements. ASU 2023-07 only impacted the disclosures and did not impact the consolidated financial statements. See Note 2, Segment Information, for disclosures related to the adoption of ASU 2023-07.</w:t>
      </w:r>
    </w:p>
    <w:p>
      <w:pPr>
        <w:spacing w:after="0" w:line="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120" w:lineRule="exact"/>
        <w:rPr>
          <w:sz w:val="20"/>
          <w:szCs w:val="20"/>
          <w:color w:val="auto"/>
        </w:rPr>
      </w:pPr>
    </w:p>
    <w:p>
      <w:pPr>
        <w:ind w:left="360" w:right="380" w:firstLine="490"/>
        <w:spacing w:after="0" w:line="244" w:lineRule="auto"/>
        <w:rPr>
          <w:sz w:val="20"/>
          <w:szCs w:val="20"/>
          <w:color w:val="auto"/>
        </w:rPr>
      </w:pPr>
      <w:r>
        <w:rPr>
          <w:rFonts w:ascii="Times New Roman" w:cs="Times New Roman" w:eastAsia="Times New Roman" w:hAnsi="Times New Roman"/>
          <w:sz w:val="20"/>
          <w:szCs w:val="20"/>
          <w:color w:val="auto"/>
        </w:rPr>
        <w:t>In December 2023, the FASB issued ASU No. 2023-09, “Improvements to Income Tax Disclosures (Topic 740),” which requires entities to disclose in their rate reconciliation table additional categories of information about federal, state and foreign income taxes as well as additional information about reconciling items if certain quantitative thresholds are met. This ASU will require all entities to disclose income taxes paid, net of refunds, disaggregated by federal (national), state and foreign taxes for annual periods and to disaggregate the information by jurisdiction based on a quantitative threshold. All entities are required to apply the guidance prospectively, with the option to apply it retrospectively. The ASU is effective for fiscal years beginning after December 15, 2024, with early adoption permitted. The Company has determined it will adopt this ASU on January 1, 2025, the adoption of which is not expected to have a material impact on the Company’s consolidated results of operations or cash flows.</w:t>
      </w:r>
    </w:p>
    <w:p>
      <w:pPr>
        <w:spacing w:after="0" w:line="86" w:lineRule="exact"/>
        <w:rPr>
          <w:sz w:val="20"/>
          <w:szCs w:val="20"/>
          <w:color w:val="auto"/>
        </w:rPr>
      </w:pPr>
    </w:p>
    <w:p>
      <w:pPr>
        <w:ind w:left="360" w:right="440" w:firstLine="490"/>
        <w:spacing w:after="0" w:line="246"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 - Reporting Comprehensive Income - Expense Disaggregation Disclosures (Subtopic 220-40): Disaggregation of Income Statement Expenses”, which requires disaggregated disclosures in the notes of the financial statements of certain categories of expenses that are included in expense line items on the face of the income statement. This ASU is effective for annual periods beginning after December 15, 2026, and interim periods within annual reporting periods beginning after December 15, 2027. Early adoption is permitted. The Company will evaluate the impact adopting ASU 2024-03 will have on the Company's consolidated financial statements and disclosures.</w:t>
      </w: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960" w:h="17280" w:orient="portrait"/>
          <w:cols w:equalWidth="0" w:num="1">
            <w:col w:w="10080"/>
          </w:cols>
          <w:pgMar w:left="1440" w:top="1440" w:right="1440" w:bottom="906" w:gutter="0" w:footer="0" w:header="0"/>
          <w:type w:val="continuous"/>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right="3160"/>
        <w:spacing w:after="0" w:line="367" w:lineRule="auto"/>
        <w:tabs>
          <w:tab w:leader="none" w:pos="85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Fair Value Measurements and Cash Equivalents/Marketable Securities </w:t>
      </w:r>
      <w:r>
        <w:rPr>
          <w:rFonts w:ascii="Times New Roman" w:cs="Times New Roman" w:eastAsia="Times New Roman" w:hAnsi="Times New Roman"/>
          <w:sz w:val="20"/>
          <w:szCs w:val="20"/>
          <w:b w:val="1"/>
          <w:bCs w:val="1"/>
          <w:i w:val="1"/>
          <w:iCs w:val="1"/>
          <w:color w:val="auto"/>
        </w:rPr>
        <w:t>Fair Value Measurements</w:t>
      </w:r>
    </w:p>
    <w:p>
      <w:pPr>
        <w:spacing w:after="0" w:line="1" w:lineRule="exact"/>
        <w:rPr>
          <w:sz w:val="20"/>
          <w:szCs w:val="20"/>
          <w:color w:val="auto"/>
        </w:rPr>
      </w:pPr>
    </w:p>
    <w:p>
      <w:pPr>
        <w:ind w:left="360" w:right="400" w:firstLine="490"/>
        <w:spacing w:after="0" w:line="265" w:lineRule="auto"/>
        <w:rPr>
          <w:sz w:val="20"/>
          <w:szCs w:val="20"/>
          <w:color w:val="auto"/>
        </w:rPr>
      </w:pPr>
      <w:r>
        <w:rPr>
          <w:rFonts w:ascii="Times New Roman" w:cs="Times New Roman" w:eastAsia="Times New Roman" w:hAnsi="Times New Roman"/>
          <w:sz w:val="19"/>
          <w:szCs w:val="19"/>
          <w:color w:val="auto"/>
        </w:rPr>
        <w:t xml:space="preserve">The Company’s assets and liabilities that are measured at fair value on a recurring basis as of December 31, 2024 and December 31, 2023 are measured in accordance with the standards of ASC 820, </w:t>
      </w:r>
      <w:r>
        <w:rPr>
          <w:rFonts w:ascii="Times New Roman" w:cs="Times New Roman" w:eastAsia="Times New Roman" w:hAnsi="Times New Roman"/>
          <w:sz w:val="19"/>
          <w:szCs w:val="19"/>
          <w:i w:val="1"/>
          <w:iCs w:val="1"/>
          <w:color w:val="auto"/>
        </w:rPr>
        <w:t>Fair Value Measurements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and Disclosures</w:t>
      </w:r>
      <w:r>
        <w:rPr>
          <w:rFonts w:ascii="Times New Roman" w:cs="Times New Roman" w:eastAsia="Times New Roman" w:hAnsi="Times New Roman"/>
          <w:sz w:val="19"/>
          <w:szCs w:val="19"/>
          <w:color w:val="auto"/>
        </w:rPr>
        <w:t>, which establishes a three-level valuation hierarchy for measuring fair value and expands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statement disclosures about fair value measurements. The valuation hierarchy is based on upon the transparency of inputs to the valuation of an asset or liability as of the measurement date. The three levels are defined as follows:</w:t>
      </w:r>
    </w:p>
    <w:p>
      <w:pPr>
        <w:spacing w:after="0" w:line="82" w:lineRule="exact"/>
        <w:rPr>
          <w:sz w:val="20"/>
          <w:szCs w:val="20"/>
          <w:color w:val="auto"/>
        </w:rPr>
      </w:pPr>
    </w:p>
    <w:p>
      <w:pPr>
        <w:ind w:left="1440" w:right="520" w:hanging="1079"/>
        <w:spacing w:after="0" w:line="277" w:lineRule="auto"/>
        <w:tabs>
          <w:tab w:leader="none" w:pos="1420" w:val="left"/>
        </w:tabs>
        <w:rPr>
          <w:sz w:val="20"/>
          <w:szCs w:val="20"/>
          <w:color w:val="auto"/>
        </w:rPr>
      </w:pPr>
      <w:r>
        <w:rPr>
          <w:rFonts w:ascii="Times New Roman" w:cs="Times New Roman" w:eastAsia="Times New Roman" w:hAnsi="Times New Roman"/>
          <w:sz w:val="20"/>
          <w:szCs w:val="20"/>
          <w:color w:val="auto"/>
        </w:rPr>
        <w:t>Level – 1</w:t>
        <w:tab/>
        <w:t>Inputs to the valuation methodology are quoted prices (unadjusted) for identical assets or liabilities in active markets.</w:t>
      </w:r>
    </w:p>
    <w:p>
      <w:pPr>
        <w:spacing w:after="0" w:line="72" w:lineRule="exact"/>
        <w:rPr>
          <w:sz w:val="20"/>
          <w:szCs w:val="20"/>
          <w:color w:val="auto"/>
        </w:rPr>
      </w:pPr>
    </w:p>
    <w:p>
      <w:pPr>
        <w:ind w:left="1440" w:right="700" w:hanging="1079"/>
        <w:spacing w:after="0" w:line="258" w:lineRule="auto"/>
        <w:tabs>
          <w:tab w:leader="none" w:pos="1420" w:val="left"/>
        </w:tabs>
        <w:rPr>
          <w:sz w:val="20"/>
          <w:szCs w:val="20"/>
          <w:color w:val="auto"/>
        </w:rPr>
      </w:pPr>
      <w:r>
        <w:rPr>
          <w:rFonts w:ascii="Times New Roman" w:cs="Times New Roman" w:eastAsia="Times New Roman" w:hAnsi="Times New Roman"/>
          <w:sz w:val="20"/>
          <w:szCs w:val="20"/>
          <w:color w:val="auto"/>
        </w:rPr>
        <w:t>Level – 2</w:t>
        <w:tab/>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86"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20"/>
          <w:szCs w:val="20"/>
          <w:color w:val="auto"/>
        </w:rPr>
        <w:t>Level – 3</w:t>
      </w:r>
      <w:r>
        <w:rPr>
          <w:sz w:val="20"/>
          <w:szCs w:val="20"/>
          <w:color w:val="auto"/>
        </w:rPr>
        <w:tab/>
      </w:r>
      <w:r>
        <w:rPr>
          <w:rFonts w:ascii="Times New Roman" w:cs="Times New Roman" w:eastAsia="Times New Roman" w:hAnsi="Times New Roman"/>
          <w:sz w:val="19"/>
          <w:szCs w:val="19"/>
          <w:color w:val="auto"/>
        </w:rPr>
        <w:t>Inputs to the valuation methodology are unobservable and significant to the fair value measurement.</w:t>
      </w:r>
    </w:p>
    <w:p>
      <w:pPr>
        <w:spacing w:after="0" w:line="120" w:lineRule="exact"/>
        <w:rPr>
          <w:sz w:val="20"/>
          <w:szCs w:val="20"/>
          <w:color w:val="auto"/>
        </w:rPr>
      </w:pPr>
    </w:p>
    <w:p>
      <w:pPr>
        <w:ind w:left="360" w:right="480" w:firstLine="490"/>
        <w:spacing w:after="0" w:line="252" w:lineRule="auto"/>
        <w:rPr>
          <w:sz w:val="20"/>
          <w:szCs w:val="20"/>
          <w:color w:val="auto"/>
        </w:rPr>
      </w:pPr>
      <w:r>
        <w:rPr>
          <w:rFonts w:ascii="Times New Roman" w:cs="Times New Roman" w:eastAsia="Times New Roman" w:hAnsi="Times New Roman"/>
          <w:sz w:val="20"/>
          <w:szCs w:val="20"/>
          <w:color w:val="auto"/>
        </w:rPr>
        <w:t>The Company’s financial instruments consist primarily of cash and cash equivalents, marketable securities, accounts payable and accrued liabilities. For accounts payable and accrued liabilities, the carrying amounts of these financial instruments as of December 31, 2024 and 2023 were considered representative of their fair values due to their short term to maturity.</w:t>
      </w:r>
    </w:p>
    <w:p>
      <w:pPr>
        <w:spacing w:after="0" w:line="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following tables summarize the Company’s cash equivalents and marketable securities as of</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December 31, 2024 and 2023:</w:t>
      </w:r>
    </w:p>
    <w:p>
      <w:pPr>
        <w:spacing w:after="0" w:line="216"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472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76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820" w:type="dxa"/>
            <w:vAlign w:val="bottom"/>
            <w:shd w:val="clear" w:color="auto" w:fill="FEFEFE"/>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2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860" w:type="dxa"/>
            <w:vAlign w:val="bottom"/>
            <w:shd w:val="clear" w:color="auto" w:fill="FEFEFE"/>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0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880" w:type="dxa"/>
            <w:vAlign w:val="bottom"/>
            <w:vMerge w:val="restart"/>
            <w:shd w:val="clear" w:color="auto" w:fill="FEFEFE"/>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8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76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820" w:type="dxa"/>
            <w:vAlign w:val="bottom"/>
            <w:shd w:val="clear" w:color="auto" w:fill="FEFEFE"/>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2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860" w:type="dxa"/>
            <w:vAlign w:val="bottom"/>
            <w:shd w:val="clear" w:color="auto" w:fill="FEFEFE"/>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880" w:type="dxa"/>
            <w:vAlign w:val="bottom"/>
            <w:vMerge w:val="continue"/>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76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820" w:type="dxa"/>
            <w:vAlign w:val="bottom"/>
            <w:shd w:val="clear" w:color="auto" w:fill="FEFEFE"/>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200" w:type="dxa"/>
            <w:vAlign w:val="bottom"/>
            <w:shd w:val="clear" w:color="auto" w:fill="FEFEFE"/>
          </w:tcPr>
          <w:p>
            <w:pPr>
              <w:spacing w:after="0"/>
              <w:rPr>
                <w:sz w:val="15"/>
                <w:szCs w:val="15"/>
                <w:color w:val="auto"/>
              </w:rPr>
            </w:pPr>
          </w:p>
        </w:tc>
        <w:tc>
          <w:tcPr>
            <w:tcW w:w="96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2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96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8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760" w:type="dxa"/>
            <w:vAlign w:val="bottom"/>
            <w:vMerge w:val="restart"/>
            <w:shd w:val="clear" w:color="auto" w:fill="FEFEFE"/>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820" w:type="dxa"/>
            <w:vAlign w:val="bottom"/>
            <w:shd w:val="clear" w:color="auto" w:fill="FEFEFE"/>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2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860" w:type="dxa"/>
            <w:vAlign w:val="bottom"/>
            <w:shd w:val="clear" w:color="auto" w:fill="FEFEFE"/>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880" w:type="dxa"/>
            <w:vAlign w:val="bottom"/>
            <w:shd w:val="clear" w:color="auto" w:fill="FEFEFE"/>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8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FEFEFE"/>
            </w:tcBorders>
            <w:shd w:val="clear" w:color="auto" w:fill="FEFEFE"/>
          </w:tcPr>
          <w:p>
            <w:pPr>
              <w:spacing w:after="0"/>
              <w:rPr>
                <w:sz w:val="17"/>
                <w:szCs w:val="17"/>
                <w:color w:val="auto"/>
              </w:rPr>
            </w:pPr>
          </w:p>
        </w:tc>
        <w:tc>
          <w:tcPr>
            <w:tcW w:w="200" w:type="dxa"/>
            <w:vAlign w:val="bottom"/>
            <w:tcBorders>
              <w:bottom w:val="single" w:sz="8" w:color="auto"/>
            </w:tcBorders>
            <w:shd w:val="clear" w:color="auto" w:fill="FEFEFE"/>
          </w:tcPr>
          <w:p>
            <w:pPr>
              <w:spacing w:after="0"/>
              <w:rPr>
                <w:sz w:val="17"/>
                <w:szCs w:val="17"/>
                <w:color w:val="auto"/>
              </w:rPr>
            </w:pPr>
          </w:p>
        </w:tc>
        <w:tc>
          <w:tcPr>
            <w:tcW w:w="760" w:type="dxa"/>
            <w:vAlign w:val="bottom"/>
            <w:tcBorders>
              <w:bottom w:val="single" w:sz="8" w:color="auto"/>
            </w:tcBorders>
            <w:vMerge w:val="continue"/>
            <w:shd w:val="clear" w:color="auto" w:fill="FEFEFE"/>
          </w:tcPr>
          <w:p>
            <w:pPr>
              <w:spacing w:after="0"/>
              <w:rPr>
                <w:sz w:val="17"/>
                <w:szCs w:val="17"/>
                <w:color w:val="auto"/>
              </w:rPr>
            </w:pPr>
          </w:p>
        </w:tc>
        <w:tc>
          <w:tcPr>
            <w:tcW w:w="200" w:type="dxa"/>
            <w:vAlign w:val="bottom"/>
            <w:tcBorders>
              <w:bottom w:val="single" w:sz="8" w:color="FEFEFE"/>
            </w:tcBorders>
            <w:shd w:val="clear" w:color="auto" w:fill="FEFEFE"/>
          </w:tcPr>
          <w:p>
            <w:pPr>
              <w:spacing w:after="0"/>
              <w:rPr>
                <w:sz w:val="17"/>
                <w:szCs w:val="17"/>
                <w:color w:val="auto"/>
              </w:rPr>
            </w:pPr>
          </w:p>
        </w:tc>
        <w:tc>
          <w:tcPr>
            <w:tcW w:w="140" w:type="dxa"/>
            <w:vAlign w:val="bottom"/>
            <w:tcBorders>
              <w:bottom w:val="single" w:sz="8" w:color="auto"/>
            </w:tcBorders>
            <w:shd w:val="clear" w:color="auto" w:fill="FEFEFE"/>
          </w:tcPr>
          <w:p>
            <w:pPr>
              <w:spacing w:after="0"/>
              <w:rPr>
                <w:sz w:val="17"/>
                <w:szCs w:val="17"/>
                <w:color w:val="auto"/>
              </w:rPr>
            </w:pPr>
          </w:p>
        </w:tc>
        <w:tc>
          <w:tcPr>
            <w:tcW w:w="820" w:type="dxa"/>
            <w:vAlign w:val="bottom"/>
            <w:tcBorders>
              <w:bottom w:val="single" w:sz="8" w:color="auto"/>
            </w:tcBorders>
            <w:shd w:val="clear" w:color="auto" w:fill="FEFEFE"/>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0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auto"/>
            </w:tcBorders>
            <w:shd w:val="clear" w:color="auto" w:fill="FEFEFE"/>
          </w:tcPr>
          <w:p>
            <w:pPr>
              <w:spacing w:after="0"/>
              <w:rPr>
                <w:sz w:val="17"/>
                <w:szCs w:val="17"/>
                <w:color w:val="auto"/>
              </w:rPr>
            </w:pPr>
          </w:p>
        </w:tc>
        <w:tc>
          <w:tcPr>
            <w:tcW w:w="860" w:type="dxa"/>
            <w:vAlign w:val="bottom"/>
            <w:tcBorders>
              <w:bottom w:val="single" w:sz="8" w:color="auto"/>
            </w:tcBorders>
            <w:shd w:val="clear" w:color="auto" w:fill="FEFEFE"/>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Borders>
              <w:bottom w:val="single" w:sz="8" w:color="FEFEFE"/>
            </w:tcBorders>
            <w:shd w:val="clear" w:color="auto" w:fill="FEFEFE"/>
          </w:tcPr>
          <w:p>
            <w:pPr>
              <w:spacing w:after="0"/>
              <w:rPr>
                <w:sz w:val="17"/>
                <w:szCs w:val="17"/>
                <w:color w:val="auto"/>
              </w:rPr>
            </w:pPr>
          </w:p>
        </w:tc>
        <w:tc>
          <w:tcPr>
            <w:tcW w:w="20" w:type="dxa"/>
            <w:vAlign w:val="bottom"/>
            <w:tcBorders>
              <w:bottom w:val="single" w:sz="8" w:color="auto"/>
            </w:tcBorders>
            <w:shd w:val="clear" w:color="auto" w:fill="FEFEFE"/>
          </w:tcPr>
          <w:p>
            <w:pPr>
              <w:spacing w:after="0"/>
              <w:rPr>
                <w:sz w:val="17"/>
                <w:szCs w:val="17"/>
                <w:color w:val="auto"/>
              </w:rPr>
            </w:pPr>
          </w:p>
        </w:tc>
        <w:tc>
          <w:tcPr>
            <w:tcW w:w="80" w:type="dxa"/>
            <w:vAlign w:val="bottom"/>
            <w:tcBorders>
              <w:bottom w:val="single" w:sz="8" w:color="auto"/>
            </w:tcBorders>
            <w:shd w:val="clear" w:color="auto" w:fill="FEFEFE"/>
          </w:tcPr>
          <w:p>
            <w:pPr>
              <w:spacing w:after="0"/>
              <w:rPr>
                <w:sz w:val="17"/>
                <w:szCs w:val="17"/>
                <w:color w:val="auto"/>
              </w:rPr>
            </w:pPr>
          </w:p>
        </w:tc>
        <w:tc>
          <w:tcPr>
            <w:tcW w:w="880" w:type="dxa"/>
            <w:vAlign w:val="bottom"/>
            <w:tcBorders>
              <w:bottom w:val="single" w:sz="8" w:color="auto"/>
            </w:tcBorders>
            <w:shd w:val="clear" w:color="auto" w:fill="FEFEFE"/>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80" w:type="dxa"/>
            <w:vAlign w:val="bottom"/>
            <w:tcBorders>
              <w:bottom w:val="single" w:sz="8" w:color="FEFEFE"/>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7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76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820" w:type="dxa"/>
            <w:vAlign w:val="bottom"/>
            <w:shd w:val="clear" w:color="auto" w:fill="FEFEFE"/>
          </w:tcPr>
          <w:p>
            <w:pPr>
              <w:jc w:val="right"/>
              <w:ind w:right="106"/>
              <w:spacing w:after="0" w:line="178" w:lineRule="exact"/>
              <w:rPr>
                <w:sz w:val="20"/>
                <w:szCs w:val="20"/>
                <w:color w:val="auto"/>
              </w:rPr>
            </w:pPr>
            <w:r>
              <w:rPr>
                <w:rFonts w:ascii="Times New Roman" w:cs="Times New Roman" w:eastAsia="Times New Roman" w:hAnsi="Times New Roman"/>
                <w:sz w:val="16"/>
                <w:szCs w:val="16"/>
                <w:b w:val="1"/>
                <w:bCs w:val="1"/>
                <w:color w:val="auto"/>
              </w:rPr>
              <w:t>(in</w:t>
            </w:r>
          </w:p>
        </w:tc>
        <w:tc>
          <w:tcPr>
            <w:tcW w:w="1160" w:type="dxa"/>
            <w:vAlign w:val="bottom"/>
            <w:gridSpan w:val="3"/>
            <w:shd w:val="clear" w:color="auto" w:fill="FEFEFE"/>
          </w:tcPr>
          <w:p>
            <w:pPr>
              <w:jc w:val="right"/>
              <w:ind w:right="485"/>
              <w:spacing w:after="0" w:line="178" w:lineRule="exact"/>
              <w:rPr>
                <w:sz w:val="20"/>
                <w:szCs w:val="20"/>
                <w:color w:val="auto"/>
              </w:rPr>
            </w:pPr>
            <w:r>
              <w:rPr>
                <w:rFonts w:ascii="Times New Roman" w:cs="Times New Roman" w:eastAsia="Times New Roman" w:hAnsi="Times New Roman"/>
                <w:sz w:val="16"/>
                <w:szCs w:val="16"/>
                <w:b w:val="1"/>
                <w:bCs w:val="1"/>
                <w:color w:val="auto"/>
                <w:w w:val="74"/>
              </w:rPr>
              <w:t>thousands)</w:t>
            </w:r>
          </w:p>
        </w:tc>
        <w:tc>
          <w:tcPr>
            <w:tcW w:w="200" w:type="dxa"/>
            <w:vAlign w:val="bottom"/>
            <w:shd w:val="clear" w:color="auto" w:fill="FEFEFE"/>
          </w:tcPr>
          <w:p>
            <w:pPr>
              <w:spacing w:after="0"/>
              <w:rPr>
                <w:sz w:val="15"/>
                <w:szCs w:val="15"/>
                <w:color w:val="auto"/>
              </w:rPr>
            </w:pPr>
          </w:p>
        </w:tc>
        <w:tc>
          <w:tcPr>
            <w:tcW w:w="2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88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0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76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82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2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88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Cash equivalents:</w:t>
            </w:r>
          </w:p>
        </w:tc>
        <w:tc>
          <w:tcPr>
            <w:tcW w:w="10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7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88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20" w:type="dxa"/>
            <w:vAlign w:val="bottom"/>
            <w:shd w:val="clear" w:color="auto" w:fill="D4EEED"/>
          </w:tcPr>
          <w:p>
            <w:pPr>
              <w:ind w:left="200"/>
              <w:spacing w:after="0" w:line="225" w:lineRule="exact"/>
              <w:rPr>
                <w:sz w:val="20"/>
                <w:szCs w:val="20"/>
                <w:color w:val="auto"/>
              </w:rPr>
            </w:pPr>
            <w:r>
              <w:rPr>
                <w:rFonts w:ascii="Times New Roman" w:cs="Times New Roman" w:eastAsia="Times New Roman" w:hAnsi="Times New Roman"/>
                <w:sz w:val="20"/>
                <w:szCs w:val="20"/>
                <w:color w:val="auto"/>
              </w:rPr>
              <w:t>Money market funds invested in government</w:t>
            </w:r>
          </w:p>
        </w:tc>
        <w:tc>
          <w:tcPr>
            <w:tcW w:w="100" w:type="dxa"/>
            <w:vAlign w:val="bottom"/>
            <w:shd w:val="clear" w:color="auto" w:fill="D4EEED"/>
          </w:tcPr>
          <w:p>
            <w:pPr>
              <w:spacing w:after="0"/>
              <w:rPr>
                <w:sz w:val="19"/>
                <w:szCs w:val="19"/>
                <w:color w:val="auto"/>
              </w:rPr>
            </w:pPr>
          </w:p>
        </w:tc>
        <w:tc>
          <w:tcPr>
            <w:tcW w:w="200" w:type="dxa"/>
            <w:vAlign w:val="bottom"/>
            <w:shd w:val="clear" w:color="auto" w:fill="D4EEED"/>
          </w:tcPr>
          <w:p>
            <w:pPr>
              <w:spacing w:after="0"/>
              <w:rPr>
                <w:sz w:val="19"/>
                <w:szCs w:val="19"/>
                <w:color w:val="auto"/>
              </w:rPr>
            </w:pPr>
          </w:p>
        </w:tc>
        <w:tc>
          <w:tcPr>
            <w:tcW w:w="760" w:type="dxa"/>
            <w:vAlign w:val="bottom"/>
            <w:shd w:val="clear" w:color="auto" w:fill="D4EEED"/>
          </w:tcPr>
          <w:p>
            <w:pPr>
              <w:spacing w:after="0"/>
              <w:rPr>
                <w:sz w:val="19"/>
                <w:szCs w:val="19"/>
                <w:color w:val="auto"/>
              </w:rPr>
            </w:pPr>
          </w:p>
        </w:tc>
        <w:tc>
          <w:tcPr>
            <w:tcW w:w="200" w:type="dxa"/>
            <w:vAlign w:val="bottom"/>
            <w:shd w:val="clear" w:color="auto" w:fill="D4EEED"/>
          </w:tcPr>
          <w:p>
            <w:pPr>
              <w:spacing w:after="0"/>
              <w:rPr>
                <w:sz w:val="19"/>
                <w:szCs w:val="19"/>
                <w:color w:val="auto"/>
              </w:rPr>
            </w:pPr>
          </w:p>
        </w:tc>
        <w:tc>
          <w:tcPr>
            <w:tcW w:w="140" w:type="dxa"/>
            <w:vAlign w:val="bottom"/>
            <w:shd w:val="clear" w:color="auto" w:fill="D4EEED"/>
          </w:tcPr>
          <w:p>
            <w:pPr>
              <w:spacing w:after="0"/>
              <w:rPr>
                <w:sz w:val="19"/>
                <w:szCs w:val="19"/>
                <w:color w:val="auto"/>
              </w:rPr>
            </w:pPr>
          </w:p>
        </w:tc>
        <w:tc>
          <w:tcPr>
            <w:tcW w:w="820" w:type="dxa"/>
            <w:vAlign w:val="bottom"/>
            <w:shd w:val="clear" w:color="auto" w:fill="D4EEED"/>
          </w:tcPr>
          <w:p>
            <w:pPr>
              <w:spacing w:after="0"/>
              <w:rPr>
                <w:sz w:val="19"/>
                <w:szCs w:val="19"/>
                <w:color w:val="auto"/>
              </w:rPr>
            </w:pPr>
          </w:p>
        </w:tc>
        <w:tc>
          <w:tcPr>
            <w:tcW w:w="200" w:type="dxa"/>
            <w:vAlign w:val="bottom"/>
            <w:shd w:val="clear" w:color="auto" w:fill="D4EEED"/>
          </w:tcPr>
          <w:p>
            <w:pPr>
              <w:spacing w:after="0"/>
              <w:rPr>
                <w:sz w:val="19"/>
                <w:szCs w:val="19"/>
                <w:color w:val="auto"/>
              </w:rPr>
            </w:pPr>
          </w:p>
        </w:tc>
        <w:tc>
          <w:tcPr>
            <w:tcW w:w="100" w:type="dxa"/>
            <w:vAlign w:val="bottom"/>
            <w:shd w:val="clear" w:color="auto" w:fill="D4EEED"/>
          </w:tcPr>
          <w:p>
            <w:pPr>
              <w:spacing w:after="0"/>
              <w:rPr>
                <w:sz w:val="19"/>
                <w:szCs w:val="19"/>
                <w:color w:val="auto"/>
              </w:rPr>
            </w:pPr>
          </w:p>
        </w:tc>
        <w:tc>
          <w:tcPr>
            <w:tcW w:w="860" w:type="dxa"/>
            <w:vAlign w:val="bottom"/>
            <w:shd w:val="clear" w:color="auto" w:fill="D4EEED"/>
          </w:tcPr>
          <w:p>
            <w:pPr>
              <w:spacing w:after="0"/>
              <w:rPr>
                <w:sz w:val="19"/>
                <w:szCs w:val="19"/>
                <w:color w:val="auto"/>
              </w:rPr>
            </w:pPr>
          </w:p>
        </w:tc>
        <w:tc>
          <w:tcPr>
            <w:tcW w:w="200" w:type="dxa"/>
            <w:vAlign w:val="bottom"/>
            <w:shd w:val="clear" w:color="auto" w:fill="D4EEED"/>
          </w:tcPr>
          <w:p>
            <w:pPr>
              <w:spacing w:after="0"/>
              <w:rPr>
                <w:sz w:val="19"/>
                <w:szCs w:val="19"/>
                <w:color w:val="auto"/>
              </w:rPr>
            </w:pPr>
          </w:p>
        </w:tc>
        <w:tc>
          <w:tcPr>
            <w:tcW w:w="20" w:type="dxa"/>
            <w:vAlign w:val="bottom"/>
            <w:shd w:val="clear" w:color="auto" w:fill="D4EEED"/>
          </w:tcPr>
          <w:p>
            <w:pPr>
              <w:spacing w:after="0"/>
              <w:rPr>
                <w:sz w:val="19"/>
                <w:szCs w:val="19"/>
                <w:color w:val="auto"/>
              </w:rPr>
            </w:pPr>
          </w:p>
        </w:tc>
        <w:tc>
          <w:tcPr>
            <w:tcW w:w="80" w:type="dxa"/>
            <w:vAlign w:val="bottom"/>
            <w:shd w:val="clear" w:color="auto" w:fill="D4EEED"/>
          </w:tcPr>
          <w:p>
            <w:pPr>
              <w:spacing w:after="0"/>
              <w:rPr>
                <w:sz w:val="19"/>
                <w:szCs w:val="19"/>
                <w:color w:val="auto"/>
              </w:rPr>
            </w:pPr>
          </w:p>
        </w:tc>
        <w:tc>
          <w:tcPr>
            <w:tcW w:w="880" w:type="dxa"/>
            <w:vAlign w:val="bottom"/>
            <w:shd w:val="clear" w:color="auto" w:fill="D4EEED"/>
          </w:tcPr>
          <w:p>
            <w:pPr>
              <w:spacing w:after="0"/>
              <w:rPr>
                <w:sz w:val="19"/>
                <w:szCs w:val="19"/>
                <w:color w:val="auto"/>
              </w:rPr>
            </w:pPr>
          </w:p>
        </w:tc>
        <w:tc>
          <w:tcPr>
            <w:tcW w:w="80" w:type="dxa"/>
            <w:vAlign w:val="bottom"/>
            <w:shd w:val="clear" w:color="auto" w:fill="D4EEED"/>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D4EEED"/>
          </w:tcPr>
          <w:p>
            <w:pPr>
              <w:ind w:left="360"/>
              <w:spacing w:after="0"/>
              <w:rPr>
                <w:sz w:val="20"/>
                <w:szCs w:val="20"/>
                <w:color w:val="auto"/>
              </w:rPr>
            </w:pPr>
            <w:r>
              <w:rPr>
                <w:rFonts w:ascii="Times New Roman" w:cs="Times New Roman" w:eastAsia="Times New Roman" w:hAnsi="Times New Roman"/>
                <w:sz w:val="20"/>
                <w:szCs w:val="20"/>
                <w:color w:val="auto"/>
              </w:rPr>
              <w:t>securities</w:t>
            </w:r>
          </w:p>
        </w:tc>
        <w:tc>
          <w:tcPr>
            <w:tcW w:w="300" w:type="dxa"/>
            <w:vAlign w:val="bottom"/>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26,702</w:t>
            </w:r>
          </w:p>
        </w:tc>
        <w:tc>
          <w:tcPr>
            <w:tcW w:w="340" w:type="dxa"/>
            <w:vAlign w:val="bottom"/>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26,702</w:t>
            </w:r>
          </w:p>
        </w:tc>
        <w:tc>
          <w:tcPr>
            <w:tcW w:w="300" w:type="dxa"/>
            <w:vAlign w:val="bottom"/>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3"/>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shd w:val="clear" w:color="auto" w:fill="D4EEED"/>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4720" w:type="dxa"/>
            <w:vAlign w:val="bottom"/>
            <w:tcBorders>
              <w:top w:val="single" w:sz="8" w:color="FEFEFE"/>
              <w:bottom w:val="single" w:sz="8" w:color="FEFEFE"/>
            </w:tcBorders>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Total cash equivalents</w:t>
            </w:r>
          </w:p>
        </w:tc>
        <w:tc>
          <w:tcPr>
            <w:tcW w:w="100" w:type="dxa"/>
            <w:vAlign w:val="bottom"/>
            <w:tcBorders>
              <w:top w:val="single" w:sz="8" w:color="FEFEFE"/>
              <w:bottom w:val="single" w:sz="8" w:color="FEFEFE"/>
            </w:tcBorders>
            <w:shd w:val="clear" w:color="auto" w:fill="FEFEFE"/>
          </w:tcPr>
          <w:p>
            <w:pPr>
              <w:spacing w:after="0"/>
              <w:rPr>
                <w:sz w:val="20"/>
                <w:szCs w:val="20"/>
                <w:color w:val="auto"/>
              </w:rPr>
            </w:pPr>
          </w:p>
        </w:tc>
        <w:tc>
          <w:tcPr>
            <w:tcW w:w="200" w:type="dxa"/>
            <w:vAlign w:val="bottom"/>
            <w:tcBorders>
              <w:top w:val="single" w:sz="8" w:color="auto"/>
              <w:bottom w:val="single" w:sz="8" w:color="auto"/>
            </w:tcBorders>
            <w:shd w:val="clear" w:color="auto" w:fill="FEFEFE"/>
          </w:tcPr>
          <w:p>
            <w:pPr>
              <w:spacing w:after="0"/>
              <w:rPr>
                <w:sz w:val="20"/>
                <w:szCs w:val="20"/>
                <w:color w:val="auto"/>
              </w:rPr>
            </w:pPr>
          </w:p>
        </w:tc>
        <w:tc>
          <w:tcPr>
            <w:tcW w:w="76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26,702</w:t>
            </w:r>
          </w:p>
        </w:tc>
        <w:tc>
          <w:tcPr>
            <w:tcW w:w="200" w:type="dxa"/>
            <w:vAlign w:val="bottom"/>
            <w:tcBorders>
              <w:top w:val="single" w:sz="8" w:color="FEFEFE"/>
              <w:bottom w:val="single" w:sz="8" w:color="FEFEFE"/>
            </w:tcBorders>
            <w:shd w:val="clear" w:color="auto" w:fill="FEFEFE"/>
          </w:tcPr>
          <w:p>
            <w:pPr>
              <w:spacing w:after="0"/>
              <w:rPr>
                <w:sz w:val="20"/>
                <w:szCs w:val="20"/>
                <w:color w:val="auto"/>
              </w:rPr>
            </w:pPr>
          </w:p>
        </w:tc>
        <w:tc>
          <w:tcPr>
            <w:tcW w:w="140" w:type="dxa"/>
            <w:vAlign w:val="bottom"/>
            <w:tcBorders>
              <w:top w:val="single" w:sz="8" w:color="auto"/>
              <w:bottom w:val="single" w:sz="8" w:color="auto"/>
            </w:tcBorders>
            <w:shd w:val="clear" w:color="auto" w:fill="FEFEFE"/>
          </w:tcPr>
          <w:p>
            <w:pPr>
              <w:spacing w:after="0"/>
              <w:rPr>
                <w:sz w:val="20"/>
                <w:szCs w:val="20"/>
                <w:color w:val="auto"/>
              </w:rPr>
            </w:pPr>
          </w:p>
        </w:tc>
        <w:tc>
          <w:tcPr>
            <w:tcW w:w="8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26,702</w:t>
            </w:r>
          </w:p>
        </w:tc>
        <w:tc>
          <w:tcPr>
            <w:tcW w:w="200" w:type="dxa"/>
            <w:vAlign w:val="bottom"/>
            <w:tcBorders>
              <w:top w:val="single" w:sz="8" w:color="FEFEFE"/>
              <w:bottom w:val="single" w:sz="8" w:color="FEFEFE"/>
            </w:tcBorders>
            <w:shd w:val="clear" w:color="auto" w:fill="FEFEFE"/>
          </w:tcPr>
          <w:p>
            <w:pPr>
              <w:spacing w:after="0"/>
              <w:rPr>
                <w:sz w:val="20"/>
                <w:szCs w:val="20"/>
                <w:color w:val="auto"/>
              </w:rPr>
            </w:pPr>
          </w:p>
        </w:tc>
        <w:tc>
          <w:tcPr>
            <w:tcW w:w="100" w:type="dxa"/>
            <w:vAlign w:val="bottom"/>
            <w:tcBorders>
              <w:top w:val="single" w:sz="8" w:color="auto"/>
              <w:bottom w:val="single" w:sz="8" w:color="auto"/>
            </w:tcBorders>
            <w:shd w:val="clear" w:color="auto" w:fill="FEFEFE"/>
          </w:tcPr>
          <w:p>
            <w:pPr>
              <w:spacing w:after="0"/>
              <w:rPr>
                <w:sz w:val="20"/>
                <w:szCs w:val="20"/>
                <w:color w:val="auto"/>
              </w:rPr>
            </w:pPr>
          </w:p>
        </w:tc>
        <w:tc>
          <w:tcPr>
            <w:tcW w:w="86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FEFEFE"/>
              <w:bottom w:val="single" w:sz="8" w:color="FEFEFE"/>
            </w:tcBorders>
            <w:shd w:val="clear" w:color="auto" w:fill="FEFEFE"/>
          </w:tcPr>
          <w:p>
            <w:pPr>
              <w:spacing w:after="0"/>
              <w:rPr>
                <w:sz w:val="20"/>
                <w:szCs w:val="20"/>
                <w:color w:val="auto"/>
              </w:rPr>
            </w:pPr>
          </w:p>
        </w:tc>
        <w:tc>
          <w:tcPr>
            <w:tcW w:w="20" w:type="dxa"/>
            <w:vAlign w:val="bottom"/>
            <w:tcBorders>
              <w:top w:val="single" w:sz="8" w:color="auto"/>
              <w:bottom w:val="single" w:sz="8" w:color="auto"/>
            </w:tcBorders>
            <w:shd w:val="clear" w:color="auto" w:fill="FEFEFE"/>
          </w:tcPr>
          <w:p>
            <w:pPr>
              <w:spacing w:after="0"/>
              <w:rPr>
                <w:sz w:val="20"/>
                <w:szCs w:val="20"/>
                <w:color w:val="auto"/>
              </w:rPr>
            </w:pPr>
          </w:p>
        </w:tc>
        <w:tc>
          <w:tcPr>
            <w:tcW w:w="80" w:type="dxa"/>
            <w:vAlign w:val="bottom"/>
            <w:tcBorders>
              <w:top w:val="single" w:sz="8" w:color="auto"/>
              <w:bottom w:val="single" w:sz="8" w:color="auto"/>
            </w:tcBorders>
            <w:shd w:val="clear" w:color="auto" w:fill="FEFEFE"/>
          </w:tcPr>
          <w:p>
            <w:pPr>
              <w:spacing w:after="0"/>
              <w:rPr>
                <w:sz w:val="20"/>
                <w:szCs w:val="20"/>
                <w:color w:val="auto"/>
              </w:rPr>
            </w:pPr>
          </w:p>
        </w:tc>
        <w:tc>
          <w:tcPr>
            <w:tcW w:w="880" w:type="dxa"/>
            <w:vAlign w:val="bottom"/>
            <w:tcBorders>
              <w:top w:val="single" w:sz="8" w:color="auto"/>
              <w:bottom w:val="single" w:sz="8" w:color="auto"/>
            </w:tcBorders>
            <w:shd w:val="clear" w:color="auto" w:fill="FEFEFE"/>
          </w:tcPr>
          <w:p>
            <w:pPr>
              <w:ind w:left="660"/>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Borders>
              <w:top w:val="single" w:sz="8" w:color="FEFEFE"/>
              <w:bottom w:val="single" w:sz="8" w:color="FEFEFE"/>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76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82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86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88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Marketable securities:</w:t>
            </w:r>
          </w:p>
        </w:tc>
        <w:tc>
          <w:tcPr>
            <w:tcW w:w="10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76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82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2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88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10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2,947</w:t>
            </w:r>
          </w:p>
        </w:tc>
        <w:tc>
          <w:tcPr>
            <w:tcW w:w="2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2,947</w:t>
            </w: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960" w:type="dxa"/>
            <w:vAlign w:val="bottom"/>
            <w:gridSpan w:val="2"/>
            <w:shd w:val="clear" w:color="auto" w:fill="FEFEFE"/>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72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U.S. Government securities</w:t>
            </w:r>
          </w:p>
        </w:tc>
        <w:tc>
          <w:tcPr>
            <w:tcW w:w="10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7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147,289</w:t>
            </w:r>
          </w:p>
        </w:tc>
        <w:tc>
          <w:tcPr>
            <w:tcW w:w="20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8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147,289</w:t>
            </w:r>
          </w:p>
        </w:tc>
        <w:tc>
          <w:tcPr>
            <w:tcW w:w="200" w:type="dxa"/>
            <w:vAlign w:val="bottom"/>
            <w:shd w:val="clear" w:color="auto" w:fill="D4EEED"/>
          </w:tcPr>
          <w:p>
            <w:pPr>
              <w:spacing w:after="0"/>
              <w:rPr>
                <w:sz w:val="21"/>
                <w:szCs w:val="21"/>
                <w:color w:val="auto"/>
              </w:rPr>
            </w:pPr>
          </w:p>
        </w:tc>
        <w:tc>
          <w:tcPr>
            <w:tcW w:w="2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960" w:type="dxa"/>
            <w:vAlign w:val="bottom"/>
            <w:gridSpan w:val="2"/>
            <w:shd w:val="clear" w:color="auto" w:fill="D4EEED"/>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4720" w:type="dxa"/>
            <w:vAlign w:val="bottom"/>
            <w:tcBorders>
              <w:top w:val="single" w:sz="8" w:color="FEFEFE"/>
              <w:bottom w:val="single" w:sz="8" w:color="D4EEED"/>
            </w:tcBorders>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100" w:type="dxa"/>
            <w:vAlign w:val="bottom"/>
            <w:tcBorders>
              <w:top w:val="single" w:sz="8" w:color="FEFEFE"/>
              <w:bottom w:val="single" w:sz="8" w:color="D4EEED"/>
            </w:tcBorders>
            <w:shd w:val="clear" w:color="auto" w:fill="FEFEFE"/>
          </w:tcPr>
          <w:p>
            <w:pPr>
              <w:spacing w:after="0"/>
              <w:rPr>
                <w:sz w:val="20"/>
                <w:szCs w:val="20"/>
                <w:color w:val="auto"/>
              </w:rPr>
            </w:pPr>
          </w:p>
        </w:tc>
        <w:tc>
          <w:tcPr>
            <w:tcW w:w="200" w:type="dxa"/>
            <w:vAlign w:val="bottom"/>
            <w:tcBorders>
              <w:top w:val="single" w:sz="8" w:color="auto"/>
              <w:bottom w:val="single" w:sz="8" w:color="auto"/>
            </w:tcBorders>
            <w:shd w:val="clear" w:color="auto" w:fill="FEFEFE"/>
          </w:tcPr>
          <w:p>
            <w:pPr>
              <w:spacing w:after="0"/>
              <w:rPr>
                <w:sz w:val="20"/>
                <w:szCs w:val="20"/>
                <w:color w:val="auto"/>
              </w:rPr>
            </w:pPr>
          </w:p>
        </w:tc>
        <w:tc>
          <w:tcPr>
            <w:tcW w:w="76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150,236</w:t>
            </w:r>
          </w:p>
        </w:tc>
        <w:tc>
          <w:tcPr>
            <w:tcW w:w="200" w:type="dxa"/>
            <w:vAlign w:val="bottom"/>
            <w:tcBorders>
              <w:top w:val="single" w:sz="8" w:color="FEFEFE"/>
              <w:bottom w:val="single" w:sz="8" w:color="D4EEED"/>
            </w:tcBorders>
            <w:shd w:val="clear" w:color="auto" w:fill="FEFEFE"/>
          </w:tcPr>
          <w:p>
            <w:pPr>
              <w:spacing w:after="0"/>
              <w:rPr>
                <w:sz w:val="20"/>
                <w:szCs w:val="20"/>
                <w:color w:val="auto"/>
              </w:rPr>
            </w:pPr>
          </w:p>
        </w:tc>
        <w:tc>
          <w:tcPr>
            <w:tcW w:w="140" w:type="dxa"/>
            <w:vAlign w:val="bottom"/>
            <w:tcBorders>
              <w:top w:val="single" w:sz="8" w:color="auto"/>
              <w:bottom w:val="single" w:sz="8" w:color="auto"/>
            </w:tcBorders>
            <w:shd w:val="clear" w:color="auto" w:fill="FEFEFE"/>
          </w:tcPr>
          <w:p>
            <w:pPr>
              <w:spacing w:after="0"/>
              <w:rPr>
                <w:sz w:val="20"/>
                <w:szCs w:val="20"/>
                <w:color w:val="auto"/>
              </w:rPr>
            </w:pPr>
          </w:p>
        </w:tc>
        <w:tc>
          <w:tcPr>
            <w:tcW w:w="8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2,947</w:t>
            </w:r>
          </w:p>
        </w:tc>
        <w:tc>
          <w:tcPr>
            <w:tcW w:w="200" w:type="dxa"/>
            <w:vAlign w:val="bottom"/>
            <w:tcBorders>
              <w:top w:val="single" w:sz="8" w:color="FEFEFE"/>
              <w:bottom w:val="single" w:sz="8" w:color="D4EEED"/>
            </w:tcBorders>
            <w:shd w:val="clear" w:color="auto" w:fill="FEFEFE"/>
          </w:tcPr>
          <w:p>
            <w:pPr>
              <w:spacing w:after="0"/>
              <w:rPr>
                <w:sz w:val="20"/>
                <w:szCs w:val="20"/>
                <w:color w:val="auto"/>
              </w:rPr>
            </w:pPr>
          </w:p>
        </w:tc>
        <w:tc>
          <w:tcPr>
            <w:tcW w:w="100" w:type="dxa"/>
            <w:vAlign w:val="bottom"/>
            <w:tcBorders>
              <w:top w:val="single" w:sz="8" w:color="auto"/>
              <w:bottom w:val="single" w:sz="8" w:color="auto"/>
            </w:tcBorders>
            <w:shd w:val="clear" w:color="auto" w:fill="FEFEFE"/>
          </w:tcPr>
          <w:p>
            <w:pPr>
              <w:spacing w:after="0"/>
              <w:rPr>
                <w:sz w:val="20"/>
                <w:szCs w:val="20"/>
                <w:color w:val="auto"/>
              </w:rPr>
            </w:pPr>
          </w:p>
        </w:tc>
        <w:tc>
          <w:tcPr>
            <w:tcW w:w="86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147,289</w:t>
            </w:r>
          </w:p>
        </w:tc>
        <w:tc>
          <w:tcPr>
            <w:tcW w:w="200" w:type="dxa"/>
            <w:vAlign w:val="bottom"/>
            <w:tcBorders>
              <w:top w:val="single" w:sz="8" w:color="FEFEFE"/>
              <w:bottom w:val="single" w:sz="8" w:color="D4EEED"/>
            </w:tcBorders>
            <w:shd w:val="clear" w:color="auto" w:fill="FEFEFE"/>
          </w:tcPr>
          <w:p>
            <w:pPr>
              <w:spacing w:after="0"/>
              <w:rPr>
                <w:sz w:val="20"/>
                <w:szCs w:val="20"/>
                <w:color w:val="auto"/>
              </w:rPr>
            </w:pPr>
          </w:p>
        </w:tc>
        <w:tc>
          <w:tcPr>
            <w:tcW w:w="20" w:type="dxa"/>
            <w:vAlign w:val="bottom"/>
            <w:tcBorders>
              <w:top w:val="single" w:sz="8" w:color="auto"/>
              <w:bottom w:val="single" w:sz="8" w:color="auto"/>
            </w:tcBorders>
            <w:shd w:val="clear" w:color="auto" w:fill="FEFEFE"/>
          </w:tcPr>
          <w:p>
            <w:pPr>
              <w:spacing w:after="0"/>
              <w:rPr>
                <w:sz w:val="20"/>
                <w:szCs w:val="20"/>
                <w:color w:val="auto"/>
              </w:rPr>
            </w:pPr>
          </w:p>
        </w:tc>
        <w:tc>
          <w:tcPr>
            <w:tcW w:w="80" w:type="dxa"/>
            <w:vAlign w:val="bottom"/>
            <w:tcBorders>
              <w:top w:val="single" w:sz="8" w:color="auto"/>
              <w:bottom w:val="single" w:sz="8" w:color="auto"/>
            </w:tcBorders>
            <w:shd w:val="clear" w:color="auto" w:fill="FEFEFE"/>
          </w:tcPr>
          <w:p>
            <w:pPr>
              <w:spacing w:after="0"/>
              <w:rPr>
                <w:sz w:val="20"/>
                <w:szCs w:val="20"/>
                <w:color w:val="auto"/>
              </w:rPr>
            </w:pPr>
          </w:p>
        </w:tc>
        <w:tc>
          <w:tcPr>
            <w:tcW w:w="880" w:type="dxa"/>
            <w:vAlign w:val="bottom"/>
            <w:tcBorders>
              <w:top w:val="single" w:sz="8" w:color="auto"/>
              <w:bottom w:val="single" w:sz="8" w:color="auto"/>
            </w:tcBorders>
            <w:shd w:val="clear" w:color="auto" w:fill="FEFEFE"/>
          </w:tcPr>
          <w:p>
            <w:pPr>
              <w:ind w:left="660"/>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Borders>
              <w:top w:val="single" w:sz="8" w:color="FEFEFE"/>
              <w:bottom w:val="single" w:sz="8" w:color="D4EEED"/>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720" w:type="dxa"/>
            <w:vAlign w:val="bottom"/>
            <w:tcBorders>
              <w:bottom w:val="single" w:sz="8" w:color="FEFEFE"/>
            </w:tcBorders>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Total cash equivalents and marketable securities</w:t>
            </w:r>
          </w:p>
        </w:tc>
        <w:tc>
          <w:tcPr>
            <w:tcW w:w="100" w:type="dxa"/>
            <w:vAlign w:val="bottom"/>
            <w:tcBorders>
              <w:bottom w:val="single" w:sz="8" w:color="FEFEFE"/>
            </w:tcBorders>
            <w:shd w:val="clear" w:color="auto" w:fill="D4EEED"/>
          </w:tcPr>
          <w:p>
            <w:pPr>
              <w:spacing w:after="0"/>
              <w:rPr>
                <w:sz w:val="23"/>
                <w:szCs w:val="23"/>
                <w:color w:val="auto"/>
              </w:rPr>
            </w:pPr>
          </w:p>
        </w:tc>
        <w:tc>
          <w:tcPr>
            <w:tcW w:w="20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7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176,938</w:t>
            </w:r>
          </w:p>
        </w:tc>
        <w:tc>
          <w:tcPr>
            <w:tcW w:w="200" w:type="dxa"/>
            <w:vAlign w:val="bottom"/>
            <w:tcBorders>
              <w:bottom w:val="single" w:sz="8" w:color="FEFEFE"/>
            </w:tcBorders>
            <w:shd w:val="clear" w:color="auto" w:fill="D4EEED"/>
          </w:tcPr>
          <w:p>
            <w:pPr>
              <w:spacing w:after="0"/>
              <w:rPr>
                <w:sz w:val="23"/>
                <w:szCs w:val="23"/>
                <w:color w:val="auto"/>
              </w:rPr>
            </w:pPr>
          </w:p>
        </w:tc>
        <w:tc>
          <w:tcPr>
            <w:tcW w:w="14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82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29,649</w:t>
            </w:r>
          </w:p>
        </w:tc>
        <w:tc>
          <w:tcPr>
            <w:tcW w:w="200" w:type="dxa"/>
            <w:vAlign w:val="bottom"/>
            <w:tcBorders>
              <w:bottom w:val="single" w:sz="8" w:color="FEFEFE"/>
            </w:tcBorders>
            <w:shd w:val="clear" w:color="auto" w:fill="D4EEED"/>
          </w:tcPr>
          <w:p>
            <w:pPr>
              <w:spacing w:after="0"/>
              <w:rPr>
                <w:sz w:val="23"/>
                <w:szCs w:val="23"/>
                <w:color w:val="auto"/>
              </w:rPr>
            </w:pPr>
          </w:p>
        </w:tc>
        <w:tc>
          <w:tcPr>
            <w:tcW w:w="10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8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147,289</w:t>
            </w:r>
          </w:p>
        </w:tc>
        <w:tc>
          <w:tcPr>
            <w:tcW w:w="200" w:type="dxa"/>
            <w:vAlign w:val="bottom"/>
            <w:tcBorders>
              <w:bottom w:val="single" w:sz="8" w:color="FEFEFE"/>
            </w:tcBorders>
            <w:shd w:val="clear" w:color="auto" w:fill="D4EEED"/>
          </w:tcPr>
          <w:p>
            <w:pPr>
              <w:spacing w:after="0"/>
              <w:rPr>
                <w:sz w:val="23"/>
                <w:szCs w:val="23"/>
                <w:color w:val="auto"/>
              </w:rPr>
            </w:pPr>
          </w:p>
        </w:tc>
        <w:tc>
          <w:tcPr>
            <w:tcW w:w="20" w:type="dxa"/>
            <w:vAlign w:val="bottom"/>
            <w:tcBorders>
              <w:bottom w:val="single" w:sz="8" w:color="auto"/>
            </w:tcBorders>
            <w:shd w:val="clear" w:color="auto" w:fill="D4EEED"/>
          </w:tcPr>
          <w:p>
            <w:pPr>
              <w:spacing w:after="0"/>
              <w:rPr>
                <w:sz w:val="23"/>
                <w:szCs w:val="23"/>
                <w:color w:val="auto"/>
              </w:rPr>
            </w:pPr>
          </w:p>
        </w:tc>
        <w:tc>
          <w:tcPr>
            <w:tcW w:w="80" w:type="dxa"/>
            <w:vAlign w:val="bottom"/>
            <w:tcBorders>
              <w:bottom w:val="single" w:sz="8" w:color="auto"/>
            </w:tcBorders>
            <w:shd w:val="clear" w:color="auto" w:fill="D4EEED"/>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D4EEED"/>
          </w:tcPr>
          <w:p>
            <w:pPr>
              <w:ind w:left="660"/>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Borders>
              <w:bottom w:val="single" w:sz="8" w:color="FEFEFE"/>
            </w:tcBorders>
            <w:shd w:val="clear" w:color="auto" w:fill="D4EEED"/>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20" w:type="dxa"/>
            <w:vAlign w:val="bottom"/>
            <w:vMerge w:val="restart"/>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0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76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82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86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88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vMerge w:val="continue"/>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7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88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Cash equivalents:</w:t>
            </w:r>
          </w:p>
        </w:tc>
        <w:tc>
          <w:tcPr>
            <w:tcW w:w="10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76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82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2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88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20" w:type="dxa"/>
            <w:vAlign w:val="bottom"/>
            <w:shd w:val="clear" w:color="auto" w:fill="FEFEFE"/>
          </w:tcPr>
          <w:p>
            <w:pPr>
              <w:ind w:left="200"/>
              <w:spacing w:after="0" w:line="225" w:lineRule="exact"/>
              <w:rPr>
                <w:sz w:val="20"/>
                <w:szCs w:val="20"/>
                <w:color w:val="auto"/>
              </w:rPr>
            </w:pPr>
            <w:r>
              <w:rPr>
                <w:rFonts w:ascii="Times New Roman" w:cs="Times New Roman" w:eastAsia="Times New Roman" w:hAnsi="Times New Roman"/>
                <w:sz w:val="20"/>
                <w:szCs w:val="20"/>
                <w:color w:val="auto"/>
              </w:rPr>
              <w:t>Money market funds invested in government</w:t>
            </w:r>
          </w:p>
        </w:tc>
        <w:tc>
          <w:tcPr>
            <w:tcW w:w="10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76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82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86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2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88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FEFEFE"/>
          </w:tcPr>
          <w:p>
            <w:pPr>
              <w:ind w:left="360"/>
              <w:spacing w:after="0"/>
              <w:rPr>
                <w:sz w:val="20"/>
                <w:szCs w:val="20"/>
                <w:color w:val="auto"/>
              </w:rPr>
            </w:pPr>
            <w:r>
              <w:rPr>
                <w:rFonts w:ascii="Times New Roman" w:cs="Times New Roman" w:eastAsia="Times New Roman" w:hAnsi="Times New Roman"/>
                <w:sz w:val="20"/>
                <w:szCs w:val="20"/>
                <w:color w:val="auto"/>
              </w:rPr>
              <w:t>securities</w:t>
            </w:r>
          </w:p>
        </w:tc>
        <w:tc>
          <w:tcPr>
            <w:tcW w:w="30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24,701</w:t>
            </w:r>
          </w:p>
        </w:tc>
        <w:tc>
          <w:tcPr>
            <w:tcW w:w="34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24,701</w:t>
            </w:r>
          </w:p>
        </w:tc>
        <w:tc>
          <w:tcPr>
            <w:tcW w:w="30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3"/>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shd w:val="clear" w:color="auto" w:fill="FEFEFE"/>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4720" w:type="dxa"/>
            <w:vAlign w:val="bottom"/>
            <w:tcBorders>
              <w:top w:val="single" w:sz="8" w:color="D4EEED"/>
              <w:bottom w:val="single" w:sz="8" w:color="FEFEFE"/>
            </w:tcBorders>
            <w:shd w:val="clear" w:color="auto" w:fill="D4EEED"/>
          </w:tcPr>
          <w:p>
            <w:pPr>
              <w:ind w:left="400"/>
              <w:spacing w:after="0"/>
              <w:rPr>
                <w:sz w:val="20"/>
                <w:szCs w:val="20"/>
                <w:color w:val="auto"/>
              </w:rPr>
            </w:pPr>
            <w:r>
              <w:rPr>
                <w:rFonts w:ascii="Times New Roman" w:cs="Times New Roman" w:eastAsia="Times New Roman" w:hAnsi="Times New Roman"/>
                <w:sz w:val="20"/>
                <w:szCs w:val="20"/>
                <w:color w:val="auto"/>
              </w:rPr>
              <w:t>Total cash equivalents</w:t>
            </w:r>
          </w:p>
        </w:tc>
        <w:tc>
          <w:tcPr>
            <w:tcW w:w="100" w:type="dxa"/>
            <w:vAlign w:val="bottom"/>
            <w:tcBorders>
              <w:top w:val="single" w:sz="8" w:color="D4EEED"/>
              <w:bottom w:val="single" w:sz="8" w:color="FEFEFE"/>
            </w:tcBorders>
            <w:shd w:val="clear" w:color="auto" w:fill="D4EEED"/>
          </w:tcPr>
          <w:p>
            <w:pPr>
              <w:spacing w:after="0"/>
              <w:rPr>
                <w:sz w:val="20"/>
                <w:szCs w:val="20"/>
                <w:color w:val="auto"/>
              </w:rPr>
            </w:pPr>
          </w:p>
        </w:tc>
        <w:tc>
          <w:tcPr>
            <w:tcW w:w="200" w:type="dxa"/>
            <w:vAlign w:val="bottom"/>
            <w:tcBorders>
              <w:top w:val="single" w:sz="8" w:color="auto"/>
              <w:bottom w:val="single" w:sz="8" w:color="auto"/>
            </w:tcBorders>
            <w:shd w:val="clear" w:color="auto" w:fill="D4EEED"/>
          </w:tcPr>
          <w:p>
            <w:pPr>
              <w:spacing w:after="0"/>
              <w:rPr>
                <w:sz w:val="20"/>
                <w:szCs w:val="20"/>
                <w:color w:val="auto"/>
              </w:rPr>
            </w:pPr>
          </w:p>
        </w:tc>
        <w:tc>
          <w:tcPr>
            <w:tcW w:w="76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24,701</w:t>
            </w:r>
          </w:p>
        </w:tc>
        <w:tc>
          <w:tcPr>
            <w:tcW w:w="200" w:type="dxa"/>
            <w:vAlign w:val="bottom"/>
            <w:tcBorders>
              <w:top w:val="single" w:sz="8" w:color="D4EEED"/>
              <w:bottom w:val="single" w:sz="8" w:color="FEFEFE"/>
            </w:tcBorders>
            <w:shd w:val="clear" w:color="auto" w:fill="D4EEED"/>
          </w:tcPr>
          <w:p>
            <w:pPr>
              <w:spacing w:after="0"/>
              <w:rPr>
                <w:sz w:val="20"/>
                <w:szCs w:val="20"/>
                <w:color w:val="auto"/>
              </w:rPr>
            </w:pPr>
          </w:p>
        </w:tc>
        <w:tc>
          <w:tcPr>
            <w:tcW w:w="140" w:type="dxa"/>
            <w:vAlign w:val="bottom"/>
            <w:tcBorders>
              <w:top w:val="single" w:sz="8" w:color="auto"/>
              <w:bottom w:val="single" w:sz="8" w:color="auto"/>
            </w:tcBorders>
            <w:shd w:val="clear" w:color="auto" w:fill="D4EEED"/>
          </w:tcPr>
          <w:p>
            <w:pPr>
              <w:spacing w:after="0"/>
              <w:rPr>
                <w:sz w:val="20"/>
                <w:szCs w:val="20"/>
                <w:color w:val="auto"/>
              </w:rPr>
            </w:pPr>
          </w:p>
        </w:tc>
        <w:tc>
          <w:tcPr>
            <w:tcW w:w="82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24,701</w:t>
            </w:r>
          </w:p>
        </w:tc>
        <w:tc>
          <w:tcPr>
            <w:tcW w:w="200" w:type="dxa"/>
            <w:vAlign w:val="bottom"/>
            <w:tcBorders>
              <w:top w:val="single" w:sz="8" w:color="D4EEED"/>
              <w:bottom w:val="single" w:sz="8" w:color="FEFEFE"/>
            </w:tcBorders>
            <w:shd w:val="clear" w:color="auto" w:fill="D4EEED"/>
          </w:tcPr>
          <w:p>
            <w:pPr>
              <w:spacing w:after="0"/>
              <w:rPr>
                <w:sz w:val="20"/>
                <w:szCs w:val="20"/>
                <w:color w:val="auto"/>
              </w:rPr>
            </w:pPr>
          </w:p>
        </w:tc>
        <w:tc>
          <w:tcPr>
            <w:tcW w:w="100" w:type="dxa"/>
            <w:vAlign w:val="bottom"/>
            <w:tcBorders>
              <w:top w:val="single" w:sz="8" w:color="auto"/>
              <w:bottom w:val="single" w:sz="8" w:color="auto"/>
            </w:tcBorders>
            <w:shd w:val="clear" w:color="auto" w:fill="D4EEED"/>
          </w:tcPr>
          <w:p>
            <w:pPr>
              <w:spacing w:after="0"/>
              <w:rPr>
                <w:sz w:val="20"/>
                <w:szCs w:val="20"/>
                <w:color w:val="auto"/>
              </w:rPr>
            </w:pPr>
          </w:p>
        </w:tc>
        <w:tc>
          <w:tcPr>
            <w:tcW w:w="86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D4EEED"/>
              <w:bottom w:val="single" w:sz="8" w:color="FEFEFE"/>
            </w:tcBorders>
            <w:shd w:val="clear" w:color="auto" w:fill="D4EEED"/>
          </w:tcPr>
          <w:p>
            <w:pPr>
              <w:spacing w:after="0"/>
              <w:rPr>
                <w:sz w:val="20"/>
                <w:szCs w:val="20"/>
                <w:color w:val="auto"/>
              </w:rPr>
            </w:pPr>
          </w:p>
        </w:tc>
        <w:tc>
          <w:tcPr>
            <w:tcW w:w="20" w:type="dxa"/>
            <w:vAlign w:val="bottom"/>
            <w:tcBorders>
              <w:top w:val="single" w:sz="8" w:color="auto"/>
              <w:bottom w:val="single" w:sz="8" w:color="auto"/>
            </w:tcBorders>
            <w:shd w:val="clear" w:color="auto" w:fill="D4EEED"/>
          </w:tcPr>
          <w:p>
            <w:pPr>
              <w:spacing w:after="0"/>
              <w:rPr>
                <w:sz w:val="20"/>
                <w:szCs w:val="20"/>
                <w:color w:val="auto"/>
              </w:rPr>
            </w:pPr>
          </w:p>
        </w:tc>
        <w:tc>
          <w:tcPr>
            <w:tcW w:w="80" w:type="dxa"/>
            <w:vAlign w:val="bottom"/>
            <w:tcBorders>
              <w:top w:val="single" w:sz="8" w:color="auto"/>
              <w:bottom w:val="single" w:sz="8" w:color="auto"/>
            </w:tcBorders>
            <w:shd w:val="clear" w:color="auto" w:fill="D4EEED"/>
          </w:tcPr>
          <w:p>
            <w:pPr>
              <w:spacing w:after="0"/>
              <w:rPr>
                <w:sz w:val="20"/>
                <w:szCs w:val="20"/>
                <w:color w:val="auto"/>
              </w:rPr>
            </w:pPr>
          </w:p>
        </w:tc>
        <w:tc>
          <w:tcPr>
            <w:tcW w:w="880" w:type="dxa"/>
            <w:vAlign w:val="bottom"/>
            <w:tcBorders>
              <w:top w:val="single" w:sz="8" w:color="auto"/>
              <w:bottom w:val="single" w:sz="8" w:color="auto"/>
            </w:tcBorders>
            <w:shd w:val="clear" w:color="auto" w:fill="D4EEED"/>
          </w:tcPr>
          <w:p>
            <w:pPr>
              <w:ind w:left="660"/>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Borders>
              <w:top w:val="single" w:sz="8" w:color="D4EEED"/>
              <w:bottom w:val="single" w:sz="8" w:color="FEFEFE"/>
            </w:tcBorders>
            <w:shd w:val="clear" w:color="auto" w:fill="D4EEED"/>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20" w:type="dxa"/>
            <w:vAlign w:val="bottom"/>
            <w:vMerge w:val="restart"/>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Marketable securities:</w:t>
            </w:r>
          </w:p>
        </w:tc>
        <w:tc>
          <w:tcPr>
            <w:tcW w:w="10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76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140" w:type="dxa"/>
            <w:vAlign w:val="bottom"/>
            <w:shd w:val="clear" w:color="auto" w:fill="FEFEFE"/>
          </w:tcPr>
          <w:p>
            <w:pPr>
              <w:spacing w:after="0"/>
              <w:rPr>
                <w:sz w:val="20"/>
                <w:szCs w:val="20"/>
                <w:color w:val="auto"/>
              </w:rPr>
            </w:pPr>
          </w:p>
        </w:tc>
        <w:tc>
          <w:tcPr>
            <w:tcW w:w="82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860" w:type="dxa"/>
            <w:vAlign w:val="bottom"/>
            <w:shd w:val="clear" w:color="auto" w:fill="FEFEFE"/>
          </w:tcPr>
          <w:p>
            <w:pPr>
              <w:spacing w:after="0"/>
              <w:rPr>
                <w:sz w:val="20"/>
                <w:szCs w:val="20"/>
                <w:color w:val="auto"/>
              </w:rPr>
            </w:pPr>
          </w:p>
        </w:tc>
        <w:tc>
          <w:tcPr>
            <w:tcW w:w="20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88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20" w:type="dxa"/>
            <w:vAlign w:val="bottom"/>
            <w:vMerge w:val="continue"/>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7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88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10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7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17,334</w:t>
            </w:r>
          </w:p>
        </w:tc>
        <w:tc>
          <w:tcPr>
            <w:tcW w:w="20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8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17,334</w:t>
            </w: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EED"/>
          </w:tcPr>
          <w:p>
            <w:pPr>
              <w:spacing w:after="0"/>
              <w:rPr>
                <w:sz w:val="21"/>
                <w:szCs w:val="21"/>
                <w:color w:val="auto"/>
              </w:rPr>
            </w:pPr>
          </w:p>
        </w:tc>
        <w:tc>
          <w:tcPr>
            <w:tcW w:w="2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960" w:type="dxa"/>
            <w:vAlign w:val="bottom"/>
            <w:gridSpan w:val="2"/>
            <w:shd w:val="clear" w:color="auto" w:fill="D4EEED"/>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7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U.S. Government securities</w:t>
            </w:r>
          </w:p>
        </w:tc>
        <w:tc>
          <w:tcPr>
            <w:tcW w:w="10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35,719</w:t>
            </w:r>
          </w:p>
        </w:tc>
        <w:tc>
          <w:tcPr>
            <w:tcW w:w="20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8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35,719</w:t>
            </w:r>
          </w:p>
        </w:tc>
        <w:tc>
          <w:tcPr>
            <w:tcW w:w="200" w:type="dxa"/>
            <w:vAlign w:val="bottom"/>
            <w:shd w:val="clear" w:color="auto" w:fill="FEFEFE"/>
          </w:tcPr>
          <w:p>
            <w:pPr>
              <w:spacing w:after="0"/>
              <w:rPr>
                <w:sz w:val="21"/>
                <w:szCs w:val="21"/>
                <w:color w:val="auto"/>
              </w:rPr>
            </w:pPr>
          </w:p>
        </w:tc>
        <w:tc>
          <w:tcPr>
            <w:tcW w:w="2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960" w:type="dxa"/>
            <w:vAlign w:val="bottom"/>
            <w:gridSpan w:val="2"/>
            <w:shd w:val="clear" w:color="auto" w:fill="FEFEFE"/>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72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Corporate bonds</w:t>
            </w:r>
          </w:p>
        </w:tc>
        <w:tc>
          <w:tcPr>
            <w:tcW w:w="10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7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6,988</w:t>
            </w:r>
          </w:p>
        </w:tc>
        <w:tc>
          <w:tcPr>
            <w:tcW w:w="20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8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6,988</w:t>
            </w:r>
          </w:p>
        </w:tc>
        <w:tc>
          <w:tcPr>
            <w:tcW w:w="200" w:type="dxa"/>
            <w:vAlign w:val="bottom"/>
            <w:shd w:val="clear" w:color="auto" w:fill="D4EEED"/>
          </w:tcPr>
          <w:p>
            <w:pPr>
              <w:spacing w:after="0"/>
              <w:rPr>
                <w:sz w:val="21"/>
                <w:szCs w:val="21"/>
                <w:color w:val="auto"/>
              </w:rPr>
            </w:pPr>
          </w:p>
        </w:tc>
        <w:tc>
          <w:tcPr>
            <w:tcW w:w="2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960" w:type="dxa"/>
            <w:vAlign w:val="bottom"/>
            <w:gridSpan w:val="2"/>
            <w:shd w:val="clear" w:color="auto" w:fill="D4EEED"/>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4720" w:type="dxa"/>
            <w:vAlign w:val="bottom"/>
            <w:tcBorders>
              <w:top w:val="single" w:sz="8" w:color="FEFEFE"/>
              <w:bottom w:val="single" w:sz="8" w:color="D4EEED"/>
            </w:tcBorders>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100" w:type="dxa"/>
            <w:vAlign w:val="bottom"/>
            <w:tcBorders>
              <w:top w:val="single" w:sz="8" w:color="FEFEFE"/>
              <w:bottom w:val="single" w:sz="8" w:color="D4EEED"/>
            </w:tcBorders>
            <w:shd w:val="clear" w:color="auto" w:fill="FEFEFE"/>
          </w:tcPr>
          <w:p>
            <w:pPr>
              <w:spacing w:after="0"/>
              <w:rPr>
                <w:sz w:val="20"/>
                <w:szCs w:val="20"/>
                <w:color w:val="auto"/>
              </w:rPr>
            </w:pPr>
          </w:p>
        </w:tc>
        <w:tc>
          <w:tcPr>
            <w:tcW w:w="200" w:type="dxa"/>
            <w:vAlign w:val="bottom"/>
            <w:tcBorders>
              <w:top w:val="single" w:sz="8" w:color="auto"/>
              <w:bottom w:val="single" w:sz="8" w:color="auto"/>
            </w:tcBorders>
            <w:shd w:val="clear" w:color="auto" w:fill="FEFEFE"/>
          </w:tcPr>
          <w:p>
            <w:pPr>
              <w:spacing w:after="0"/>
              <w:rPr>
                <w:sz w:val="20"/>
                <w:szCs w:val="20"/>
                <w:color w:val="auto"/>
              </w:rPr>
            </w:pPr>
          </w:p>
        </w:tc>
        <w:tc>
          <w:tcPr>
            <w:tcW w:w="76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60,041</w:t>
            </w:r>
          </w:p>
        </w:tc>
        <w:tc>
          <w:tcPr>
            <w:tcW w:w="200" w:type="dxa"/>
            <w:vAlign w:val="bottom"/>
            <w:tcBorders>
              <w:top w:val="single" w:sz="8" w:color="FEFEFE"/>
              <w:bottom w:val="single" w:sz="8" w:color="D4EEED"/>
            </w:tcBorders>
            <w:shd w:val="clear" w:color="auto" w:fill="FEFEFE"/>
          </w:tcPr>
          <w:p>
            <w:pPr>
              <w:spacing w:after="0"/>
              <w:rPr>
                <w:sz w:val="20"/>
                <w:szCs w:val="20"/>
                <w:color w:val="auto"/>
              </w:rPr>
            </w:pPr>
          </w:p>
        </w:tc>
        <w:tc>
          <w:tcPr>
            <w:tcW w:w="140" w:type="dxa"/>
            <w:vAlign w:val="bottom"/>
            <w:tcBorders>
              <w:top w:val="single" w:sz="8" w:color="auto"/>
              <w:bottom w:val="single" w:sz="8" w:color="auto"/>
            </w:tcBorders>
            <w:shd w:val="clear" w:color="auto" w:fill="FEFEFE"/>
          </w:tcPr>
          <w:p>
            <w:pPr>
              <w:spacing w:after="0"/>
              <w:rPr>
                <w:sz w:val="20"/>
                <w:szCs w:val="20"/>
                <w:color w:val="auto"/>
              </w:rPr>
            </w:pPr>
          </w:p>
        </w:tc>
        <w:tc>
          <w:tcPr>
            <w:tcW w:w="82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17,334</w:t>
            </w:r>
          </w:p>
        </w:tc>
        <w:tc>
          <w:tcPr>
            <w:tcW w:w="200" w:type="dxa"/>
            <w:vAlign w:val="bottom"/>
            <w:tcBorders>
              <w:top w:val="single" w:sz="8" w:color="FEFEFE"/>
              <w:bottom w:val="single" w:sz="8" w:color="D4EEED"/>
            </w:tcBorders>
            <w:shd w:val="clear" w:color="auto" w:fill="FEFEFE"/>
          </w:tcPr>
          <w:p>
            <w:pPr>
              <w:spacing w:after="0"/>
              <w:rPr>
                <w:sz w:val="20"/>
                <w:szCs w:val="20"/>
                <w:color w:val="auto"/>
              </w:rPr>
            </w:pPr>
          </w:p>
        </w:tc>
        <w:tc>
          <w:tcPr>
            <w:tcW w:w="100" w:type="dxa"/>
            <w:vAlign w:val="bottom"/>
            <w:tcBorders>
              <w:top w:val="single" w:sz="8" w:color="auto"/>
              <w:bottom w:val="single" w:sz="8" w:color="auto"/>
            </w:tcBorders>
            <w:shd w:val="clear" w:color="auto" w:fill="FEFEFE"/>
          </w:tcPr>
          <w:p>
            <w:pPr>
              <w:spacing w:after="0"/>
              <w:rPr>
                <w:sz w:val="20"/>
                <w:szCs w:val="20"/>
                <w:color w:val="auto"/>
              </w:rPr>
            </w:pPr>
          </w:p>
        </w:tc>
        <w:tc>
          <w:tcPr>
            <w:tcW w:w="86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42,707</w:t>
            </w:r>
          </w:p>
        </w:tc>
        <w:tc>
          <w:tcPr>
            <w:tcW w:w="200" w:type="dxa"/>
            <w:vAlign w:val="bottom"/>
            <w:tcBorders>
              <w:top w:val="single" w:sz="8" w:color="FEFEFE"/>
              <w:bottom w:val="single" w:sz="8" w:color="D4EEED"/>
            </w:tcBorders>
            <w:shd w:val="clear" w:color="auto" w:fill="FEFEFE"/>
          </w:tcPr>
          <w:p>
            <w:pPr>
              <w:spacing w:after="0"/>
              <w:rPr>
                <w:sz w:val="20"/>
                <w:szCs w:val="20"/>
                <w:color w:val="auto"/>
              </w:rPr>
            </w:pPr>
          </w:p>
        </w:tc>
        <w:tc>
          <w:tcPr>
            <w:tcW w:w="20" w:type="dxa"/>
            <w:vAlign w:val="bottom"/>
            <w:tcBorders>
              <w:top w:val="single" w:sz="8" w:color="auto"/>
              <w:bottom w:val="single" w:sz="8" w:color="auto"/>
            </w:tcBorders>
            <w:shd w:val="clear" w:color="auto" w:fill="FEFEFE"/>
          </w:tcPr>
          <w:p>
            <w:pPr>
              <w:spacing w:after="0"/>
              <w:rPr>
                <w:sz w:val="20"/>
                <w:szCs w:val="20"/>
                <w:color w:val="auto"/>
              </w:rPr>
            </w:pPr>
          </w:p>
        </w:tc>
        <w:tc>
          <w:tcPr>
            <w:tcW w:w="80" w:type="dxa"/>
            <w:vAlign w:val="bottom"/>
            <w:tcBorders>
              <w:top w:val="single" w:sz="8" w:color="auto"/>
              <w:bottom w:val="single" w:sz="8" w:color="auto"/>
            </w:tcBorders>
            <w:shd w:val="clear" w:color="auto" w:fill="FEFEFE"/>
          </w:tcPr>
          <w:p>
            <w:pPr>
              <w:spacing w:after="0"/>
              <w:rPr>
                <w:sz w:val="20"/>
                <w:szCs w:val="20"/>
                <w:color w:val="auto"/>
              </w:rPr>
            </w:pPr>
          </w:p>
        </w:tc>
        <w:tc>
          <w:tcPr>
            <w:tcW w:w="880" w:type="dxa"/>
            <w:vAlign w:val="bottom"/>
            <w:tcBorders>
              <w:top w:val="single" w:sz="8" w:color="auto"/>
              <w:bottom w:val="single" w:sz="8" w:color="auto"/>
            </w:tcBorders>
            <w:shd w:val="clear" w:color="auto" w:fill="FEFEFE"/>
          </w:tcPr>
          <w:p>
            <w:pPr>
              <w:ind w:left="660"/>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Borders>
              <w:top w:val="single" w:sz="8" w:color="FEFEFE"/>
              <w:bottom w:val="single" w:sz="8" w:color="D4EEED"/>
            </w:tcBorders>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Total cash equivalents and marketable securities</w:t>
            </w:r>
          </w:p>
        </w:tc>
        <w:tc>
          <w:tcPr>
            <w:tcW w:w="100" w:type="dxa"/>
            <w:vAlign w:val="bottom"/>
            <w:shd w:val="clear" w:color="auto" w:fill="D4EEED"/>
          </w:tcPr>
          <w:p>
            <w:pPr>
              <w:spacing w:after="0"/>
              <w:rPr>
                <w:sz w:val="20"/>
                <w:szCs w:val="20"/>
                <w:color w:val="auto"/>
              </w:rPr>
            </w:pPr>
          </w:p>
        </w:tc>
        <w:tc>
          <w:tcPr>
            <w:tcW w:w="20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7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84,742</w:t>
            </w:r>
          </w:p>
        </w:tc>
        <w:tc>
          <w:tcPr>
            <w:tcW w:w="200" w:type="dxa"/>
            <w:vAlign w:val="bottom"/>
            <w:shd w:val="clear" w:color="auto" w:fill="D4EEED"/>
          </w:tcPr>
          <w:p>
            <w:pPr>
              <w:spacing w:after="0"/>
              <w:rPr>
                <w:sz w:val="20"/>
                <w:szCs w:val="20"/>
                <w:color w:val="auto"/>
              </w:rPr>
            </w:pPr>
          </w:p>
        </w:tc>
        <w:tc>
          <w:tcPr>
            <w:tcW w:w="14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82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42,035</w:t>
            </w:r>
          </w:p>
        </w:tc>
        <w:tc>
          <w:tcPr>
            <w:tcW w:w="200" w:type="dxa"/>
            <w:vAlign w:val="bottom"/>
            <w:shd w:val="clear" w:color="auto" w:fill="D4EEED"/>
          </w:tcPr>
          <w:p>
            <w:pPr>
              <w:spacing w:after="0"/>
              <w:rPr>
                <w:sz w:val="20"/>
                <w:szCs w:val="20"/>
                <w:color w:val="auto"/>
              </w:rPr>
            </w:pPr>
          </w:p>
        </w:tc>
        <w:tc>
          <w:tcPr>
            <w:tcW w:w="10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8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42,707</w:t>
            </w:r>
          </w:p>
        </w:tc>
        <w:tc>
          <w:tcPr>
            <w:tcW w:w="200" w:type="dxa"/>
            <w:vAlign w:val="bottom"/>
            <w:shd w:val="clear" w:color="auto" w:fill="D4EEED"/>
          </w:tcPr>
          <w:p>
            <w:pPr>
              <w:spacing w:after="0"/>
              <w:rPr>
                <w:sz w:val="20"/>
                <w:szCs w:val="20"/>
                <w:color w:val="auto"/>
              </w:rPr>
            </w:pPr>
          </w:p>
        </w:tc>
        <w:tc>
          <w:tcPr>
            <w:tcW w:w="20" w:type="dxa"/>
            <w:vAlign w:val="bottom"/>
            <w:tcBorders>
              <w:bottom w:val="single" w:sz="8" w:color="auto"/>
            </w:tcBorders>
            <w:shd w:val="clear" w:color="auto" w:fill="D4EEED"/>
          </w:tcPr>
          <w:p>
            <w:pPr>
              <w:spacing w:after="0"/>
              <w:rPr>
                <w:sz w:val="20"/>
                <w:szCs w:val="20"/>
                <w:color w:val="auto"/>
              </w:rPr>
            </w:pPr>
          </w:p>
        </w:tc>
        <w:tc>
          <w:tcPr>
            <w:tcW w:w="80" w:type="dxa"/>
            <w:vAlign w:val="bottom"/>
            <w:tcBorders>
              <w:bottom w:val="single" w:sz="8" w:color="auto"/>
            </w:tcBorders>
            <w:shd w:val="clear" w:color="auto" w:fill="D4EEED"/>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D4EEED"/>
          </w:tcPr>
          <w:p>
            <w:pPr>
              <w:ind w:left="660"/>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shd w:val="clear" w:color="auto" w:fill="D4EE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960" w:h="17280" w:orient="portrait"/>
          <w:cols w:equalWidth="0" w:num="1">
            <w:col w:w="10080"/>
          </w:cols>
          <w:pgMar w:left="1440" w:top="1440" w:right="1440" w:bottom="906" w:gutter="0" w:footer="0" w:header="0"/>
          <w:type w:val="continuous"/>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80" w:firstLine="490"/>
        <w:spacing w:after="0" w:line="258" w:lineRule="auto"/>
        <w:rPr>
          <w:sz w:val="20"/>
          <w:szCs w:val="20"/>
          <w:color w:val="auto"/>
        </w:rPr>
      </w:pPr>
      <w:r>
        <w:rPr>
          <w:rFonts w:ascii="Times New Roman" w:cs="Times New Roman" w:eastAsia="Times New Roman" w:hAnsi="Times New Roman"/>
          <w:sz w:val="20"/>
          <w:szCs w:val="20"/>
          <w:color w:val="auto"/>
        </w:rPr>
        <w:t>The accrued interest receivable related to the Company’s investments was $1.1 million and $0.3 million as of December 31, 2024 and 2023, respectively, and is included in prepaid expenses and other current assets on the consolidated balance sheet.</w:t>
      </w:r>
    </w:p>
    <w:p>
      <w:pPr>
        <w:spacing w:after="0" w:line="68" w:lineRule="exact"/>
        <w:rPr>
          <w:sz w:val="20"/>
          <w:szCs w:val="20"/>
          <w:color w:val="auto"/>
        </w:rPr>
      </w:pPr>
    </w:p>
    <w:p>
      <w:pPr>
        <w:ind w:left="360" w:right="720" w:firstLine="490"/>
        <w:spacing w:after="0" w:line="277" w:lineRule="auto"/>
        <w:rPr>
          <w:sz w:val="20"/>
          <w:szCs w:val="20"/>
          <w:color w:val="auto"/>
        </w:rPr>
      </w:pPr>
      <w:r>
        <w:rPr>
          <w:rFonts w:ascii="Times New Roman" w:cs="Times New Roman" w:eastAsia="Times New Roman" w:hAnsi="Times New Roman"/>
          <w:sz w:val="20"/>
          <w:szCs w:val="20"/>
          <w:color w:val="auto"/>
        </w:rPr>
        <w:t>The Company classifies its money market funds and U.S. treasury bills, which are valued based on quoted market prices in active markets with no valuation adjustment, as Level 1 assets within the fair value hierarchy.</w:t>
      </w:r>
    </w:p>
    <w:p>
      <w:pPr>
        <w:spacing w:after="0" w:line="49" w:lineRule="exact"/>
        <w:rPr>
          <w:sz w:val="20"/>
          <w:szCs w:val="20"/>
          <w:color w:val="auto"/>
        </w:rPr>
      </w:pPr>
    </w:p>
    <w:p>
      <w:pPr>
        <w:ind w:left="360" w:right="620" w:firstLine="490"/>
        <w:spacing w:after="0" w:line="246" w:lineRule="auto"/>
        <w:rPr>
          <w:sz w:val="20"/>
          <w:szCs w:val="20"/>
          <w:color w:val="auto"/>
        </w:rPr>
      </w:pPr>
      <w:r>
        <w:rPr>
          <w:rFonts w:ascii="Times New Roman" w:cs="Times New Roman" w:eastAsia="Times New Roman" w:hAnsi="Times New Roman"/>
          <w:sz w:val="20"/>
          <w:szCs w:val="20"/>
          <w:color w:val="auto"/>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80" w:lineRule="exact"/>
        <w:rPr>
          <w:sz w:val="20"/>
          <w:szCs w:val="20"/>
          <w:color w:val="auto"/>
        </w:rPr>
      </w:pPr>
    </w:p>
    <w:p>
      <w:pPr>
        <w:ind w:left="360" w:right="480" w:firstLine="490"/>
        <w:spacing w:after="0" w:line="247" w:lineRule="auto"/>
        <w:rPr>
          <w:sz w:val="20"/>
          <w:szCs w:val="20"/>
          <w:color w:val="auto"/>
        </w:rPr>
      </w:pPr>
      <w:r>
        <w:rPr>
          <w:rFonts w:ascii="Times New Roman" w:cs="Times New Roman" w:eastAsia="Times New Roman" w:hAnsi="Times New Roman"/>
          <w:sz w:val="20"/>
          <w:szCs w:val="20"/>
          <w:color w:val="auto"/>
        </w:rPr>
        <w:t>As of December 31, 2024, the unrealized loss for available-for-sale investments were non-credit related, and the Company does not intend to sell the investments that were in an unrealized loss position, nor will it be required to sell those investments before recovery of their amortized cost basis, which may be maturity. As of December 31, 2024 and 2023, no allowances for credit losses for the Company’s investments were recorded. During the twelve months ended December 31, 2024 and 2023, the Company did not recognize any impairment losses related to investments.</w:t>
      </w:r>
    </w:p>
    <w:p>
      <w:pPr>
        <w:spacing w:after="0" w:line="80" w:lineRule="exact"/>
        <w:rPr>
          <w:sz w:val="20"/>
          <w:szCs w:val="20"/>
          <w:color w:val="auto"/>
        </w:rPr>
      </w:pPr>
    </w:p>
    <w:p>
      <w:pPr>
        <w:ind w:left="360" w:right="380" w:firstLine="490"/>
        <w:spacing w:after="0" w:line="252" w:lineRule="auto"/>
        <w:rPr>
          <w:sz w:val="20"/>
          <w:szCs w:val="20"/>
          <w:color w:val="auto"/>
        </w:rPr>
      </w:pPr>
      <w:r>
        <w:rPr>
          <w:rFonts w:ascii="Times New Roman" w:cs="Times New Roman" w:eastAsia="Times New Roman" w:hAnsi="Times New Roman"/>
          <w:sz w:val="20"/>
          <w:szCs w:val="20"/>
          <w:color w:val="auto"/>
        </w:rPr>
        <w:t>As of December 31, 2024 and 2023, the Company's cash equivalents and marketable securities consisted of a U.S. government money market fund, U.S. Treasury Bills and U.S. government and agency securities, all held in our name in a separate custody account with U.S. Bank. The U.S. government money market fund has same-day liquidity access and the U.S. government and agency securities all have maturities of 360 days or less.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1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following tables summarize the Company’s marketable securities as of December 31, 2024 and 2023:</w:t>
      </w:r>
    </w:p>
    <w:p>
      <w:pPr>
        <w:spacing w:after="0" w:line="290"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472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860" w:type="dxa"/>
            <w:vAlign w:val="bottom"/>
            <w:vMerge w:val="restart"/>
            <w:shd w:val="clear" w:color="auto" w:fill="FEFEFE"/>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860" w:type="dxa"/>
            <w:vAlign w:val="bottom"/>
            <w:shd w:val="clear" w:color="auto" w:fill="FEFEFE"/>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000" w:type="dxa"/>
            <w:vAlign w:val="bottom"/>
            <w:gridSpan w:val="2"/>
            <w:shd w:val="clear" w:color="auto" w:fill="FEFEFE"/>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shd w:val="clear" w:color="auto" w:fill="FEFEFE"/>
          </w:tcPr>
          <w:p>
            <w:pPr>
              <w:spacing w:after="0"/>
              <w:rPr>
                <w:sz w:val="16"/>
                <w:szCs w:val="16"/>
                <w:color w:val="auto"/>
              </w:rPr>
            </w:pPr>
          </w:p>
        </w:tc>
        <w:tc>
          <w:tcPr>
            <w:tcW w:w="120" w:type="dxa"/>
            <w:vAlign w:val="bottom"/>
            <w:shd w:val="clear" w:color="auto" w:fill="FEFEFE"/>
          </w:tcPr>
          <w:p>
            <w:pPr>
              <w:spacing w:after="0"/>
              <w:rPr>
                <w:sz w:val="16"/>
                <w:szCs w:val="16"/>
                <w:color w:val="auto"/>
              </w:rPr>
            </w:pPr>
          </w:p>
        </w:tc>
        <w:tc>
          <w:tcPr>
            <w:tcW w:w="860" w:type="dxa"/>
            <w:vAlign w:val="bottom"/>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860" w:type="dxa"/>
            <w:vAlign w:val="bottom"/>
            <w:vMerge w:val="continue"/>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860" w:type="dxa"/>
            <w:vAlign w:val="bottom"/>
            <w:shd w:val="clear" w:color="auto" w:fill="FEFEFE"/>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000" w:type="dxa"/>
            <w:vAlign w:val="bottom"/>
            <w:gridSpan w:val="2"/>
            <w:shd w:val="clear" w:color="auto" w:fill="FEFEFE"/>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860" w:type="dxa"/>
            <w:vAlign w:val="bottom"/>
            <w:vMerge w:val="restart"/>
            <w:shd w:val="clear" w:color="auto" w:fill="FEFEFE"/>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80" w:type="dxa"/>
            <w:vAlign w:val="bottom"/>
            <w:vMerge w:val="restart"/>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auto"/>
            </w:tcBorders>
            <w:shd w:val="clear" w:color="auto" w:fill="FEFEFE"/>
          </w:tcPr>
          <w:p>
            <w:pPr>
              <w:spacing w:after="0"/>
              <w:rPr>
                <w:sz w:val="17"/>
                <w:szCs w:val="17"/>
                <w:color w:val="auto"/>
              </w:rPr>
            </w:pPr>
          </w:p>
        </w:tc>
        <w:tc>
          <w:tcPr>
            <w:tcW w:w="860" w:type="dxa"/>
            <w:vAlign w:val="bottom"/>
            <w:tcBorders>
              <w:bottom w:val="single" w:sz="8" w:color="auto"/>
            </w:tcBorders>
            <w:shd w:val="clear" w:color="auto" w:fill="FEFEFE"/>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auto"/>
            </w:tcBorders>
            <w:shd w:val="clear" w:color="auto" w:fill="FEFEFE"/>
          </w:tcPr>
          <w:p>
            <w:pPr>
              <w:spacing w:after="0"/>
              <w:rPr>
                <w:sz w:val="17"/>
                <w:szCs w:val="17"/>
                <w:color w:val="auto"/>
              </w:rPr>
            </w:pPr>
          </w:p>
        </w:tc>
        <w:tc>
          <w:tcPr>
            <w:tcW w:w="860" w:type="dxa"/>
            <w:vAlign w:val="bottom"/>
            <w:tcBorders>
              <w:bottom w:val="single" w:sz="8" w:color="auto"/>
            </w:tcBorders>
            <w:shd w:val="clear" w:color="auto" w:fill="FEFEFE"/>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Borders>
              <w:bottom w:val="single" w:sz="8" w:color="FEFEFE"/>
            </w:tcBorders>
            <w:shd w:val="clear" w:color="auto" w:fill="FEFEFE"/>
          </w:tcPr>
          <w:p>
            <w:pPr>
              <w:spacing w:after="0"/>
              <w:rPr>
                <w:sz w:val="17"/>
                <w:szCs w:val="17"/>
                <w:color w:val="auto"/>
              </w:rPr>
            </w:pPr>
          </w:p>
        </w:tc>
        <w:tc>
          <w:tcPr>
            <w:tcW w:w="100" w:type="dxa"/>
            <w:vAlign w:val="bottom"/>
            <w:tcBorders>
              <w:bottom w:val="single" w:sz="8" w:color="auto"/>
            </w:tcBorders>
            <w:shd w:val="clear" w:color="auto" w:fill="FEFEFE"/>
          </w:tcPr>
          <w:p>
            <w:pPr>
              <w:spacing w:after="0"/>
              <w:rPr>
                <w:sz w:val="17"/>
                <w:szCs w:val="17"/>
                <w:color w:val="auto"/>
              </w:rPr>
            </w:pPr>
          </w:p>
        </w:tc>
        <w:tc>
          <w:tcPr>
            <w:tcW w:w="860" w:type="dxa"/>
            <w:vAlign w:val="bottom"/>
            <w:tcBorders>
              <w:bottom w:val="single" w:sz="8" w:color="auto"/>
            </w:tcBorders>
            <w:shd w:val="clear" w:color="auto" w:fill="FEFEFE"/>
          </w:tcPr>
          <w:p>
            <w:pPr>
              <w:jc w:val="center"/>
              <w:ind w:right="6"/>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40" w:type="dxa"/>
            <w:vAlign w:val="bottom"/>
            <w:tcBorders>
              <w:bottom w:val="single" w:sz="8" w:color="FEFEFE"/>
            </w:tcBorders>
            <w:shd w:val="clear" w:color="auto" w:fill="FEFEFE"/>
          </w:tcPr>
          <w:p>
            <w:pPr>
              <w:spacing w:after="0"/>
              <w:rPr>
                <w:sz w:val="17"/>
                <w:szCs w:val="17"/>
                <w:color w:val="auto"/>
              </w:rPr>
            </w:pPr>
          </w:p>
        </w:tc>
        <w:tc>
          <w:tcPr>
            <w:tcW w:w="60" w:type="dxa"/>
            <w:vAlign w:val="bottom"/>
            <w:tcBorders>
              <w:bottom w:val="single" w:sz="8" w:color="FEFEFE"/>
            </w:tcBorders>
            <w:shd w:val="clear" w:color="auto" w:fill="FEFEFE"/>
          </w:tcPr>
          <w:p>
            <w:pPr>
              <w:spacing w:after="0"/>
              <w:rPr>
                <w:sz w:val="17"/>
                <w:szCs w:val="17"/>
                <w:color w:val="auto"/>
              </w:rPr>
            </w:pPr>
          </w:p>
        </w:tc>
        <w:tc>
          <w:tcPr>
            <w:tcW w:w="120" w:type="dxa"/>
            <w:vAlign w:val="bottom"/>
            <w:tcBorders>
              <w:bottom w:val="single" w:sz="8" w:color="auto"/>
            </w:tcBorders>
            <w:shd w:val="clear" w:color="auto" w:fill="FEFEFE"/>
          </w:tcPr>
          <w:p>
            <w:pPr>
              <w:spacing w:after="0"/>
              <w:rPr>
                <w:sz w:val="17"/>
                <w:szCs w:val="17"/>
                <w:color w:val="auto"/>
              </w:rPr>
            </w:pPr>
          </w:p>
        </w:tc>
        <w:tc>
          <w:tcPr>
            <w:tcW w:w="860" w:type="dxa"/>
            <w:vAlign w:val="bottom"/>
            <w:tcBorders>
              <w:bottom w:val="single" w:sz="8" w:color="auto"/>
            </w:tcBorders>
            <w:vMerge w:val="continue"/>
            <w:shd w:val="clear" w:color="auto" w:fill="FEFEFE"/>
          </w:tcPr>
          <w:p>
            <w:pPr>
              <w:spacing w:after="0"/>
              <w:rPr>
                <w:sz w:val="17"/>
                <w:szCs w:val="17"/>
                <w:color w:val="auto"/>
              </w:rPr>
            </w:pPr>
          </w:p>
        </w:tc>
        <w:tc>
          <w:tcPr>
            <w:tcW w:w="80" w:type="dxa"/>
            <w:vAlign w:val="bottom"/>
            <w:tcBorders>
              <w:bottom w:val="single" w:sz="8" w:color="FEFEFE"/>
            </w:tcBorders>
            <w:vMerge w:val="continue"/>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72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860" w:type="dxa"/>
            <w:vAlign w:val="bottom"/>
            <w:shd w:val="clear" w:color="auto" w:fill="FEFEFE"/>
          </w:tcPr>
          <w:p>
            <w:pPr>
              <w:spacing w:after="0"/>
              <w:rPr>
                <w:sz w:val="15"/>
                <w:szCs w:val="15"/>
                <w:color w:val="auto"/>
              </w:rPr>
            </w:pPr>
          </w:p>
        </w:tc>
        <w:tc>
          <w:tcPr>
            <w:tcW w:w="20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860" w:type="dxa"/>
            <w:vAlign w:val="bottom"/>
            <w:shd w:val="clear" w:color="auto" w:fill="FEFEFE"/>
          </w:tcPr>
          <w:p>
            <w:pPr>
              <w:jc w:val="right"/>
              <w:ind w:right="107"/>
              <w:spacing w:after="0" w:line="178" w:lineRule="exact"/>
              <w:rPr>
                <w:sz w:val="20"/>
                <w:szCs w:val="20"/>
                <w:color w:val="auto"/>
              </w:rPr>
            </w:pPr>
            <w:r>
              <w:rPr>
                <w:rFonts w:ascii="Times New Roman" w:cs="Times New Roman" w:eastAsia="Times New Roman" w:hAnsi="Times New Roman"/>
                <w:sz w:val="16"/>
                <w:szCs w:val="16"/>
                <w:b w:val="1"/>
                <w:bCs w:val="1"/>
                <w:color w:val="auto"/>
              </w:rPr>
              <w:t>(in</w:t>
            </w:r>
          </w:p>
        </w:tc>
        <w:tc>
          <w:tcPr>
            <w:tcW w:w="1160" w:type="dxa"/>
            <w:vAlign w:val="bottom"/>
            <w:gridSpan w:val="3"/>
            <w:shd w:val="clear" w:color="auto" w:fill="FEFEFE"/>
          </w:tcPr>
          <w:p>
            <w:pPr>
              <w:jc w:val="right"/>
              <w:ind w:right="486"/>
              <w:spacing w:after="0" w:line="178" w:lineRule="exact"/>
              <w:rPr>
                <w:sz w:val="20"/>
                <w:szCs w:val="20"/>
                <w:color w:val="auto"/>
              </w:rPr>
            </w:pPr>
            <w:r>
              <w:rPr>
                <w:rFonts w:ascii="Times New Roman" w:cs="Times New Roman" w:eastAsia="Times New Roman" w:hAnsi="Times New Roman"/>
                <w:sz w:val="16"/>
                <w:szCs w:val="16"/>
                <w:b w:val="1"/>
                <w:bCs w:val="1"/>
                <w:color w:val="auto"/>
                <w:w w:val="74"/>
              </w:rPr>
              <w:t>thousands)</w:t>
            </w:r>
          </w:p>
        </w:tc>
        <w:tc>
          <w:tcPr>
            <w:tcW w:w="140" w:type="dxa"/>
            <w:vAlign w:val="bottom"/>
            <w:shd w:val="clear" w:color="auto" w:fill="FEFEFE"/>
          </w:tcPr>
          <w:p>
            <w:pPr>
              <w:spacing w:after="0"/>
              <w:rPr>
                <w:sz w:val="15"/>
                <w:szCs w:val="15"/>
                <w:color w:val="auto"/>
              </w:rPr>
            </w:pPr>
          </w:p>
        </w:tc>
        <w:tc>
          <w:tcPr>
            <w:tcW w:w="6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86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6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86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86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1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2,945</w:t>
            </w: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1000" w:type="dxa"/>
            <w:vAlign w:val="bottom"/>
            <w:gridSpan w:val="2"/>
            <w:shd w:val="clear" w:color="auto" w:fill="D4EEED"/>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8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2,947</w:t>
            </w:r>
          </w:p>
        </w:tc>
        <w:tc>
          <w:tcPr>
            <w:tcW w:w="80" w:type="dxa"/>
            <w:vAlign w:val="bottom"/>
            <w:shd w:val="clear" w:color="auto" w:fill="D4EEE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U.S. Government securities</w:t>
            </w:r>
          </w:p>
        </w:tc>
        <w:tc>
          <w:tcPr>
            <w:tcW w:w="1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147,143</w:t>
            </w: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000" w:type="dxa"/>
            <w:vAlign w:val="bottom"/>
            <w:gridSpan w:val="2"/>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147,289</w:t>
            </w:r>
          </w:p>
        </w:tc>
        <w:tc>
          <w:tcPr>
            <w:tcW w:w="8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720" w:type="dxa"/>
            <w:vAlign w:val="bottom"/>
            <w:tcBorders>
              <w:top w:val="single" w:sz="8" w:color="D4EEED"/>
              <w:bottom w:val="single" w:sz="8" w:color="FEFEFE"/>
            </w:tcBorders>
            <w:shd w:val="clear" w:color="auto" w:fill="D4EEED"/>
          </w:tcPr>
          <w:p>
            <w:pPr>
              <w:ind w:left="400"/>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100" w:type="dxa"/>
            <w:vAlign w:val="bottom"/>
            <w:tcBorders>
              <w:top w:val="single" w:sz="8" w:color="D4EEED"/>
              <w:bottom w:val="single" w:sz="8" w:color="FEFEFE"/>
            </w:tcBorders>
            <w:shd w:val="clear" w:color="auto" w:fill="D4EEED"/>
          </w:tcPr>
          <w:p>
            <w:pPr>
              <w:spacing w:after="0"/>
              <w:rPr>
                <w:sz w:val="23"/>
                <w:szCs w:val="23"/>
                <w:color w:val="auto"/>
              </w:rPr>
            </w:pPr>
          </w:p>
        </w:tc>
        <w:tc>
          <w:tcPr>
            <w:tcW w:w="10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86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150,088</w:t>
            </w:r>
          </w:p>
        </w:tc>
        <w:tc>
          <w:tcPr>
            <w:tcW w:w="200" w:type="dxa"/>
            <w:vAlign w:val="bottom"/>
            <w:tcBorders>
              <w:top w:val="single" w:sz="8" w:color="D4EEED"/>
              <w:bottom w:val="single" w:sz="8" w:color="FEFEFE"/>
            </w:tcBorders>
            <w:shd w:val="clear" w:color="auto" w:fill="D4EEED"/>
          </w:tcPr>
          <w:p>
            <w:pPr>
              <w:spacing w:after="0"/>
              <w:rPr>
                <w:sz w:val="23"/>
                <w:szCs w:val="23"/>
                <w:color w:val="auto"/>
              </w:rPr>
            </w:pPr>
          </w:p>
        </w:tc>
        <w:tc>
          <w:tcPr>
            <w:tcW w:w="10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200" w:type="dxa"/>
            <w:vAlign w:val="bottom"/>
            <w:tcBorders>
              <w:top w:val="single" w:sz="8" w:color="D4EEED"/>
              <w:bottom w:val="single" w:sz="8" w:color="FEFEFE"/>
            </w:tcBorders>
            <w:shd w:val="clear" w:color="auto" w:fill="D4EEED"/>
          </w:tcPr>
          <w:p>
            <w:pPr>
              <w:spacing w:after="0"/>
              <w:rPr>
                <w:sz w:val="23"/>
                <w:szCs w:val="23"/>
                <w:color w:val="auto"/>
              </w:rPr>
            </w:pPr>
          </w:p>
        </w:tc>
        <w:tc>
          <w:tcPr>
            <w:tcW w:w="10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40" w:type="dxa"/>
            <w:vAlign w:val="bottom"/>
            <w:tcBorders>
              <w:top w:val="single" w:sz="8" w:color="D4EEED"/>
              <w:bottom w:val="single" w:sz="8" w:color="FEFEFE"/>
            </w:tcBorders>
            <w:shd w:val="clear" w:color="auto" w:fill="D4EEED"/>
          </w:tcPr>
          <w:p>
            <w:pPr>
              <w:spacing w:after="0"/>
              <w:rPr>
                <w:sz w:val="23"/>
                <w:szCs w:val="23"/>
                <w:color w:val="auto"/>
              </w:rPr>
            </w:pPr>
          </w:p>
        </w:tc>
        <w:tc>
          <w:tcPr>
            <w:tcW w:w="60" w:type="dxa"/>
            <w:vAlign w:val="bottom"/>
            <w:tcBorders>
              <w:top w:val="single" w:sz="8" w:color="D4EEED"/>
              <w:bottom w:val="single" w:sz="8" w:color="FEFEFE"/>
            </w:tcBorders>
            <w:shd w:val="clear" w:color="auto" w:fill="D4EEED"/>
          </w:tcPr>
          <w:p>
            <w:pPr>
              <w:spacing w:after="0"/>
              <w:rPr>
                <w:sz w:val="23"/>
                <w:szCs w:val="23"/>
                <w:color w:val="auto"/>
              </w:rPr>
            </w:pPr>
          </w:p>
        </w:tc>
        <w:tc>
          <w:tcPr>
            <w:tcW w:w="12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86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150,236</w:t>
            </w:r>
          </w:p>
        </w:tc>
        <w:tc>
          <w:tcPr>
            <w:tcW w:w="80" w:type="dxa"/>
            <w:vAlign w:val="bottom"/>
            <w:tcBorders>
              <w:top w:val="single" w:sz="8" w:color="D4EEED"/>
              <w:bottom w:val="single" w:sz="8" w:color="FEFEFE"/>
            </w:tcBorders>
            <w:shd w:val="clear" w:color="auto" w:fill="D4EEED"/>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86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860" w:type="dxa"/>
            <w:vAlign w:val="bottom"/>
            <w:shd w:val="clear" w:color="auto" w:fill="FEFEFE"/>
          </w:tcPr>
          <w:p>
            <w:pPr>
              <w:spacing w:after="0"/>
              <w:rPr>
                <w:sz w:val="19"/>
                <w:szCs w:val="19"/>
                <w:color w:val="auto"/>
              </w:rPr>
            </w:pPr>
          </w:p>
        </w:tc>
        <w:tc>
          <w:tcPr>
            <w:tcW w:w="200" w:type="dxa"/>
            <w:vAlign w:val="bottom"/>
            <w:shd w:val="clear" w:color="auto" w:fill="FEFEFE"/>
          </w:tcPr>
          <w:p>
            <w:pPr>
              <w:spacing w:after="0"/>
              <w:rPr>
                <w:sz w:val="19"/>
                <w:szCs w:val="19"/>
                <w:color w:val="auto"/>
              </w:rPr>
            </w:pPr>
          </w:p>
        </w:tc>
        <w:tc>
          <w:tcPr>
            <w:tcW w:w="100" w:type="dxa"/>
            <w:vAlign w:val="bottom"/>
            <w:shd w:val="clear" w:color="auto" w:fill="FEFEFE"/>
          </w:tcPr>
          <w:p>
            <w:pPr>
              <w:spacing w:after="0"/>
              <w:rPr>
                <w:sz w:val="19"/>
                <w:szCs w:val="19"/>
                <w:color w:val="auto"/>
              </w:rPr>
            </w:pPr>
          </w:p>
        </w:tc>
        <w:tc>
          <w:tcPr>
            <w:tcW w:w="860" w:type="dxa"/>
            <w:vAlign w:val="bottom"/>
            <w:shd w:val="clear" w:color="auto" w:fill="FEFEFE"/>
          </w:tcPr>
          <w:p>
            <w:pPr>
              <w:spacing w:after="0"/>
              <w:rPr>
                <w:sz w:val="19"/>
                <w:szCs w:val="19"/>
                <w:color w:val="auto"/>
              </w:rPr>
            </w:pPr>
          </w:p>
        </w:tc>
        <w:tc>
          <w:tcPr>
            <w:tcW w:w="140" w:type="dxa"/>
            <w:vAlign w:val="bottom"/>
            <w:shd w:val="clear" w:color="auto" w:fill="FEFEFE"/>
          </w:tcPr>
          <w:p>
            <w:pPr>
              <w:spacing w:after="0"/>
              <w:rPr>
                <w:sz w:val="19"/>
                <w:szCs w:val="19"/>
                <w:color w:val="auto"/>
              </w:rPr>
            </w:pPr>
          </w:p>
        </w:tc>
        <w:tc>
          <w:tcPr>
            <w:tcW w:w="60" w:type="dxa"/>
            <w:vAlign w:val="bottom"/>
            <w:shd w:val="clear" w:color="auto" w:fill="FEFEFE"/>
          </w:tcPr>
          <w:p>
            <w:pPr>
              <w:spacing w:after="0"/>
              <w:rPr>
                <w:sz w:val="19"/>
                <w:szCs w:val="19"/>
                <w:color w:val="auto"/>
              </w:rPr>
            </w:pPr>
          </w:p>
        </w:tc>
        <w:tc>
          <w:tcPr>
            <w:tcW w:w="120" w:type="dxa"/>
            <w:vAlign w:val="bottom"/>
            <w:shd w:val="clear" w:color="auto" w:fill="FEFEFE"/>
          </w:tcPr>
          <w:p>
            <w:pPr>
              <w:spacing w:after="0"/>
              <w:rPr>
                <w:sz w:val="19"/>
                <w:szCs w:val="19"/>
                <w:color w:val="auto"/>
              </w:rPr>
            </w:pPr>
          </w:p>
        </w:tc>
        <w:tc>
          <w:tcPr>
            <w:tcW w:w="860" w:type="dxa"/>
            <w:vAlign w:val="bottom"/>
            <w:shd w:val="clear" w:color="auto" w:fill="FEFEFE"/>
          </w:tcPr>
          <w:p>
            <w:pPr>
              <w:spacing w:after="0"/>
              <w:rPr>
                <w:sz w:val="19"/>
                <w:szCs w:val="19"/>
                <w:color w:val="auto"/>
              </w:rPr>
            </w:pPr>
          </w:p>
        </w:tc>
        <w:tc>
          <w:tcPr>
            <w:tcW w:w="80" w:type="dxa"/>
            <w:vAlign w:val="bottom"/>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6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86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1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17,330</w:t>
            </w: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00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17,334</w:t>
            </w:r>
          </w:p>
        </w:tc>
        <w:tc>
          <w:tcPr>
            <w:tcW w:w="8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U.S. Government securities</w:t>
            </w:r>
          </w:p>
        </w:tc>
        <w:tc>
          <w:tcPr>
            <w:tcW w:w="1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35,653</w:t>
            </w: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1000" w:type="dxa"/>
            <w:vAlign w:val="bottom"/>
            <w:gridSpan w:val="2"/>
            <w:shd w:val="clear" w:color="auto" w:fill="D4EEED"/>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4EEED"/>
          </w:tcPr>
          <w:p>
            <w:pPr>
              <w:spacing w:after="0"/>
              <w:rPr>
                <w:sz w:val="21"/>
                <w:szCs w:val="21"/>
                <w:color w:val="auto"/>
              </w:rPr>
            </w:pPr>
          </w:p>
        </w:tc>
        <w:tc>
          <w:tcPr>
            <w:tcW w:w="120" w:type="dxa"/>
            <w:vAlign w:val="bottom"/>
            <w:shd w:val="clear" w:color="auto" w:fill="D4EEED"/>
          </w:tcPr>
          <w:p>
            <w:pPr>
              <w:spacing w:after="0"/>
              <w:rPr>
                <w:sz w:val="21"/>
                <w:szCs w:val="21"/>
                <w:color w:val="auto"/>
              </w:rPr>
            </w:pPr>
          </w:p>
        </w:tc>
        <w:tc>
          <w:tcPr>
            <w:tcW w:w="8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35,719</w:t>
            </w:r>
          </w:p>
        </w:tc>
        <w:tc>
          <w:tcPr>
            <w:tcW w:w="80" w:type="dxa"/>
            <w:vAlign w:val="bottom"/>
            <w:shd w:val="clear" w:color="auto" w:fill="D4EEE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Corporate bonds</w:t>
            </w:r>
          </w:p>
        </w:tc>
        <w:tc>
          <w:tcPr>
            <w:tcW w:w="1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6,977</w:t>
            </w: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1000" w:type="dxa"/>
            <w:vAlign w:val="bottom"/>
            <w:gridSpan w:val="2"/>
            <w:shd w:val="clear" w:color="auto" w:fill="FEFEFE"/>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FEFEFE"/>
          </w:tcPr>
          <w:p>
            <w:pPr>
              <w:spacing w:after="0"/>
              <w:rPr>
                <w:sz w:val="21"/>
                <w:szCs w:val="21"/>
                <w:color w:val="auto"/>
              </w:rPr>
            </w:pPr>
          </w:p>
        </w:tc>
        <w:tc>
          <w:tcPr>
            <w:tcW w:w="120" w:type="dxa"/>
            <w:vAlign w:val="bottom"/>
            <w:shd w:val="clear" w:color="auto" w:fill="FEFEFE"/>
          </w:tcPr>
          <w:p>
            <w:pPr>
              <w:spacing w:after="0"/>
              <w:rPr>
                <w:sz w:val="21"/>
                <w:szCs w:val="21"/>
                <w:color w:val="auto"/>
              </w:rPr>
            </w:pPr>
          </w:p>
        </w:tc>
        <w:tc>
          <w:tcPr>
            <w:tcW w:w="8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6,988</w:t>
            </w:r>
          </w:p>
        </w:tc>
        <w:tc>
          <w:tcPr>
            <w:tcW w:w="8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20" w:type="dxa"/>
            <w:vAlign w:val="bottom"/>
            <w:tcBorders>
              <w:top w:val="single" w:sz="8" w:color="D4EEED"/>
            </w:tcBorders>
            <w:shd w:val="clear" w:color="auto" w:fill="D4EEED"/>
          </w:tcPr>
          <w:p>
            <w:pPr>
              <w:spacing w:after="0"/>
              <w:rPr>
                <w:sz w:val="20"/>
                <w:szCs w:val="20"/>
                <w:color w:val="auto"/>
              </w:rPr>
            </w:pPr>
          </w:p>
        </w:tc>
        <w:tc>
          <w:tcPr>
            <w:tcW w:w="100" w:type="dxa"/>
            <w:vAlign w:val="bottom"/>
            <w:tcBorders>
              <w:top w:val="single" w:sz="8" w:color="D4EEED"/>
            </w:tcBorders>
            <w:shd w:val="clear" w:color="auto" w:fill="D4EEED"/>
          </w:tcPr>
          <w:p>
            <w:pPr>
              <w:spacing w:after="0"/>
              <w:rPr>
                <w:sz w:val="20"/>
                <w:szCs w:val="20"/>
                <w:color w:val="auto"/>
              </w:rPr>
            </w:pPr>
          </w:p>
        </w:tc>
        <w:tc>
          <w:tcPr>
            <w:tcW w:w="10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86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59,960</w:t>
            </w:r>
          </w:p>
        </w:tc>
        <w:tc>
          <w:tcPr>
            <w:tcW w:w="200" w:type="dxa"/>
            <w:vAlign w:val="bottom"/>
            <w:tcBorders>
              <w:top w:val="single" w:sz="8" w:color="D4EEED"/>
            </w:tcBorders>
            <w:shd w:val="clear" w:color="auto" w:fill="D4EEED"/>
          </w:tcPr>
          <w:p>
            <w:pPr>
              <w:spacing w:after="0"/>
              <w:rPr>
                <w:sz w:val="20"/>
                <w:szCs w:val="20"/>
                <w:color w:val="auto"/>
              </w:rPr>
            </w:pPr>
          </w:p>
        </w:tc>
        <w:tc>
          <w:tcPr>
            <w:tcW w:w="10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200" w:type="dxa"/>
            <w:vAlign w:val="bottom"/>
            <w:tcBorders>
              <w:top w:val="single" w:sz="8" w:color="D4EEED"/>
            </w:tcBorders>
            <w:shd w:val="clear" w:color="auto" w:fill="D4EEED"/>
          </w:tcPr>
          <w:p>
            <w:pPr>
              <w:spacing w:after="0"/>
              <w:rPr>
                <w:sz w:val="20"/>
                <w:szCs w:val="20"/>
                <w:color w:val="auto"/>
              </w:rPr>
            </w:pPr>
          </w:p>
        </w:tc>
        <w:tc>
          <w:tcPr>
            <w:tcW w:w="10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top w:val="single" w:sz="8" w:color="D4EEED"/>
            </w:tcBorders>
            <w:shd w:val="clear" w:color="auto" w:fill="D4EEED"/>
          </w:tcPr>
          <w:p>
            <w:pPr>
              <w:spacing w:after="0"/>
              <w:rPr>
                <w:sz w:val="20"/>
                <w:szCs w:val="20"/>
                <w:color w:val="auto"/>
              </w:rPr>
            </w:pPr>
          </w:p>
        </w:tc>
        <w:tc>
          <w:tcPr>
            <w:tcW w:w="60" w:type="dxa"/>
            <w:vAlign w:val="bottom"/>
            <w:tcBorders>
              <w:top w:val="single" w:sz="8" w:color="D4EEED"/>
            </w:tcBorders>
            <w:shd w:val="clear" w:color="auto" w:fill="D4EEED"/>
          </w:tcPr>
          <w:p>
            <w:pPr>
              <w:spacing w:after="0"/>
              <w:rPr>
                <w:sz w:val="20"/>
                <w:szCs w:val="20"/>
                <w:color w:val="auto"/>
              </w:rPr>
            </w:pPr>
          </w:p>
        </w:tc>
        <w:tc>
          <w:tcPr>
            <w:tcW w:w="12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86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60,041</w:t>
            </w:r>
          </w:p>
        </w:tc>
        <w:tc>
          <w:tcPr>
            <w:tcW w:w="80" w:type="dxa"/>
            <w:vAlign w:val="bottom"/>
            <w:tcBorders>
              <w:top w:val="single" w:sz="8" w:color="D4EEED"/>
            </w:tcBorders>
            <w:shd w:val="clear" w:color="auto" w:fill="D4EE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960" w:h="17280" w:orient="portrait"/>
          <w:cols w:equalWidth="0" w:num="1">
            <w:col w:w="10080"/>
          </w:cols>
          <w:pgMar w:left="1440" w:top="1440" w:right="1440" w:bottom="906" w:gutter="0" w:footer="0" w:header="0"/>
          <w:type w:val="continuous"/>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60" w:hanging="500"/>
        <w:spacing w:after="0"/>
        <w:tabs>
          <w:tab w:leader="none" w:pos="8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Prepaid Expenses and Other Current Assets</w:t>
      </w:r>
    </w:p>
    <w:p>
      <w:pPr>
        <w:spacing w:after="0" w:line="124" w:lineRule="exact"/>
        <w:rPr>
          <w:rFonts w:ascii="Times New Roman" w:cs="Times New Roman" w:eastAsia="Times New Roman" w:hAnsi="Times New Roman"/>
          <w:sz w:val="20"/>
          <w:szCs w:val="20"/>
          <w:b w:val="1"/>
          <w:bCs w:val="1"/>
          <w:color w:val="auto"/>
        </w:rPr>
      </w:pPr>
    </w:p>
    <w:p>
      <w:pPr>
        <w:ind w:left="8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Prepaid expenses and other current assets consisted of the following:</w:t>
      </w: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4960" w:type="dxa"/>
            <w:vAlign w:val="bottom"/>
            <w:shd w:val="clear" w:color="auto" w:fill="FEFEFE"/>
          </w:tcPr>
          <w:p>
            <w:pPr>
              <w:spacing w:after="0"/>
              <w:rPr>
                <w:sz w:val="17"/>
                <w:szCs w:val="17"/>
                <w:color w:val="auto"/>
              </w:rPr>
            </w:pPr>
          </w:p>
        </w:tc>
        <w:tc>
          <w:tcPr>
            <w:tcW w:w="14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160" w:type="dxa"/>
            <w:vAlign w:val="bottom"/>
            <w:shd w:val="clear" w:color="auto" w:fill="FEFEFE"/>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260" w:type="dxa"/>
            <w:vAlign w:val="bottom"/>
            <w:gridSpan w:val="2"/>
            <w:shd w:val="clear" w:color="auto" w:fill="FEFEFE"/>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8"/>
        </w:trPr>
        <w:tc>
          <w:tcPr>
            <w:tcW w:w="4960" w:type="dxa"/>
            <w:vAlign w:val="bottom"/>
            <w:tcBorders>
              <w:bottom w:val="single" w:sz="8" w:color="FEFEFE"/>
            </w:tcBorders>
            <w:shd w:val="clear" w:color="auto" w:fill="FEFEFE"/>
          </w:tcPr>
          <w:p>
            <w:pPr>
              <w:spacing w:after="0"/>
              <w:rPr>
                <w:sz w:val="17"/>
                <w:szCs w:val="17"/>
                <w:color w:val="auto"/>
              </w:rPr>
            </w:pPr>
          </w:p>
        </w:tc>
        <w:tc>
          <w:tcPr>
            <w:tcW w:w="1460" w:type="dxa"/>
            <w:vAlign w:val="bottom"/>
            <w:tcBorders>
              <w:bottom w:val="single" w:sz="8" w:color="FEFEFE"/>
            </w:tcBorders>
            <w:shd w:val="clear" w:color="auto" w:fill="FEFEFE"/>
          </w:tcPr>
          <w:p>
            <w:pPr>
              <w:spacing w:after="0"/>
              <w:rPr>
                <w:sz w:val="17"/>
                <w:szCs w:val="17"/>
                <w:color w:val="auto"/>
              </w:rPr>
            </w:pPr>
          </w:p>
        </w:tc>
        <w:tc>
          <w:tcPr>
            <w:tcW w:w="140" w:type="dxa"/>
            <w:vAlign w:val="bottom"/>
            <w:tcBorders>
              <w:bottom w:val="single" w:sz="8" w:color="auto"/>
            </w:tcBorders>
            <w:shd w:val="clear" w:color="auto" w:fill="FEFEFE"/>
          </w:tcPr>
          <w:p>
            <w:pPr>
              <w:spacing w:after="0"/>
              <w:rPr>
                <w:sz w:val="17"/>
                <w:szCs w:val="17"/>
                <w:color w:val="auto"/>
              </w:rPr>
            </w:pPr>
          </w:p>
        </w:tc>
        <w:tc>
          <w:tcPr>
            <w:tcW w:w="1160" w:type="dxa"/>
            <w:vAlign w:val="bottom"/>
            <w:tcBorders>
              <w:bottom w:val="single" w:sz="8" w:color="auto"/>
            </w:tcBorders>
            <w:shd w:val="clear" w:color="auto" w:fill="FEFEFE"/>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FEFEFE"/>
            </w:tcBorders>
            <w:shd w:val="clear" w:color="auto" w:fill="FEFEFE"/>
          </w:tcPr>
          <w:p>
            <w:pPr>
              <w:spacing w:after="0"/>
              <w:rPr>
                <w:sz w:val="17"/>
                <w:szCs w:val="17"/>
                <w:color w:val="auto"/>
              </w:rPr>
            </w:pPr>
          </w:p>
        </w:tc>
        <w:tc>
          <w:tcPr>
            <w:tcW w:w="140" w:type="dxa"/>
            <w:vAlign w:val="bottom"/>
            <w:tcBorders>
              <w:bottom w:val="single" w:sz="8" w:color="auto"/>
            </w:tcBorders>
            <w:shd w:val="clear" w:color="auto" w:fill="FEFEFE"/>
          </w:tcPr>
          <w:p>
            <w:pPr>
              <w:spacing w:after="0"/>
              <w:rPr>
                <w:sz w:val="17"/>
                <w:szCs w:val="17"/>
                <w:color w:val="auto"/>
              </w:rPr>
            </w:pPr>
          </w:p>
        </w:tc>
        <w:tc>
          <w:tcPr>
            <w:tcW w:w="1180" w:type="dxa"/>
            <w:vAlign w:val="bottom"/>
            <w:tcBorders>
              <w:bottom w:val="single" w:sz="8" w:color="auto"/>
            </w:tcBorders>
            <w:shd w:val="clear" w:color="auto" w:fill="FEFEFE"/>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FEFEFE"/>
            </w:tcBorders>
            <w:shd w:val="clear" w:color="auto" w:fill="FEFEFE"/>
          </w:tcPr>
          <w:p>
            <w:pPr>
              <w:spacing w:after="0"/>
              <w:rPr>
                <w:sz w:val="17"/>
                <w:szCs w:val="17"/>
                <w:color w:val="auto"/>
              </w:rPr>
            </w:pPr>
          </w:p>
        </w:tc>
      </w:tr>
      <w:tr>
        <w:trPr>
          <w:trHeight w:val="178"/>
        </w:trPr>
        <w:tc>
          <w:tcPr>
            <w:tcW w:w="4960" w:type="dxa"/>
            <w:vAlign w:val="bottom"/>
            <w:shd w:val="clear" w:color="auto" w:fill="FEFEFE"/>
          </w:tcPr>
          <w:p>
            <w:pPr>
              <w:spacing w:after="0"/>
              <w:rPr>
                <w:sz w:val="15"/>
                <w:szCs w:val="15"/>
                <w:color w:val="auto"/>
              </w:rPr>
            </w:pPr>
          </w:p>
        </w:tc>
        <w:tc>
          <w:tcPr>
            <w:tcW w:w="146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1160" w:type="dxa"/>
            <w:vAlign w:val="bottom"/>
            <w:shd w:val="clear" w:color="auto" w:fill="FEFEFE"/>
          </w:tcPr>
          <w:p>
            <w:pPr>
              <w:jc w:val="right"/>
              <w:ind w:right="88"/>
              <w:spacing w:after="0" w:line="178" w:lineRule="exact"/>
              <w:rPr>
                <w:sz w:val="20"/>
                <w:szCs w:val="20"/>
                <w:color w:val="auto"/>
              </w:rPr>
            </w:pPr>
            <w:r>
              <w:rPr>
                <w:rFonts w:ascii="Times New Roman" w:cs="Times New Roman" w:eastAsia="Times New Roman" w:hAnsi="Times New Roman"/>
                <w:sz w:val="16"/>
                <w:szCs w:val="16"/>
                <w:b w:val="1"/>
                <w:bCs w:val="1"/>
                <w:color w:val="auto"/>
              </w:rPr>
              <w:t>(in</w:t>
            </w:r>
          </w:p>
        </w:tc>
        <w:tc>
          <w:tcPr>
            <w:tcW w:w="1560" w:type="dxa"/>
            <w:vAlign w:val="bottom"/>
            <w:gridSpan w:val="3"/>
            <w:shd w:val="clear" w:color="auto" w:fill="FEFEFE"/>
          </w:tcPr>
          <w:p>
            <w:pPr>
              <w:jc w:val="center"/>
              <w:ind w:right="866"/>
              <w:spacing w:after="0" w:line="178" w:lineRule="exact"/>
              <w:rPr>
                <w:sz w:val="20"/>
                <w:szCs w:val="20"/>
                <w:color w:val="auto"/>
              </w:rPr>
            </w:pPr>
            <w:r>
              <w:rPr>
                <w:rFonts w:ascii="Times New Roman" w:cs="Times New Roman" w:eastAsia="Times New Roman" w:hAnsi="Times New Roman"/>
                <w:sz w:val="16"/>
                <w:szCs w:val="16"/>
                <w:b w:val="1"/>
                <w:bCs w:val="1"/>
                <w:color w:val="auto"/>
                <w:w w:val="80"/>
              </w:rPr>
              <w:t>thousands)</w:t>
            </w:r>
          </w:p>
        </w:tc>
        <w:tc>
          <w:tcPr>
            <w:tcW w:w="80" w:type="dxa"/>
            <w:vAlign w:val="bottom"/>
            <w:shd w:val="clear" w:color="auto" w:fill="FEFEFE"/>
          </w:tcPr>
          <w:p>
            <w:pPr>
              <w:spacing w:after="0"/>
              <w:rPr>
                <w:sz w:val="15"/>
                <w:szCs w:val="15"/>
                <w:color w:val="auto"/>
              </w:rPr>
            </w:pPr>
          </w:p>
        </w:tc>
      </w:tr>
      <w:tr>
        <w:trPr>
          <w:trHeight w:val="244"/>
        </w:trPr>
        <w:tc>
          <w:tcPr>
            <w:tcW w:w="496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Prepaid research and development expenses</w:t>
            </w:r>
          </w:p>
        </w:tc>
        <w:tc>
          <w:tcPr>
            <w:tcW w:w="1600" w:type="dxa"/>
            <w:vAlign w:val="bottom"/>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9,780</w:t>
            </w:r>
          </w:p>
        </w:tc>
        <w:tc>
          <w:tcPr>
            <w:tcW w:w="380" w:type="dxa"/>
            <w:vAlign w:val="bottom"/>
            <w:gridSpan w:val="2"/>
            <w:shd w:val="clear" w:color="auto" w:fill="D4EEED"/>
          </w:tcPr>
          <w:p>
            <w:pPr>
              <w:jc w:val="center"/>
              <w:ind w:left="11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1,994</w:t>
            </w:r>
          </w:p>
        </w:tc>
        <w:tc>
          <w:tcPr>
            <w:tcW w:w="80" w:type="dxa"/>
            <w:vAlign w:val="bottom"/>
            <w:shd w:val="clear" w:color="auto" w:fill="D4EEED"/>
          </w:tcPr>
          <w:p>
            <w:pPr>
              <w:spacing w:after="0"/>
              <w:rPr>
                <w:sz w:val="21"/>
                <w:szCs w:val="21"/>
                <w:color w:val="auto"/>
              </w:rPr>
            </w:pPr>
          </w:p>
        </w:tc>
      </w:tr>
      <w:tr>
        <w:trPr>
          <w:trHeight w:val="244"/>
        </w:trPr>
        <w:tc>
          <w:tcPr>
            <w:tcW w:w="49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Interest receivable</w:t>
            </w:r>
          </w:p>
        </w:tc>
        <w:tc>
          <w:tcPr>
            <w:tcW w:w="14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1,054</w:t>
            </w: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80" w:type="dxa"/>
            <w:vAlign w:val="bottom"/>
            <w:shd w:val="clear" w:color="auto" w:fill="FEFEFE"/>
          </w:tcPr>
          <w:p>
            <w:pPr>
              <w:spacing w:after="0"/>
              <w:rPr>
                <w:sz w:val="21"/>
                <w:szCs w:val="21"/>
                <w:color w:val="auto"/>
              </w:rPr>
            </w:pPr>
          </w:p>
        </w:tc>
      </w:tr>
      <w:tr>
        <w:trPr>
          <w:trHeight w:val="244"/>
        </w:trPr>
        <w:tc>
          <w:tcPr>
            <w:tcW w:w="496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Prepaid insurance</w:t>
            </w:r>
          </w:p>
        </w:tc>
        <w:tc>
          <w:tcPr>
            <w:tcW w:w="146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240" w:type="dxa"/>
            <w:vAlign w:val="bottom"/>
            <w:shd w:val="clear" w:color="auto" w:fill="D4EEED"/>
          </w:tcPr>
          <w:p>
            <w:pPr>
              <w:spacing w:after="0"/>
              <w:rPr>
                <w:sz w:val="21"/>
                <w:szCs w:val="21"/>
                <w:color w:val="auto"/>
              </w:rPr>
            </w:pPr>
          </w:p>
        </w:tc>
        <w:tc>
          <w:tcPr>
            <w:tcW w:w="140" w:type="dxa"/>
            <w:vAlign w:val="bottom"/>
            <w:shd w:val="clear" w:color="auto" w:fill="D4EEED"/>
          </w:tcPr>
          <w:p>
            <w:pPr>
              <w:spacing w:after="0"/>
              <w:rPr>
                <w:sz w:val="21"/>
                <w:szCs w:val="21"/>
                <w:color w:val="auto"/>
              </w:rPr>
            </w:pPr>
          </w:p>
        </w:tc>
        <w:tc>
          <w:tcPr>
            <w:tcW w:w="11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682</w:t>
            </w:r>
          </w:p>
        </w:tc>
        <w:tc>
          <w:tcPr>
            <w:tcW w:w="80" w:type="dxa"/>
            <w:vAlign w:val="bottom"/>
            <w:shd w:val="clear" w:color="auto" w:fill="D4EEED"/>
          </w:tcPr>
          <w:p>
            <w:pPr>
              <w:spacing w:after="0"/>
              <w:rPr>
                <w:sz w:val="21"/>
                <w:szCs w:val="21"/>
                <w:color w:val="auto"/>
              </w:rPr>
            </w:pPr>
          </w:p>
        </w:tc>
      </w:tr>
      <w:tr>
        <w:trPr>
          <w:trHeight w:val="244"/>
        </w:trPr>
        <w:tc>
          <w:tcPr>
            <w:tcW w:w="4960" w:type="dxa"/>
            <w:vAlign w:val="bottom"/>
            <w:tcBorders>
              <w:bottom w:val="single" w:sz="8" w:color="D4EEED"/>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Other prepaid expenses and other assets</w:t>
            </w:r>
          </w:p>
        </w:tc>
        <w:tc>
          <w:tcPr>
            <w:tcW w:w="1460" w:type="dxa"/>
            <w:vAlign w:val="bottom"/>
            <w:tcBorders>
              <w:bottom w:val="single" w:sz="8" w:color="D4EEED"/>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240" w:type="dxa"/>
            <w:vAlign w:val="bottom"/>
            <w:tcBorders>
              <w:bottom w:val="single" w:sz="8" w:color="D4EEED"/>
            </w:tcBorders>
            <w:shd w:val="clear" w:color="auto" w:fill="FEFEFE"/>
          </w:tcPr>
          <w:p>
            <w:pPr>
              <w:spacing w:after="0"/>
              <w:rPr>
                <w:sz w:val="21"/>
                <w:szCs w:val="21"/>
                <w:color w:val="auto"/>
              </w:rPr>
            </w:pPr>
          </w:p>
        </w:tc>
        <w:tc>
          <w:tcPr>
            <w:tcW w:w="140" w:type="dxa"/>
            <w:vAlign w:val="bottom"/>
            <w:tcBorders>
              <w:bottom w:val="single" w:sz="8" w:color="auto"/>
            </w:tcBorders>
            <w:shd w:val="clear" w:color="auto" w:fill="FEFEFE"/>
          </w:tcPr>
          <w:p>
            <w:pPr>
              <w:spacing w:after="0"/>
              <w:rPr>
                <w:sz w:val="21"/>
                <w:szCs w:val="21"/>
                <w:color w:val="auto"/>
              </w:rPr>
            </w:pP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80" w:type="dxa"/>
            <w:vAlign w:val="bottom"/>
            <w:tcBorders>
              <w:bottom w:val="single" w:sz="8" w:color="D4EEED"/>
            </w:tcBorders>
            <w:shd w:val="clear" w:color="auto" w:fill="FEFEFE"/>
          </w:tcPr>
          <w:p>
            <w:pPr>
              <w:spacing w:after="0"/>
              <w:rPr>
                <w:sz w:val="21"/>
                <w:szCs w:val="21"/>
                <w:color w:val="auto"/>
              </w:rPr>
            </w:pPr>
          </w:p>
        </w:tc>
      </w:tr>
      <w:tr>
        <w:trPr>
          <w:trHeight w:val="234"/>
        </w:trPr>
        <w:tc>
          <w:tcPr>
            <w:tcW w:w="496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Total prepaid expenses and other assets</w:t>
            </w:r>
          </w:p>
        </w:tc>
        <w:tc>
          <w:tcPr>
            <w:tcW w:w="1460" w:type="dxa"/>
            <w:vAlign w:val="bottom"/>
            <w:shd w:val="clear" w:color="auto" w:fill="D4EEED"/>
          </w:tcPr>
          <w:p>
            <w:pPr>
              <w:spacing w:after="0"/>
              <w:rPr>
                <w:sz w:val="20"/>
                <w:szCs w:val="20"/>
                <w:color w:val="auto"/>
              </w:rPr>
            </w:pPr>
          </w:p>
        </w:tc>
        <w:tc>
          <w:tcPr>
            <w:tcW w:w="14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11,850</w:t>
            </w:r>
          </w:p>
        </w:tc>
        <w:tc>
          <w:tcPr>
            <w:tcW w:w="240" w:type="dxa"/>
            <w:vAlign w:val="bottom"/>
            <w:shd w:val="clear" w:color="auto" w:fill="D4EEED"/>
          </w:tcPr>
          <w:p>
            <w:pPr>
              <w:spacing w:after="0"/>
              <w:rPr>
                <w:sz w:val="20"/>
                <w:szCs w:val="20"/>
                <w:color w:val="auto"/>
              </w:rPr>
            </w:pPr>
          </w:p>
        </w:tc>
        <w:tc>
          <w:tcPr>
            <w:tcW w:w="140" w:type="dxa"/>
            <w:vAlign w:val="bottom"/>
            <w:tcBorders>
              <w:bottom w:val="single" w:sz="8" w:color="auto"/>
            </w:tcBorders>
            <w:shd w:val="clear" w:color="auto" w:fill="D4EEED"/>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3,385</w:t>
            </w:r>
          </w:p>
        </w:tc>
        <w:tc>
          <w:tcPr>
            <w:tcW w:w="80" w:type="dxa"/>
            <w:vAlign w:val="bottom"/>
            <w:shd w:val="clear" w:color="auto" w:fill="D4EEED"/>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4" w:lineRule="exact"/>
        <w:rPr>
          <w:sz w:val="20"/>
          <w:szCs w:val="20"/>
          <w:color w:val="auto"/>
        </w:rPr>
      </w:pPr>
    </w:p>
    <w:p>
      <w:pPr>
        <w:ind w:left="860" w:hanging="500"/>
        <w:spacing w:after="0"/>
        <w:tabs>
          <w:tab w:leader="none" w:pos="86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Fixed Assets</w:t>
      </w:r>
    </w:p>
    <w:p>
      <w:pPr>
        <w:spacing w:after="0" w:line="124" w:lineRule="exact"/>
        <w:rPr>
          <w:rFonts w:ascii="Times New Roman" w:cs="Times New Roman" w:eastAsia="Times New Roman" w:hAnsi="Times New Roman"/>
          <w:sz w:val="20"/>
          <w:szCs w:val="20"/>
          <w:b w:val="1"/>
          <w:bCs w:val="1"/>
          <w:color w:val="auto"/>
        </w:rPr>
      </w:pPr>
    </w:p>
    <w:p>
      <w:pPr>
        <w:ind w:left="8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Fixed assets, net consisted of the following:</w:t>
      </w: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4300" w:type="dxa"/>
            <w:vAlign w:val="bottom"/>
            <w:shd w:val="clear" w:color="auto" w:fill="FEFEFE"/>
          </w:tcPr>
          <w:p>
            <w:pPr>
              <w:spacing w:after="0"/>
              <w:rPr>
                <w:sz w:val="17"/>
                <w:szCs w:val="17"/>
                <w:color w:val="auto"/>
              </w:rPr>
            </w:pPr>
          </w:p>
        </w:tc>
        <w:tc>
          <w:tcPr>
            <w:tcW w:w="2360" w:type="dxa"/>
            <w:vAlign w:val="bottom"/>
            <w:shd w:val="clear" w:color="auto" w:fill="FEFEFE"/>
          </w:tcPr>
          <w:p>
            <w:pPr>
              <w:spacing w:after="0"/>
              <w:rPr>
                <w:sz w:val="17"/>
                <w:szCs w:val="17"/>
                <w:color w:val="auto"/>
              </w:rPr>
            </w:pPr>
          </w:p>
        </w:tc>
        <w:tc>
          <w:tcPr>
            <w:tcW w:w="160" w:type="dxa"/>
            <w:vAlign w:val="bottom"/>
            <w:shd w:val="clear" w:color="auto" w:fill="FEFEFE"/>
          </w:tcPr>
          <w:p>
            <w:pPr>
              <w:spacing w:after="0"/>
              <w:rPr>
                <w:sz w:val="17"/>
                <w:szCs w:val="17"/>
                <w:color w:val="auto"/>
              </w:rPr>
            </w:pPr>
          </w:p>
        </w:tc>
        <w:tc>
          <w:tcPr>
            <w:tcW w:w="1260" w:type="dxa"/>
            <w:vAlign w:val="bottom"/>
            <w:gridSpan w:val="3"/>
            <w:shd w:val="clear" w:color="auto" w:fill="FEFEFE"/>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shd w:val="clear" w:color="auto" w:fill="FEFEFE"/>
          </w:tcPr>
          <w:p>
            <w:pPr>
              <w:spacing w:after="0"/>
              <w:rPr>
                <w:sz w:val="17"/>
                <w:szCs w:val="17"/>
                <w:color w:val="auto"/>
              </w:rPr>
            </w:pPr>
          </w:p>
        </w:tc>
        <w:tc>
          <w:tcPr>
            <w:tcW w:w="1200" w:type="dxa"/>
            <w:vAlign w:val="bottom"/>
            <w:gridSpan w:val="3"/>
            <w:shd w:val="clear" w:color="auto" w:fill="FEFEFE"/>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8"/>
        </w:trPr>
        <w:tc>
          <w:tcPr>
            <w:tcW w:w="4300" w:type="dxa"/>
            <w:vAlign w:val="bottom"/>
            <w:tcBorders>
              <w:bottom w:val="single" w:sz="8" w:color="FEFEFE"/>
            </w:tcBorders>
            <w:shd w:val="clear" w:color="auto" w:fill="FEFEFE"/>
          </w:tcPr>
          <w:p>
            <w:pPr>
              <w:spacing w:after="0"/>
              <w:rPr>
                <w:sz w:val="17"/>
                <w:szCs w:val="17"/>
                <w:color w:val="auto"/>
              </w:rPr>
            </w:pPr>
          </w:p>
        </w:tc>
        <w:tc>
          <w:tcPr>
            <w:tcW w:w="2360" w:type="dxa"/>
            <w:vAlign w:val="bottom"/>
            <w:tcBorders>
              <w:bottom w:val="single" w:sz="8" w:color="FEFEFE"/>
            </w:tcBorders>
            <w:shd w:val="clear" w:color="auto" w:fill="FEFEFE"/>
          </w:tcPr>
          <w:p>
            <w:pPr>
              <w:jc w:val="center"/>
              <w:ind w:left="1124"/>
              <w:spacing w:after="0"/>
              <w:rPr>
                <w:sz w:val="20"/>
                <w:szCs w:val="20"/>
                <w:color w:val="auto"/>
              </w:rPr>
            </w:pPr>
            <w:r>
              <w:rPr>
                <w:rFonts w:ascii="Times New Roman" w:cs="Times New Roman" w:eastAsia="Times New Roman" w:hAnsi="Times New Roman"/>
                <w:sz w:val="16"/>
                <w:szCs w:val="16"/>
                <w:b w:val="1"/>
                <w:bCs w:val="1"/>
                <w:color w:val="auto"/>
                <w:w w:val="98"/>
              </w:rPr>
              <w:t>Useful Life</w:t>
            </w:r>
          </w:p>
        </w:tc>
        <w:tc>
          <w:tcPr>
            <w:tcW w:w="160" w:type="dxa"/>
            <w:vAlign w:val="bottom"/>
            <w:tcBorders>
              <w:bottom w:val="single" w:sz="8" w:color="FEFEFE"/>
            </w:tcBorders>
            <w:shd w:val="clear" w:color="auto" w:fill="FEFEFE"/>
          </w:tcPr>
          <w:p>
            <w:pPr>
              <w:spacing w:after="0"/>
              <w:rPr>
                <w:sz w:val="17"/>
                <w:szCs w:val="17"/>
                <w:color w:val="auto"/>
              </w:rPr>
            </w:pPr>
          </w:p>
        </w:tc>
        <w:tc>
          <w:tcPr>
            <w:tcW w:w="240" w:type="dxa"/>
            <w:vAlign w:val="bottom"/>
            <w:tcBorders>
              <w:bottom w:val="single" w:sz="8" w:color="auto"/>
            </w:tcBorders>
            <w:shd w:val="clear" w:color="auto" w:fill="FEFEFE"/>
          </w:tcPr>
          <w:p>
            <w:pPr>
              <w:spacing w:after="0"/>
              <w:rPr>
                <w:sz w:val="17"/>
                <w:szCs w:val="17"/>
                <w:color w:val="auto"/>
              </w:rPr>
            </w:pPr>
          </w:p>
        </w:tc>
        <w:tc>
          <w:tcPr>
            <w:tcW w:w="880" w:type="dxa"/>
            <w:vAlign w:val="bottom"/>
            <w:tcBorders>
              <w:bottom w:val="single" w:sz="8" w:color="auto"/>
            </w:tcBorders>
            <w:shd w:val="clear" w:color="auto" w:fill="FEFEFE"/>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FEFEFE"/>
            </w:tcBorders>
            <w:shd w:val="clear" w:color="auto" w:fill="FEFEFE"/>
          </w:tcPr>
          <w:p>
            <w:pPr>
              <w:spacing w:after="0"/>
              <w:rPr>
                <w:sz w:val="17"/>
                <w:szCs w:val="17"/>
                <w:color w:val="auto"/>
              </w:rPr>
            </w:pPr>
          </w:p>
        </w:tc>
        <w:tc>
          <w:tcPr>
            <w:tcW w:w="80" w:type="dxa"/>
            <w:vAlign w:val="bottom"/>
            <w:tcBorders>
              <w:bottom w:val="single" w:sz="8" w:color="FEFEFE"/>
            </w:tcBorders>
            <w:shd w:val="clear" w:color="auto" w:fill="FEFEFE"/>
          </w:tcPr>
          <w:p>
            <w:pPr>
              <w:spacing w:after="0"/>
              <w:rPr>
                <w:sz w:val="17"/>
                <w:szCs w:val="17"/>
                <w:color w:val="auto"/>
              </w:rPr>
            </w:pPr>
          </w:p>
        </w:tc>
        <w:tc>
          <w:tcPr>
            <w:tcW w:w="380" w:type="dxa"/>
            <w:vAlign w:val="bottom"/>
            <w:tcBorders>
              <w:bottom w:val="single" w:sz="8" w:color="auto"/>
            </w:tcBorders>
            <w:shd w:val="clear" w:color="auto" w:fill="FEFEFE"/>
          </w:tcPr>
          <w:p>
            <w:pPr>
              <w:spacing w:after="0"/>
              <w:rPr>
                <w:sz w:val="17"/>
                <w:szCs w:val="17"/>
                <w:color w:val="auto"/>
              </w:rPr>
            </w:pPr>
          </w:p>
        </w:tc>
        <w:tc>
          <w:tcPr>
            <w:tcW w:w="740" w:type="dxa"/>
            <w:vAlign w:val="bottom"/>
            <w:tcBorders>
              <w:bottom w:val="single" w:sz="8" w:color="auto"/>
            </w:tcBorders>
            <w:shd w:val="clear" w:color="auto" w:fill="FEFEFE"/>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80" w:type="dxa"/>
            <w:vAlign w:val="bottom"/>
            <w:tcBorders>
              <w:bottom w:val="single" w:sz="8" w:color="FEFEFE"/>
            </w:tcBorders>
            <w:shd w:val="clear" w:color="auto" w:fill="FEFEFE"/>
          </w:tcPr>
          <w:p>
            <w:pPr>
              <w:spacing w:after="0"/>
              <w:rPr>
                <w:sz w:val="17"/>
                <w:szCs w:val="17"/>
                <w:color w:val="auto"/>
              </w:rPr>
            </w:pPr>
          </w:p>
        </w:tc>
      </w:tr>
      <w:tr>
        <w:trPr>
          <w:trHeight w:val="178"/>
        </w:trPr>
        <w:tc>
          <w:tcPr>
            <w:tcW w:w="4300" w:type="dxa"/>
            <w:vAlign w:val="bottom"/>
            <w:shd w:val="clear" w:color="auto" w:fill="FEFEFE"/>
          </w:tcPr>
          <w:p>
            <w:pPr>
              <w:spacing w:after="0"/>
              <w:rPr>
                <w:sz w:val="15"/>
                <w:szCs w:val="15"/>
                <w:color w:val="auto"/>
              </w:rPr>
            </w:pPr>
          </w:p>
        </w:tc>
        <w:tc>
          <w:tcPr>
            <w:tcW w:w="2360" w:type="dxa"/>
            <w:vAlign w:val="bottom"/>
            <w:shd w:val="clear" w:color="auto" w:fill="FEFEFE"/>
          </w:tcPr>
          <w:p>
            <w:pPr>
              <w:spacing w:after="0"/>
              <w:rPr>
                <w:sz w:val="15"/>
                <w:szCs w:val="15"/>
                <w:color w:val="auto"/>
              </w:rPr>
            </w:pPr>
          </w:p>
        </w:tc>
        <w:tc>
          <w:tcPr>
            <w:tcW w:w="160" w:type="dxa"/>
            <w:vAlign w:val="bottom"/>
            <w:shd w:val="clear" w:color="auto" w:fill="FEFEFE"/>
          </w:tcPr>
          <w:p>
            <w:pPr>
              <w:spacing w:after="0"/>
              <w:rPr>
                <w:sz w:val="15"/>
                <w:szCs w:val="15"/>
                <w:color w:val="auto"/>
              </w:rPr>
            </w:pPr>
          </w:p>
        </w:tc>
        <w:tc>
          <w:tcPr>
            <w:tcW w:w="240" w:type="dxa"/>
            <w:vAlign w:val="bottom"/>
            <w:shd w:val="clear" w:color="auto" w:fill="FEFEFE"/>
          </w:tcPr>
          <w:p>
            <w:pPr>
              <w:spacing w:after="0"/>
              <w:rPr>
                <w:sz w:val="15"/>
                <w:szCs w:val="15"/>
                <w:color w:val="auto"/>
              </w:rPr>
            </w:pPr>
          </w:p>
        </w:tc>
        <w:tc>
          <w:tcPr>
            <w:tcW w:w="880" w:type="dxa"/>
            <w:vAlign w:val="bottom"/>
            <w:shd w:val="clear" w:color="auto" w:fill="FEFEFE"/>
          </w:tcPr>
          <w:p>
            <w:pPr>
              <w:jc w:val="right"/>
              <w:ind w:right="104"/>
              <w:spacing w:after="0" w:line="178" w:lineRule="exact"/>
              <w:rPr>
                <w:sz w:val="20"/>
                <w:szCs w:val="20"/>
                <w:color w:val="auto"/>
              </w:rPr>
            </w:pPr>
            <w:r>
              <w:rPr>
                <w:rFonts w:ascii="Times New Roman" w:cs="Times New Roman" w:eastAsia="Times New Roman" w:hAnsi="Times New Roman"/>
                <w:sz w:val="16"/>
                <w:szCs w:val="16"/>
                <w:b w:val="1"/>
                <w:bCs w:val="1"/>
                <w:color w:val="auto"/>
              </w:rPr>
              <w:t>(in</w:t>
            </w:r>
          </w:p>
        </w:tc>
        <w:tc>
          <w:tcPr>
            <w:tcW w:w="600" w:type="dxa"/>
            <w:vAlign w:val="bottom"/>
            <w:gridSpan w:val="3"/>
            <w:shd w:val="clear" w:color="auto" w:fill="FEFEFE"/>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74"/>
              </w:rPr>
              <w:t>thousands)</w:t>
            </w:r>
          </w:p>
        </w:tc>
        <w:tc>
          <w:tcPr>
            <w:tcW w:w="740" w:type="dxa"/>
            <w:vAlign w:val="bottom"/>
            <w:shd w:val="clear" w:color="auto" w:fill="FEFEFE"/>
          </w:tcPr>
          <w:p>
            <w:pPr>
              <w:spacing w:after="0"/>
              <w:rPr>
                <w:sz w:val="15"/>
                <w:szCs w:val="15"/>
                <w:color w:val="auto"/>
              </w:rPr>
            </w:pPr>
          </w:p>
        </w:tc>
        <w:tc>
          <w:tcPr>
            <w:tcW w:w="80" w:type="dxa"/>
            <w:vAlign w:val="bottom"/>
            <w:shd w:val="clear" w:color="auto" w:fill="FEFEFE"/>
          </w:tcPr>
          <w:p>
            <w:pPr>
              <w:spacing w:after="0"/>
              <w:rPr>
                <w:sz w:val="15"/>
                <w:szCs w:val="15"/>
                <w:color w:val="auto"/>
              </w:rPr>
            </w:pPr>
          </w:p>
        </w:tc>
      </w:tr>
      <w:tr>
        <w:trPr>
          <w:trHeight w:val="244"/>
        </w:trPr>
        <w:tc>
          <w:tcPr>
            <w:tcW w:w="430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2360" w:type="dxa"/>
            <w:vAlign w:val="bottom"/>
            <w:shd w:val="clear" w:color="auto" w:fill="D4EEED"/>
          </w:tcPr>
          <w:p>
            <w:pPr>
              <w:jc w:val="center"/>
              <w:ind w:left="1124"/>
              <w:spacing w:after="0"/>
              <w:rPr>
                <w:sz w:val="20"/>
                <w:szCs w:val="20"/>
                <w:color w:val="auto"/>
              </w:rPr>
            </w:pPr>
            <w:r>
              <w:rPr>
                <w:rFonts w:ascii="Times New Roman" w:cs="Times New Roman" w:eastAsia="Times New Roman" w:hAnsi="Times New Roman"/>
                <w:sz w:val="20"/>
                <w:szCs w:val="20"/>
                <w:color w:val="auto"/>
              </w:rPr>
              <w:t>5 years</w:t>
            </w:r>
          </w:p>
        </w:tc>
        <w:tc>
          <w:tcPr>
            <w:tcW w:w="400" w:type="dxa"/>
            <w:vAlign w:val="bottom"/>
            <w:gridSpan w:val="2"/>
            <w:shd w:val="clear" w:color="auto" w:fill="D4EEED"/>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140" w:type="dxa"/>
            <w:vAlign w:val="bottom"/>
            <w:shd w:val="clear" w:color="auto" w:fill="D4EEED"/>
          </w:tcPr>
          <w:p>
            <w:pPr>
              <w:spacing w:after="0"/>
              <w:rPr>
                <w:sz w:val="21"/>
                <w:szCs w:val="21"/>
                <w:color w:val="auto"/>
              </w:rPr>
            </w:pPr>
          </w:p>
        </w:tc>
        <w:tc>
          <w:tcPr>
            <w:tcW w:w="460" w:type="dxa"/>
            <w:vAlign w:val="bottom"/>
            <w:gridSpan w:val="2"/>
            <w:shd w:val="clear" w:color="auto" w:fill="D4EEED"/>
          </w:tcPr>
          <w:p>
            <w:pPr>
              <w:jc w:val="right"/>
              <w:ind w:right="19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80" w:type="dxa"/>
            <w:vAlign w:val="bottom"/>
            <w:shd w:val="clear" w:color="auto" w:fill="D4EEED"/>
          </w:tcPr>
          <w:p>
            <w:pPr>
              <w:spacing w:after="0"/>
              <w:rPr>
                <w:sz w:val="21"/>
                <w:szCs w:val="21"/>
                <w:color w:val="auto"/>
              </w:rPr>
            </w:pPr>
          </w:p>
        </w:tc>
      </w:tr>
      <w:tr>
        <w:trPr>
          <w:trHeight w:val="244"/>
        </w:trPr>
        <w:tc>
          <w:tcPr>
            <w:tcW w:w="430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Lab equipment</w:t>
            </w:r>
          </w:p>
        </w:tc>
        <w:tc>
          <w:tcPr>
            <w:tcW w:w="2360" w:type="dxa"/>
            <w:vAlign w:val="bottom"/>
            <w:shd w:val="clear" w:color="auto" w:fill="FEFEFE"/>
          </w:tcPr>
          <w:p>
            <w:pPr>
              <w:jc w:val="center"/>
              <w:ind w:left="1124"/>
              <w:spacing w:after="0"/>
              <w:rPr>
                <w:sz w:val="20"/>
                <w:szCs w:val="20"/>
                <w:color w:val="auto"/>
              </w:rPr>
            </w:pPr>
            <w:r>
              <w:rPr>
                <w:rFonts w:ascii="Times New Roman" w:cs="Times New Roman" w:eastAsia="Times New Roman" w:hAnsi="Times New Roman"/>
                <w:sz w:val="20"/>
                <w:szCs w:val="20"/>
                <w:color w:val="auto"/>
              </w:rPr>
              <w:t>5 years</w:t>
            </w:r>
          </w:p>
        </w:tc>
        <w:tc>
          <w:tcPr>
            <w:tcW w:w="160" w:type="dxa"/>
            <w:vAlign w:val="bottom"/>
            <w:shd w:val="clear" w:color="auto" w:fill="FEFEFE"/>
          </w:tcPr>
          <w:p>
            <w:pPr>
              <w:spacing w:after="0"/>
              <w:rPr>
                <w:sz w:val="21"/>
                <w:szCs w:val="21"/>
                <w:color w:val="auto"/>
              </w:rPr>
            </w:pPr>
          </w:p>
        </w:tc>
        <w:tc>
          <w:tcPr>
            <w:tcW w:w="240" w:type="dxa"/>
            <w:vAlign w:val="bottom"/>
            <w:shd w:val="clear" w:color="auto" w:fill="FEFEFE"/>
          </w:tcPr>
          <w:p>
            <w:pPr>
              <w:spacing w:after="0"/>
              <w:rPr>
                <w:sz w:val="21"/>
                <w:szCs w:val="21"/>
                <w:color w:val="auto"/>
              </w:rPr>
            </w:pPr>
          </w:p>
        </w:tc>
        <w:tc>
          <w:tcPr>
            <w:tcW w:w="8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1,707</w:t>
            </w:r>
          </w:p>
        </w:tc>
        <w:tc>
          <w:tcPr>
            <w:tcW w:w="14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380" w:type="dxa"/>
            <w:vAlign w:val="bottom"/>
            <w:shd w:val="clear" w:color="auto" w:fill="FEFEFE"/>
          </w:tcPr>
          <w:p>
            <w:pPr>
              <w:spacing w:after="0"/>
              <w:rPr>
                <w:sz w:val="21"/>
                <w:szCs w:val="21"/>
                <w:color w:val="auto"/>
              </w:rPr>
            </w:pPr>
          </w:p>
        </w:tc>
        <w:tc>
          <w:tcPr>
            <w:tcW w:w="7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80" w:type="dxa"/>
            <w:vAlign w:val="bottom"/>
            <w:shd w:val="clear" w:color="auto" w:fill="FEFEFE"/>
          </w:tcPr>
          <w:p>
            <w:pPr>
              <w:spacing w:after="0"/>
              <w:rPr>
                <w:sz w:val="21"/>
                <w:szCs w:val="21"/>
                <w:color w:val="auto"/>
              </w:rPr>
            </w:pPr>
          </w:p>
        </w:tc>
      </w:tr>
      <w:tr>
        <w:trPr>
          <w:trHeight w:val="244"/>
        </w:trPr>
        <w:tc>
          <w:tcPr>
            <w:tcW w:w="430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2360" w:type="dxa"/>
            <w:vAlign w:val="bottom"/>
            <w:shd w:val="clear" w:color="auto" w:fill="D4EEED"/>
          </w:tcPr>
          <w:p>
            <w:pPr>
              <w:jc w:val="center"/>
              <w:ind w:left="1124"/>
              <w:spacing w:after="0"/>
              <w:rPr>
                <w:sz w:val="20"/>
                <w:szCs w:val="20"/>
                <w:color w:val="auto"/>
              </w:rPr>
            </w:pPr>
            <w:r>
              <w:rPr>
                <w:rFonts w:ascii="Times New Roman" w:cs="Times New Roman" w:eastAsia="Times New Roman" w:hAnsi="Times New Roman"/>
                <w:sz w:val="20"/>
                <w:szCs w:val="20"/>
                <w:color w:val="auto"/>
              </w:rPr>
              <w:t>7 years</w:t>
            </w:r>
          </w:p>
        </w:tc>
        <w:tc>
          <w:tcPr>
            <w:tcW w:w="160" w:type="dxa"/>
            <w:vAlign w:val="bottom"/>
            <w:shd w:val="clear" w:color="auto" w:fill="D4EEED"/>
          </w:tcPr>
          <w:p>
            <w:pPr>
              <w:spacing w:after="0"/>
              <w:rPr>
                <w:sz w:val="21"/>
                <w:szCs w:val="21"/>
                <w:color w:val="auto"/>
              </w:rPr>
            </w:pPr>
          </w:p>
        </w:tc>
        <w:tc>
          <w:tcPr>
            <w:tcW w:w="240" w:type="dxa"/>
            <w:vAlign w:val="bottom"/>
            <w:shd w:val="clear" w:color="auto" w:fill="D4EEED"/>
          </w:tcPr>
          <w:p>
            <w:pPr>
              <w:spacing w:after="0"/>
              <w:rPr>
                <w:sz w:val="21"/>
                <w:szCs w:val="21"/>
                <w:color w:val="auto"/>
              </w:rPr>
            </w:pPr>
          </w:p>
        </w:tc>
        <w:tc>
          <w:tcPr>
            <w:tcW w:w="8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140" w:type="dxa"/>
            <w:vAlign w:val="bottom"/>
            <w:shd w:val="clear" w:color="auto" w:fill="D4EEED"/>
          </w:tcPr>
          <w:p>
            <w:pPr>
              <w:spacing w:after="0"/>
              <w:rPr>
                <w:sz w:val="21"/>
                <w:szCs w:val="21"/>
                <w:color w:val="auto"/>
              </w:rPr>
            </w:pPr>
          </w:p>
        </w:tc>
        <w:tc>
          <w:tcPr>
            <w:tcW w:w="80" w:type="dxa"/>
            <w:vAlign w:val="bottom"/>
            <w:shd w:val="clear" w:color="auto" w:fill="D4EEED"/>
          </w:tcPr>
          <w:p>
            <w:pPr>
              <w:spacing w:after="0"/>
              <w:rPr>
                <w:sz w:val="21"/>
                <w:szCs w:val="21"/>
                <w:color w:val="auto"/>
              </w:rPr>
            </w:pPr>
          </w:p>
        </w:tc>
        <w:tc>
          <w:tcPr>
            <w:tcW w:w="380" w:type="dxa"/>
            <w:vAlign w:val="bottom"/>
            <w:shd w:val="clear" w:color="auto" w:fill="D4EEED"/>
          </w:tcPr>
          <w:p>
            <w:pPr>
              <w:spacing w:after="0"/>
              <w:rPr>
                <w:sz w:val="21"/>
                <w:szCs w:val="21"/>
                <w:color w:val="auto"/>
              </w:rPr>
            </w:pPr>
          </w:p>
        </w:tc>
        <w:tc>
          <w:tcPr>
            <w:tcW w:w="74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80" w:type="dxa"/>
            <w:vAlign w:val="bottom"/>
            <w:shd w:val="clear" w:color="auto" w:fill="D4EEED"/>
          </w:tcPr>
          <w:p>
            <w:pPr>
              <w:spacing w:after="0"/>
              <w:rPr>
                <w:sz w:val="21"/>
                <w:szCs w:val="21"/>
                <w:color w:val="auto"/>
              </w:rPr>
            </w:pPr>
          </w:p>
        </w:tc>
      </w:tr>
      <w:tr>
        <w:trPr>
          <w:trHeight w:val="244"/>
        </w:trPr>
        <w:tc>
          <w:tcPr>
            <w:tcW w:w="4300" w:type="dxa"/>
            <w:vAlign w:val="bottom"/>
            <w:tcBorders>
              <w:bottom w:val="single" w:sz="8" w:color="D4EEED"/>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360" w:type="dxa"/>
            <w:vAlign w:val="bottom"/>
            <w:tcBorders>
              <w:bottom w:val="single" w:sz="8" w:color="D4EEED"/>
            </w:tcBorders>
            <w:shd w:val="clear" w:color="auto" w:fill="FEFEFE"/>
          </w:tcPr>
          <w:p>
            <w:pPr>
              <w:jc w:val="center"/>
              <w:ind w:left="1124"/>
              <w:spacing w:after="0"/>
              <w:rPr>
                <w:sz w:val="20"/>
                <w:szCs w:val="20"/>
                <w:color w:val="auto"/>
              </w:rPr>
            </w:pPr>
            <w:r>
              <w:rPr>
                <w:rFonts w:ascii="Times New Roman" w:cs="Times New Roman" w:eastAsia="Times New Roman" w:hAnsi="Times New Roman"/>
                <w:sz w:val="20"/>
                <w:szCs w:val="20"/>
                <w:color w:val="auto"/>
              </w:rPr>
              <w:t>lease term</w:t>
            </w:r>
          </w:p>
        </w:tc>
        <w:tc>
          <w:tcPr>
            <w:tcW w:w="160" w:type="dxa"/>
            <w:vAlign w:val="bottom"/>
            <w:tcBorders>
              <w:bottom w:val="single" w:sz="8" w:color="D4EEED"/>
            </w:tcBorders>
            <w:shd w:val="clear" w:color="auto" w:fill="FEFEFE"/>
          </w:tcPr>
          <w:p>
            <w:pPr>
              <w:spacing w:after="0"/>
              <w:rPr>
                <w:sz w:val="21"/>
                <w:szCs w:val="21"/>
                <w:color w:val="auto"/>
              </w:rPr>
            </w:pPr>
          </w:p>
        </w:tc>
        <w:tc>
          <w:tcPr>
            <w:tcW w:w="240" w:type="dxa"/>
            <w:vAlign w:val="bottom"/>
            <w:tcBorders>
              <w:bottom w:val="single" w:sz="8" w:color="auto"/>
            </w:tcBorders>
            <w:shd w:val="clear" w:color="auto" w:fill="FEFEFE"/>
          </w:tcPr>
          <w:p>
            <w:pPr>
              <w:spacing w:after="0"/>
              <w:rPr>
                <w:sz w:val="21"/>
                <w:szCs w:val="21"/>
                <w:color w:val="auto"/>
              </w:rPr>
            </w:pPr>
          </w:p>
        </w:tc>
        <w:tc>
          <w:tcPr>
            <w:tcW w:w="8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40" w:type="dxa"/>
            <w:vAlign w:val="bottom"/>
            <w:tcBorders>
              <w:bottom w:val="single" w:sz="8" w:color="D4EEED"/>
            </w:tcBorders>
            <w:shd w:val="clear" w:color="auto" w:fill="FEFEFE"/>
          </w:tcPr>
          <w:p>
            <w:pPr>
              <w:spacing w:after="0"/>
              <w:rPr>
                <w:sz w:val="21"/>
                <w:szCs w:val="21"/>
                <w:color w:val="auto"/>
              </w:rPr>
            </w:pPr>
          </w:p>
        </w:tc>
        <w:tc>
          <w:tcPr>
            <w:tcW w:w="80" w:type="dxa"/>
            <w:vAlign w:val="bottom"/>
            <w:tcBorders>
              <w:bottom w:val="single" w:sz="8" w:color="D4EEED"/>
            </w:tcBorders>
            <w:shd w:val="clear" w:color="auto" w:fill="FEFEFE"/>
          </w:tcPr>
          <w:p>
            <w:pPr>
              <w:spacing w:after="0"/>
              <w:rPr>
                <w:sz w:val="21"/>
                <w:szCs w:val="21"/>
                <w:color w:val="auto"/>
              </w:rPr>
            </w:pPr>
          </w:p>
        </w:tc>
        <w:tc>
          <w:tcPr>
            <w:tcW w:w="380" w:type="dxa"/>
            <w:vAlign w:val="bottom"/>
            <w:tcBorders>
              <w:bottom w:val="single" w:sz="8" w:color="auto"/>
            </w:tcBorders>
            <w:shd w:val="clear" w:color="auto" w:fill="FEFEFE"/>
          </w:tcPr>
          <w:p>
            <w:pPr>
              <w:spacing w:after="0"/>
              <w:rPr>
                <w:sz w:val="21"/>
                <w:szCs w:val="21"/>
                <w:color w:val="auto"/>
              </w:rPr>
            </w:pPr>
          </w:p>
        </w:tc>
        <w:tc>
          <w:tcPr>
            <w:tcW w:w="7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80" w:type="dxa"/>
            <w:vAlign w:val="bottom"/>
            <w:tcBorders>
              <w:bottom w:val="single" w:sz="8" w:color="D4EEED"/>
            </w:tcBorders>
            <w:shd w:val="clear" w:color="auto" w:fill="FEFEFE"/>
          </w:tcPr>
          <w:p>
            <w:pPr>
              <w:spacing w:after="0"/>
              <w:rPr>
                <w:sz w:val="21"/>
                <w:szCs w:val="21"/>
                <w:color w:val="auto"/>
              </w:rPr>
            </w:pPr>
          </w:p>
        </w:tc>
      </w:tr>
      <w:tr>
        <w:trPr>
          <w:trHeight w:val="234"/>
        </w:trPr>
        <w:tc>
          <w:tcPr>
            <w:tcW w:w="4300" w:type="dxa"/>
            <w:vAlign w:val="bottom"/>
            <w:shd w:val="clear" w:color="auto" w:fill="D4EEED"/>
          </w:tcPr>
          <w:p>
            <w:pPr>
              <w:ind w:left="60"/>
              <w:spacing w:after="0"/>
              <w:rPr>
                <w:sz w:val="20"/>
                <w:szCs w:val="20"/>
                <w:color w:val="auto"/>
              </w:rPr>
            </w:pPr>
            <w:r>
              <w:rPr>
                <w:rFonts w:ascii="Times New Roman" w:cs="Times New Roman" w:eastAsia="Times New Roman" w:hAnsi="Times New Roman"/>
                <w:sz w:val="20"/>
                <w:szCs w:val="20"/>
                <w:color w:val="auto"/>
              </w:rPr>
              <w:t>Total property, plant and equipment</w:t>
            </w:r>
          </w:p>
        </w:tc>
        <w:tc>
          <w:tcPr>
            <w:tcW w:w="2360" w:type="dxa"/>
            <w:vAlign w:val="bottom"/>
            <w:shd w:val="clear" w:color="auto" w:fill="D4EEED"/>
          </w:tcPr>
          <w:p>
            <w:pPr>
              <w:spacing w:after="0"/>
              <w:rPr>
                <w:sz w:val="20"/>
                <w:szCs w:val="20"/>
                <w:color w:val="auto"/>
              </w:rPr>
            </w:pPr>
          </w:p>
        </w:tc>
        <w:tc>
          <w:tcPr>
            <w:tcW w:w="160" w:type="dxa"/>
            <w:vAlign w:val="bottom"/>
            <w:shd w:val="clear" w:color="auto" w:fill="D4EEED"/>
          </w:tcPr>
          <w:p>
            <w:pPr>
              <w:spacing w:after="0"/>
              <w:rPr>
                <w:sz w:val="20"/>
                <w:szCs w:val="20"/>
                <w:color w:val="auto"/>
              </w:rPr>
            </w:pPr>
          </w:p>
        </w:tc>
        <w:tc>
          <w:tcPr>
            <w:tcW w:w="240" w:type="dxa"/>
            <w:vAlign w:val="bottom"/>
            <w:shd w:val="clear" w:color="auto" w:fill="D4EEED"/>
          </w:tcPr>
          <w:p>
            <w:pPr>
              <w:spacing w:after="0"/>
              <w:rPr>
                <w:sz w:val="20"/>
                <w:szCs w:val="20"/>
                <w:color w:val="auto"/>
              </w:rPr>
            </w:pPr>
          </w:p>
        </w:tc>
        <w:tc>
          <w:tcPr>
            <w:tcW w:w="8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2,424</w:t>
            </w:r>
          </w:p>
        </w:tc>
        <w:tc>
          <w:tcPr>
            <w:tcW w:w="14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c>
          <w:tcPr>
            <w:tcW w:w="380" w:type="dxa"/>
            <w:vAlign w:val="bottom"/>
            <w:shd w:val="clear" w:color="auto" w:fill="D4EEED"/>
          </w:tcPr>
          <w:p>
            <w:pPr>
              <w:spacing w:after="0"/>
              <w:rPr>
                <w:sz w:val="20"/>
                <w:szCs w:val="20"/>
                <w:color w:val="auto"/>
              </w:rPr>
            </w:pPr>
          </w:p>
        </w:tc>
        <w:tc>
          <w:tcPr>
            <w:tcW w:w="74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1,909</w:t>
            </w:r>
          </w:p>
        </w:tc>
        <w:tc>
          <w:tcPr>
            <w:tcW w:w="80" w:type="dxa"/>
            <w:vAlign w:val="bottom"/>
            <w:shd w:val="clear" w:color="auto" w:fill="D4EEED"/>
          </w:tcPr>
          <w:p>
            <w:pPr>
              <w:spacing w:after="0"/>
              <w:rPr>
                <w:sz w:val="20"/>
                <w:szCs w:val="20"/>
                <w:color w:val="auto"/>
              </w:rPr>
            </w:pPr>
          </w:p>
        </w:tc>
      </w:tr>
      <w:tr>
        <w:trPr>
          <w:trHeight w:val="244"/>
        </w:trPr>
        <w:tc>
          <w:tcPr>
            <w:tcW w:w="4300" w:type="dxa"/>
            <w:vAlign w:val="bottom"/>
            <w:tcBorders>
              <w:bottom w:val="single" w:sz="8" w:color="D4EEED"/>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360" w:type="dxa"/>
            <w:vAlign w:val="bottom"/>
            <w:tcBorders>
              <w:bottom w:val="single" w:sz="8" w:color="D4EEED"/>
            </w:tcBorders>
            <w:shd w:val="clear" w:color="auto" w:fill="FEFEFE"/>
          </w:tcPr>
          <w:p>
            <w:pPr>
              <w:spacing w:after="0"/>
              <w:rPr>
                <w:sz w:val="21"/>
                <w:szCs w:val="21"/>
                <w:color w:val="auto"/>
              </w:rPr>
            </w:pPr>
          </w:p>
        </w:tc>
        <w:tc>
          <w:tcPr>
            <w:tcW w:w="160" w:type="dxa"/>
            <w:vAlign w:val="bottom"/>
            <w:tcBorders>
              <w:bottom w:val="single" w:sz="8" w:color="D4EEED"/>
            </w:tcBorders>
            <w:shd w:val="clear" w:color="auto" w:fill="FEFEFE"/>
          </w:tcPr>
          <w:p>
            <w:pPr>
              <w:spacing w:after="0"/>
              <w:rPr>
                <w:sz w:val="21"/>
                <w:szCs w:val="21"/>
                <w:color w:val="auto"/>
              </w:rPr>
            </w:pPr>
          </w:p>
        </w:tc>
        <w:tc>
          <w:tcPr>
            <w:tcW w:w="240" w:type="dxa"/>
            <w:vAlign w:val="bottom"/>
            <w:tcBorders>
              <w:bottom w:val="single" w:sz="8" w:color="auto"/>
            </w:tcBorders>
            <w:shd w:val="clear" w:color="auto" w:fill="FEFEFE"/>
          </w:tcPr>
          <w:p>
            <w:pPr>
              <w:spacing w:after="0"/>
              <w:rPr>
                <w:sz w:val="21"/>
                <w:szCs w:val="21"/>
                <w:color w:val="auto"/>
              </w:rPr>
            </w:pPr>
          </w:p>
        </w:tc>
        <w:tc>
          <w:tcPr>
            <w:tcW w:w="8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(1,543)</w:t>
            </w:r>
          </w:p>
        </w:tc>
        <w:tc>
          <w:tcPr>
            <w:tcW w:w="140" w:type="dxa"/>
            <w:vAlign w:val="bottom"/>
            <w:tcBorders>
              <w:bottom w:val="single" w:sz="8" w:color="D4EEED"/>
            </w:tcBorders>
            <w:shd w:val="clear" w:color="auto" w:fill="FEFEFE"/>
          </w:tcPr>
          <w:p>
            <w:pPr>
              <w:spacing w:after="0"/>
              <w:rPr>
                <w:sz w:val="21"/>
                <w:szCs w:val="21"/>
                <w:color w:val="auto"/>
              </w:rPr>
            </w:pPr>
          </w:p>
        </w:tc>
        <w:tc>
          <w:tcPr>
            <w:tcW w:w="80" w:type="dxa"/>
            <w:vAlign w:val="bottom"/>
            <w:tcBorders>
              <w:bottom w:val="single" w:sz="8" w:color="D4EEED"/>
            </w:tcBorders>
            <w:shd w:val="clear" w:color="auto" w:fill="FEFEFE"/>
          </w:tcPr>
          <w:p>
            <w:pPr>
              <w:spacing w:after="0"/>
              <w:rPr>
                <w:sz w:val="21"/>
                <w:szCs w:val="21"/>
                <w:color w:val="auto"/>
              </w:rPr>
            </w:pPr>
          </w:p>
        </w:tc>
        <w:tc>
          <w:tcPr>
            <w:tcW w:w="380" w:type="dxa"/>
            <w:vAlign w:val="bottom"/>
            <w:tcBorders>
              <w:bottom w:val="single" w:sz="8" w:color="auto"/>
            </w:tcBorders>
            <w:shd w:val="clear" w:color="auto" w:fill="FEFEFE"/>
          </w:tcPr>
          <w:p>
            <w:pPr>
              <w:spacing w:after="0"/>
              <w:rPr>
                <w:sz w:val="21"/>
                <w:szCs w:val="21"/>
                <w:color w:val="auto"/>
              </w:rPr>
            </w:pPr>
          </w:p>
        </w:tc>
        <w:tc>
          <w:tcPr>
            <w:tcW w:w="7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(1,225)</w:t>
            </w:r>
          </w:p>
        </w:tc>
        <w:tc>
          <w:tcPr>
            <w:tcW w:w="80" w:type="dxa"/>
            <w:vAlign w:val="bottom"/>
            <w:tcBorders>
              <w:bottom w:val="single" w:sz="8" w:color="D4EEED"/>
            </w:tcBorders>
            <w:shd w:val="clear" w:color="auto" w:fill="FEFEFE"/>
          </w:tcPr>
          <w:p>
            <w:pPr>
              <w:spacing w:after="0"/>
              <w:rPr>
                <w:sz w:val="21"/>
                <w:szCs w:val="21"/>
                <w:color w:val="auto"/>
              </w:rPr>
            </w:pPr>
          </w:p>
        </w:tc>
      </w:tr>
      <w:tr>
        <w:trPr>
          <w:trHeight w:val="234"/>
        </w:trPr>
        <w:tc>
          <w:tcPr>
            <w:tcW w:w="4300" w:type="dxa"/>
            <w:vAlign w:val="bottom"/>
            <w:shd w:val="clear" w:color="auto" w:fill="D4EEED"/>
          </w:tcPr>
          <w:p>
            <w:pPr>
              <w:ind w:left="6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360" w:type="dxa"/>
            <w:vAlign w:val="bottom"/>
            <w:shd w:val="clear" w:color="auto" w:fill="D4EEED"/>
          </w:tcPr>
          <w:p>
            <w:pPr>
              <w:spacing w:after="0"/>
              <w:rPr>
                <w:sz w:val="20"/>
                <w:szCs w:val="20"/>
                <w:color w:val="auto"/>
              </w:rPr>
            </w:pPr>
          </w:p>
        </w:tc>
        <w:tc>
          <w:tcPr>
            <w:tcW w:w="160" w:type="dxa"/>
            <w:vAlign w:val="bottom"/>
            <w:shd w:val="clear" w:color="auto" w:fill="D4EEED"/>
          </w:tcPr>
          <w:p>
            <w:pPr>
              <w:spacing w:after="0"/>
              <w:rPr>
                <w:sz w:val="20"/>
                <w:szCs w:val="20"/>
                <w:color w:val="auto"/>
              </w:rPr>
            </w:pPr>
          </w:p>
        </w:tc>
        <w:tc>
          <w:tcPr>
            <w:tcW w:w="240" w:type="dxa"/>
            <w:vAlign w:val="bottom"/>
            <w:tcBorders>
              <w:bottom w:val="single" w:sz="8" w:color="auto"/>
            </w:tcBorders>
            <w:shd w:val="clear" w:color="auto" w:fill="D4EEED"/>
          </w:tcPr>
          <w:p>
            <w:pPr>
              <w:jc w:val="right"/>
              <w:ind w:right="5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881</w:t>
            </w:r>
          </w:p>
        </w:tc>
        <w:tc>
          <w:tcPr>
            <w:tcW w:w="14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c>
          <w:tcPr>
            <w:tcW w:w="380" w:type="dxa"/>
            <w:vAlign w:val="bottom"/>
            <w:tcBorders>
              <w:bottom w:val="single" w:sz="8" w:color="auto"/>
            </w:tcBorders>
            <w:shd w:val="clear" w:color="auto" w:fill="D4EEED"/>
          </w:tcPr>
          <w:p>
            <w:pPr>
              <w:jc w:val="right"/>
              <w:ind w:right="190"/>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684</w:t>
            </w:r>
          </w:p>
        </w:tc>
        <w:tc>
          <w:tcPr>
            <w:tcW w:w="80" w:type="dxa"/>
            <w:vAlign w:val="bottom"/>
            <w:shd w:val="clear" w:color="auto" w:fill="D4EEED"/>
          </w:tcPr>
          <w:p>
            <w:pPr>
              <w:spacing w:after="0"/>
              <w:rPr>
                <w:sz w:val="20"/>
                <w:szCs w:val="20"/>
                <w:color w:val="auto"/>
              </w:rPr>
            </w:pPr>
          </w:p>
        </w:tc>
      </w:tr>
      <w:tr>
        <w:trPr>
          <w:trHeight w:val="20"/>
        </w:trPr>
        <w:tc>
          <w:tcPr>
            <w:tcW w:w="4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8" w:lineRule="exact"/>
        <w:rPr>
          <w:sz w:val="20"/>
          <w:szCs w:val="20"/>
          <w:color w:val="auto"/>
        </w:rPr>
      </w:pPr>
    </w:p>
    <w:p>
      <w:pPr>
        <w:jc w:val="both"/>
        <w:ind w:left="360" w:right="600" w:firstLine="490"/>
        <w:spacing w:after="0" w:line="258" w:lineRule="auto"/>
        <w:rPr>
          <w:sz w:val="20"/>
          <w:szCs w:val="20"/>
          <w:color w:val="auto"/>
        </w:rPr>
      </w:pPr>
      <w:r>
        <w:rPr>
          <w:rFonts w:ascii="Times New Roman" w:cs="Times New Roman" w:eastAsia="Times New Roman" w:hAnsi="Times New Roman"/>
          <w:sz w:val="20"/>
          <w:szCs w:val="20"/>
          <w:color w:val="auto"/>
        </w:rPr>
        <w:t>Depreciation expense was $0.3 million and $0.2 million for the years ended December 31, 2024 and 2023, respectively. In addition, for the years ended December 31, 2024 and 2023, there was $0.1 million of depreciation related to sublet assets recorded as other expense.</w:t>
      </w:r>
    </w:p>
    <w:p>
      <w:pPr>
        <w:spacing w:after="0" w:line="64" w:lineRule="exact"/>
        <w:rPr>
          <w:sz w:val="20"/>
          <w:szCs w:val="20"/>
          <w:color w:val="auto"/>
        </w:rPr>
      </w:pPr>
    </w:p>
    <w:p>
      <w:pPr>
        <w:ind w:left="860" w:hanging="500"/>
        <w:spacing w:after="0"/>
        <w:tabs>
          <w:tab w:leader="none" w:pos="8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Accrued Expenses</w:t>
      </w:r>
    </w:p>
    <w:p>
      <w:pPr>
        <w:spacing w:after="0" w:line="124" w:lineRule="exact"/>
        <w:rPr>
          <w:rFonts w:ascii="Times New Roman" w:cs="Times New Roman" w:eastAsia="Times New Roman" w:hAnsi="Times New Roman"/>
          <w:sz w:val="20"/>
          <w:szCs w:val="20"/>
          <w:b w:val="1"/>
          <w:bCs w:val="1"/>
          <w:color w:val="auto"/>
        </w:rPr>
      </w:pPr>
    </w:p>
    <w:p>
      <w:pPr>
        <w:ind w:left="8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Accrued expenses consisted of the following:</w:t>
      </w: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5260" w:type="dxa"/>
            <w:vAlign w:val="bottom"/>
            <w:shd w:val="clear" w:color="auto" w:fill="FEFEFE"/>
          </w:tcPr>
          <w:p>
            <w:pPr>
              <w:spacing w:after="0"/>
              <w:rPr>
                <w:sz w:val="17"/>
                <w:szCs w:val="17"/>
                <w:color w:val="auto"/>
              </w:rPr>
            </w:pPr>
          </w:p>
        </w:tc>
        <w:tc>
          <w:tcPr>
            <w:tcW w:w="11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160" w:type="dxa"/>
            <w:vAlign w:val="bottom"/>
            <w:shd w:val="clear" w:color="auto" w:fill="FEFEFE"/>
          </w:tcPr>
          <w:p>
            <w:pPr>
              <w:jc w:val="right"/>
              <w:ind w:right="10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1260" w:type="dxa"/>
            <w:vAlign w:val="bottom"/>
            <w:gridSpan w:val="2"/>
            <w:shd w:val="clear" w:color="auto" w:fill="FEFEFE"/>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8"/>
        </w:trPr>
        <w:tc>
          <w:tcPr>
            <w:tcW w:w="5260" w:type="dxa"/>
            <w:vAlign w:val="bottom"/>
            <w:tcBorders>
              <w:bottom w:val="single" w:sz="8" w:color="FEFEFE"/>
            </w:tcBorders>
            <w:shd w:val="clear" w:color="auto" w:fill="FEFEFE"/>
          </w:tcPr>
          <w:p>
            <w:pPr>
              <w:spacing w:after="0"/>
              <w:rPr>
                <w:sz w:val="17"/>
                <w:szCs w:val="17"/>
                <w:color w:val="auto"/>
              </w:rPr>
            </w:pPr>
          </w:p>
        </w:tc>
        <w:tc>
          <w:tcPr>
            <w:tcW w:w="1160" w:type="dxa"/>
            <w:vAlign w:val="bottom"/>
            <w:tcBorders>
              <w:bottom w:val="single" w:sz="8" w:color="FEFEFE"/>
            </w:tcBorders>
            <w:shd w:val="clear" w:color="auto" w:fill="FEFEFE"/>
          </w:tcPr>
          <w:p>
            <w:pPr>
              <w:spacing w:after="0"/>
              <w:rPr>
                <w:sz w:val="17"/>
                <w:szCs w:val="17"/>
                <w:color w:val="auto"/>
              </w:rPr>
            </w:pPr>
          </w:p>
        </w:tc>
        <w:tc>
          <w:tcPr>
            <w:tcW w:w="140" w:type="dxa"/>
            <w:vAlign w:val="bottom"/>
            <w:tcBorders>
              <w:bottom w:val="single" w:sz="8" w:color="auto"/>
            </w:tcBorders>
            <w:shd w:val="clear" w:color="auto" w:fill="FEFEFE"/>
          </w:tcPr>
          <w:p>
            <w:pPr>
              <w:spacing w:after="0"/>
              <w:rPr>
                <w:sz w:val="17"/>
                <w:szCs w:val="17"/>
                <w:color w:val="auto"/>
              </w:rPr>
            </w:pPr>
          </w:p>
        </w:tc>
        <w:tc>
          <w:tcPr>
            <w:tcW w:w="1160" w:type="dxa"/>
            <w:vAlign w:val="bottom"/>
            <w:tcBorders>
              <w:bottom w:val="single" w:sz="8" w:color="auto"/>
            </w:tcBorders>
            <w:shd w:val="clear" w:color="auto" w:fill="FEFEFE"/>
          </w:tcPr>
          <w:p>
            <w:pPr>
              <w:jc w:val="right"/>
              <w:ind w:right="40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FEFEFE"/>
            </w:tcBorders>
            <w:shd w:val="clear" w:color="auto" w:fill="FEFEFE"/>
          </w:tcPr>
          <w:p>
            <w:pPr>
              <w:spacing w:after="0"/>
              <w:rPr>
                <w:sz w:val="17"/>
                <w:szCs w:val="17"/>
                <w:color w:val="auto"/>
              </w:rPr>
            </w:pPr>
          </w:p>
        </w:tc>
        <w:tc>
          <w:tcPr>
            <w:tcW w:w="140" w:type="dxa"/>
            <w:vAlign w:val="bottom"/>
            <w:tcBorders>
              <w:bottom w:val="single" w:sz="8" w:color="auto"/>
            </w:tcBorders>
            <w:shd w:val="clear" w:color="auto" w:fill="FEFEFE"/>
          </w:tcPr>
          <w:p>
            <w:pPr>
              <w:spacing w:after="0"/>
              <w:rPr>
                <w:sz w:val="17"/>
                <w:szCs w:val="17"/>
                <w:color w:val="auto"/>
              </w:rPr>
            </w:pPr>
          </w:p>
        </w:tc>
        <w:tc>
          <w:tcPr>
            <w:tcW w:w="1180" w:type="dxa"/>
            <w:vAlign w:val="bottom"/>
            <w:tcBorders>
              <w:bottom w:val="single" w:sz="8" w:color="auto"/>
            </w:tcBorders>
            <w:shd w:val="clear" w:color="auto" w:fill="FEFEFE"/>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FEFEFE"/>
            </w:tcBorders>
            <w:shd w:val="clear" w:color="auto" w:fill="FEFEFE"/>
          </w:tcPr>
          <w:p>
            <w:pPr>
              <w:spacing w:after="0"/>
              <w:rPr>
                <w:sz w:val="17"/>
                <w:szCs w:val="17"/>
                <w:color w:val="auto"/>
              </w:rPr>
            </w:pPr>
          </w:p>
        </w:tc>
      </w:tr>
      <w:tr>
        <w:trPr>
          <w:trHeight w:val="178"/>
        </w:trPr>
        <w:tc>
          <w:tcPr>
            <w:tcW w:w="5260" w:type="dxa"/>
            <w:vAlign w:val="bottom"/>
            <w:shd w:val="clear" w:color="auto" w:fill="FEFEFE"/>
          </w:tcPr>
          <w:p>
            <w:pPr>
              <w:spacing w:after="0"/>
              <w:rPr>
                <w:sz w:val="15"/>
                <w:szCs w:val="15"/>
                <w:color w:val="auto"/>
              </w:rPr>
            </w:pPr>
          </w:p>
        </w:tc>
        <w:tc>
          <w:tcPr>
            <w:tcW w:w="116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c>
          <w:tcPr>
            <w:tcW w:w="1160" w:type="dxa"/>
            <w:vAlign w:val="bottom"/>
            <w:shd w:val="clear" w:color="auto" w:fill="FEFEFE"/>
          </w:tcPr>
          <w:p>
            <w:pPr>
              <w:jc w:val="right"/>
              <w:ind w:right="89"/>
              <w:spacing w:after="0" w:line="178" w:lineRule="exact"/>
              <w:rPr>
                <w:sz w:val="20"/>
                <w:szCs w:val="20"/>
                <w:color w:val="auto"/>
              </w:rPr>
            </w:pPr>
            <w:r>
              <w:rPr>
                <w:rFonts w:ascii="Times New Roman" w:cs="Times New Roman" w:eastAsia="Times New Roman" w:hAnsi="Times New Roman"/>
                <w:sz w:val="16"/>
                <w:szCs w:val="16"/>
                <w:b w:val="1"/>
                <w:bCs w:val="1"/>
                <w:color w:val="auto"/>
              </w:rPr>
              <w:t>(in</w:t>
            </w:r>
          </w:p>
        </w:tc>
        <w:tc>
          <w:tcPr>
            <w:tcW w:w="1560" w:type="dxa"/>
            <w:vAlign w:val="bottom"/>
            <w:gridSpan w:val="3"/>
            <w:shd w:val="clear" w:color="auto" w:fill="FEFEFE"/>
          </w:tcPr>
          <w:p>
            <w:pPr>
              <w:jc w:val="center"/>
              <w:ind w:right="867"/>
              <w:spacing w:after="0" w:line="178" w:lineRule="exact"/>
              <w:rPr>
                <w:sz w:val="20"/>
                <w:szCs w:val="20"/>
                <w:color w:val="auto"/>
              </w:rPr>
            </w:pPr>
            <w:r>
              <w:rPr>
                <w:rFonts w:ascii="Times New Roman" w:cs="Times New Roman" w:eastAsia="Times New Roman" w:hAnsi="Times New Roman"/>
                <w:sz w:val="16"/>
                <w:szCs w:val="16"/>
                <w:b w:val="1"/>
                <w:bCs w:val="1"/>
                <w:color w:val="auto"/>
                <w:w w:val="80"/>
              </w:rPr>
              <w:t>thousands)</w:t>
            </w:r>
          </w:p>
        </w:tc>
        <w:tc>
          <w:tcPr>
            <w:tcW w:w="80" w:type="dxa"/>
            <w:vAlign w:val="bottom"/>
            <w:shd w:val="clear" w:color="auto" w:fill="FEFEFE"/>
          </w:tcPr>
          <w:p>
            <w:pPr>
              <w:spacing w:after="0"/>
              <w:rPr>
                <w:sz w:val="15"/>
                <w:szCs w:val="15"/>
                <w:color w:val="auto"/>
              </w:rPr>
            </w:pPr>
          </w:p>
        </w:tc>
      </w:tr>
      <w:tr>
        <w:trPr>
          <w:trHeight w:val="244"/>
        </w:trPr>
        <w:tc>
          <w:tcPr>
            <w:tcW w:w="526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Accrued research and development expenses</w:t>
            </w:r>
          </w:p>
        </w:tc>
        <w:tc>
          <w:tcPr>
            <w:tcW w:w="1300" w:type="dxa"/>
            <w:vAlign w:val="bottom"/>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17,057</w:t>
            </w:r>
          </w:p>
        </w:tc>
        <w:tc>
          <w:tcPr>
            <w:tcW w:w="380" w:type="dxa"/>
            <w:vAlign w:val="bottom"/>
            <w:gridSpan w:val="2"/>
            <w:shd w:val="clear" w:color="auto" w:fill="D4EEED"/>
          </w:tcPr>
          <w:p>
            <w:pPr>
              <w:jc w:val="center"/>
              <w:ind w:left="11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4,594</w:t>
            </w:r>
          </w:p>
        </w:tc>
        <w:tc>
          <w:tcPr>
            <w:tcW w:w="80" w:type="dxa"/>
            <w:vAlign w:val="bottom"/>
            <w:shd w:val="clear" w:color="auto" w:fill="D4EEED"/>
          </w:tcPr>
          <w:p>
            <w:pPr>
              <w:spacing w:after="0"/>
              <w:rPr>
                <w:sz w:val="21"/>
                <w:szCs w:val="21"/>
                <w:color w:val="auto"/>
              </w:rPr>
            </w:pPr>
          </w:p>
        </w:tc>
      </w:tr>
      <w:tr>
        <w:trPr>
          <w:trHeight w:val="244"/>
        </w:trPr>
        <w:tc>
          <w:tcPr>
            <w:tcW w:w="526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Accrued payroll and related expenses</w:t>
            </w:r>
          </w:p>
        </w:tc>
        <w:tc>
          <w:tcPr>
            <w:tcW w:w="116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3,254</w:t>
            </w:r>
          </w:p>
        </w:tc>
        <w:tc>
          <w:tcPr>
            <w:tcW w:w="240" w:type="dxa"/>
            <w:vAlign w:val="bottom"/>
            <w:shd w:val="clear" w:color="auto" w:fill="FEFEFE"/>
          </w:tcPr>
          <w:p>
            <w:pPr>
              <w:spacing w:after="0"/>
              <w:rPr>
                <w:sz w:val="21"/>
                <w:szCs w:val="21"/>
                <w:color w:val="auto"/>
              </w:rPr>
            </w:pPr>
          </w:p>
        </w:tc>
        <w:tc>
          <w:tcPr>
            <w:tcW w:w="140" w:type="dxa"/>
            <w:vAlign w:val="bottom"/>
            <w:shd w:val="clear" w:color="auto" w:fill="FEFEFE"/>
          </w:tcPr>
          <w:p>
            <w:pPr>
              <w:spacing w:after="0"/>
              <w:rPr>
                <w:sz w:val="21"/>
                <w:szCs w:val="21"/>
                <w:color w:val="auto"/>
              </w:rPr>
            </w:pPr>
          </w:p>
        </w:tc>
        <w:tc>
          <w:tcPr>
            <w:tcW w:w="118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2,365</w:t>
            </w:r>
          </w:p>
        </w:tc>
        <w:tc>
          <w:tcPr>
            <w:tcW w:w="80" w:type="dxa"/>
            <w:vAlign w:val="bottom"/>
            <w:shd w:val="clear" w:color="auto" w:fill="FEFEFE"/>
          </w:tcPr>
          <w:p>
            <w:pPr>
              <w:spacing w:after="0"/>
              <w:rPr>
                <w:sz w:val="21"/>
                <w:szCs w:val="21"/>
                <w:color w:val="auto"/>
              </w:rPr>
            </w:pPr>
          </w:p>
        </w:tc>
      </w:tr>
      <w:tr>
        <w:trPr>
          <w:trHeight w:val="244"/>
        </w:trPr>
        <w:tc>
          <w:tcPr>
            <w:tcW w:w="5260" w:type="dxa"/>
            <w:vAlign w:val="bottom"/>
            <w:tcBorders>
              <w:bottom w:val="single" w:sz="8" w:color="FEFEFE"/>
            </w:tcBorders>
            <w:shd w:val="clear" w:color="auto" w:fill="D4EEED"/>
          </w:tcPr>
          <w:p>
            <w:pPr>
              <w:spacing w:after="0"/>
              <w:rPr>
                <w:sz w:val="20"/>
                <w:szCs w:val="20"/>
                <w:color w:val="auto"/>
              </w:rPr>
            </w:pPr>
            <w:r>
              <w:rPr>
                <w:rFonts w:ascii="Times New Roman" w:cs="Times New Roman" w:eastAsia="Times New Roman" w:hAnsi="Times New Roman"/>
                <w:sz w:val="20"/>
                <w:szCs w:val="20"/>
                <w:color w:val="auto"/>
              </w:rPr>
              <w:t>Accrued other</w:t>
            </w:r>
          </w:p>
        </w:tc>
        <w:tc>
          <w:tcPr>
            <w:tcW w:w="1160" w:type="dxa"/>
            <w:vAlign w:val="bottom"/>
            <w:tcBorders>
              <w:bottom w:val="single" w:sz="8" w:color="FEFEFE"/>
            </w:tcBorders>
            <w:shd w:val="clear" w:color="auto" w:fill="D4EEED"/>
          </w:tcPr>
          <w:p>
            <w:pPr>
              <w:spacing w:after="0"/>
              <w:rPr>
                <w:sz w:val="21"/>
                <w:szCs w:val="21"/>
                <w:color w:val="auto"/>
              </w:rPr>
            </w:pPr>
          </w:p>
        </w:tc>
        <w:tc>
          <w:tcPr>
            <w:tcW w:w="140" w:type="dxa"/>
            <w:vAlign w:val="bottom"/>
            <w:tcBorders>
              <w:bottom w:val="single" w:sz="8" w:color="auto"/>
            </w:tcBorders>
            <w:shd w:val="clear" w:color="auto" w:fill="D4EEED"/>
          </w:tcPr>
          <w:p>
            <w:pPr>
              <w:spacing w:after="0"/>
              <w:rPr>
                <w:sz w:val="21"/>
                <w:szCs w:val="21"/>
                <w:color w:val="auto"/>
              </w:rPr>
            </w:pPr>
          </w:p>
        </w:tc>
        <w:tc>
          <w:tcPr>
            <w:tcW w:w="11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240" w:type="dxa"/>
            <w:vAlign w:val="bottom"/>
            <w:tcBorders>
              <w:bottom w:val="single" w:sz="8" w:color="FEFEFE"/>
            </w:tcBorders>
            <w:shd w:val="clear" w:color="auto" w:fill="D4EEED"/>
          </w:tcPr>
          <w:p>
            <w:pPr>
              <w:spacing w:after="0"/>
              <w:rPr>
                <w:sz w:val="21"/>
                <w:szCs w:val="21"/>
                <w:color w:val="auto"/>
              </w:rPr>
            </w:pPr>
          </w:p>
        </w:tc>
        <w:tc>
          <w:tcPr>
            <w:tcW w:w="140" w:type="dxa"/>
            <w:vAlign w:val="bottom"/>
            <w:tcBorders>
              <w:bottom w:val="single" w:sz="8" w:color="auto"/>
            </w:tcBorders>
            <w:shd w:val="clear" w:color="auto" w:fill="D4EEED"/>
          </w:tcPr>
          <w:p>
            <w:pPr>
              <w:spacing w:after="0"/>
              <w:rPr>
                <w:sz w:val="21"/>
                <w:szCs w:val="21"/>
                <w:color w:val="auto"/>
              </w:rPr>
            </w:pPr>
          </w:p>
        </w:tc>
        <w:tc>
          <w:tcPr>
            <w:tcW w:w="11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80" w:type="dxa"/>
            <w:vAlign w:val="bottom"/>
            <w:tcBorders>
              <w:bottom w:val="single" w:sz="8" w:color="FEFEFE"/>
            </w:tcBorders>
            <w:shd w:val="clear" w:color="auto" w:fill="D4EEED"/>
          </w:tcPr>
          <w:p>
            <w:pPr>
              <w:spacing w:after="0"/>
              <w:rPr>
                <w:sz w:val="21"/>
                <w:szCs w:val="21"/>
                <w:color w:val="auto"/>
              </w:rPr>
            </w:pPr>
          </w:p>
        </w:tc>
      </w:tr>
      <w:tr>
        <w:trPr>
          <w:trHeight w:val="234"/>
        </w:trPr>
        <w:tc>
          <w:tcPr>
            <w:tcW w:w="5260" w:type="dxa"/>
            <w:vAlign w:val="bottom"/>
            <w:shd w:val="clear" w:color="auto" w:fill="FEFEFE"/>
          </w:tcPr>
          <w:p>
            <w:pPr>
              <w:ind w:left="60"/>
              <w:spacing w:after="0"/>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1160" w:type="dxa"/>
            <w:vAlign w:val="bottom"/>
            <w:shd w:val="clear" w:color="auto" w:fill="FEFEFE"/>
          </w:tcPr>
          <w:p>
            <w:pPr>
              <w:spacing w:after="0"/>
              <w:rPr>
                <w:sz w:val="20"/>
                <w:szCs w:val="20"/>
                <w:color w:val="auto"/>
              </w:rPr>
            </w:pPr>
          </w:p>
        </w:tc>
        <w:tc>
          <w:tcPr>
            <w:tcW w:w="1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20,872</w:t>
            </w:r>
          </w:p>
        </w:tc>
        <w:tc>
          <w:tcPr>
            <w:tcW w:w="240" w:type="dxa"/>
            <w:vAlign w:val="bottom"/>
            <w:shd w:val="clear" w:color="auto" w:fill="FEFEFE"/>
          </w:tcPr>
          <w:p>
            <w:pPr>
              <w:spacing w:after="0"/>
              <w:rPr>
                <w:sz w:val="20"/>
                <w:szCs w:val="20"/>
                <w:color w:val="auto"/>
              </w:rPr>
            </w:pPr>
          </w:p>
        </w:tc>
        <w:tc>
          <w:tcPr>
            <w:tcW w:w="140" w:type="dxa"/>
            <w:vAlign w:val="bottom"/>
            <w:tcBorders>
              <w:bottom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7,386</w:t>
            </w:r>
          </w:p>
        </w:tc>
        <w:tc>
          <w:tcPr>
            <w:tcW w:w="80" w:type="dxa"/>
            <w:vAlign w:val="bottom"/>
            <w:shd w:val="clear" w:color="auto" w:fill="FEFEFE"/>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960" w:h="17280" w:orient="portrait"/>
          <w:cols w:equalWidth="0" w:num="1">
            <w:col w:w="10080"/>
          </w:cols>
          <w:pgMar w:left="1440" w:top="1440" w:right="1440" w:bottom="906" w:gutter="0" w:footer="0" w:header="0"/>
          <w:type w:val="continuous"/>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0" w:right="5800"/>
        <w:spacing w:after="0" w:line="386" w:lineRule="auto"/>
        <w:tabs>
          <w:tab w:leader="none" w:pos="850" w:val="left"/>
        </w:tabs>
        <w:numPr>
          <w:ilvl w:val="0"/>
          <w:numId w:val="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Stockholders’ Equity and Stock Options </w:t>
      </w:r>
      <w:r>
        <w:rPr>
          <w:rFonts w:ascii="Times New Roman" w:cs="Times New Roman" w:eastAsia="Times New Roman" w:hAnsi="Times New Roman"/>
          <w:sz w:val="19"/>
          <w:szCs w:val="19"/>
          <w:b w:val="1"/>
          <w:bCs w:val="1"/>
          <w:i w:val="1"/>
          <w:iCs w:val="1"/>
          <w:color w:val="auto"/>
        </w:rPr>
        <w:t>Common Stock and Prefunded warrants</w:t>
      </w:r>
    </w:p>
    <w:p>
      <w:pPr>
        <w:spacing w:after="0" w:line="1" w:lineRule="exact"/>
        <w:rPr>
          <w:sz w:val="20"/>
          <w:szCs w:val="20"/>
          <w:color w:val="auto"/>
        </w:rPr>
      </w:pPr>
    </w:p>
    <w:p>
      <w:pPr>
        <w:ind w:left="360" w:right="360" w:firstLine="490"/>
        <w:spacing w:after="0" w:line="243" w:lineRule="auto"/>
        <w:rPr>
          <w:sz w:val="20"/>
          <w:szCs w:val="20"/>
          <w:color w:val="auto"/>
        </w:rPr>
      </w:pPr>
      <w:r>
        <w:rPr>
          <w:rFonts w:ascii="Times New Roman" w:cs="Times New Roman" w:eastAsia="Times New Roman" w:hAnsi="Times New Roman"/>
          <w:sz w:val="20"/>
          <w:szCs w:val="20"/>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were exercisable at an exercise price of $0.01 and were exercisable indefinitely. In August 2023, the 628,403 shares of prefunded warrants were exercised and the Company received cash proceeds of six thousand two hundred and eighty-four dollars.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w:t>
      </w:r>
    </w:p>
    <w:p>
      <w:pPr>
        <w:spacing w:after="0" w:line="83" w:lineRule="exact"/>
        <w:rPr>
          <w:sz w:val="20"/>
          <w:szCs w:val="20"/>
          <w:color w:val="auto"/>
        </w:rPr>
      </w:pPr>
    </w:p>
    <w:p>
      <w:pPr>
        <w:ind w:left="360" w:right="460" w:firstLine="490"/>
        <w:spacing w:after="0" w:line="245" w:lineRule="auto"/>
        <w:rPr>
          <w:sz w:val="20"/>
          <w:szCs w:val="20"/>
          <w:color w:val="auto"/>
        </w:rPr>
      </w:pPr>
      <w:r>
        <w:rPr>
          <w:rFonts w:ascii="Times New Roman" w:cs="Times New Roman" w:eastAsia="Times New Roman" w:hAnsi="Times New Roman"/>
          <w:sz w:val="20"/>
          <w:szCs w:val="20"/>
          <w:color w:val="auto"/>
        </w:rPr>
        <w:t>As of December 31, 2024, the Company’s Amended and Restated Certificate of Incorporation, authorized the Company to issue up to 115,000,000 shares of $0.001 par value common stock, of which 63,815,065 shares were issued and outstanding, and up to 5,000,000 shares of $0.001 par value undesignated preferred stock, of which no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82" w:lineRule="exact"/>
        <w:rPr>
          <w:sz w:val="20"/>
          <w:szCs w:val="20"/>
          <w:color w:val="auto"/>
        </w:rPr>
      </w:pPr>
    </w:p>
    <w:p>
      <w:pPr>
        <w:ind w:left="360" w:right="1040" w:firstLine="490"/>
        <w:spacing w:after="0" w:line="277" w:lineRule="auto"/>
        <w:rPr>
          <w:sz w:val="20"/>
          <w:szCs w:val="20"/>
          <w:color w:val="auto"/>
        </w:rPr>
      </w:pPr>
      <w:r>
        <w:rPr>
          <w:rFonts w:ascii="Times New Roman" w:cs="Times New Roman" w:eastAsia="Times New Roman" w:hAnsi="Times New Roman"/>
          <w:sz w:val="20"/>
          <w:szCs w:val="20"/>
          <w:color w:val="auto"/>
        </w:rPr>
        <w:t>In February 2024, the Company sold 19,736,842 shares of its common stock in an underwritten public offering price of $8.74 per share and received net proceeds of approximately $161.8 million.</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2022 ATM Agreement</w:t>
      </w:r>
    </w:p>
    <w:p>
      <w:pPr>
        <w:spacing w:after="0" w:line="120" w:lineRule="exact"/>
        <w:rPr>
          <w:sz w:val="20"/>
          <w:szCs w:val="20"/>
          <w:color w:val="auto"/>
        </w:rPr>
      </w:pPr>
    </w:p>
    <w:p>
      <w:pPr>
        <w:ind w:left="360" w:right="540" w:firstLine="490"/>
        <w:spacing w:after="0" w:line="252" w:lineRule="auto"/>
        <w:rPr>
          <w:sz w:val="20"/>
          <w:szCs w:val="20"/>
          <w:color w:val="auto"/>
        </w:rPr>
      </w:pPr>
      <w:r>
        <w:rPr>
          <w:rFonts w:ascii="Times New Roman" w:cs="Times New Roman" w:eastAsia="Times New Roman" w:hAnsi="Times New Roman"/>
          <w:sz w:val="20"/>
          <w:szCs w:val="20"/>
          <w:color w:val="auto"/>
        </w:rPr>
        <w:t>In November 2022, the Company entered into a sales agreement (the "2022 ATM Agreement") with a Guggenheim Securities, LLC in connection with the establishment of an “at-the-market” offering program under which the Company could sell up to an aggregate of $50.0 million of shares of common stock (the “ATM Shares”) from time to time.</w:t>
      </w:r>
    </w:p>
    <w:p>
      <w:pPr>
        <w:spacing w:after="0" w:line="74" w:lineRule="exact"/>
        <w:rPr>
          <w:sz w:val="20"/>
          <w:szCs w:val="20"/>
          <w:color w:val="auto"/>
        </w:rPr>
      </w:pPr>
    </w:p>
    <w:p>
      <w:pPr>
        <w:ind w:left="360" w:right="880" w:firstLine="490"/>
        <w:spacing w:after="0" w:line="305" w:lineRule="auto"/>
        <w:rPr>
          <w:sz w:val="20"/>
          <w:szCs w:val="20"/>
          <w:color w:val="auto"/>
        </w:rPr>
      </w:pPr>
      <w:r>
        <w:rPr>
          <w:rFonts w:ascii="Times New Roman" w:cs="Times New Roman" w:eastAsia="Times New Roman" w:hAnsi="Times New Roman"/>
          <w:sz w:val="19"/>
          <w:szCs w:val="19"/>
          <w:color w:val="auto"/>
        </w:rPr>
        <w:t>In February 2024, in connection with the underwritten public offering described above, the Company terminated the 2022 ATM Agreement. No ATM Shares were ever sold pursuant to the 2022 ATM Agreement.</w:t>
      </w:r>
    </w:p>
    <w:p>
      <w:pPr>
        <w:spacing w:after="0" w:line="43" w:lineRule="exact"/>
        <w:rPr>
          <w:sz w:val="20"/>
          <w:szCs w:val="20"/>
          <w:color w:val="auto"/>
        </w:rPr>
      </w:pPr>
    </w:p>
    <w:p>
      <w:pPr>
        <w:ind w:left="360" w:right="360" w:firstLine="720"/>
        <w:spacing w:after="0" w:line="252" w:lineRule="auto"/>
        <w:rPr>
          <w:sz w:val="20"/>
          <w:szCs w:val="20"/>
          <w:color w:val="auto"/>
        </w:rPr>
      </w:pPr>
      <w:r>
        <w:rPr>
          <w:rFonts w:ascii="Times New Roman" w:cs="Times New Roman" w:eastAsia="Times New Roman" w:hAnsi="Times New Roman"/>
          <w:sz w:val="20"/>
          <w:szCs w:val="20"/>
          <w:color w:val="auto"/>
        </w:rPr>
        <w:t>In May 2024, the Company entered into a sales agreement (the "ATM Agreement") with Guggenheim Securities, LLC in connection with the establishment of an “at-the-market” offering program under which the Company could sell up to an aggregate of $100 million of shares of common stock (the “ATM Shares”) from time to time. To date, no sales of common stock have been made under this ATM Agreement.</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2020 Equity Incentive Plan</w:t>
      </w:r>
    </w:p>
    <w:p>
      <w:pPr>
        <w:spacing w:after="0" w:line="112" w:lineRule="exact"/>
        <w:rPr>
          <w:sz w:val="20"/>
          <w:szCs w:val="20"/>
          <w:color w:val="auto"/>
        </w:rPr>
      </w:pPr>
    </w:p>
    <w:p>
      <w:pPr>
        <w:ind w:left="360" w:right="400" w:firstLine="490"/>
        <w:spacing w:after="0" w:line="235" w:lineRule="auto"/>
        <w:rPr>
          <w:sz w:val="20"/>
          <w:szCs w:val="20"/>
          <w:color w:val="auto"/>
        </w:rPr>
      </w:pPr>
      <w:r>
        <w:rPr>
          <w:rFonts w:ascii="Times New Roman" w:cs="Times New Roman" w:eastAsia="Times New Roman" w:hAnsi="Times New Roman"/>
          <w:sz w:val="20"/>
          <w:szCs w:val="20"/>
          <w:color w:val="auto"/>
        </w:rPr>
        <w:t>The Board adopted the 2020 Equity Incentive Plan (the "2020 Plan") on July 16, 2020 and the stockholders of the Company approved the 2020 Plan on September 29, 2020. The 2020 Plan replaced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82" w:lineRule="exact"/>
        <w:rPr>
          <w:sz w:val="20"/>
          <w:szCs w:val="20"/>
          <w:color w:val="auto"/>
        </w:rPr>
      </w:pPr>
    </w:p>
    <w:p>
      <w:pPr>
        <w:ind w:left="360" w:right="360" w:firstLine="490"/>
        <w:spacing w:after="0" w:line="237" w:lineRule="auto"/>
        <w:rPr>
          <w:sz w:val="20"/>
          <w:szCs w:val="20"/>
          <w:color w:val="auto"/>
        </w:rPr>
      </w:pPr>
      <w:r>
        <w:rPr>
          <w:rFonts w:ascii="Times New Roman" w:cs="Times New Roman" w:eastAsia="Times New Roman" w:hAnsi="Times New Roman"/>
          <w:sz w:val="20"/>
          <w:szCs w:val="20"/>
          <w:color w:val="auto"/>
        </w:rPr>
        <w:t>The 2020 Plan provides for the grant of incentive stock options (“ISOs”), nonstatutory stock options (“NSOs”), stock appreciation rights, restricted stock awards, restricted stock unit awards, performance-based restricted stock units,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960" w:h="17280" w:orient="portrait"/>
          <w:cols w:equalWidth="0" w:num="1">
            <w:col w:w="10080"/>
          </w:cols>
          <w:pgMar w:left="1440" w:top="1440" w:right="1440" w:bottom="906" w:gutter="0" w:footer="0" w:header="0"/>
          <w:type w:val="continuous"/>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right="520" w:firstLine="490"/>
        <w:spacing w:after="0" w:line="237" w:lineRule="auto"/>
        <w:rPr>
          <w:sz w:val="20"/>
          <w:szCs w:val="20"/>
          <w:color w:val="auto"/>
        </w:rPr>
      </w:pPr>
      <w:r>
        <w:rPr>
          <w:rFonts w:ascii="Times New Roman" w:cs="Times New Roman" w:eastAsia="Times New Roman" w:hAnsi="Times New Roman"/>
          <w:sz w:val="20"/>
          <w:szCs w:val="20"/>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w:t>
      </w:r>
    </w:p>
    <w:p>
      <w:pPr>
        <w:spacing w:after="0" w:line="80" w:lineRule="exact"/>
        <w:rPr>
          <w:sz w:val="20"/>
          <w:szCs w:val="20"/>
          <w:color w:val="auto"/>
        </w:rPr>
      </w:pPr>
    </w:p>
    <w:p>
      <w:pPr>
        <w:ind w:left="360" w:right="480" w:firstLine="490"/>
        <w:spacing w:after="0" w:line="248" w:lineRule="auto"/>
        <w:rPr>
          <w:sz w:val="20"/>
          <w:szCs w:val="20"/>
          <w:color w:val="auto"/>
        </w:rPr>
      </w:pPr>
      <w:r>
        <w:rPr>
          <w:rFonts w:ascii="Times New Roman" w:cs="Times New Roman" w:eastAsia="Times New Roman" w:hAnsi="Times New Roman"/>
          <w:sz w:val="20"/>
          <w:szCs w:val="20"/>
          <w:color w:val="auto"/>
        </w:rPr>
        <w:t>As permitted by the 2020 Plan, the Company added 2,552,603 and 1,756,363 shares available for grant to the 2020 Plan on January 1, 2025 and January 1, 2024, respectively, increasing the maximum number of shares of the Company’s common stock that may be issued under the 2020 Plan as of January 1, 2025 to 3,179,529 shares.</w:t>
      </w:r>
    </w:p>
    <w:p>
      <w:pPr>
        <w:spacing w:after="0" w:line="68" w:lineRule="exact"/>
        <w:rPr>
          <w:sz w:val="20"/>
          <w:szCs w:val="20"/>
          <w:color w:val="auto"/>
        </w:rPr>
      </w:pPr>
    </w:p>
    <w:p>
      <w:pPr>
        <w:jc w:val="both"/>
        <w:ind w:left="360" w:right="560" w:firstLine="490"/>
        <w:spacing w:after="0" w:line="268" w:lineRule="auto"/>
        <w:rPr>
          <w:sz w:val="20"/>
          <w:szCs w:val="20"/>
          <w:color w:val="auto"/>
        </w:rPr>
      </w:pPr>
      <w:r>
        <w:rPr>
          <w:rFonts w:ascii="Times New Roman" w:cs="Times New Roman" w:eastAsia="Times New Roman" w:hAnsi="Times New Roman"/>
          <w:sz w:val="19"/>
          <w:szCs w:val="19"/>
          <w:color w:val="auto"/>
        </w:rPr>
        <w:t>During the twelve months ended December 31, 2024 and 2023, respectively, options to purchase 1,242 and 224,437 shares issued under the Prior Plans were canceled and became available for grant under the 2020 Plan. In addition, as of December 31, 2024, 626,926 shares of common stock were available for grant under the 2020 Plan.</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 Valuation</w:t>
      </w:r>
    </w:p>
    <w:p>
      <w:pPr>
        <w:spacing w:after="0" w:line="110" w:lineRule="exact"/>
        <w:rPr>
          <w:sz w:val="20"/>
          <w:szCs w:val="20"/>
          <w:color w:val="auto"/>
        </w:rPr>
      </w:pPr>
    </w:p>
    <w:p>
      <w:pPr>
        <w:ind w:left="360" w:right="460" w:firstLine="490"/>
        <w:spacing w:after="0" w:line="267" w:lineRule="auto"/>
        <w:rPr>
          <w:sz w:val="20"/>
          <w:szCs w:val="20"/>
          <w:color w:val="auto"/>
        </w:rPr>
      </w:pPr>
      <w:r>
        <w:rPr>
          <w:rFonts w:ascii="Times New Roman" w:cs="Times New Roman" w:eastAsia="Times New Roman" w:hAnsi="Times New Roman"/>
          <w:sz w:val="20"/>
          <w:szCs w:val="20"/>
          <w:color w:val="auto"/>
        </w:rPr>
        <w:t>The following table presents, on a weighted average basis, the assumptions used in the Black-Scholes option-pricing model to determine the grant-date fair value of stock options granted to employees:</w:t>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6480" w:type="dxa"/>
            <w:vAlign w:val="bottom"/>
            <w:shd w:val="clear" w:color="auto" w:fill="FEFEFE"/>
          </w:tcPr>
          <w:p>
            <w:pPr>
              <w:spacing w:after="0"/>
              <w:rPr>
                <w:sz w:val="17"/>
                <w:szCs w:val="17"/>
                <w:color w:val="auto"/>
              </w:rPr>
            </w:pPr>
          </w:p>
        </w:tc>
        <w:tc>
          <w:tcPr>
            <w:tcW w:w="140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80" w:type="dxa"/>
            <w:vAlign w:val="bottom"/>
            <w:gridSpan w:val="2"/>
            <w:shd w:val="clear" w:color="auto" w:fill="FEFEFE"/>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34"/>
        </w:trPr>
        <w:tc>
          <w:tcPr>
            <w:tcW w:w="6480" w:type="dxa"/>
            <w:vAlign w:val="bottom"/>
            <w:tcBorders>
              <w:top w:val="single" w:sz="8" w:color="D4EEED"/>
            </w:tcBorders>
            <w:shd w:val="clear" w:color="auto" w:fill="D4EEED"/>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400" w:type="dxa"/>
            <w:vAlign w:val="bottom"/>
            <w:tcBorders>
              <w:top w:val="single" w:sz="8" w:color="auto"/>
            </w:tcBorders>
            <w:shd w:val="clear" w:color="auto" w:fill="D4EEED"/>
          </w:tcPr>
          <w:p>
            <w:pPr>
              <w:jc w:val="center"/>
              <w:spacing w:after="0"/>
              <w:rPr>
                <w:sz w:val="20"/>
                <w:szCs w:val="20"/>
                <w:color w:val="auto"/>
              </w:rPr>
            </w:pPr>
            <w:r>
              <w:rPr>
                <w:rFonts w:ascii="Times New Roman" w:cs="Times New Roman" w:eastAsia="Times New Roman" w:hAnsi="Times New Roman"/>
                <w:sz w:val="20"/>
                <w:szCs w:val="20"/>
                <w:color w:val="auto"/>
              </w:rPr>
              <w:t>4.12%</w:t>
            </w:r>
          </w:p>
        </w:tc>
        <w:tc>
          <w:tcPr>
            <w:tcW w:w="160" w:type="dxa"/>
            <w:vAlign w:val="bottom"/>
            <w:tcBorders>
              <w:top w:val="single" w:sz="8" w:color="D4EEED"/>
            </w:tcBorders>
            <w:shd w:val="clear" w:color="auto" w:fill="D4EEED"/>
          </w:tcPr>
          <w:p>
            <w:pPr>
              <w:spacing w:after="0"/>
              <w:rPr>
                <w:sz w:val="20"/>
                <w:szCs w:val="20"/>
                <w:color w:val="auto"/>
              </w:rPr>
            </w:pPr>
          </w:p>
        </w:tc>
        <w:tc>
          <w:tcPr>
            <w:tcW w:w="1320" w:type="dxa"/>
            <w:vAlign w:val="bottom"/>
            <w:tcBorders>
              <w:top w:val="single" w:sz="8" w:color="auto"/>
            </w:tcBorders>
            <w:shd w:val="clear" w:color="auto" w:fill="D4EEED"/>
          </w:tcPr>
          <w:p>
            <w:pPr>
              <w:jc w:val="center"/>
              <w:spacing w:after="0"/>
              <w:rPr>
                <w:sz w:val="20"/>
                <w:szCs w:val="20"/>
                <w:color w:val="auto"/>
              </w:rPr>
            </w:pPr>
            <w:r>
              <w:rPr>
                <w:rFonts w:ascii="Times New Roman" w:cs="Times New Roman" w:eastAsia="Times New Roman" w:hAnsi="Times New Roman"/>
                <w:sz w:val="20"/>
                <w:szCs w:val="20"/>
                <w:color w:val="auto"/>
              </w:rPr>
              <w:t>3.72%</w:t>
            </w:r>
          </w:p>
        </w:tc>
      </w:tr>
      <w:tr>
        <w:trPr>
          <w:trHeight w:val="244"/>
        </w:trPr>
        <w:tc>
          <w:tcPr>
            <w:tcW w:w="64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40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rPr>
              <w:t>6.22</w:t>
            </w:r>
          </w:p>
        </w:tc>
        <w:tc>
          <w:tcPr>
            <w:tcW w:w="160" w:type="dxa"/>
            <w:vAlign w:val="bottom"/>
            <w:shd w:val="clear" w:color="auto" w:fill="FEFEFE"/>
          </w:tcPr>
          <w:p>
            <w:pPr>
              <w:spacing w:after="0"/>
              <w:rPr>
                <w:sz w:val="21"/>
                <w:szCs w:val="21"/>
                <w:color w:val="auto"/>
              </w:rPr>
            </w:pPr>
          </w:p>
        </w:tc>
        <w:tc>
          <w:tcPr>
            <w:tcW w:w="132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w w:val="97"/>
              </w:rPr>
              <w:t>6.23</w:t>
            </w:r>
          </w:p>
        </w:tc>
      </w:tr>
      <w:tr>
        <w:trPr>
          <w:trHeight w:val="244"/>
        </w:trPr>
        <w:tc>
          <w:tcPr>
            <w:tcW w:w="648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400" w:type="dxa"/>
            <w:vAlign w:val="bottom"/>
            <w:shd w:val="clear" w:color="auto" w:fill="D4EEED"/>
          </w:tcPr>
          <w:p>
            <w:pPr>
              <w:jc w:val="center"/>
              <w:spacing w:after="0"/>
              <w:rPr>
                <w:sz w:val="20"/>
                <w:szCs w:val="20"/>
                <w:color w:val="auto"/>
              </w:rPr>
            </w:pPr>
            <w:r>
              <w:rPr>
                <w:rFonts w:ascii="Times New Roman" w:cs="Times New Roman" w:eastAsia="Times New Roman" w:hAnsi="Times New Roman"/>
                <w:sz w:val="20"/>
                <w:szCs w:val="20"/>
                <w:color w:val="auto"/>
                <w:w w:val="98"/>
              </w:rPr>
              <w:t>95%</w:t>
            </w:r>
          </w:p>
        </w:tc>
        <w:tc>
          <w:tcPr>
            <w:tcW w:w="1480" w:type="dxa"/>
            <w:vAlign w:val="bottom"/>
            <w:gridSpan w:val="2"/>
            <w:shd w:val="clear" w:color="auto" w:fill="D4EEED"/>
          </w:tcPr>
          <w:p>
            <w:pPr>
              <w:jc w:val="center"/>
              <w:ind w:left="67"/>
              <w:spacing w:after="0"/>
              <w:rPr>
                <w:sz w:val="20"/>
                <w:szCs w:val="20"/>
                <w:color w:val="auto"/>
              </w:rPr>
            </w:pPr>
            <w:r>
              <w:rPr>
                <w:rFonts w:ascii="Times New Roman" w:cs="Times New Roman" w:eastAsia="Times New Roman" w:hAnsi="Times New Roman"/>
                <w:sz w:val="20"/>
                <w:szCs w:val="20"/>
                <w:color w:val="auto"/>
                <w:w w:val="98"/>
              </w:rPr>
              <w:t>94%</w:t>
            </w:r>
          </w:p>
        </w:tc>
      </w:tr>
      <w:tr>
        <w:trPr>
          <w:trHeight w:val="244"/>
        </w:trPr>
        <w:tc>
          <w:tcPr>
            <w:tcW w:w="64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40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20"/>
                <w:szCs w:val="20"/>
                <w:color w:val="auto"/>
              </w:rPr>
              <w:t>0.00%</w:t>
            </w:r>
          </w:p>
        </w:tc>
        <w:tc>
          <w:tcPr>
            <w:tcW w:w="1480" w:type="dxa"/>
            <w:vAlign w:val="bottom"/>
            <w:gridSpan w:val="2"/>
            <w:shd w:val="clear" w:color="auto" w:fill="FEFEFE"/>
          </w:tcPr>
          <w:p>
            <w:pPr>
              <w:jc w:val="center"/>
              <w:ind w:left="67"/>
              <w:spacing w:after="0"/>
              <w:rPr>
                <w:sz w:val="20"/>
                <w:szCs w:val="20"/>
                <w:color w:val="auto"/>
              </w:rPr>
            </w:pPr>
            <w:r>
              <w:rPr>
                <w:rFonts w:ascii="Times New Roman" w:cs="Times New Roman" w:eastAsia="Times New Roman" w:hAnsi="Times New Roman"/>
                <w:sz w:val="20"/>
                <w:szCs w:val="20"/>
                <w:color w:val="auto"/>
              </w:rPr>
              <w:t>0.00%</w:t>
            </w:r>
          </w:p>
        </w:tc>
      </w:tr>
    </w:tbl>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9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following table summarizes the Company’s stock option activity for the twelve months ended</w:t>
      </w:r>
    </w:p>
    <w:p>
      <w:pPr>
        <w:ind w:left="360"/>
        <w:spacing w:after="0"/>
        <w:rPr>
          <w:sz w:val="20"/>
          <w:szCs w:val="20"/>
          <w:color w:val="auto"/>
        </w:rPr>
      </w:pPr>
      <w:r>
        <w:rPr>
          <w:rFonts w:ascii="Times New Roman" w:cs="Times New Roman" w:eastAsia="Times New Roman" w:hAnsi="Times New Roman"/>
          <w:sz w:val="20"/>
          <w:szCs w:val="20"/>
          <w:color w:val="auto"/>
        </w:rPr>
        <w:t>December 31, 2024 (amounts in millions, except for share and per share data):</w:t>
      </w:r>
    </w:p>
    <w:p>
      <w:pPr>
        <w:spacing w:after="0" w:line="224"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462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96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860" w:type="dxa"/>
            <w:vAlign w:val="bottom"/>
            <w:gridSpan w:val="2"/>
            <w:vMerge w:val="restart"/>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shd w:val="clear" w:color="auto" w:fill="FEFEFE"/>
          </w:tcPr>
          <w:p>
            <w:pPr>
              <w:spacing w:after="0"/>
              <w:rPr>
                <w:sz w:val="16"/>
                <w:szCs w:val="16"/>
                <w:color w:val="auto"/>
              </w:rPr>
            </w:pPr>
          </w:p>
        </w:tc>
        <w:tc>
          <w:tcPr>
            <w:tcW w:w="11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940" w:type="dxa"/>
            <w:vAlign w:val="bottom"/>
            <w:gridSpan w:val="2"/>
            <w:vMerge w:val="restart"/>
            <w:shd w:val="clear" w:color="auto" w:fill="FEFEFE"/>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46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9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860" w:type="dxa"/>
            <w:vAlign w:val="bottom"/>
            <w:gridSpan w:val="2"/>
            <w:vMerge w:val="continue"/>
            <w:shd w:val="clear" w:color="auto" w:fill="FEFEFE"/>
          </w:tcPr>
          <w:p>
            <w:pPr>
              <w:spacing w:after="0"/>
              <w:rPr>
                <w:sz w:val="17"/>
                <w:szCs w:val="17"/>
                <w:color w:val="auto"/>
              </w:rPr>
            </w:pPr>
          </w:p>
        </w:tc>
        <w:tc>
          <w:tcPr>
            <w:tcW w:w="180" w:type="dxa"/>
            <w:vAlign w:val="bottom"/>
            <w:shd w:val="clear" w:color="auto" w:fill="FEFEFE"/>
          </w:tcPr>
          <w:p>
            <w:pPr>
              <w:spacing w:after="0"/>
              <w:rPr>
                <w:sz w:val="17"/>
                <w:szCs w:val="17"/>
                <w:color w:val="auto"/>
              </w:rPr>
            </w:pPr>
          </w:p>
        </w:tc>
        <w:tc>
          <w:tcPr>
            <w:tcW w:w="11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940" w:type="dxa"/>
            <w:vAlign w:val="bottom"/>
            <w:gridSpan w:val="2"/>
            <w:vMerge w:val="continue"/>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9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760" w:type="dxa"/>
            <w:vAlign w:val="bottom"/>
            <w:shd w:val="clear" w:color="auto" w:fill="FEFEFE"/>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shd w:val="clear" w:color="auto" w:fill="FEFEFE"/>
          </w:tcPr>
          <w:p>
            <w:pPr>
              <w:spacing w:after="0"/>
              <w:rPr>
                <w:sz w:val="17"/>
                <w:szCs w:val="17"/>
                <w:color w:val="auto"/>
              </w:rPr>
            </w:pPr>
          </w:p>
        </w:tc>
        <w:tc>
          <w:tcPr>
            <w:tcW w:w="11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940" w:type="dxa"/>
            <w:vAlign w:val="bottom"/>
            <w:gridSpan w:val="2"/>
            <w:shd w:val="clear" w:color="auto" w:fill="FEFEFE"/>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8"/>
        </w:trPr>
        <w:tc>
          <w:tcPr>
            <w:tcW w:w="46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960" w:type="dxa"/>
            <w:vAlign w:val="bottom"/>
            <w:shd w:val="clear" w:color="auto" w:fill="FEFEFE"/>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760" w:type="dxa"/>
            <w:vAlign w:val="bottom"/>
            <w:shd w:val="clear" w:color="auto" w:fill="FEFEFE"/>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80" w:type="dxa"/>
            <w:vAlign w:val="bottom"/>
            <w:shd w:val="clear" w:color="auto" w:fill="FEFEFE"/>
          </w:tcPr>
          <w:p>
            <w:pPr>
              <w:spacing w:after="0"/>
              <w:rPr>
                <w:sz w:val="17"/>
                <w:szCs w:val="17"/>
                <w:color w:val="auto"/>
              </w:rPr>
            </w:pPr>
          </w:p>
        </w:tc>
        <w:tc>
          <w:tcPr>
            <w:tcW w:w="11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0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840" w:type="dxa"/>
            <w:vAlign w:val="bottom"/>
            <w:shd w:val="clear" w:color="auto" w:fill="FEFEFE"/>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8"/>
              </w:rPr>
              <w:t>Value (a)</w:t>
            </w: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20" w:type="dxa"/>
            <w:vAlign w:val="bottom"/>
            <w:tcBorders>
              <w:bottom w:val="single" w:sz="8" w:color="D4EEED"/>
            </w:tcBorders>
            <w:shd w:val="clear" w:color="auto" w:fill="FEFEFE"/>
          </w:tcPr>
          <w:p>
            <w:pPr>
              <w:spacing w:after="0"/>
              <w:rPr>
                <w:sz w:val="17"/>
                <w:szCs w:val="17"/>
                <w:color w:val="auto"/>
              </w:rPr>
            </w:pPr>
          </w:p>
        </w:tc>
        <w:tc>
          <w:tcPr>
            <w:tcW w:w="100" w:type="dxa"/>
            <w:vAlign w:val="bottom"/>
            <w:tcBorders>
              <w:bottom w:val="single" w:sz="8" w:color="D4EEED"/>
            </w:tcBorders>
            <w:shd w:val="clear" w:color="auto" w:fill="FEFEFE"/>
          </w:tcPr>
          <w:p>
            <w:pPr>
              <w:spacing w:after="0"/>
              <w:rPr>
                <w:sz w:val="17"/>
                <w:szCs w:val="17"/>
                <w:color w:val="auto"/>
              </w:rPr>
            </w:pPr>
          </w:p>
        </w:tc>
        <w:tc>
          <w:tcPr>
            <w:tcW w:w="960" w:type="dxa"/>
            <w:vAlign w:val="bottom"/>
            <w:tcBorders>
              <w:bottom w:val="single" w:sz="8" w:color="auto"/>
            </w:tcBorders>
            <w:shd w:val="clear" w:color="auto" w:fill="FEFEFE"/>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bottom w:val="single" w:sz="8" w:color="D4EEED"/>
            </w:tcBorders>
            <w:shd w:val="clear" w:color="auto" w:fill="FEFEFE"/>
          </w:tcPr>
          <w:p>
            <w:pPr>
              <w:spacing w:after="0"/>
              <w:rPr>
                <w:sz w:val="17"/>
                <w:szCs w:val="17"/>
                <w:color w:val="auto"/>
              </w:rPr>
            </w:pPr>
          </w:p>
        </w:tc>
        <w:tc>
          <w:tcPr>
            <w:tcW w:w="80" w:type="dxa"/>
            <w:vAlign w:val="bottom"/>
            <w:tcBorders>
              <w:bottom w:val="single" w:sz="8" w:color="D4EEED"/>
            </w:tcBorders>
            <w:shd w:val="clear" w:color="auto" w:fill="FEFEFE"/>
          </w:tcPr>
          <w:p>
            <w:pPr>
              <w:spacing w:after="0"/>
              <w:rPr>
                <w:sz w:val="17"/>
                <w:szCs w:val="17"/>
                <w:color w:val="auto"/>
              </w:rPr>
            </w:pPr>
          </w:p>
        </w:tc>
        <w:tc>
          <w:tcPr>
            <w:tcW w:w="100" w:type="dxa"/>
            <w:vAlign w:val="bottom"/>
            <w:tcBorders>
              <w:bottom w:val="single" w:sz="8" w:color="auto"/>
            </w:tcBorders>
            <w:shd w:val="clear" w:color="auto" w:fill="FEFEFE"/>
          </w:tcPr>
          <w:p>
            <w:pPr>
              <w:spacing w:after="0"/>
              <w:rPr>
                <w:sz w:val="17"/>
                <w:szCs w:val="17"/>
                <w:color w:val="auto"/>
              </w:rPr>
            </w:pPr>
          </w:p>
        </w:tc>
        <w:tc>
          <w:tcPr>
            <w:tcW w:w="760" w:type="dxa"/>
            <w:vAlign w:val="bottom"/>
            <w:tcBorders>
              <w:bottom w:val="single" w:sz="8" w:color="auto"/>
            </w:tcBorders>
            <w:shd w:val="clear" w:color="auto" w:fill="FEFEFE"/>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80" w:type="dxa"/>
            <w:vAlign w:val="bottom"/>
            <w:tcBorders>
              <w:bottom w:val="single" w:sz="8" w:color="D4EEED"/>
            </w:tcBorders>
            <w:shd w:val="clear" w:color="auto" w:fill="FEFEFE"/>
          </w:tcPr>
          <w:p>
            <w:pPr>
              <w:spacing w:after="0"/>
              <w:rPr>
                <w:sz w:val="17"/>
                <w:szCs w:val="17"/>
                <w:color w:val="auto"/>
              </w:rPr>
            </w:pPr>
          </w:p>
        </w:tc>
        <w:tc>
          <w:tcPr>
            <w:tcW w:w="1180" w:type="dxa"/>
            <w:vAlign w:val="bottom"/>
            <w:tcBorders>
              <w:bottom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rPr>
              <w:t>Term (in years)</w:t>
            </w:r>
          </w:p>
        </w:tc>
        <w:tc>
          <w:tcPr>
            <w:tcW w:w="200" w:type="dxa"/>
            <w:vAlign w:val="bottom"/>
            <w:tcBorders>
              <w:bottom w:val="single" w:sz="8" w:color="D4EEED"/>
            </w:tcBorders>
            <w:shd w:val="clear" w:color="auto" w:fill="FEFEFE"/>
          </w:tcPr>
          <w:p>
            <w:pPr>
              <w:spacing w:after="0"/>
              <w:rPr>
                <w:sz w:val="17"/>
                <w:szCs w:val="17"/>
                <w:color w:val="auto"/>
              </w:rPr>
            </w:pPr>
          </w:p>
        </w:tc>
        <w:tc>
          <w:tcPr>
            <w:tcW w:w="940" w:type="dxa"/>
            <w:vAlign w:val="bottom"/>
            <w:tcBorders>
              <w:bottom w:val="single" w:sz="8" w:color="auto"/>
            </w:tcBorders>
            <w:gridSpan w:val="2"/>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00" w:type="dxa"/>
            <w:vAlign w:val="bottom"/>
            <w:tcBorders>
              <w:bottom w:val="single" w:sz="8" w:color="D4EEED"/>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31, 2023</w:t>
            </w:r>
          </w:p>
        </w:tc>
        <w:tc>
          <w:tcPr>
            <w:tcW w:w="100" w:type="dxa"/>
            <w:vAlign w:val="bottom"/>
            <w:shd w:val="clear" w:color="auto" w:fill="D4EEED"/>
          </w:tcPr>
          <w:p>
            <w:pPr>
              <w:spacing w:after="0"/>
              <w:rPr>
                <w:sz w:val="20"/>
                <w:szCs w:val="20"/>
                <w:color w:val="auto"/>
              </w:rPr>
            </w:pPr>
          </w:p>
        </w:tc>
        <w:tc>
          <w:tcPr>
            <w:tcW w:w="9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4,273,502</w:t>
            </w:r>
          </w:p>
        </w:tc>
        <w:tc>
          <w:tcPr>
            <w:tcW w:w="14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c>
          <w:tcPr>
            <w:tcW w:w="10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7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9.06</w:t>
            </w:r>
          </w:p>
        </w:tc>
        <w:tc>
          <w:tcPr>
            <w:tcW w:w="180" w:type="dxa"/>
            <w:vAlign w:val="bottom"/>
            <w:shd w:val="clear" w:color="auto" w:fill="D4EEED"/>
          </w:tcPr>
          <w:p>
            <w:pPr>
              <w:spacing w:after="0"/>
              <w:rPr>
                <w:sz w:val="20"/>
                <w:szCs w:val="20"/>
                <w:color w:val="auto"/>
              </w:rPr>
            </w:pPr>
          </w:p>
        </w:tc>
        <w:tc>
          <w:tcPr>
            <w:tcW w:w="11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00" w:type="dxa"/>
            <w:vAlign w:val="bottom"/>
            <w:shd w:val="clear" w:color="auto" w:fill="D4EEED"/>
          </w:tcPr>
          <w:p>
            <w:pPr>
              <w:spacing w:after="0"/>
              <w:rPr>
                <w:sz w:val="20"/>
                <w:szCs w:val="20"/>
                <w:color w:val="auto"/>
              </w:rPr>
            </w:pPr>
          </w:p>
        </w:tc>
        <w:tc>
          <w:tcPr>
            <w:tcW w:w="100" w:type="dxa"/>
            <w:vAlign w:val="bottom"/>
            <w:shd w:val="clear" w:color="auto" w:fill="D4EEED"/>
          </w:tcPr>
          <w:p>
            <w:pPr>
              <w:spacing w:after="0"/>
              <w:rPr>
                <w:sz w:val="20"/>
                <w:szCs w:val="20"/>
                <w:color w:val="auto"/>
              </w:rPr>
            </w:pPr>
          </w:p>
        </w:tc>
        <w:tc>
          <w:tcPr>
            <w:tcW w:w="840" w:type="dxa"/>
            <w:vAlign w:val="bottom"/>
            <w:shd w:val="clear" w:color="auto" w:fill="D4EEED"/>
          </w:tcPr>
          <w:p>
            <w:pPr>
              <w:spacing w:after="0"/>
              <w:rPr>
                <w:sz w:val="20"/>
                <w:szCs w:val="20"/>
                <w:color w:val="auto"/>
              </w:rPr>
            </w:pPr>
          </w:p>
        </w:tc>
        <w:tc>
          <w:tcPr>
            <w:tcW w:w="100" w:type="dxa"/>
            <w:vAlign w:val="bottom"/>
            <w:shd w:val="clear" w:color="auto" w:fill="D4EEED"/>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6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Granted</w:t>
            </w:r>
          </w:p>
        </w:tc>
        <w:tc>
          <w:tcPr>
            <w:tcW w:w="100" w:type="dxa"/>
            <w:vAlign w:val="bottom"/>
            <w:shd w:val="clear" w:color="auto" w:fill="FEFEFE"/>
          </w:tcPr>
          <w:p>
            <w:pPr>
              <w:spacing w:after="0"/>
              <w:rPr>
                <w:sz w:val="21"/>
                <w:szCs w:val="21"/>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2,235,377</w:t>
            </w:r>
          </w:p>
        </w:tc>
        <w:tc>
          <w:tcPr>
            <w:tcW w:w="14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180" w:type="dxa"/>
            <w:vAlign w:val="bottom"/>
            <w:shd w:val="clear" w:color="auto" w:fill="FEFEFE"/>
          </w:tcPr>
          <w:p>
            <w:pPr>
              <w:spacing w:after="0"/>
              <w:rPr>
                <w:sz w:val="21"/>
                <w:szCs w:val="21"/>
                <w:color w:val="auto"/>
              </w:rPr>
            </w:pPr>
          </w:p>
        </w:tc>
        <w:tc>
          <w:tcPr>
            <w:tcW w:w="118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4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20" w:type="dxa"/>
            <w:vAlign w:val="bottom"/>
            <w:shd w:val="clear" w:color="auto" w:fill="D4EEED"/>
          </w:tcPr>
          <w:p>
            <w:pPr>
              <w:ind w:left="400"/>
              <w:spacing w:after="0"/>
              <w:rPr>
                <w:sz w:val="20"/>
                <w:szCs w:val="20"/>
                <w:color w:val="auto"/>
              </w:rPr>
            </w:pPr>
            <w:r>
              <w:rPr>
                <w:rFonts w:ascii="Times New Roman" w:cs="Times New Roman" w:eastAsia="Times New Roman" w:hAnsi="Times New Roman"/>
                <w:sz w:val="20"/>
                <w:szCs w:val="20"/>
                <w:color w:val="auto"/>
              </w:rPr>
              <w:t>Exercised</w:t>
            </w:r>
          </w:p>
        </w:tc>
        <w:tc>
          <w:tcPr>
            <w:tcW w:w="1200" w:type="dxa"/>
            <w:vAlign w:val="bottom"/>
            <w:gridSpan w:val="3"/>
            <w:shd w:val="clear" w:color="auto" w:fill="D4EEED"/>
          </w:tcPr>
          <w:p>
            <w:pPr>
              <w:jc w:val="right"/>
              <w:ind w:right="60"/>
              <w:spacing w:after="0"/>
              <w:rPr>
                <w:sz w:val="20"/>
                <w:szCs w:val="20"/>
                <w:color w:val="auto"/>
              </w:rPr>
            </w:pPr>
            <w:r>
              <w:rPr>
                <w:rFonts w:ascii="Times New Roman" w:cs="Times New Roman" w:eastAsia="Times New Roman" w:hAnsi="Times New Roman"/>
                <w:sz w:val="20"/>
                <w:szCs w:val="20"/>
                <w:color w:val="auto"/>
              </w:rPr>
              <w:t>(15,404)</w:t>
            </w:r>
          </w:p>
        </w:tc>
        <w:tc>
          <w:tcPr>
            <w:tcW w:w="8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7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80" w:type="dxa"/>
            <w:vAlign w:val="bottom"/>
            <w:shd w:val="clear" w:color="auto" w:fill="D4EEED"/>
          </w:tcPr>
          <w:p>
            <w:pPr>
              <w:spacing w:after="0"/>
              <w:rPr>
                <w:sz w:val="21"/>
                <w:szCs w:val="21"/>
                <w:color w:val="auto"/>
              </w:rPr>
            </w:pPr>
          </w:p>
        </w:tc>
        <w:tc>
          <w:tcPr>
            <w:tcW w:w="118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4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6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Forfeited/Expired</w:t>
            </w:r>
          </w:p>
        </w:tc>
        <w:tc>
          <w:tcPr>
            <w:tcW w:w="1200" w:type="dxa"/>
            <w:vAlign w:val="bottom"/>
            <w:gridSpan w:val="3"/>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rPr>
              <w:t>(57,088)</w:t>
            </w:r>
          </w:p>
        </w:tc>
        <w:tc>
          <w:tcPr>
            <w:tcW w:w="80" w:type="dxa"/>
            <w:vAlign w:val="bottom"/>
            <w:shd w:val="clear" w:color="auto" w:fill="FEFEFE"/>
          </w:tcPr>
          <w:p>
            <w:pPr>
              <w:spacing w:after="0"/>
              <w:rPr>
                <w:sz w:val="24"/>
                <w:szCs w:val="24"/>
                <w:color w:val="auto"/>
              </w:rPr>
            </w:pPr>
          </w:p>
        </w:tc>
        <w:tc>
          <w:tcPr>
            <w:tcW w:w="100" w:type="dxa"/>
            <w:vAlign w:val="bottom"/>
            <w:shd w:val="clear" w:color="auto" w:fill="FEFEFE"/>
          </w:tcPr>
          <w:p>
            <w:pPr>
              <w:spacing w:after="0"/>
              <w:rPr>
                <w:sz w:val="24"/>
                <w:szCs w:val="24"/>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10.08</w:t>
            </w:r>
          </w:p>
        </w:tc>
        <w:tc>
          <w:tcPr>
            <w:tcW w:w="180" w:type="dxa"/>
            <w:vAlign w:val="bottom"/>
            <w:shd w:val="clear" w:color="auto" w:fill="FEFEFE"/>
          </w:tcPr>
          <w:p>
            <w:pPr>
              <w:spacing w:after="0"/>
              <w:rPr>
                <w:sz w:val="24"/>
                <w:szCs w:val="24"/>
                <w:color w:val="auto"/>
              </w:rPr>
            </w:pPr>
          </w:p>
        </w:tc>
        <w:tc>
          <w:tcPr>
            <w:tcW w:w="118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0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10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620" w:type="dxa"/>
            <w:vAlign w:val="bottom"/>
            <w:tcBorders>
              <w:top w:val="single" w:sz="8" w:color="D4EEED"/>
              <w:bottom w:val="single" w:sz="8" w:color="FEFEFE"/>
            </w:tcBorders>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31, 2024</w:t>
            </w:r>
          </w:p>
        </w:tc>
        <w:tc>
          <w:tcPr>
            <w:tcW w:w="100" w:type="dxa"/>
            <w:vAlign w:val="bottom"/>
            <w:tcBorders>
              <w:top w:val="single" w:sz="8" w:color="D4EEED"/>
              <w:bottom w:val="single" w:sz="8" w:color="FEFEFE"/>
            </w:tcBorders>
            <w:shd w:val="clear" w:color="auto" w:fill="D4EEED"/>
          </w:tcPr>
          <w:p>
            <w:pPr>
              <w:spacing w:after="0"/>
              <w:rPr>
                <w:sz w:val="23"/>
                <w:szCs w:val="23"/>
                <w:color w:val="auto"/>
              </w:rPr>
            </w:pPr>
          </w:p>
        </w:tc>
        <w:tc>
          <w:tcPr>
            <w:tcW w:w="96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6,436,387</w:t>
            </w:r>
          </w:p>
        </w:tc>
        <w:tc>
          <w:tcPr>
            <w:tcW w:w="140" w:type="dxa"/>
            <w:vAlign w:val="bottom"/>
            <w:tcBorders>
              <w:top w:val="single" w:sz="8" w:color="D4EEED"/>
              <w:bottom w:val="single" w:sz="8" w:color="FEFEFE"/>
            </w:tcBorders>
            <w:shd w:val="clear" w:color="auto" w:fill="D4EEED"/>
          </w:tcPr>
          <w:p>
            <w:pPr>
              <w:spacing w:after="0"/>
              <w:rPr>
                <w:sz w:val="23"/>
                <w:szCs w:val="23"/>
                <w:color w:val="auto"/>
              </w:rPr>
            </w:pPr>
          </w:p>
        </w:tc>
        <w:tc>
          <w:tcPr>
            <w:tcW w:w="180" w:type="dxa"/>
            <w:vAlign w:val="bottom"/>
            <w:tcBorders>
              <w:top w:val="single" w:sz="8" w:color="D4EEED"/>
              <w:bottom w:val="single" w:sz="8" w:color="FEFEFE"/>
            </w:tcBorders>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D4EEED"/>
              <w:bottom w:val="single" w:sz="8" w:color="FEFEFE"/>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7.78</w:t>
            </w:r>
          </w:p>
        </w:tc>
        <w:tc>
          <w:tcPr>
            <w:tcW w:w="1360" w:type="dxa"/>
            <w:vAlign w:val="bottom"/>
            <w:tcBorders>
              <w:top w:val="single" w:sz="8" w:color="D4EEED"/>
              <w:bottom w:val="single" w:sz="8" w:color="FEFEFE"/>
            </w:tcBorders>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300" w:type="dxa"/>
            <w:vAlign w:val="bottom"/>
            <w:tcBorders>
              <w:top w:val="single" w:sz="8" w:color="D4EEED"/>
              <w:bottom w:val="single" w:sz="8" w:color="FEFEFE"/>
            </w:tcBorders>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D4EEED"/>
              <w:bottom w:val="single" w:sz="8" w:color="FEFEFE"/>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00" w:type="dxa"/>
            <w:vAlign w:val="bottom"/>
            <w:tcBorders>
              <w:top w:val="single" w:sz="8" w:color="D4EEED"/>
              <w:bottom w:val="single" w:sz="8" w:color="FEFEFE"/>
            </w:tcBorders>
            <w:shd w:val="clear" w:color="auto" w:fill="D4EEED"/>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D4EEED"/>
            </w:tcBorders>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Exercisable as of December 31, 2024</w:t>
            </w:r>
          </w:p>
        </w:tc>
        <w:tc>
          <w:tcPr>
            <w:tcW w:w="100" w:type="dxa"/>
            <w:vAlign w:val="bottom"/>
            <w:tcBorders>
              <w:bottom w:val="single" w:sz="8" w:color="D4EEED"/>
            </w:tcBorders>
            <w:shd w:val="clear" w:color="auto" w:fill="FEFEFE"/>
          </w:tcPr>
          <w:p>
            <w:pPr>
              <w:spacing w:after="0"/>
              <w:rPr>
                <w:sz w:val="23"/>
                <w:szCs w:val="23"/>
                <w:color w:val="auto"/>
              </w:rPr>
            </w:pPr>
          </w:p>
        </w:tc>
        <w:tc>
          <w:tcPr>
            <w:tcW w:w="9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3,094,992</w:t>
            </w:r>
          </w:p>
        </w:tc>
        <w:tc>
          <w:tcPr>
            <w:tcW w:w="140" w:type="dxa"/>
            <w:vAlign w:val="bottom"/>
            <w:tcBorders>
              <w:bottom w:val="single" w:sz="8" w:color="D4EEED"/>
            </w:tcBorders>
            <w:shd w:val="clear" w:color="auto" w:fill="FEFEFE"/>
          </w:tcPr>
          <w:p>
            <w:pPr>
              <w:spacing w:after="0"/>
              <w:rPr>
                <w:sz w:val="23"/>
                <w:szCs w:val="23"/>
                <w:color w:val="auto"/>
              </w:rPr>
            </w:pPr>
          </w:p>
        </w:tc>
        <w:tc>
          <w:tcPr>
            <w:tcW w:w="180" w:type="dxa"/>
            <w:vAlign w:val="bottom"/>
            <w:tcBorders>
              <w:bottom w:val="single" w:sz="8" w:color="D4EEED"/>
            </w:tcBorders>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D4EEED"/>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10.45</w:t>
            </w:r>
          </w:p>
        </w:tc>
        <w:tc>
          <w:tcPr>
            <w:tcW w:w="1360" w:type="dxa"/>
            <w:vAlign w:val="bottom"/>
            <w:tcBorders>
              <w:bottom w:val="single" w:sz="8" w:color="D4EEED"/>
            </w:tcBorders>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300" w:type="dxa"/>
            <w:vAlign w:val="bottom"/>
            <w:tcBorders>
              <w:bottom w:val="single" w:sz="8" w:color="D4EEED"/>
            </w:tcBorders>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D4EEED"/>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00" w:type="dxa"/>
            <w:vAlign w:val="bottom"/>
            <w:tcBorders>
              <w:bottom w:val="single" w:sz="8" w:color="D4EEED"/>
            </w:tcBorders>
            <w:shd w:val="clear" w:color="auto" w:fill="FEFEFE"/>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Vested and expected to vest as of December 31, 2024</w:t>
            </w:r>
          </w:p>
        </w:tc>
        <w:tc>
          <w:tcPr>
            <w:tcW w:w="100" w:type="dxa"/>
            <w:vAlign w:val="bottom"/>
            <w:shd w:val="clear" w:color="auto" w:fill="D4EEED"/>
          </w:tcPr>
          <w:p>
            <w:pPr>
              <w:spacing w:after="0"/>
              <w:rPr>
                <w:sz w:val="19"/>
                <w:szCs w:val="19"/>
                <w:color w:val="auto"/>
              </w:rPr>
            </w:pPr>
          </w:p>
        </w:tc>
        <w:tc>
          <w:tcPr>
            <w:tcW w:w="96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6,436,387</w:t>
            </w:r>
          </w:p>
        </w:tc>
        <w:tc>
          <w:tcPr>
            <w:tcW w:w="140" w:type="dxa"/>
            <w:vAlign w:val="bottom"/>
            <w:shd w:val="clear" w:color="auto" w:fill="D4EEED"/>
          </w:tcPr>
          <w:p>
            <w:pPr>
              <w:spacing w:after="0"/>
              <w:rPr>
                <w:sz w:val="19"/>
                <w:szCs w:val="19"/>
                <w:color w:val="auto"/>
              </w:rPr>
            </w:pPr>
          </w:p>
        </w:tc>
        <w:tc>
          <w:tcPr>
            <w:tcW w:w="180" w:type="dxa"/>
            <w:vAlign w:val="bottom"/>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7.78</w:t>
            </w:r>
          </w:p>
        </w:tc>
        <w:tc>
          <w:tcPr>
            <w:tcW w:w="1360" w:type="dxa"/>
            <w:vAlign w:val="bottom"/>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300" w:type="dxa"/>
            <w:vAlign w:val="bottom"/>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00" w:type="dxa"/>
            <w:vAlign w:val="bottom"/>
            <w:shd w:val="clear" w:color="auto" w:fill="D4EEE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1080" w:right="660" w:hanging="360"/>
        <w:spacing w:after="0" w:line="258" w:lineRule="auto"/>
        <w:tabs>
          <w:tab w:leader="none" w:pos="10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intrinsic value is calculated as the difference between the exercise price of the underlying options and the fair value of the common stock for the options that were in the money at December 31, 2024.</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2024 Option Grants</w:t>
      </w:r>
    </w:p>
    <w:p>
      <w:pPr>
        <w:spacing w:after="0" w:line="120" w:lineRule="exact"/>
        <w:rPr>
          <w:sz w:val="20"/>
          <w:szCs w:val="20"/>
          <w:color w:val="auto"/>
        </w:rPr>
      </w:pPr>
    </w:p>
    <w:p>
      <w:pPr>
        <w:ind w:left="360" w:right="360" w:firstLine="490"/>
        <w:spacing w:after="0" w:line="246" w:lineRule="auto"/>
        <w:rPr>
          <w:sz w:val="20"/>
          <w:szCs w:val="20"/>
          <w:color w:val="auto"/>
        </w:rPr>
      </w:pPr>
      <w:r>
        <w:rPr>
          <w:rFonts w:ascii="Times New Roman" w:cs="Times New Roman" w:eastAsia="Times New Roman" w:hAnsi="Times New Roman"/>
          <w:sz w:val="20"/>
          <w:szCs w:val="20"/>
          <w:color w:val="auto"/>
        </w:rPr>
        <w:t>During the twelve months ended December 31, 2024, the Company granted options to purchase 2,235,377 shares of common stock to employees and directors under the 2020 Plan. The options have an exercise price equal to the closing stock price as of the grant date. Of the 2,235,377 options granted, 2,140,377 were granted to employees and vest over four years, with 25% vesting on the first anniversary of the grant and the remainder vesting in equal monthly installments thereafter. The remaining 95,000 options were annual grants to the Company's directors and vest one year from the grant date. The weighted-average grant date fair value of options granted under the 2020 Plan during the twelve months ended December 31, 2024 was $4.25.</w:t>
      </w: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960" w:h="17280" w:orient="portrait"/>
          <w:cols w:equalWidth="0" w:num="1">
            <w:col w:w="10080"/>
          </w:cols>
          <w:pgMar w:left="1440" w:top="1440" w:right="1440" w:bottom="906" w:gutter="0" w:footer="0" w:header="0"/>
          <w:type w:val="continuous"/>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00"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2024, total unrecognized compensation expense related to unvested stock options granted under the 2020 Plan was $10.7 million, which is expected to be recognized over a weighted average period of 2.63 years.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Inducement Stock Option Grant</w:t>
      </w:r>
    </w:p>
    <w:p>
      <w:pPr>
        <w:spacing w:after="0" w:line="1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There were no inducement awards granted in the twelve months ended December 31, 2024.</w:t>
      </w:r>
    </w:p>
    <w:p>
      <w:pPr>
        <w:spacing w:after="0" w:line="120" w:lineRule="exact"/>
        <w:rPr>
          <w:sz w:val="20"/>
          <w:szCs w:val="20"/>
          <w:color w:val="auto"/>
        </w:rPr>
      </w:pPr>
    </w:p>
    <w:p>
      <w:pPr>
        <w:ind w:left="360" w:right="400"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2024, total unrecognized compensation expense related to unvested inducement options granted under the 2020 Plan was $0.7 million, which is expected to be recognized over a weighted average period of 2.28 years.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20" w:lineRule="exact"/>
        <w:rPr>
          <w:sz w:val="20"/>
          <w:szCs w:val="20"/>
          <w:color w:val="auto"/>
        </w:rPr>
      </w:pPr>
    </w:p>
    <w:p>
      <w:pPr>
        <w:ind w:left="360" w:right="580" w:firstLine="490"/>
        <w:spacing w:after="0" w:line="258" w:lineRule="auto"/>
        <w:rPr>
          <w:sz w:val="20"/>
          <w:szCs w:val="20"/>
          <w:color w:val="auto"/>
        </w:rPr>
      </w:pPr>
      <w:r>
        <w:rPr>
          <w:rFonts w:ascii="Times New Roman" w:cs="Times New Roman" w:eastAsia="Times New Roman" w:hAnsi="Times New Roman"/>
          <w:sz w:val="20"/>
          <w:szCs w:val="20"/>
          <w:color w:val="auto"/>
        </w:rPr>
        <w:t>RSUs were granted under the 2020 Plan to the Company's employees in order to maintain retention of key employees. The value of an RSU award is based on the Company's stock price on the date of the grant. The shares underlying the RSUs are not issued until the RSUs vest.</w:t>
      </w:r>
    </w:p>
    <w:p>
      <w:pPr>
        <w:spacing w:after="0" w:line="68" w:lineRule="exact"/>
        <w:rPr>
          <w:sz w:val="20"/>
          <w:szCs w:val="20"/>
          <w:color w:val="auto"/>
        </w:rPr>
      </w:pPr>
    </w:p>
    <w:p>
      <w:pPr>
        <w:ind w:left="360" w:right="780" w:firstLine="490"/>
        <w:spacing w:after="0" w:line="277" w:lineRule="auto"/>
        <w:rPr>
          <w:sz w:val="20"/>
          <w:szCs w:val="20"/>
          <w:color w:val="auto"/>
        </w:rPr>
      </w:pPr>
      <w:r>
        <w:rPr>
          <w:rFonts w:ascii="Times New Roman" w:cs="Times New Roman" w:eastAsia="Times New Roman" w:hAnsi="Times New Roman"/>
          <w:sz w:val="20"/>
          <w:szCs w:val="20"/>
          <w:color w:val="auto"/>
        </w:rPr>
        <w:t>Activity with respect to the Company's RSUs during the twelve months ended December 31, 2024 was as follows (in millions, except share, contractual term, and per share data):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462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960" w:type="dxa"/>
            <w:vAlign w:val="bottom"/>
            <w:shd w:val="clear" w:color="auto" w:fill="FEFEFE"/>
          </w:tcPr>
          <w:p>
            <w:pPr>
              <w:spacing w:after="0"/>
              <w:rPr>
                <w:sz w:val="16"/>
                <w:szCs w:val="16"/>
                <w:color w:val="auto"/>
              </w:rPr>
            </w:pPr>
          </w:p>
        </w:tc>
        <w:tc>
          <w:tcPr>
            <w:tcW w:w="140" w:type="dxa"/>
            <w:vAlign w:val="bottom"/>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860" w:type="dxa"/>
            <w:vAlign w:val="bottom"/>
            <w:gridSpan w:val="2"/>
            <w:vMerge w:val="restart"/>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shd w:val="clear" w:color="auto" w:fill="FEFEFE"/>
          </w:tcPr>
          <w:p>
            <w:pPr>
              <w:spacing w:after="0"/>
              <w:rPr>
                <w:sz w:val="16"/>
                <w:szCs w:val="16"/>
                <w:color w:val="auto"/>
              </w:rPr>
            </w:pPr>
          </w:p>
        </w:tc>
        <w:tc>
          <w:tcPr>
            <w:tcW w:w="11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940" w:type="dxa"/>
            <w:vAlign w:val="bottom"/>
            <w:gridSpan w:val="2"/>
            <w:vMerge w:val="restart"/>
            <w:shd w:val="clear" w:color="auto" w:fill="FEFEFE"/>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46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9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860" w:type="dxa"/>
            <w:vAlign w:val="bottom"/>
            <w:gridSpan w:val="2"/>
            <w:vMerge w:val="continue"/>
            <w:shd w:val="clear" w:color="auto" w:fill="FEFEFE"/>
          </w:tcPr>
          <w:p>
            <w:pPr>
              <w:spacing w:after="0"/>
              <w:rPr>
                <w:sz w:val="17"/>
                <w:szCs w:val="17"/>
                <w:color w:val="auto"/>
              </w:rPr>
            </w:pPr>
          </w:p>
        </w:tc>
        <w:tc>
          <w:tcPr>
            <w:tcW w:w="180" w:type="dxa"/>
            <w:vAlign w:val="bottom"/>
            <w:shd w:val="clear" w:color="auto" w:fill="FEFEFE"/>
          </w:tcPr>
          <w:p>
            <w:pPr>
              <w:spacing w:after="0"/>
              <w:rPr>
                <w:sz w:val="17"/>
                <w:szCs w:val="17"/>
                <w:color w:val="auto"/>
              </w:rPr>
            </w:pPr>
          </w:p>
        </w:tc>
        <w:tc>
          <w:tcPr>
            <w:tcW w:w="11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940" w:type="dxa"/>
            <w:vAlign w:val="bottom"/>
            <w:gridSpan w:val="2"/>
            <w:vMerge w:val="continue"/>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9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760" w:type="dxa"/>
            <w:vAlign w:val="bottom"/>
            <w:shd w:val="clear" w:color="auto" w:fill="FEFEFE"/>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shd w:val="clear" w:color="auto" w:fill="FEFEFE"/>
          </w:tcPr>
          <w:p>
            <w:pPr>
              <w:spacing w:after="0"/>
              <w:rPr>
                <w:sz w:val="17"/>
                <w:szCs w:val="17"/>
                <w:color w:val="auto"/>
              </w:rPr>
            </w:pPr>
          </w:p>
        </w:tc>
        <w:tc>
          <w:tcPr>
            <w:tcW w:w="11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940" w:type="dxa"/>
            <w:vAlign w:val="bottom"/>
            <w:gridSpan w:val="2"/>
            <w:shd w:val="clear" w:color="auto" w:fill="FEFEFE"/>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8"/>
        </w:trPr>
        <w:tc>
          <w:tcPr>
            <w:tcW w:w="462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960" w:type="dxa"/>
            <w:vAlign w:val="bottom"/>
            <w:shd w:val="clear" w:color="auto" w:fill="FEFEFE"/>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860" w:type="dxa"/>
            <w:vAlign w:val="bottom"/>
            <w:gridSpan w:val="2"/>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80" w:type="dxa"/>
            <w:vAlign w:val="bottom"/>
            <w:shd w:val="clear" w:color="auto" w:fill="FEFEFE"/>
          </w:tcPr>
          <w:p>
            <w:pPr>
              <w:spacing w:after="0"/>
              <w:rPr>
                <w:sz w:val="17"/>
                <w:szCs w:val="17"/>
                <w:color w:val="auto"/>
              </w:rPr>
            </w:pPr>
          </w:p>
        </w:tc>
        <w:tc>
          <w:tcPr>
            <w:tcW w:w="11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0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840" w:type="dxa"/>
            <w:vAlign w:val="bottom"/>
            <w:shd w:val="clear" w:color="auto" w:fill="FEFEFE"/>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8"/>
              </w:rPr>
              <w:t>Value (a)</w:t>
            </w: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20" w:type="dxa"/>
            <w:vAlign w:val="bottom"/>
            <w:tcBorders>
              <w:bottom w:val="single" w:sz="8" w:color="D4EEED"/>
            </w:tcBorders>
            <w:shd w:val="clear" w:color="auto" w:fill="FEFEFE"/>
          </w:tcPr>
          <w:p>
            <w:pPr>
              <w:spacing w:after="0"/>
              <w:rPr>
                <w:sz w:val="17"/>
                <w:szCs w:val="17"/>
                <w:color w:val="auto"/>
              </w:rPr>
            </w:pPr>
          </w:p>
        </w:tc>
        <w:tc>
          <w:tcPr>
            <w:tcW w:w="100" w:type="dxa"/>
            <w:vAlign w:val="bottom"/>
            <w:tcBorders>
              <w:bottom w:val="single" w:sz="8" w:color="D4EEED"/>
            </w:tcBorders>
            <w:shd w:val="clear" w:color="auto" w:fill="FEFEFE"/>
          </w:tcPr>
          <w:p>
            <w:pPr>
              <w:spacing w:after="0"/>
              <w:rPr>
                <w:sz w:val="17"/>
                <w:szCs w:val="17"/>
                <w:color w:val="auto"/>
              </w:rPr>
            </w:pPr>
          </w:p>
        </w:tc>
        <w:tc>
          <w:tcPr>
            <w:tcW w:w="960" w:type="dxa"/>
            <w:vAlign w:val="bottom"/>
            <w:tcBorders>
              <w:bottom w:val="single" w:sz="8" w:color="auto"/>
            </w:tcBorders>
            <w:shd w:val="clear" w:color="auto" w:fill="FEFEFE"/>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bottom w:val="single" w:sz="8" w:color="D4EEED"/>
            </w:tcBorders>
            <w:shd w:val="clear" w:color="auto" w:fill="FEFEFE"/>
          </w:tcPr>
          <w:p>
            <w:pPr>
              <w:spacing w:after="0"/>
              <w:rPr>
                <w:sz w:val="17"/>
                <w:szCs w:val="17"/>
                <w:color w:val="auto"/>
              </w:rPr>
            </w:pPr>
          </w:p>
        </w:tc>
        <w:tc>
          <w:tcPr>
            <w:tcW w:w="80" w:type="dxa"/>
            <w:vAlign w:val="bottom"/>
            <w:tcBorders>
              <w:bottom w:val="single" w:sz="8" w:color="D4EEED"/>
            </w:tcBorders>
            <w:shd w:val="clear" w:color="auto" w:fill="FEFEFE"/>
          </w:tcPr>
          <w:p>
            <w:pPr>
              <w:spacing w:after="0"/>
              <w:rPr>
                <w:sz w:val="17"/>
                <w:szCs w:val="17"/>
                <w:color w:val="auto"/>
              </w:rPr>
            </w:pPr>
          </w:p>
        </w:tc>
        <w:tc>
          <w:tcPr>
            <w:tcW w:w="860" w:type="dxa"/>
            <w:vAlign w:val="bottom"/>
            <w:tcBorders>
              <w:bottom w:val="single" w:sz="8" w:color="auto"/>
            </w:tcBorders>
            <w:gridSpan w:val="2"/>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bottom w:val="single" w:sz="8" w:color="D4EEED"/>
            </w:tcBorders>
            <w:shd w:val="clear" w:color="auto" w:fill="FEFEFE"/>
          </w:tcPr>
          <w:p>
            <w:pPr>
              <w:spacing w:after="0"/>
              <w:rPr>
                <w:sz w:val="17"/>
                <w:szCs w:val="17"/>
                <w:color w:val="auto"/>
              </w:rPr>
            </w:pPr>
          </w:p>
        </w:tc>
        <w:tc>
          <w:tcPr>
            <w:tcW w:w="1180" w:type="dxa"/>
            <w:vAlign w:val="bottom"/>
            <w:tcBorders>
              <w:bottom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rPr>
              <w:t>Term (in years)</w:t>
            </w:r>
          </w:p>
        </w:tc>
        <w:tc>
          <w:tcPr>
            <w:tcW w:w="200" w:type="dxa"/>
            <w:vAlign w:val="bottom"/>
            <w:tcBorders>
              <w:bottom w:val="single" w:sz="8" w:color="D4EEED"/>
            </w:tcBorders>
            <w:shd w:val="clear" w:color="auto" w:fill="FEFEFE"/>
          </w:tcPr>
          <w:p>
            <w:pPr>
              <w:spacing w:after="0"/>
              <w:rPr>
                <w:sz w:val="17"/>
                <w:szCs w:val="17"/>
                <w:color w:val="auto"/>
              </w:rPr>
            </w:pPr>
          </w:p>
        </w:tc>
        <w:tc>
          <w:tcPr>
            <w:tcW w:w="940" w:type="dxa"/>
            <w:vAlign w:val="bottom"/>
            <w:tcBorders>
              <w:bottom w:val="single" w:sz="8" w:color="auto"/>
            </w:tcBorders>
            <w:gridSpan w:val="2"/>
            <w:shd w:val="clear" w:color="auto" w:fill="FEFEFE"/>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00" w:type="dxa"/>
            <w:vAlign w:val="bottom"/>
            <w:tcBorders>
              <w:bottom w:val="single" w:sz="8" w:color="D4EEED"/>
            </w:tcBorders>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31, 2023</w:t>
            </w:r>
          </w:p>
        </w:tc>
        <w:tc>
          <w:tcPr>
            <w:tcW w:w="100" w:type="dxa"/>
            <w:vAlign w:val="bottom"/>
            <w:shd w:val="clear" w:color="auto" w:fill="D4EEED"/>
          </w:tcPr>
          <w:p>
            <w:pPr>
              <w:spacing w:after="0"/>
              <w:rPr>
                <w:sz w:val="20"/>
                <w:szCs w:val="20"/>
                <w:color w:val="auto"/>
              </w:rPr>
            </w:pPr>
          </w:p>
        </w:tc>
        <w:tc>
          <w:tcPr>
            <w:tcW w:w="9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615,000</w:t>
            </w:r>
          </w:p>
        </w:tc>
        <w:tc>
          <w:tcPr>
            <w:tcW w:w="140" w:type="dxa"/>
            <w:vAlign w:val="bottom"/>
            <w:shd w:val="clear" w:color="auto" w:fill="D4EEED"/>
          </w:tcPr>
          <w:p>
            <w:pPr>
              <w:spacing w:after="0"/>
              <w:rPr>
                <w:sz w:val="20"/>
                <w:szCs w:val="20"/>
                <w:color w:val="auto"/>
              </w:rPr>
            </w:pPr>
          </w:p>
        </w:tc>
        <w:tc>
          <w:tcPr>
            <w:tcW w:w="80" w:type="dxa"/>
            <w:vAlign w:val="bottom"/>
            <w:shd w:val="clear" w:color="auto" w:fill="D4EEED"/>
          </w:tcPr>
          <w:p>
            <w:pPr>
              <w:spacing w:after="0"/>
              <w:rPr>
                <w:sz w:val="20"/>
                <w:szCs w:val="20"/>
                <w:color w:val="auto"/>
              </w:rPr>
            </w:pPr>
          </w:p>
        </w:tc>
        <w:tc>
          <w:tcPr>
            <w:tcW w:w="10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ED"/>
              </w:rPr>
              <w:t>$</w:t>
            </w:r>
          </w:p>
        </w:tc>
        <w:tc>
          <w:tcPr>
            <w:tcW w:w="7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4.94</w:t>
            </w:r>
          </w:p>
        </w:tc>
        <w:tc>
          <w:tcPr>
            <w:tcW w:w="180" w:type="dxa"/>
            <w:vAlign w:val="bottom"/>
            <w:shd w:val="clear" w:color="auto" w:fill="D4EEED"/>
          </w:tcPr>
          <w:p>
            <w:pPr>
              <w:spacing w:after="0"/>
              <w:rPr>
                <w:sz w:val="20"/>
                <w:szCs w:val="20"/>
                <w:color w:val="auto"/>
              </w:rPr>
            </w:pPr>
          </w:p>
        </w:tc>
        <w:tc>
          <w:tcPr>
            <w:tcW w:w="11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0" w:type="dxa"/>
            <w:vAlign w:val="bottom"/>
            <w:shd w:val="clear" w:color="auto" w:fill="D4EEED"/>
          </w:tcPr>
          <w:p>
            <w:pPr>
              <w:spacing w:after="0"/>
              <w:rPr>
                <w:sz w:val="20"/>
                <w:szCs w:val="20"/>
                <w:color w:val="auto"/>
              </w:rPr>
            </w:pPr>
          </w:p>
        </w:tc>
        <w:tc>
          <w:tcPr>
            <w:tcW w:w="100" w:type="dxa"/>
            <w:vAlign w:val="bottom"/>
            <w:shd w:val="clear" w:color="auto" w:fill="D4EEED"/>
          </w:tcPr>
          <w:p>
            <w:pPr>
              <w:spacing w:after="0"/>
              <w:rPr>
                <w:sz w:val="20"/>
                <w:szCs w:val="20"/>
                <w:color w:val="auto"/>
              </w:rPr>
            </w:pPr>
          </w:p>
        </w:tc>
        <w:tc>
          <w:tcPr>
            <w:tcW w:w="840" w:type="dxa"/>
            <w:vAlign w:val="bottom"/>
            <w:shd w:val="clear" w:color="auto" w:fill="D4EEED"/>
          </w:tcPr>
          <w:p>
            <w:pPr>
              <w:spacing w:after="0"/>
              <w:rPr>
                <w:sz w:val="20"/>
                <w:szCs w:val="20"/>
                <w:color w:val="auto"/>
              </w:rPr>
            </w:pPr>
          </w:p>
        </w:tc>
        <w:tc>
          <w:tcPr>
            <w:tcW w:w="100" w:type="dxa"/>
            <w:vAlign w:val="bottom"/>
            <w:shd w:val="clear" w:color="auto" w:fill="D4EEED"/>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6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Restricted stock units granted</w:t>
            </w:r>
          </w:p>
        </w:tc>
        <w:tc>
          <w:tcPr>
            <w:tcW w:w="100" w:type="dxa"/>
            <w:vAlign w:val="bottom"/>
            <w:shd w:val="clear" w:color="auto" w:fill="FEFEFE"/>
          </w:tcPr>
          <w:p>
            <w:pPr>
              <w:spacing w:after="0"/>
              <w:rPr>
                <w:sz w:val="21"/>
                <w:szCs w:val="21"/>
                <w:color w:val="auto"/>
              </w:rPr>
            </w:pPr>
          </w:p>
        </w:tc>
        <w:tc>
          <w:tcPr>
            <w:tcW w:w="9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245,372</w:t>
            </w:r>
          </w:p>
        </w:tc>
        <w:tc>
          <w:tcPr>
            <w:tcW w:w="140" w:type="dxa"/>
            <w:vAlign w:val="bottom"/>
            <w:shd w:val="clear" w:color="auto" w:fill="FEFEFE"/>
          </w:tcPr>
          <w:p>
            <w:pPr>
              <w:spacing w:after="0"/>
              <w:rPr>
                <w:sz w:val="21"/>
                <w:szCs w:val="21"/>
                <w:color w:val="auto"/>
              </w:rPr>
            </w:pPr>
          </w:p>
        </w:tc>
        <w:tc>
          <w:tcPr>
            <w:tcW w:w="8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180" w:type="dxa"/>
            <w:vAlign w:val="bottom"/>
            <w:shd w:val="clear" w:color="auto" w:fill="FEFEFE"/>
          </w:tcPr>
          <w:p>
            <w:pPr>
              <w:spacing w:after="0"/>
              <w:rPr>
                <w:sz w:val="21"/>
                <w:szCs w:val="21"/>
                <w:color w:val="auto"/>
              </w:rPr>
            </w:pPr>
          </w:p>
        </w:tc>
        <w:tc>
          <w:tcPr>
            <w:tcW w:w="1180" w:type="dxa"/>
            <w:vAlign w:val="bottom"/>
            <w:shd w:val="clear" w:color="auto" w:fill="FEFEFE"/>
          </w:tcPr>
          <w:p>
            <w:pPr>
              <w:spacing w:after="0"/>
              <w:rPr>
                <w:sz w:val="21"/>
                <w:szCs w:val="21"/>
                <w:color w:val="auto"/>
              </w:rPr>
            </w:pPr>
          </w:p>
        </w:tc>
        <w:tc>
          <w:tcPr>
            <w:tcW w:w="20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840" w:type="dxa"/>
            <w:vAlign w:val="bottom"/>
            <w:shd w:val="clear" w:color="auto" w:fill="FEFEFE"/>
          </w:tcPr>
          <w:p>
            <w:pPr>
              <w:spacing w:after="0"/>
              <w:rPr>
                <w:sz w:val="21"/>
                <w:szCs w:val="21"/>
                <w:color w:val="auto"/>
              </w:rPr>
            </w:pPr>
          </w:p>
        </w:tc>
        <w:tc>
          <w:tcPr>
            <w:tcW w:w="100" w:type="dxa"/>
            <w:vAlign w:val="bottom"/>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20" w:type="dxa"/>
            <w:vAlign w:val="bottom"/>
            <w:shd w:val="clear" w:color="auto" w:fill="D4EEED"/>
          </w:tcPr>
          <w:p>
            <w:pPr>
              <w:ind w:left="400"/>
              <w:spacing w:after="0"/>
              <w:rPr>
                <w:sz w:val="20"/>
                <w:szCs w:val="20"/>
                <w:color w:val="auto"/>
              </w:rPr>
            </w:pPr>
            <w:r>
              <w:rPr>
                <w:rFonts w:ascii="Times New Roman" w:cs="Times New Roman" w:eastAsia="Times New Roman" w:hAnsi="Times New Roman"/>
                <w:sz w:val="20"/>
                <w:szCs w:val="20"/>
                <w:color w:val="auto"/>
              </w:rPr>
              <w:t>Restricted stock units vested</w:t>
            </w:r>
          </w:p>
        </w:tc>
        <w:tc>
          <w:tcPr>
            <w:tcW w:w="1200" w:type="dxa"/>
            <w:vAlign w:val="bottom"/>
            <w:gridSpan w:val="3"/>
            <w:shd w:val="clear" w:color="auto" w:fill="D4EEED"/>
          </w:tcPr>
          <w:p>
            <w:pPr>
              <w:jc w:val="right"/>
              <w:ind w:right="60"/>
              <w:spacing w:after="0"/>
              <w:rPr>
                <w:sz w:val="20"/>
                <w:szCs w:val="20"/>
                <w:color w:val="auto"/>
              </w:rPr>
            </w:pPr>
            <w:r>
              <w:rPr>
                <w:rFonts w:ascii="Times New Roman" w:cs="Times New Roman" w:eastAsia="Times New Roman" w:hAnsi="Times New Roman"/>
                <w:sz w:val="20"/>
                <w:szCs w:val="20"/>
                <w:color w:val="auto"/>
              </w:rPr>
              <w:t>(153,750)</w:t>
            </w:r>
          </w:p>
        </w:tc>
        <w:tc>
          <w:tcPr>
            <w:tcW w:w="8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76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180" w:type="dxa"/>
            <w:vAlign w:val="bottom"/>
            <w:shd w:val="clear" w:color="auto" w:fill="D4EEED"/>
          </w:tcPr>
          <w:p>
            <w:pPr>
              <w:spacing w:after="0"/>
              <w:rPr>
                <w:sz w:val="21"/>
                <w:szCs w:val="21"/>
                <w:color w:val="auto"/>
              </w:rPr>
            </w:pPr>
          </w:p>
        </w:tc>
        <w:tc>
          <w:tcPr>
            <w:tcW w:w="1180" w:type="dxa"/>
            <w:vAlign w:val="bottom"/>
            <w:shd w:val="clear" w:color="auto" w:fill="D4EEED"/>
          </w:tcPr>
          <w:p>
            <w:pPr>
              <w:spacing w:after="0"/>
              <w:rPr>
                <w:sz w:val="21"/>
                <w:szCs w:val="21"/>
                <w:color w:val="auto"/>
              </w:rPr>
            </w:pPr>
          </w:p>
        </w:tc>
        <w:tc>
          <w:tcPr>
            <w:tcW w:w="20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840" w:type="dxa"/>
            <w:vAlign w:val="bottom"/>
            <w:shd w:val="clear" w:color="auto" w:fill="D4EEED"/>
          </w:tcPr>
          <w:p>
            <w:pPr>
              <w:spacing w:after="0"/>
              <w:rPr>
                <w:sz w:val="21"/>
                <w:szCs w:val="21"/>
                <w:color w:val="auto"/>
              </w:rPr>
            </w:pPr>
          </w:p>
        </w:tc>
        <w:tc>
          <w:tcPr>
            <w:tcW w:w="100" w:type="dxa"/>
            <w:vAlign w:val="bottom"/>
            <w:shd w:val="clear" w:color="auto" w:fill="D4EEED"/>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62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20"/>
                <w:szCs w:val="20"/>
                <w:color w:val="auto"/>
              </w:rPr>
              <w:t>Restricted stock units forfeited</w:t>
            </w:r>
          </w:p>
        </w:tc>
        <w:tc>
          <w:tcPr>
            <w:tcW w:w="1200" w:type="dxa"/>
            <w:vAlign w:val="bottom"/>
            <w:gridSpan w:val="3"/>
            <w:shd w:val="clear" w:color="auto" w:fill="FEFEFE"/>
          </w:tcPr>
          <w:p>
            <w:pPr>
              <w:jc w:val="right"/>
              <w:ind w:right="60"/>
              <w:spacing w:after="0"/>
              <w:rPr>
                <w:sz w:val="20"/>
                <w:szCs w:val="20"/>
                <w:color w:val="auto"/>
              </w:rPr>
            </w:pPr>
            <w:r>
              <w:rPr>
                <w:rFonts w:ascii="Times New Roman" w:cs="Times New Roman" w:eastAsia="Times New Roman" w:hAnsi="Times New Roman"/>
                <w:sz w:val="20"/>
                <w:szCs w:val="20"/>
                <w:color w:val="auto"/>
              </w:rPr>
              <w:t>(7,619)</w:t>
            </w:r>
          </w:p>
        </w:tc>
        <w:tc>
          <w:tcPr>
            <w:tcW w:w="80" w:type="dxa"/>
            <w:vAlign w:val="bottom"/>
            <w:shd w:val="clear" w:color="auto" w:fill="FEFEFE"/>
          </w:tcPr>
          <w:p>
            <w:pPr>
              <w:spacing w:after="0"/>
              <w:rPr>
                <w:sz w:val="24"/>
                <w:szCs w:val="24"/>
                <w:color w:val="auto"/>
              </w:rPr>
            </w:pPr>
          </w:p>
        </w:tc>
        <w:tc>
          <w:tcPr>
            <w:tcW w:w="100" w:type="dxa"/>
            <w:vAlign w:val="bottom"/>
            <w:shd w:val="clear" w:color="auto" w:fill="FEFEFE"/>
          </w:tcPr>
          <w:p>
            <w:pPr>
              <w:spacing w:after="0"/>
              <w:rPr>
                <w:sz w:val="24"/>
                <w:szCs w:val="24"/>
                <w:color w:val="auto"/>
              </w:rPr>
            </w:pP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180" w:type="dxa"/>
            <w:vAlign w:val="bottom"/>
            <w:shd w:val="clear" w:color="auto" w:fill="FEFEFE"/>
          </w:tcPr>
          <w:p>
            <w:pPr>
              <w:spacing w:after="0"/>
              <w:rPr>
                <w:sz w:val="24"/>
                <w:szCs w:val="24"/>
                <w:color w:val="auto"/>
              </w:rPr>
            </w:pPr>
          </w:p>
        </w:tc>
        <w:tc>
          <w:tcPr>
            <w:tcW w:w="1180" w:type="dxa"/>
            <w:vAlign w:val="bottom"/>
            <w:shd w:val="clear" w:color="auto" w:fill="FEFEFE"/>
          </w:tcPr>
          <w:p>
            <w:pPr>
              <w:spacing w:after="0"/>
              <w:rPr>
                <w:sz w:val="24"/>
                <w:szCs w:val="24"/>
                <w:color w:val="auto"/>
              </w:rPr>
            </w:pPr>
          </w:p>
        </w:tc>
        <w:tc>
          <w:tcPr>
            <w:tcW w:w="200" w:type="dxa"/>
            <w:vAlign w:val="bottom"/>
            <w:shd w:val="clear" w:color="auto" w:fill="FEFEFE"/>
          </w:tcPr>
          <w:p>
            <w:pPr>
              <w:spacing w:after="0"/>
              <w:rPr>
                <w:sz w:val="24"/>
                <w:szCs w:val="24"/>
                <w:color w:val="auto"/>
              </w:rPr>
            </w:pPr>
          </w:p>
        </w:tc>
        <w:tc>
          <w:tcPr>
            <w:tcW w:w="10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100" w:type="dxa"/>
            <w:vAlign w:val="bottom"/>
            <w:shd w:val="clear" w:color="auto" w:fill="FEFEFE"/>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620" w:type="dxa"/>
            <w:vAlign w:val="bottom"/>
            <w:tcBorders>
              <w:top w:val="single" w:sz="8" w:color="D4EEED"/>
              <w:bottom w:val="single" w:sz="8" w:color="FEFEFE"/>
            </w:tcBorders>
            <w:shd w:val="clear" w:color="auto" w:fill="D4EEED"/>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31, 2024</w:t>
            </w:r>
          </w:p>
        </w:tc>
        <w:tc>
          <w:tcPr>
            <w:tcW w:w="100" w:type="dxa"/>
            <w:vAlign w:val="bottom"/>
            <w:tcBorders>
              <w:top w:val="single" w:sz="8" w:color="D4EEED"/>
              <w:bottom w:val="single" w:sz="8" w:color="FEFEFE"/>
            </w:tcBorders>
            <w:shd w:val="clear" w:color="auto" w:fill="D4EEED"/>
          </w:tcPr>
          <w:p>
            <w:pPr>
              <w:spacing w:after="0"/>
              <w:rPr>
                <w:sz w:val="23"/>
                <w:szCs w:val="23"/>
                <w:color w:val="auto"/>
              </w:rPr>
            </w:pPr>
          </w:p>
        </w:tc>
        <w:tc>
          <w:tcPr>
            <w:tcW w:w="960" w:type="dxa"/>
            <w:vAlign w:val="bottom"/>
            <w:tcBorders>
              <w:top w:val="single" w:sz="8" w:color="auto"/>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699,003</w:t>
            </w:r>
          </w:p>
        </w:tc>
        <w:tc>
          <w:tcPr>
            <w:tcW w:w="140" w:type="dxa"/>
            <w:vAlign w:val="bottom"/>
            <w:tcBorders>
              <w:top w:val="single" w:sz="8" w:color="D4EEED"/>
              <w:bottom w:val="single" w:sz="8" w:color="FEFEFE"/>
            </w:tcBorders>
            <w:shd w:val="clear" w:color="auto" w:fill="D4EEED"/>
          </w:tcPr>
          <w:p>
            <w:pPr>
              <w:spacing w:after="0"/>
              <w:rPr>
                <w:sz w:val="23"/>
                <w:szCs w:val="23"/>
                <w:color w:val="auto"/>
              </w:rPr>
            </w:pPr>
          </w:p>
        </w:tc>
        <w:tc>
          <w:tcPr>
            <w:tcW w:w="180" w:type="dxa"/>
            <w:vAlign w:val="bottom"/>
            <w:tcBorders>
              <w:top w:val="single" w:sz="8" w:color="D4EEED"/>
              <w:bottom w:val="single" w:sz="8" w:color="FEFEFE"/>
            </w:tcBorders>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D4EEED"/>
              <w:bottom w:val="single" w:sz="8" w:color="FEFEFE"/>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1360" w:type="dxa"/>
            <w:vAlign w:val="bottom"/>
            <w:tcBorders>
              <w:top w:val="single" w:sz="8" w:color="D4EEED"/>
              <w:bottom w:val="single" w:sz="8" w:color="FEFEFE"/>
            </w:tcBorders>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00" w:type="dxa"/>
            <w:vAlign w:val="bottom"/>
            <w:tcBorders>
              <w:top w:val="single" w:sz="8" w:color="D4EEED"/>
              <w:bottom w:val="single" w:sz="8" w:color="FEFEFE"/>
            </w:tcBorders>
            <w:gridSpan w:val="2"/>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D4EEED"/>
              <w:bottom w:val="single" w:sz="8" w:color="FEFEFE"/>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00" w:type="dxa"/>
            <w:vAlign w:val="bottom"/>
            <w:tcBorders>
              <w:top w:val="single" w:sz="8" w:color="D4EEED"/>
              <w:bottom w:val="single" w:sz="8" w:color="FEFEFE"/>
            </w:tcBorders>
            <w:shd w:val="clear" w:color="auto" w:fill="D4EEED"/>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620" w:type="dxa"/>
            <w:vAlign w:val="bottom"/>
            <w:shd w:val="clear" w:color="auto" w:fill="FEFEFE"/>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Unvested and expected to vest as of December 31,</w:t>
            </w:r>
          </w:p>
        </w:tc>
        <w:tc>
          <w:tcPr>
            <w:tcW w:w="100" w:type="dxa"/>
            <w:vAlign w:val="bottom"/>
            <w:shd w:val="clear" w:color="auto" w:fill="FEFEFE"/>
          </w:tcPr>
          <w:p>
            <w:pPr>
              <w:spacing w:after="0"/>
              <w:rPr>
                <w:sz w:val="17"/>
                <w:szCs w:val="17"/>
                <w:color w:val="auto"/>
              </w:rPr>
            </w:pPr>
          </w:p>
        </w:tc>
        <w:tc>
          <w:tcPr>
            <w:tcW w:w="960" w:type="dxa"/>
            <w:vAlign w:val="bottom"/>
            <w:shd w:val="clear" w:color="auto" w:fill="FEFEFE"/>
          </w:tcPr>
          <w:p>
            <w:pPr>
              <w:spacing w:after="0"/>
              <w:rPr>
                <w:sz w:val="17"/>
                <w:szCs w:val="17"/>
                <w:color w:val="auto"/>
              </w:rPr>
            </w:pPr>
          </w:p>
        </w:tc>
        <w:tc>
          <w:tcPr>
            <w:tcW w:w="140" w:type="dxa"/>
            <w:vAlign w:val="bottom"/>
            <w:shd w:val="clear" w:color="auto" w:fill="FEFEFE"/>
          </w:tcPr>
          <w:p>
            <w:pPr>
              <w:spacing w:after="0"/>
              <w:rPr>
                <w:sz w:val="17"/>
                <w:szCs w:val="17"/>
                <w:color w:val="auto"/>
              </w:rPr>
            </w:pPr>
          </w:p>
        </w:tc>
        <w:tc>
          <w:tcPr>
            <w:tcW w:w="8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760" w:type="dxa"/>
            <w:vAlign w:val="bottom"/>
            <w:shd w:val="clear" w:color="auto" w:fill="FEFEFE"/>
          </w:tcPr>
          <w:p>
            <w:pPr>
              <w:spacing w:after="0"/>
              <w:rPr>
                <w:sz w:val="17"/>
                <w:szCs w:val="17"/>
                <w:color w:val="auto"/>
              </w:rPr>
            </w:pPr>
          </w:p>
        </w:tc>
        <w:tc>
          <w:tcPr>
            <w:tcW w:w="180" w:type="dxa"/>
            <w:vAlign w:val="bottom"/>
            <w:shd w:val="clear" w:color="auto" w:fill="FEFEFE"/>
          </w:tcPr>
          <w:p>
            <w:pPr>
              <w:spacing w:after="0"/>
              <w:rPr>
                <w:sz w:val="17"/>
                <w:szCs w:val="17"/>
                <w:color w:val="auto"/>
              </w:rPr>
            </w:pPr>
          </w:p>
        </w:tc>
        <w:tc>
          <w:tcPr>
            <w:tcW w:w="1180" w:type="dxa"/>
            <w:vAlign w:val="bottom"/>
            <w:shd w:val="clear" w:color="auto" w:fill="FEFEFE"/>
          </w:tcPr>
          <w:p>
            <w:pPr>
              <w:spacing w:after="0"/>
              <w:rPr>
                <w:sz w:val="17"/>
                <w:szCs w:val="17"/>
                <w:color w:val="auto"/>
              </w:rPr>
            </w:pPr>
          </w:p>
        </w:tc>
        <w:tc>
          <w:tcPr>
            <w:tcW w:w="20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840" w:type="dxa"/>
            <w:vAlign w:val="bottom"/>
            <w:shd w:val="clear" w:color="auto" w:fill="FEFEFE"/>
          </w:tcPr>
          <w:p>
            <w:pPr>
              <w:spacing w:after="0"/>
              <w:rPr>
                <w:sz w:val="17"/>
                <w:szCs w:val="17"/>
                <w:color w:val="auto"/>
              </w:rPr>
            </w:pPr>
          </w:p>
        </w:tc>
        <w:tc>
          <w:tcPr>
            <w:tcW w:w="10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62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shd w:val="clear" w:color="auto" w:fill="FEFEFE"/>
          </w:tcPr>
          <w:p>
            <w:pPr>
              <w:spacing w:after="0"/>
              <w:rPr>
                <w:sz w:val="22"/>
                <w:szCs w:val="22"/>
                <w:color w:val="auto"/>
              </w:rPr>
            </w:pPr>
          </w:p>
        </w:tc>
        <w:tc>
          <w:tcPr>
            <w:tcW w:w="96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699,003</w:t>
            </w:r>
          </w:p>
        </w:tc>
        <w:tc>
          <w:tcPr>
            <w:tcW w:w="140" w:type="dxa"/>
            <w:vAlign w:val="bottom"/>
            <w:shd w:val="clear" w:color="auto" w:fill="FEFEFE"/>
          </w:tcPr>
          <w:p>
            <w:pPr>
              <w:spacing w:after="0"/>
              <w:rPr>
                <w:sz w:val="22"/>
                <w:szCs w:val="22"/>
                <w:color w:val="auto"/>
              </w:rPr>
            </w:pPr>
          </w:p>
        </w:tc>
        <w:tc>
          <w:tcPr>
            <w:tcW w:w="18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136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300" w:type="dxa"/>
            <w:vAlign w:val="bottom"/>
            <w:gridSpan w:val="2"/>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00" w:type="dxa"/>
            <w:vAlign w:val="bottom"/>
            <w:shd w:val="clear" w:color="auto" w:fill="FEFEF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 Grants</w:t>
      </w:r>
    </w:p>
    <w:p>
      <w:pPr>
        <w:spacing w:after="0" w:line="120" w:lineRule="exact"/>
        <w:rPr>
          <w:sz w:val="20"/>
          <w:szCs w:val="20"/>
          <w:color w:val="auto"/>
        </w:rPr>
      </w:pPr>
    </w:p>
    <w:p>
      <w:pPr>
        <w:ind w:left="360" w:right="360" w:firstLine="490"/>
        <w:spacing w:after="0" w:line="258" w:lineRule="auto"/>
        <w:rPr>
          <w:sz w:val="20"/>
          <w:szCs w:val="20"/>
          <w:color w:val="auto"/>
        </w:rPr>
      </w:pPr>
      <w:r>
        <w:rPr>
          <w:rFonts w:ascii="Times New Roman" w:cs="Times New Roman" w:eastAsia="Times New Roman" w:hAnsi="Times New Roman"/>
          <w:sz w:val="20"/>
          <w:szCs w:val="20"/>
          <w:color w:val="auto"/>
        </w:rPr>
        <w:t>During the twelve months ended December 31, 2024, the Company granted 245,372 shares of RSUs to employees under the 2020 Plan. The RSUs vest annually over four years and have a weighted-average grant date fair value during the twelve months ended December 31, 2024 of $4.21.</w:t>
      </w:r>
    </w:p>
    <w:p>
      <w:pPr>
        <w:spacing w:after="0" w:line="68" w:lineRule="exact"/>
        <w:rPr>
          <w:sz w:val="20"/>
          <w:szCs w:val="20"/>
          <w:color w:val="auto"/>
        </w:rPr>
      </w:pPr>
    </w:p>
    <w:p>
      <w:pPr>
        <w:ind w:left="360" w:right="76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2024, total unrecognized compensation expense for RSUs was $2.3 million, which is expected to be recognized over a weighted-average period of 2.4 years.</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January 2025 Option, Restricted Stock Unit Grants and Performance-Based Restricted Stock Units</w:t>
      </w:r>
    </w:p>
    <w:p>
      <w:pPr>
        <w:spacing w:after="0" w:line="120" w:lineRule="exact"/>
        <w:rPr>
          <w:sz w:val="20"/>
          <w:szCs w:val="20"/>
          <w:color w:val="auto"/>
        </w:rPr>
      </w:pPr>
    </w:p>
    <w:p>
      <w:pPr>
        <w:ind w:left="360" w:right="380" w:firstLine="490"/>
        <w:spacing w:after="0" w:line="243" w:lineRule="auto"/>
        <w:rPr>
          <w:sz w:val="20"/>
          <w:szCs w:val="20"/>
          <w:color w:val="auto"/>
        </w:rPr>
      </w:pPr>
      <w:r>
        <w:rPr>
          <w:rFonts w:ascii="Times New Roman" w:cs="Times New Roman" w:eastAsia="Times New Roman" w:hAnsi="Times New Roman"/>
          <w:sz w:val="20"/>
          <w:szCs w:val="20"/>
          <w:color w:val="auto"/>
        </w:rPr>
        <w:t>On January 22, 2025, the Company granted options to purchase 2,084,162 shares of common stock, 347,360 shares of restricted stock units and 200,000 Performance-based restricted stock units to employees under the 2020 Plan. The options have an exercise price equal to the closing stock price as of the grant date, and vest over four years, with 25% vesting on the first anniversary of the grant and the remainder vesting in equal monthly installments thereafter. The shares of restricted stock will vest annually over four years. The performance-based restricted stock units were granted to the Company's named executive officers. The grants included two performance milestones. The fist milestone, which relates to 20% of each grant, will vest if the FDA accepts the filing of a biologic license application for accelerated approval of nomlabofusp by December 31, 2026. The second milestone, representing 80% of each grant will vest if the FDA approves the Company nomlabofusp BLA within 12 months of the BLA acceptance (no later than December 31, 2027.) If the first milestone is not achieved by December 31, 2026, the full grant will be forfeited.</w:t>
      </w: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960" w:h="17280" w:orient="portrait"/>
          <w:cols w:equalWidth="0" w:num="1">
            <w:col w:w="10080"/>
          </w:cols>
          <w:pgMar w:left="1440" w:top="1440" w:right="1440" w:bottom="906" w:gutter="0" w:footer="0" w:header="0"/>
          <w:type w:val="continuous"/>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Stock-based compensation expense was classified in the consolidated statements of operations as follows:</w:t>
      </w: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4260" w:type="dxa"/>
            <w:vAlign w:val="bottom"/>
            <w:shd w:val="clear" w:color="auto" w:fill="FEFEFE"/>
          </w:tcPr>
          <w:p>
            <w:pPr>
              <w:spacing w:after="0"/>
              <w:rPr>
                <w:sz w:val="17"/>
                <w:szCs w:val="17"/>
                <w:color w:val="auto"/>
              </w:rPr>
            </w:pPr>
          </w:p>
        </w:tc>
        <w:tc>
          <w:tcPr>
            <w:tcW w:w="2120" w:type="dxa"/>
            <w:vAlign w:val="bottom"/>
            <w:shd w:val="clear" w:color="auto" w:fill="FEFEFE"/>
          </w:tcPr>
          <w:p>
            <w:pPr>
              <w:spacing w:after="0"/>
              <w:rPr>
                <w:sz w:val="17"/>
                <w:szCs w:val="17"/>
                <w:color w:val="auto"/>
              </w:rPr>
            </w:pPr>
          </w:p>
        </w:tc>
        <w:tc>
          <w:tcPr>
            <w:tcW w:w="2980" w:type="dxa"/>
            <w:vAlign w:val="bottom"/>
            <w:gridSpan w:val="7"/>
            <w:shd w:val="clear" w:color="auto" w:fill="FEFEFE"/>
          </w:tcPr>
          <w:p>
            <w:pPr>
              <w:ind w:left="4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8"/>
        </w:trPr>
        <w:tc>
          <w:tcPr>
            <w:tcW w:w="4260" w:type="dxa"/>
            <w:vAlign w:val="bottom"/>
            <w:tcBorders>
              <w:bottom w:val="single" w:sz="8" w:color="FEFEFE"/>
            </w:tcBorders>
            <w:shd w:val="clear" w:color="auto" w:fill="FEFEFE"/>
          </w:tcPr>
          <w:p>
            <w:pPr>
              <w:spacing w:after="0"/>
              <w:rPr>
                <w:sz w:val="17"/>
                <w:szCs w:val="17"/>
                <w:color w:val="auto"/>
              </w:rPr>
            </w:pPr>
          </w:p>
        </w:tc>
        <w:tc>
          <w:tcPr>
            <w:tcW w:w="2120" w:type="dxa"/>
            <w:vAlign w:val="bottom"/>
            <w:tcBorders>
              <w:bottom w:val="single" w:sz="8" w:color="FEFEFE"/>
            </w:tcBorders>
            <w:shd w:val="clear" w:color="auto" w:fill="FEFEFE"/>
          </w:tcPr>
          <w:p>
            <w:pPr>
              <w:spacing w:after="0"/>
              <w:rPr>
                <w:sz w:val="17"/>
                <w:szCs w:val="17"/>
                <w:color w:val="auto"/>
              </w:rPr>
            </w:pPr>
          </w:p>
        </w:tc>
        <w:tc>
          <w:tcPr>
            <w:tcW w:w="8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shd w:val="clear" w:color="auto" w:fill="FEFEFE"/>
          </w:tcPr>
          <w:p>
            <w:pPr>
              <w:spacing w:after="0"/>
              <w:rPr>
                <w:sz w:val="17"/>
                <w:szCs w:val="17"/>
                <w:color w:val="auto"/>
              </w:rPr>
            </w:pPr>
          </w:p>
        </w:tc>
        <w:tc>
          <w:tcPr>
            <w:tcW w:w="240" w:type="dxa"/>
            <w:vAlign w:val="bottom"/>
            <w:tcBorders>
              <w:bottom w:val="single" w:sz="8" w:color="FEFEFE"/>
            </w:tcBorders>
            <w:shd w:val="clear" w:color="auto" w:fill="FEFEFE"/>
          </w:tcPr>
          <w:p>
            <w:pPr>
              <w:spacing w:after="0"/>
              <w:rPr>
                <w:sz w:val="17"/>
                <w:szCs w:val="17"/>
                <w:color w:val="auto"/>
              </w:rPr>
            </w:pPr>
          </w:p>
        </w:tc>
        <w:tc>
          <w:tcPr>
            <w:tcW w:w="360" w:type="dxa"/>
            <w:vAlign w:val="bottom"/>
            <w:tcBorders>
              <w:bottom w:val="single" w:sz="8" w:color="auto"/>
            </w:tcBorders>
            <w:shd w:val="clear" w:color="auto" w:fill="FEFEFE"/>
          </w:tcPr>
          <w:p>
            <w:pPr>
              <w:spacing w:after="0"/>
              <w:rPr>
                <w:sz w:val="17"/>
                <w:szCs w:val="17"/>
                <w:color w:val="auto"/>
              </w:rPr>
            </w:pPr>
          </w:p>
        </w:tc>
        <w:tc>
          <w:tcPr>
            <w:tcW w:w="840" w:type="dxa"/>
            <w:vAlign w:val="bottom"/>
            <w:tcBorders>
              <w:bottom w:val="single" w:sz="8" w:color="auto"/>
            </w:tcBorders>
            <w:shd w:val="clear" w:color="auto" w:fill="FEFEFE"/>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FEFEFE"/>
            </w:tcBorders>
            <w:shd w:val="clear" w:color="auto" w:fill="FEFEFE"/>
          </w:tcPr>
          <w:p>
            <w:pPr>
              <w:spacing w:after="0"/>
              <w:rPr>
                <w:sz w:val="17"/>
                <w:szCs w:val="17"/>
                <w:color w:val="auto"/>
              </w:rPr>
            </w:pPr>
          </w:p>
        </w:tc>
        <w:tc>
          <w:tcPr>
            <w:tcW w:w="140" w:type="dxa"/>
            <w:vAlign w:val="bottom"/>
            <w:tcBorders>
              <w:bottom w:val="single" w:sz="8" w:color="FEFEFE"/>
            </w:tcBorders>
            <w:shd w:val="clear" w:color="auto" w:fill="FEFEFE"/>
          </w:tcPr>
          <w:p>
            <w:pPr>
              <w:spacing w:after="0"/>
              <w:rPr>
                <w:sz w:val="17"/>
                <w:szCs w:val="17"/>
                <w:color w:val="auto"/>
              </w:rPr>
            </w:pPr>
          </w:p>
        </w:tc>
      </w:tr>
      <w:tr>
        <w:trPr>
          <w:trHeight w:val="178"/>
        </w:trPr>
        <w:tc>
          <w:tcPr>
            <w:tcW w:w="4260" w:type="dxa"/>
            <w:vAlign w:val="bottom"/>
            <w:shd w:val="clear" w:color="auto" w:fill="FEFEFE"/>
          </w:tcPr>
          <w:p>
            <w:pPr>
              <w:spacing w:after="0"/>
              <w:rPr>
                <w:sz w:val="15"/>
                <w:szCs w:val="15"/>
                <w:color w:val="auto"/>
              </w:rPr>
            </w:pPr>
          </w:p>
        </w:tc>
        <w:tc>
          <w:tcPr>
            <w:tcW w:w="2120" w:type="dxa"/>
            <w:vAlign w:val="bottom"/>
            <w:shd w:val="clear" w:color="auto" w:fill="FEFEFE"/>
          </w:tcPr>
          <w:p>
            <w:pPr>
              <w:spacing w:after="0"/>
              <w:rPr>
                <w:sz w:val="15"/>
                <w:szCs w:val="15"/>
                <w:color w:val="auto"/>
              </w:rPr>
            </w:pPr>
          </w:p>
        </w:tc>
        <w:tc>
          <w:tcPr>
            <w:tcW w:w="820" w:type="dxa"/>
            <w:vAlign w:val="bottom"/>
            <w:shd w:val="clear" w:color="auto" w:fill="FEFEFE"/>
          </w:tcPr>
          <w:p>
            <w:pPr>
              <w:spacing w:after="0"/>
              <w:rPr>
                <w:sz w:val="15"/>
                <w:szCs w:val="15"/>
                <w:color w:val="auto"/>
              </w:rPr>
            </w:pPr>
          </w:p>
        </w:tc>
        <w:tc>
          <w:tcPr>
            <w:tcW w:w="1080" w:type="dxa"/>
            <w:vAlign w:val="bottom"/>
            <w:gridSpan w:val="3"/>
            <w:shd w:val="clear" w:color="auto" w:fill="FEFEFE"/>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shd w:val="clear" w:color="auto" w:fill="FEFEFE"/>
          </w:tcPr>
          <w:p>
            <w:pPr>
              <w:spacing w:after="0"/>
              <w:rPr>
                <w:sz w:val="15"/>
                <w:szCs w:val="15"/>
                <w:color w:val="auto"/>
              </w:rPr>
            </w:pPr>
          </w:p>
        </w:tc>
        <w:tc>
          <w:tcPr>
            <w:tcW w:w="100" w:type="dxa"/>
            <w:vAlign w:val="bottom"/>
            <w:shd w:val="clear" w:color="auto" w:fill="FEFEFE"/>
          </w:tcPr>
          <w:p>
            <w:pPr>
              <w:spacing w:after="0"/>
              <w:rPr>
                <w:sz w:val="15"/>
                <w:szCs w:val="15"/>
                <w:color w:val="auto"/>
              </w:rPr>
            </w:pPr>
          </w:p>
        </w:tc>
        <w:tc>
          <w:tcPr>
            <w:tcW w:w="140" w:type="dxa"/>
            <w:vAlign w:val="bottom"/>
            <w:shd w:val="clear" w:color="auto" w:fill="FEFEFE"/>
          </w:tcPr>
          <w:p>
            <w:pPr>
              <w:spacing w:after="0"/>
              <w:rPr>
                <w:sz w:val="15"/>
                <w:szCs w:val="15"/>
                <w:color w:val="auto"/>
              </w:rPr>
            </w:pPr>
          </w:p>
        </w:tc>
      </w:tr>
      <w:tr>
        <w:trPr>
          <w:trHeight w:val="244"/>
        </w:trPr>
        <w:tc>
          <w:tcPr>
            <w:tcW w:w="426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2940" w:type="dxa"/>
            <w:vAlign w:val="bottom"/>
            <w:gridSpan w:val="2"/>
            <w:shd w:val="clear" w:color="auto" w:fill="D4EEED"/>
          </w:tcPr>
          <w:p>
            <w:pPr>
              <w:jc w:val="right"/>
              <w:ind w:right="633"/>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97"/>
              </w:rPr>
              <w:t>4,053</w:t>
            </w:r>
          </w:p>
        </w:tc>
        <w:tc>
          <w:tcPr>
            <w:tcW w:w="600" w:type="dxa"/>
            <w:vAlign w:val="bottom"/>
            <w:gridSpan w:val="2"/>
            <w:shd w:val="clear" w:color="auto" w:fill="D4EEED"/>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3,077</w:t>
            </w:r>
          </w:p>
        </w:tc>
        <w:tc>
          <w:tcPr>
            <w:tcW w:w="100" w:type="dxa"/>
            <w:vAlign w:val="bottom"/>
            <w:shd w:val="clear" w:color="auto" w:fill="D4EEED"/>
          </w:tcPr>
          <w:p>
            <w:pPr>
              <w:spacing w:after="0"/>
              <w:rPr>
                <w:sz w:val="21"/>
                <w:szCs w:val="21"/>
                <w:color w:val="auto"/>
              </w:rPr>
            </w:pPr>
          </w:p>
        </w:tc>
        <w:tc>
          <w:tcPr>
            <w:tcW w:w="140" w:type="dxa"/>
            <w:vAlign w:val="bottom"/>
            <w:shd w:val="clear" w:color="auto" w:fill="FEFEFE"/>
          </w:tcPr>
          <w:p>
            <w:pPr>
              <w:spacing w:after="0"/>
              <w:rPr>
                <w:sz w:val="21"/>
                <w:szCs w:val="21"/>
                <w:color w:val="auto"/>
              </w:rPr>
            </w:pPr>
          </w:p>
        </w:tc>
      </w:tr>
      <w:tr>
        <w:trPr>
          <w:trHeight w:val="244"/>
        </w:trPr>
        <w:tc>
          <w:tcPr>
            <w:tcW w:w="4260" w:type="dxa"/>
            <w:vAlign w:val="bottom"/>
            <w:tcBorders>
              <w:bottom w:val="single" w:sz="8" w:color="D4EEED"/>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120" w:type="dxa"/>
            <w:vAlign w:val="bottom"/>
            <w:tcBorders>
              <w:bottom w:val="single" w:sz="8" w:color="D4EEED"/>
            </w:tcBorders>
            <w:shd w:val="clear" w:color="auto" w:fill="FEFEFE"/>
          </w:tcPr>
          <w:p>
            <w:pPr>
              <w:spacing w:after="0"/>
              <w:rPr>
                <w:sz w:val="21"/>
                <w:szCs w:val="21"/>
                <w:color w:val="auto"/>
              </w:rPr>
            </w:pPr>
          </w:p>
        </w:tc>
        <w:tc>
          <w:tcPr>
            <w:tcW w:w="820" w:type="dxa"/>
            <w:vAlign w:val="bottom"/>
            <w:tcBorders>
              <w:bottom w:val="single" w:sz="8" w:color="auto"/>
            </w:tcBorders>
            <w:shd w:val="clear" w:color="auto" w:fill="FEFEFE"/>
          </w:tcPr>
          <w:p>
            <w:pPr>
              <w:spacing w:after="0"/>
              <w:rPr>
                <w:sz w:val="21"/>
                <w:szCs w:val="21"/>
                <w:color w:val="auto"/>
              </w:rPr>
            </w:pPr>
          </w:p>
        </w:tc>
        <w:tc>
          <w:tcPr>
            <w:tcW w:w="48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w w:val="97"/>
              </w:rPr>
              <w:t>4,743</w:t>
            </w:r>
          </w:p>
        </w:tc>
        <w:tc>
          <w:tcPr>
            <w:tcW w:w="240" w:type="dxa"/>
            <w:vAlign w:val="bottom"/>
            <w:tcBorders>
              <w:bottom w:val="single" w:sz="8" w:color="D4EEED"/>
            </w:tcBorders>
            <w:shd w:val="clear" w:color="auto" w:fill="FEFEFE"/>
          </w:tcPr>
          <w:p>
            <w:pPr>
              <w:spacing w:after="0"/>
              <w:rPr>
                <w:sz w:val="21"/>
                <w:szCs w:val="21"/>
                <w:color w:val="auto"/>
              </w:rPr>
            </w:pPr>
          </w:p>
        </w:tc>
        <w:tc>
          <w:tcPr>
            <w:tcW w:w="360" w:type="dxa"/>
            <w:vAlign w:val="bottom"/>
            <w:tcBorders>
              <w:bottom w:val="single" w:sz="8" w:color="auto"/>
            </w:tcBorders>
            <w:shd w:val="clear" w:color="auto" w:fill="FEFEFE"/>
          </w:tcPr>
          <w:p>
            <w:pPr>
              <w:spacing w:after="0"/>
              <w:rPr>
                <w:sz w:val="21"/>
                <w:szCs w:val="21"/>
                <w:color w:val="auto"/>
              </w:rPr>
            </w:pPr>
          </w:p>
        </w:tc>
        <w:tc>
          <w:tcPr>
            <w:tcW w:w="84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4,538</w:t>
            </w:r>
          </w:p>
        </w:tc>
        <w:tc>
          <w:tcPr>
            <w:tcW w:w="100" w:type="dxa"/>
            <w:vAlign w:val="bottom"/>
            <w:tcBorders>
              <w:bottom w:val="single" w:sz="8" w:color="D4EEED"/>
            </w:tcBorders>
            <w:shd w:val="clear" w:color="auto" w:fill="FEFEFE"/>
          </w:tcPr>
          <w:p>
            <w:pPr>
              <w:spacing w:after="0"/>
              <w:rPr>
                <w:sz w:val="21"/>
                <w:szCs w:val="21"/>
                <w:color w:val="auto"/>
              </w:rPr>
            </w:pPr>
          </w:p>
        </w:tc>
        <w:tc>
          <w:tcPr>
            <w:tcW w:w="140" w:type="dxa"/>
            <w:vAlign w:val="bottom"/>
            <w:tcBorders>
              <w:bottom w:val="single" w:sz="8" w:color="FEFEFE"/>
            </w:tcBorders>
            <w:shd w:val="clear" w:color="auto" w:fill="FEFEFE"/>
          </w:tcPr>
          <w:p>
            <w:pPr>
              <w:spacing w:after="0"/>
              <w:rPr>
                <w:sz w:val="21"/>
                <w:szCs w:val="21"/>
                <w:color w:val="auto"/>
              </w:rPr>
            </w:pPr>
          </w:p>
        </w:tc>
      </w:tr>
      <w:tr>
        <w:trPr>
          <w:trHeight w:val="234"/>
        </w:trPr>
        <w:tc>
          <w:tcPr>
            <w:tcW w:w="4260" w:type="dxa"/>
            <w:vAlign w:val="bottom"/>
            <w:shd w:val="clear" w:color="auto" w:fill="D4EEED"/>
          </w:tcPr>
          <w:p>
            <w:pPr>
              <w:spacing w:after="0"/>
              <w:rPr>
                <w:sz w:val="20"/>
                <w:szCs w:val="20"/>
                <w:color w:val="auto"/>
              </w:rPr>
            </w:pPr>
          </w:p>
        </w:tc>
        <w:tc>
          <w:tcPr>
            <w:tcW w:w="2120" w:type="dxa"/>
            <w:vAlign w:val="bottom"/>
            <w:shd w:val="clear" w:color="auto" w:fill="D4EEED"/>
          </w:tcPr>
          <w:p>
            <w:pPr>
              <w:spacing w:after="0"/>
              <w:rPr>
                <w:sz w:val="20"/>
                <w:szCs w:val="20"/>
                <w:color w:val="auto"/>
              </w:rPr>
            </w:pPr>
          </w:p>
        </w:tc>
        <w:tc>
          <w:tcPr>
            <w:tcW w:w="820" w:type="dxa"/>
            <w:vAlign w:val="bottom"/>
            <w:tcBorders>
              <w:bottom w:val="single" w:sz="8" w:color="auto"/>
            </w:tcBorders>
            <w:shd w:val="clear" w:color="auto" w:fill="D4EEED"/>
          </w:tcPr>
          <w:p>
            <w:pPr>
              <w:jc w:val="right"/>
              <w:ind w:right="633"/>
              <w:spacing w:after="0"/>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w w:val="97"/>
              </w:rPr>
              <w:t>8,796</w:t>
            </w:r>
          </w:p>
        </w:tc>
        <w:tc>
          <w:tcPr>
            <w:tcW w:w="240" w:type="dxa"/>
            <w:vAlign w:val="bottom"/>
            <w:shd w:val="clear" w:color="auto" w:fill="D4EEED"/>
          </w:tcPr>
          <w:p>
            <w:pPr>
              <w:spacing w:after="0"/>
              <w:rPr>
                <w:sz w:val="20"/>
                <w:szCs w:val="20"/>
                <w:color w:val="auto"/>
              </w:rPr>
            </w:pPr>
          </w:p>
        </w:tc>
        <w:tc>
          <w:tcPr>
            <w:tcW w:w="360" w:type="dxa"/>
            <w:vAlign w:val="bottom"/>
            <w:tcBorders>
              <w:bottom w:val="single" w:sz="8" w:color="auto"/>
            </w:tcBorders>
            <w:shd w:val="clear" w:color="auto" w:fill="D4EEED"/>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7,615</w:t>
            </w:r>
          </w:p>
        </w:tc>
        <w:tc>
          <w:tcPr>
            <w:tcW w:w="100" w:type="dxa"/>
            <w:vAlign w:val="bottom"/>
            <w:shd w:val="clear" w:color="auto" w:fill="D4EEED"/>
          </w:tcPr>
          <w:p>
            <w:pPr>
              <w:spacing w:after="0"/>
              <w:rPr>
                <w:sz w:val="20"/>
                <w:szCs w:val="20"/>
                <w:color w:val="auto"/>
              </w:rPr>
            </w:pPr>
          </w:p>
        </w:tc>
        <w:tc>
          <w:tcPr>
            <w:tcW w:w="140" w:type="dxa"/>
            <w:vAlign w:val="bottom"/>
            <w:shd w:val="clear" w:color="auto" w:fill="FEFEFE"/>
          </w:tcPr>
          <w:p>
            <w:pPr>
              <w:spacing w:after="0"/>
              <w:rPr>
                <w:sz w:val="20"/>
                <w:szCs w:val="20"/>
                <w:color w:val="auto"/>
              </w:rPr>
            </w:pPr>
          </w:p>
        </w:tc>
      </w:tr>
      <w:tr>
        <w:trPr>
          <w:trHeight w:val="20"/>
        </w:trPr>
        <w:tc>
          <w:tcPr>
            <w:tcW w:w="4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5" w:lineRule="exact"/>
        <w:rPr>
          <w:sz w:val="20"/>
          <w:szCs w:val="20"/>
          <w:color w:val="auto"/>
        </w:rPr>
      </w:pPr>
    </w:p>
    <w:p>
      <w:pPr>
        <w:ind w:left="360" w:right="6400"/>
        <w:spacing w:after="0" w:line="386" w:lineRule="auto"/>
        <w:tabs>
          <w:tab w:leader="none" w:pos="850" w:val="left"/>
        </w:tabs>
        <w:numPr>
          <w:ilvl w:val="0"/>
          <w:numId w:val="6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b w:val="1"/>
          <w:bCs w:val="1"/>
          <w:i w:val="1"/>
          <w:iCs w:val="1"/>
          <w:color w:val="auto"/>
        </w:rPr>
        <w:t>Intellectual Property Licenses</w:t>
      </w:r>
    </w:p>
    <w:p>
      <w:pPr>
        <w:spacing w:after="0" w:line="1" w:lineRule="exact"/>
        <w:rPr>
          <w:sz w:val="20"/>
          <w:szCs w:val="20"/>
          <w:color w:val="auto"/>
        </w:rPr>
      </w:pPr>
    </w:p>
    <w:p>
      <w:pPr>
        <w:ind w:left="360" w:right="380" w:firstLine="490"/>
        <w:spacing w:after="0" w:line="247" w:lineRule="auto"/>
        <w:rPr>
          <w:sz w:val="20"/>
          <w:szCs w:val="20"/>
          <w:color w:val="auto"/>
        </w:rPr>
      </w:pPr>
      <w:r>
        <w:rPr>
          <w:rFonts w:ascii="Times New Roman" w:cs="Times New Roman" w:eastAsia="Times New Roman" w:hAnsi="Times New Roman"/>
          <w:sz w:val="20"/>
          <w:szCs w:val="20"/>
          <w:color w:val="auto"/>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nomlabofusp. Both agreements continue from their effective date through the last to date of expiration of the licensed patents, unless earlier terminated by either party in accordance with their terms.</w:t>
      </w:r>
    </w:p>
    <w:p>
      <w:pPr>
        <w:spacing w:after="0" w:line="80" w:lineRule="exact"/>
        <w:rPr>
          <w:sz w:val="20"/>
          <w:szCs w:val="20"/>
          <w:color w:val="auto"/>
        </w:rPr>
      </w:pPr>
    </w:p>
    <w:p>
      <w:pPr>
        <w:ind w:left="360" w:right="440" w:firstLine="490"/>
        <w:spacing w:after="0" w:line="243" w:lineRule="auto"/>
        <w:rPr>
          <w:sz w:val="20"/>
          <w:szCs w:val="20"/>
          <w:color w:val="auto"/>
        </w:rPr>
      </w:pPr>
      <w:r>
        <w:rPr>
          <w:rFonts w:ascii="Times New Roman" w:cs="Times New Roman" w:eastAsia="Times New Roman" w:hAnsi="Times New Roman"/>
          <w:sz w:val="20"/>
          <w:szCs w:val="20"/>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which commenced with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w:t>
      </w:r>
    </w:p>
    <w:p>
      <w:pPr>
        <w:spacing w:after="0" w:line="86" w:lineRule="exact"/>
        <w:rPr>
          <w:sz w:val="20"/>
          <w:szCs w:val="20"/>
          <w:color w:val="auto"/>
        </w:rPr>
      </w:pPr>
    </w:p>
    <w:p>
      <w:pPr>
        <w:ind w:left="360" w:right="380" w:firstLine="490"/>
        <w:spacing w:after="0" w:line="252" w:lineRule="auto"/>
        <w:rPr>
          <w:sz w:val="20"/>
          <w:szCs w:val="20"/>
          <w:color w:val="auto"/>
        </w:rPr>
      </w:pPr>
      <w:r>
        <w:rPr>
          <w:rFonts w:ascii="Times New Roman" w:cs="Times New Roman" w:eastAsia="Times New Roman" w:hAnsi="Times New Roman"/>
          <w:sz w:val="20"/>
          <w:szCs w:val="20"/>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74" w:lineRule="exact"/>
        <w:rPr>
          <w:sz w:val="20"/>
          <w:szCs w:val="20"/>
          <w:color w:val="auto"/>
        </w:rPr>
      </w:pPr>
    </w:p>
    <w:p>
      <w:pPr>
        <w:ind w:left="360" w:right="500" w:firstLine="490"/>
        <w:spacing w:after="0" w:line="258" w:lineRule="auto"/>
        <w:rPr>
          <w:sz w:val="20"/>
          <w:szCs w:val="20"/>
          <w:color w:val="auto"/>
        </w:rPr>
      </w:pPr>
      <w:r>
        <w:rPr>
          <w:rFonts w:ascii="Times New Roman" w:cs="Times New Roman" w:eastAsia="Times New Roman" w:hAnsi="Times New Roman"/>
          <w:sz w:val="20"/>
          <w:szCs w:val="20"/>
          <w:color w:val="auto"/>
        </w:rPr>
        <w:t>In October 2022, the Company initiated dosing of a Phase 2 study. Pursuant to the terms of both the WFUHS License and the IU License, the company recognized milestone expense of $0.3 million within research and development expenses.</w:t>
      </w:r>
    </w:p>
    <w:p>
      <w:pPr>
        <w:spacing w:after="0" w:line="68" w:lineRule="exact"/>
        <w:rPr>
          <w:sz w:val="20"/>
          <w:szCs w:val="20"/>
          <w:color w:val="auto"/>
        </w:rPr>
      </w:pPr>
    </w:p>
    <w:p>
      <w:pPr>
        <w:ind w:left="360" w:right="520" w:firstLine="490"/>
        <w:spacing w:after="0" w:line="277" w:lineRule="auto"/>
        <w:rPr>
          <w:sz w:val="20"/>
          <w:szCs w:val="20"/>
          <w:color w:val="auto"/>
        </w:rPr>
      </w:pPr>
      <w:r>
        <w:rPr>
          <w:rFonts w:ascii="Times New Roman" w:cs="Times New Roman" w:eastAsia="Times New Roman" w:hAnsi="Times New Roman"/>
          <w:sz w:val="20"/>
          <w:szCs w:val="20"/>
          <w:color w:val="auto"/>
        </w:rPr>
        <w:t>Both agreements continue from their effective date through the last date of expiration of the licensed patents, unless earlier terminated by either party in accordance with their terms.</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Bala Cynwyd Office Space</w:t>
      </w:r>
    </w:p>
    <w:p>
      <w:pPr>
        <w:spacing w:after="0" w:line="118" w:lineRule="exact"/>
        <w:rPr>
          <w:sz w:val="20"/>
          <w:szCs w:val="20"/>
          <w:color w:val="auto"/>
        </w:rPr>
      </w:pPr>
    </w:p>
    <w:p>
      <w:pPr>
        <w:ind w:left="360" w:right="380" w:firstLine="490"/>
        <w:spacing w:after="0" w:line="249" w:lineRule="auto"/>
        <w:rPr>
          <w:sz w:val="20"/>
          <w:szCs w:val="20"/>
          <w:color w:val="auto"/>
        </w:rPr>
      </w:pPr>
      <w:r>
        <w:rPr>
          <w:rFonts w:ascii="Times New Roman" w:cs="Times New Roman" w:eastAsia="Times New Roman" w:hAnsi="Times New Roman"/>
          <w:sz w:val="20"/>
          <w:szCs w:val="20"/>
          <w:color w:val="auto"/>
        </w:rPr>
        <w:t>On August 8, 2019, the Company entered into an operating lease for 4,642 square feet of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w:t>
      </w:r>
    </w:p>
    <w:p>
      <w:pPr>
        <w:spacing w:after="0" w:line="77" w:lineRule="exact"/>
        <w:rPr>
          <w:sz w:val="20"/>
          <w:szCs w:val="20"/>
          <w:color w:val="auto"/>
        </w:rPr>
      </w:pPr>
    </w:p>
    <w:p>
      <w:pPr>
        <w:ind w:left="360" w:right="440" w:firstLine="490"/>
        <w:spacing w:after="0" w:line="258" w:lineRule="auto"/>
        <w:rPr>
          <w:sz w:val="20"/>
          <w:szCs w:val="20"/>
          <w:color w:val="auto"/>
        </w:rPr>
      </w:pPr>
      <w:r>
        <w:rPr>
          <w:rFonts w:ascii="Times New Roman" w:cs="Times New Roman" w:eastAsia="Times New Roman" w:hAnsi="Times New Roman"/>
          <w:sz w:val="20"/>
          <w:szCs w:val="20"/>
          <w:color w:val="auto"/>
        </w:rPr>
        <w:t>On March 9, 2023, the Company executed a lease extension agreement on its original 4,642 square footage of office space in Bala Cynwyd, Pennsylvania (which was set to expire in August 2023) and agreed to lease an additional 3,462 square feet of office space from the same landlord.</w:t>
      </w: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960" w:h="17280" w:orient="portrait"/>
          <w:cols w:equalWidth="0" w:num="1">
            <w:col w:w="10080"/>
          </w:cols>
          <w:pgMar w:left="1440" w:top="1440" w:right="1440" w:bottom="906" w:gutter="0" w:footer="0" w:header="0"/>
          <w:type w:val="continuous"/>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440" w:firstLine="490"/>
        <w:spacing w:after="0" w:line="277" w:lineRule="auto"/>
        <w:rPr>
          <w:sz w:val="20"/>
          <w:szCs w:val="20"/>
          <w:color w:val="auto"/>
        </w:rPr>
      </w:pPr>
      <w:r>
        <w:rPr>
          <w:rFonts w:ascii="Times New Roman" w:cs="Times New Roman" w:eastAsia="Times New Roman" w:hAnsi="Times New Roman"/>
          <w:sz w:val="20"/>
          <w:szCs w:val="20"/>
          <w:color w:val="auto"/>
        </w:rPr>
        <w:t>The lease extension on the original 4,642 square footage commenced on September 1, 2023 and the Company recorded a right of use asset and lease liability of $0.5 million as of that date.</w:t>
      </w:r>
    </w:p>
    <w:p>
      <w:pPr>
        <w:spacing w:after="0" w:line="49" w:lineRule="exact"/>
        <w:rPr>
          <w:sz w:val="20"/>
          <w:szCs w:val="20"/>
          <w:color w:val="auto"/>
        </w:rPr>
      </w:pPr>
    </w:p>
    <w:p>
      <w:pPr>
        <w:ind w:left="360" w:right="440" w:firstLine="490"/>
        <w:spacing w:after="0" w:line="277" w:lineRule="auto"/>
        <w:rPr>
          <w:sz w:val="20"/>
          <w:szCs w:val="20"/>
          <w:color w:val="auto"/>
        </w:rPr>
      </w:pPr>
      <w:r>
        <w:rPr>
          <w:rFonts w:ascii="Times New Roman" w:cs="Times New Roman" w:eastAsia="Times New Roman" w:hAnsi="Times New Roman"/>
          <w:sz w:val="20"/>
          <w:szCs w:val="20"/>
          <w:color w:val="auto"/>
        </w:rPr>
        <w:t>The new lease on 3,462 additional square footage commenced on October 1, 2023 and the Company recorded a right of use asset and lease liability of $0.3 million as of that date.</w:t>
      </w:r>
    </w:p>
    <w:p>
      <w:pPr>
        <w:spacing w:after="0" w:line="49" w:lineRule="exact"/>
        <w:rPr>
          <w:sz w:val="20"/>
          <w:szCs w:val="20"/>
          <w:color w:val="auto"/>
        </w:rPr>
      </w:pPr>
    </w:p>
    <w:p>
      <w:pPr>
        <w:ind w:left="360" w:right="480" w:firstLine="490"/>
        <w:spacing w:after="0" w:line="258" w:lineRule="auto"/>
        <w:rPr>
          <w:sz w:val="20"/>
          <w:szCs w:val="20"/>
          <w:color w:val="auto"/>
        </w:rPr>
      </w:pPr>
      <w:r>
        <w:rPr>
          <w:rFonts w:ascii="Times New Roman" w:cs="Times New Roman" w:eastAsia="Times New Roman" w:hAnsi="Times New Roman"/>
          <w:sz w:val="20"/>
          <w:szCs w:val="20"/>
          <w:color w:val="auto"/>
        </w:rPr>
        <w:t>The right of use assets and lease liabilities with these leases are reflected in the financial statements for the year ended December 31, 2024 as are the right of use asset and lease liability of the Company's Boston office space and lab space discussed below.</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Boston Office Lease</w:t>
      </w:r>
    </w:p>
    <w:p>
      <w:pPr>
        <w:spacing w:after="0" w:line="118" w:lineRule="exact"/>
        <w:rPr>
          <w:sz w:val="20"/>
          <w:szCs w:val="20"/>
          <w:color w:val="auto"/>
        </w:rPr>
      </w:pPr>
    </w:p>
    <w:p>
      <w:pPr>
        <w:ind w:left="360" w:right="360" w:firstLine="490"/>
        <w:spacing w:after="0" w:line="244" w:lineRule="auto"/>
        <w:rPr>
          <w:sz w:val="20"/>
          <w:szCs w:val="20"/>
          <w:color w:val="auto"/>
        </w:rPr>
      </w:pPr>
      <w:r>
        <w:rPr>
          <w:rFonts w:ascii="Times New Roman" w:cs="Times New Roman" w:eastAsia="Times New Roman" w:hAnsi="Times New Roman"/>
          <w:sz w:val="20"/>
          <w:szCs w:val="20"/>
          <w:color w:val="auto"/>
        </w:rPr>
        <w:t>In connection with the Company's 2020 merger with Zafgen described in footnote 1, on May 28, 2020, the Company acquired a non-cancellable operating lease for approximately 17,705 square feet of office space (the “Premises”). The lease expires on October 30, 2029. As part of the agreement, the Company was initially required to maintain a letter of credit, of $1.3 million. In October of 2024, upon the agreement with the landlord that we had achieved certain clinical development milestones required in the lease, this letter of credit was reduced to $0.6 million. During both periods presented, this cash deposit and is classified as restricted cash within the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p>
    <w:p>
      <w:pPr>
        <w:spacing w:after="0" w:line="82" w:lineRule="exact"/>
        <w:rPr>
          <w:sz w:val="20"/>
          <w:szCs w:val="20"/>
          <w:color w:val="auto"/>
        </w:rPr>
      </w:pPr>
    </w:p>
    <w:p>
      <w:pPr>
        <w:ind w:left="360" w:right="640" w:firstLine="490"/>
        <w:spacing w:after="0" w:line="265" w:lineRule="auto"/>
        <w:rPr>
          <w:sz w:val="20"/>
          <w:szCs w:val="20"/>
          <w:color w:val="auto"/>
        </w:rPr>
      </w:pPr>
      <w:r>
        <w:rPr>
          <w:rFonts w:ascii="Times New Roman" w:cs="Times New Roman" w:eastAsia="Times New Roman" w:hAnsi="Times New Roman"/>
          <w:sz w:val="19"/>
          <w:szCs w:val="19"/>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"Impairment Testing: Long-Lived Assets Classified as Held and Used," and determined there was no impairment.</w:t>
      </w:r>
    </w:p>
    <w:p>
      <w:pPr>
        <w:spacing w:after="0" w:line="64" w:lineRule="exact"/>
        <w:rPr>
          <w:sz w:val="20"/>
          <w:szCs w:val="20"/>
          <w:color w:val="auto"/>
        </w:rPr>
      </w:pPr>
    </w:p>
    <w:p>
      <w:pPr>
        <w:ind w:left="360" w:right="380" w:firstLine="490"/>
        <w:spacing w:after="0" w:line="245" w:lineRule="auto"/>
        <w:rPr>
          <w:sz w:val="20"/>
          <w:szCs w:val="20"/>
          <w:color w:val="auto"/>
        </w:rPr>
      </w:pPr>
      <w:r>
        <w:rPr>
          <w:rFonts w:ascii="Times New Roman" w:cs="Times New Roman" w:eastAsia="Times New Roman" w:hAnsi="Times New Roman"/>
          <w:sz w:val="20"/>
          <w:szCs w:val="20"/>
          <w:color w:val="auto"/>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Lab Space</w:t>
      </w:r>
    </w:p>
    <w:p>
      <w:pPr>
        <w:spacing w:after="0" w:line="118" w:lineRule="exact"/>
        <w:rPr>
          <w:sz w:val="20"/>
          <w:szCs w:val="20"/>
          <w:color w:val="auto"/>
        </w:rPr>
      </w:pPr>
    </w:p>
    <w:p>
      <w:pPr>
        <w:ind w:left="360" w:right="380" w:firstLine="490"/>
        <w:spacing w:after="0" w:line="246" w:lineRule="auto"/>
        <w:rPr>
          <w:sz w:val="20"/>
          <w:szCs w:val="20"/>
          <w:color w:val="auto"/>
        </w:rPr>
      </w:pPr>
      <w:r>
        <w:rPr>
          <w:rFonts w:ascii="Times New Roman" w:cs="Times New Roman" w:eastAsia="Times New Roman" w:hAnsi="Times New Roman"/>
          <w:sz w:val="20"/>
          <w:szCs w:val="20"/>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In September 2023, the Company extended this lease for an additional year with the option to terminate with four months' notice. On March 28, 2024, the Company gave the requisite notice and vacated the property in May 2024.</w:t>
      </w:r>
    </w:p>
    <w:p>
      <w:pPr>
        <w:spacing w:after="0" w:line="80" w:lineRule="exact"/>
        <w:rPr>
          <w:sz w:val="20"/>
          <w:szCs w:val="20"/>
          <w:color w:val="auto"/>
        </w:rPr>
      </w:pPr>
    </w:p>
    <w:p>
      <w:pPr>
        <w:jc w:val="both"/>
        <w:ind w:left="360" w:right="520" w:firstLine="490"/>
        <w:spacing w:after="0" w:line="249" w:lineRule="auto"/>
        <w:rPr>
          <w:sz w:val="20"/>
          <w:szCs w:val="20"/>
          <w:color w:val="auto"/>
        </w:rPr>
      </w:pPr>
      <w:r>
        <w:rPr>
          <w:rFonts w:ascii="Times New Roman" w:cs="Times New Roman" w:eastAsia="Times New Roman" w:hAnsi="Times New Roman"/>
          <w:sz w:val="20"/>
          <w:szCs w:val="20"/>
          <w:color w:val="auto"/>
        </w:rPr>
        <w:t>On October 16, 2023, the Company entered into an operating lease for alternate lab space in King of Prussia, Pennsylvania for a period of four years. Due to required tenant improvements to be completed by the landlord, the Company did not take immediate possession of the leased property. The actual lease term commenced on May 10, 2024. Upon commencement of the lease term, the Company recorded a right of use asset and lease liability of $0.5 million which are reflected in these consolidated financial statements.</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Lease Expense</w:t>
      </w:r>
    </w:p>
    <w:p>
      <w:pPr>
        <w:spacing w:after="0" w:line="118" w:lineRule="exact"/>
        <w:rPr>
          <w:sz w:val="20"/>
          <w:szCs w:val="20"/>
          <w:color w:val="auto"/>
        </w:rPr>
      </w:pPr>
    </w:p>
    <w:p>
      <w:pPr>
        <w:ind w:left="360" w:right="480" w:firstLine="490"/>
        <w:spacing w:after="0" w:line="249" w:lineRule="auto"/>
        <w:rPr>
          <w:sz w:val="20"/>
          <w:szCs w:val="20"/>
          <w:color w:val="auto"/>
        </w:rPr>
      </w:pPr>
      <w:r>
        <w:rPr>
          <w:rFonts w:ascii="Times New Roman" w:cs="Times New Roman" w:eastAsia="Times New Roman" w:hAnsi="Times New Roman"/>
          <w:sz w:val="20"/>
          <w:szCs w:val="20"/>
          <w:color w:val="auto"/>
        </w:rPr>
        <w:t>Expense arising from operating leases was $0.5 million and $0.4 million during the twelve months ended December 31, 2024 and 2023, respectively. For operating leases, the weighted-average remaining lease term for leases at December 31, 2024 and 2023 was 4.5 and 5.5 years, respectively. For operating leases, the weighted average discount rate for leases at December 31, 2024 and 2023 was 11.0%. The Company has not entered into any financing leases.</w:t>
      </w: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960" w:h="17280" w:orient="portrait"/>
          <w:cols w:equalWidth="0" w:num="1">
            <w:col w:w="10080"/>
          </w:cols>
          <w:pgMar w:left="1440" w:top="1440" w:right="1440" w:bottom="906" w:gutter="0" w:footer="0" w:header="0"/>
          <w:type w:val="continuous"/>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Maturities of lease liabilities due under these lease agreements as of December 31, 2024 are as follows:</w:t>
      </w:r>
    </w:p>
    <w:p>
      <w:pPr>
        <w:spacing w:after="0" w:line="140"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520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80" w:type="dxa"/>
            <w:vAlign w:val="bottom"/>
            <w:shd w:val="clear" w:color="auto" w:fill="FEFEFE"/>
          </w:tcPr>
          <w:p>
            <w:pPr>
              <w:spacing w:after="0"/>
              <w:rPr>
                <w:sz w:val="16"/>
                <w:szCs w:val="16"/>
                <w:color w:val="auto"/>
              </w:rPr>
            </w:pPr>
          </w:p>
        </w:tc>
        <w:tc>
          <w:tcPr>
            <w:tcW w:w="260" w:type="dxa"/>
            <w:vAlign w:val="bottom"/>
            <w:shd w:val="clear" w:color="auto" w:fill="FEFEFE"/>
          </w:tcPr>
          <w:p>
            <w:pPr>
              <w:spacing w:after="0"/>
              <w:rPr>
                <w:sz w:val="16"/>
                <w:szCs w:val="16"/>
                <w:color w:val="auto"/>
              </w:rPr>
            </w:pPr>
          </w:p>
        </w:tc>
        <w:tc>
          <w:tcPr>
            <w:tcW w:w="1420" w:type="dxa"/>
            <w:vAlign w:val="bottom"/>
            <w:gridSpan w:val="2"/>
            <w:shd w:val="clear" w:color="auto" w:fill="FEFEFE"/>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181"/>
        </w:trPr>
        <w:tc>
          <w:tcPr>
            <w:tcW w:w="1840" w:type="dxa"/>
            <w:vAlign w:val="bottom"/>
            <w:tcBorders>
              <w:top w:val="single" w:sz="8" w:color="auto"/>
            </w:tcBorders>
            <w:shd w:val="clear" w:color="auto" w:fill="FEFEFE"/>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3360" w:type="dxa"/>
            <w:vAlign w:val="bottom"/>
            <w:tcBorders>
              <w:top w:val="single" w:sz="8" w:color="FEFEFE"/>
            </w:tcBorders>
            <w:shd w:val="clear" w:color="auto" w:fill="FEFEFE"/>
          </w:tcPr>
          <w:p>
            <w:pPr>
              <w:spacing w:after="0"/>
              <w:rPr>
                <w:sz w:val="15"/>
                <w:szCs w:val="15"/>
                <w:color w:val="auto"/>
              </w:rPr>
            </w:pPr>
          </w:p>
        </w:tc>
        <w:tc>
          <w:tcPr>
            <w:tcW w:w="2480" w:type="dxa"/>
            <w:vAlign w:val="bottom"/>
            <w:tcBorders>
              <w:top w:val="single" w:sz="8" w:color="FEFEFE"/>
            </w:tcBorders>
            <w:shd w:val="clear" w:color="auto" w:fill="FEFEFE"/>
          </w:tcPr>
          <w:p>
            <w:pPr>
              <w:spacing w:after="0"/>
              <w:rPr>
                <w:sz w:val="15"/>
                <w:szCs w:val="15"/>
                <w:color w:val="auto"/>
              </w:rPr>
            </w:pPr>
          </w:p>
        </w:tc>
        <w:tc>
          <w:tcPr>
            <w:tcW w:w="260" w:type="dxa"/>
            <w:vAlign w:val="bottom"/>
            <w:tcBorders>
              <w:top w:val="single" w:sz="8" w:color="FEFEFE"/>
            </w:tcBorders>
            <w:shd w:val="clear" w:color="auto" w:fill="FEFEFE"/>
          </w:tcPr>
          <w:p>
            <w:pPr>
              <w:spacing w:after="0"/>
              <w:rPr>
                <w:sz w:val="15"/>
                <w:szCs w:val="15"/>
                <w:color w:val="auto"/>
              </w:rPr>
            </w:pPr>
          </w:p>
        </w:tc>
        <w:tc>
          <w:tcPr>
            <w:tcW w:w="1420" w:type="dxa"/>
            <w:vAlign w:val="bottom"/>
            <w:tcBorders>
              <w:top w:val="single" w:sz="8" w:color="FEFEFE"/>
            </w:tcBorders>
            <w:gridSpan w:val="2"/>
            <w:shd w:val="clear" w:color="auto" w:fill="FEFEFE"/>
          </w:tcPr>
          <w:p>
            <w:pPr>
              <w:jc w:val="right"/>
              <w:ind w:right="660"/>
              <w:spacing w:after="0" w:line="181" w:lineRule="exact"/>
              <w:rPr>
                <w:sz w:val="20"/>
                <w:szCs w:val="20"/>
                <w:color w:val="auto"/>
              </w:rPr>
            </w:pPr>
            <w:r>
              <w:rPr>
                <w:rFonts w:ascii="Times New Roman" w:cs="Times New Roman" w:eastAsia="Times New Roman" w:hAnsi="Times New Roman"/>
                <w:sz w:val="16"/>
                <w:szCs w:val="16"/>
                <w:b w:val="1"/>
                <w:bCs w:val="1"/>
                <w:color w:val="auto"/>
              </w:rPr>
              <w:t>Leases</w:t>
            </w:r>
          </w:p>
        </w:tc>
      </w:tr>
      <w:tr>
        <w:trPr>
          <w:trHeight w:val="230"/>
        </w:trPr>
        <w:tc>
          <w:tcPr>
            <w:tcW w:w="184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2025</w:t>
            </w:r>
          </w:p>
        </w:tc>
        <w:tc>
          <w:tcPr>
            <w:tcW w:w="3360" w:type="dxa"/>
            <w:vAlign w:val="bottom"/>
            <w:shd w:val="clear" w:color="auto" w:fill="D4EEED"/>
          </w:tcPr>
          <w:p>
            <w:pPr>
              <w:spacing w:after="0"/>
              <w:rPr>
                <w:sz w:val="19"/>
                <w:szCs w:val="19"/>
                <w:color w:val="auto"/>
              </w:rPr>
            </w:pPr>
          </w:p>
        </w:tc>
        <w:tc>
          <w:tcPr>
            <w:tcW w:w="2740" w:type="dxa"/>
            <w:vAlign w:val="bottom"/>
            <w:gridSpan w:val="2"/>
            <w:shd w:val="clear" w:color="auto" w:fill="D4EEE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1,543</w:t>
            </w:r>
          </w:p>
        </w:tc>
        <w:tc>
          <w:tcPr>
            <w:tcW w:w="100" w:type="dxa"/>
            <w:vAlign w:val="bottom"/>
            <w:shd w:val="clear" w:color="auto" w:fill="D4EEED"/>
          </w:tcPr>
          <w:p>
            <w:pPr>
              <w:spacing w:after="0"/>
              <w:rPr>
                <w:sz w:val="19"/>
                <w:szCs w:val="19"/>
                <w:color w:val="auto"/>
              </w:rPr>
            </w:pPr>
          </w:p>
        </w:tc>
      </w:tr>
      <w:tr>
        <w:trPr>
          <w:trHeight w:val="230"/>
        </w:trPr>
        <w:tc>
          <w:tcPr>
            <w:tcW w:w="18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2026</w:t>
            </w:r>
          </w:p>
        </w:tc>
        <w:tc>
          <w:tcPr>
            <w:tcW w:w="3360" w:type="dxa"/>
            <w:vAlign w:val="bottom"/>
            <w:shd w:val="clear" w:color="auto" w:fill="FEFEFE"/>
          </w:tcPr>
          <w:p>
            <w:pPr>
              <w:spacing w:after="0"/>
              <w:rPr>
                <w:sz w:val="19"/>
                <w:szCs w:val="19"/>
                <w:color w:val="auto"/>
              </w:rPr>
            </w:pPr>
          </w:p>
        </w:tc>
        <w:tc>
          <w:tcPr>
            <w:tcW w:w="248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1,473</w:t>
            </w:r>
          </w:p>
        </w:tc>
        <w:tc>
          <w:tcPr>
            <w:tcW w:w="100" w:type="dxa"/>
            <w:vAlign w:val="bottom"/>
            <w:shd w:val="clear" w:color="auto" w:fill="FEFEFE"/>
          </w:tcPr>
          <w:p>
            <w:pPr>
              <w:spacing w:after="0"/>
              <w:rPr>
                <w:sz w:val="19"/>
                <w:szCs w:val="19"/>
                <w:color w:val="auto"/>
              </w:rPr>
            </w:pPr>
          </w:p>
        </w:tc>
      </w:tr>
      <w:tr>
        <w:trPr>
          <w:trHeight w:val="230"/>
        </w:trPr>
        <w:tc>
          <w:tcPr>
            <w:tcW w:w="184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2027</w:t>
            </w:r>
          </w:p>
        </w:tc>
        <w:tc>
          <w:tcPr>
            <w:tcW w:w="3360" w:type="dxa"/>
            <w:vAlign w:val="bottom"/>
            <w:shd w:val="clear" w:color="auto" w:fill="D4EEED"/>
          </w:tcPr>
          <w:p>
            <w:pPr>
              <w:spacing w:after="0"/>
              <w:rPr>
                <w:sz w:val="19"/>
                <w:szCs w:val="19"/>
                <w:color w:val="auto"/>
              </w:rPr>
            </w:pPr>
          </w:p>
        </w:tc>
        <w:tc>
          <w:tcPr>
            <w:tcW w:w="2480" w:type="dxa"/>
            <w:vAlign w:val="bottom"/>
            <w:shd w:val="clear" w:color="auto" w:fill="D4EEED"/>
          </w:tcPr>
          <w:p>
            <w:pPr>
              <w:spacing w:after="0"/>
              <w:rPr>
                <w:sz w:val="19"/>
                <w:szCs w:val="19"/>
                <w:color w:val="auto"/>
              </w:rPr>
            </w:pPr>
          </w:p>
        </w:tc>
        <w:tc>
          <w:tcPr>
            <w:tcW w:w="260" w:type="dxa"/>
            <w:vAlign w:val="bottom"/>
            <w:shd w:val="clear" w:color="auto" w:fill="D4EEED"/>
          </w:tcPr>
          <w:p>
            <w:pPr>
              <w:spacing w:after="0"/>
              <w:rPr>
                <w:sz w:val="19"/>
                <w:szCs w:val="19"/>
                <w:color w:val="auto"/>
              </w:rPr>
            </w:pPr>
          </w:p>
        </w:tc>
        <w:tc>
          <w:tcPr>
            <w:tcW w:w="13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1,267</w:t>
            </w:r>
          </w:p>
        </w:tc>
        <w:tc>
          <w:tcPr>
            <w:tcW w:w="100" w:type="dxa"/>
            <w:vAlign w:val="bottom"/>
            <w:shd w:val="clear" w:color="auto" w:fill="D4EEED"/>
          </w:tcPr>
          <w:p>
            <w:pPr>
              <w:spacing w:after="0"/>
              <w:rPr>
                <w:sz w:val="19"/>
                <w:szCs w:val="19"/>
                <w:color w:val="auto"/>
              </w:rPr>
            </w:pPr>
          </w:p>
        </w:tc>
      </w:tr>
      <w:tr>
        <w:trPr>
          <w:trHeight w:val="230"/>
        </w:trPr>
        <w:tc>
          <w:tcPr>
            <w:tcW w:w="184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2028</w:t>
            </w:r>
          </w:p>
        </w:tc>
        <w:tc>
          <w:tcPr>
            <w:tcW w:w="3360" w:type="dxa"/>
            <w:vAlign w:val="bottom"/>
            <w:shd w:val="clear" w:color="auto" w:fill="FEFEFE"/>
          </w:tcPr>
          <w:p>
            <w:pPr>
              <w:spacing w:after="0"/>
              <w:rPr>
                <w:sz w:val="19"/>
                <w:szCs w:val="19"/>
                <w:color w:val="auto"/>
              </w:rPr>
            </w:pPr>
          </w:p>
        </w:tc>
        <w:tc>
          <w:tcPr>
            <w:tcW w:w="248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32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1,189</w:t>
            </w:r>
          </w:p>
        </w:tc>
        <w:tc>
          <w:tcPr>
            <w:tcW w:w="100" w:type="dxa"/>
            <w:vAlign w:val="bottom"/>
            <w:shd w:val="clear" w:color="auto" w:fill="FEFEFE"/>
          </w:tcPr>
          <w:p>
            <w:pPr>
              <w:spacing w:after="0"/>
              <w:rPr>
                <w:sz w:val="19"/>
                <w:szCs w:val="19"/>
                <w:color w:val="auto"/>
              </w:rPr>
            </w:pPr>
          </w:p>
        </w:tc>
      </w:tr>
      <w:tr>
        <w:trPr>
          <w:trHeight w:val="230"/>
        </w:trPr>
        <w:tc>
          <w:tcPr>
            <w:tcW w:w="184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2029</w:t>
            </w:r>
          </w:p>
        </w:tc>
        <w:tc>
          <w:tcPr>
            <w:tcW w:w="3360" w:type="dxa"/>
            <w:vAlign w:val="bottom"/>
            <w:shd w:val="clear" w:color="auto" w:fill="D4EEED"/>
          </w:tcPr>
          <w:p>
            <w:pPr>
              <w:spacing w:after="0"/>
              <w:rPr>
                <w:sz w:val="19"/>
                <w:szCs w:val="19"/>
                <w:color w:val="auto"/>
              </w:rPr>
            </w:pPr>
          </w:p>
        </w:tc>
        <w:tc>
          <w:tcPr>
            <w:tcW w:w="2480" w:type="dxa"/>
            <w:vAlign w:val="bottom"/>
            <w:shd w:val="clear" w:color="auto" w:fill="D4EEED"/>
          </w:tcPr>
          <w:p>
            <w:pPr>
              <w:spacing w:after="0"/>
              <w:rPr>
                <w:sz w:val="19"/>
                <w:szCs w:val="19"/>
                <w:color w:val="auto"/>
              </w:rPr>
            </w:pPr>
          </w:p>
        </w:tc>
        <w:tc>
          <w:tcPr>
            <w:tcW w:w="260" w:type="dxa"/>
            <w:vAlign w:val="bottom"/>
            <w:shd w:val="clear" w:color="auto" w:fill="D4EEED"/>
          </w:tcPr>
          <w:p>
            <w:pPr>
              <w:spacing w:after="0"/>
              <w:rPr>
                <w:sz w:val="19"/>
                <w:szCs w:val="19"/>
                <w:color w:val="auto"/>
              </w:rPr>
            </w:pPr>
          </w:p>
        </w:tc>
        <w:tc>
          <w:tcPr>
            <w:tcW w:w="13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959</w:t>
            </w:r>
          </w:p>
        </w:tc>
        <w:tc>
          <w:tcPr>
            <w:tcW w:w="100" w:type="dxa"/>
            <w:vAlign w:val="bottom"/>
            <w:shd w:val="clear" w:color="auto" w:fill="D4EEED"/>
          </w:tcPr>
          <w:p>
            <w:pPr>
              <w:spacing w:after="0"/>
              <w:rPr>
                <w:sz w:val="19"/>
                <w:szCs w:val="19"/>
                <w:color w:val="auto"/>
              </w:rPr>
            </w:pPr>
          </w:p>
        </w:tc>
      </w:tr>
      <w:tr>
        <w:trPr>
          <w:trHeight w:val="230"/>
        </w:trPr>
        <w:tc>
          <w:tcPr>
            <w:tcW w:w="520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Thereafter</w:t>
            </w:r>
          </w:p>
        </w:tc>
        <w:tc>
          <w:tcPr>
            <w:tcW w:w="2480" w:type="dxa"/>
            <w:vAlign w:val="bottom"/>
            <w:shd w:val="clear" w:color="auto" w:fill="FEFEFE"/>
          </w:tcPr>
          <w:p>
            <w:pPr>
              <w:spacing w:after="0"/>
              <w:rPr>
                <w:sz w:val="19"/>
                <w:szCs w:val="19"/>
                <w:color w:val="auto"/>
              </w:rPr>
            </w:pPr>
          </w:p>
        </w:tc>
        <w:tc>
          <w:tcPr>
            <w:tcW w:w="260" w:type="dxa"/>
            <w:vAlign w:val="bottom"/>
            <w:shd w:val="clear" w:color="auto" w:fill="FEFEFE"/>
          </w:tcPr>
          <w:p>
            <w:pPr>
              <w:spacing w:after="0"/>
              <w:rPr>
                <w:sz w:val="19"/>
                <w:szCs w:val="19"/>
                <w:color w:val="auto"/>
              </w:rPr>
            </w:pPr>
          </w:p>
        </w:tc>
        <w:tc>
          <w:tcPr>
            <w:tcW w:w="142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5200" w:type="dxa"/>
            <w:vAlign w:val="bottom"/>
            <w:tcBorders>
              <w:top w:val="single" w:sz="8" w:color="D4EEED"/>
            </w:tcBorders>
            <w:gridSpan w:val="2"/>
            <w:shd w:val="clear" w:color="auto" w:fill="D4EEED"/>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lease payments</w:t>
            </w:r>
          </w:p>
        </w:tc>
        <w:tc>
          <w:tcPr>
            <w:tcW w:w="2480" w:type="dxa"/>
            <w:vAlign w:val="bottom"/>
            <w:tcBorders>
              <w:top w:val="single" w:sz="8" w:color="D4EEED"/>
            </w:tcBorders>
            <w:shd w:val="clear" w:color="auto" w:fill="D4EEED"/>
          </w:tcPr>
          <w:p>
            <w:pPr>
              <w:spacing w:after="0"/>
              <w:rPr>
                <w:sz w:val="19"/>
                <w:szCs w:val="19"/>
                <w:color w:val="auto"/>
              </w:rPr>
            </w:pPr>
          </w:p>
        </w:tc>
        <w:tc>
          <w:tcPr>
            <w:tcW w:w="260" w:type="dxa"/>
            <w:vAlign w:val="bottom"/>
            <w:tcBorders>
              <w:top w:val="single" w:sz="8" w:color="auto"/>
            </w:tcBorders>
            <w:shd w:val="clear" w:color="auto" w:fill="D4EEED"/>
          </w:tcPr>
          <w:p>
            <w:pPr>
              <w:spacing w:after="0"/>
              <w:rPr>
                <w:sz w:val="19"/>
                <w:szCs w:val="19"/>
                <w:color w:val="auto"/>
              </w:rPr>
            </w:pPr>
          </w:p>
        </w:tc>
        <w:tc>
          <w:tcPr>
            <w:tcW w:w="1320" w:type="dxa"/>
            <w:vAlign w:val="bottom"/>
            <w:tcBorders>
              <w:top w:val="single" w:sz="8" w:color="auto"/>
            </w:tcBorders>
            <w:shd w:val="clear" w:color="auto" w:fill="D4EEED"/>
          </w:tcPr>
          <w:p>
            <w:pPr>
              <w:jc w:val="right"/>
              <w:spacing w:after="0" w:line="220" w:lineRule="exact"/>
              <w:rPr>
                <w:sz w:val="20"/>
                <w:szCs w:val="20"/>
                <w:color w:val="auto"/>
              </w:rPr>
            </w:pPr>
            <w:r>
              <w:rPr>
                <w:rFonts w:ascii="Times New Roman" w:cs="Times New Roman" w:eastAsia="Times New Roman" w:hAnsi="Times New Roman"/>
                <w:sz w:val="20"/>
                <w:szCs w:val="20"/>
                <w:color w:val="auto"/>
              </w:rPr>
              <w:t>6,431</w:t>
            </w:r>
          </w:p>
        </w:tc>
        <w:tc>
          <w:tcPr>
            <w:tcW w:w="100" w:type="dxa"/>
            <w:vAlign w:val="bottom"/>
            <w:tcBorders>
              <w:top w:val="single" w:sz="8" w:color="D4EEED"/>
            </w:tcBorders>
            <w:shd w:val="clear" w:color="auto" w:fill="D4EEED"/>
          </w:tcPr>
          <w:p>
            <w:pPr>
              <w:spacing w:after="0"/>
              <w:rPr>
                <w:sz w:val="19"/>
                <w:szCs w:val="19"/>
                <w:color w:val="auto"/>
              </w:rPr>
            </w:pPr>
          </w:p>
        </w:tc>
      </w:tr>
      <w:tr>
        <w:trPr>
          <w:trHeight w:val="230"/>
        </w:trPr>
        <w:tc>
          <w:tcPr>
            <w:tcW w:w="5200" w:type="dxa"/>
            <w:vAlign w:val="bottom"/>
            <w:tcBorders>
              <w:bottom w:val="single" w:sz="8" w:color="D4EEED"/>
            </w:tcBorders>
            <w:gridSpan w:val="2"/>
            <w:shd w:val="clear" w:color="auto" w:fill="FEFEFE"/>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480" w:type="dxa"/>
            <w:vAlign w:val="bottom"/>
            <w:tcBorders>
              <w:bottom w:val="single" w:sz="8" w:color="D4EEED"/>
            </w:tcBorders>
            <w:shd w:val="clear" w:color="auto" w:fill="FEFEFE"/>
          </w:tcPr>
          <w:p>
            <w:pPr>
              <w:spacing w:after="0"/>
              <w:rPr>
                <w:sz w:val="19"/>
                <w:szCs w:val="19"/>
                <w:color w:val="auto"/>
              </w:rPr>
            </w:pPr>
          </w:p>
        </w:tc>
        <w:tc>
          <w:tcPr>
            <w:tcW w:w="260" w:type="dxa"/>
            <w:vAlign w:val="bottom"/>
            <w:tcBorders>
              <w:bottom w:val="single" w:sz="8" w:color="auto"/>
            </w:tcBorders>
            <w:shd w:val="clear" w:color="auto" w:fill="FEFEFE"/>
          </w:tcPr>
          <w:p>
            <w:pPr>
              <w:spacing w:after="0"/>
              <w:rPr>
                <w:sz w:val="19"/>
                <w:szCs w:val="19"/>
                <w:color w:val="auto"/>
              </w:rPr>
            </w:pPr>
          </w:p>
        </w:tc>
        <w:tc>
          <w:tcPr>
            <w:tcW w:w="132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(1,314)</w:t>
            </w:r>
          </w:p>
        </w:tc>
        <w:tc>
          <w:tcPr>
            <w:tcW w:w="100" w:type="dxa"/>
            <w:vAlign w:val="bottom"/>
            <w:tcBorders>
              <w:bottom w:val="single" w:sz="8" w:color="D4EEED"/>
            </w:tcBorders>
            <w:shd w:val="clear" w:color="auto" w:fill="FEFEFE"/>
          </w:tcPr>
          <w:p>
            <w:pPr>
              <w:spacing w:after="0"/>
              <w:rPr>
                <w:sz w:val="19"/>
                <w:szCs w:val="19"/>
                <w:color w:val="auto"/>
              </w:rPr>
            </w:pPr>
          </w:p>
        </w:tc>
      </w:tr>
      <w:tr>
        <w:trPr>
          <w:trHeight w:val="220"/>
        </w:trPr>
        <w:tc>
          <w:tcPr>
            <w:tcW w:w="5200" w:type="dxa"/>
            <w:vAlign w:val="bottom"/>
            <w:gridSpan w:val="2"/>
            <w:shd w:val="clear" w:color="auto" w:fill="D4EEED"/>
          </w:tcPr>
          <w:p>
            <w:pPr>
              <w:ind w:left="200"/>
              <w:spacing w:after="0" w:line="220" w:lineRule="exact"/>
              <w:rPr>
                <w:sz w:val="20"/>
                <w:szCs w:val="20"/>
                <w:color w:val="auto"/>
              </w:rPr>
            </w:pPr>
            <w:r>
              <w:rPr>
                <w:rFonts w:ascii="Times New Roman" w:cs="Times New Roman" w:eastAsia="Times New Roman" w:hAnsi="Times New Roman"/>
                <w:sz w:val="20"/>
                <w:szCs w:val="20"/>
                <w:color w:val="auto"/>
              </w:rPr>
              <w:t>Present value of lease liabilities</w:t>
            </w:r>
          </w:p>
        </w:tc>
        <w:tc>
          <w:tcPr>
            <w:tcW w:w="2480" w:type="dxa"/>
            <w:vAlign w:val="bottom"/>
            <w:shd w:val="clear" w:color="auto" w:fill="D4EEED"/>
          </w:tcPr>
          <w:p>
            <w:pPr>
              <w:spacing w:after="0"/>
              <w:rPr>
                <w:sz w:val="19"/>
                <w:szCs w:val="19"/>
                <w:color w:val="auto"/>
              </w:rPr>
            </w:pPr>
          </w:p>
        </w:tc>
        <w:tc>
          <w:tcPr>
            <w:tcW w:w="260" w:type="dxa"/>
            <w:vAlign w:val="bottom"/>
            <w:tcBorders>
              <w:bottom w:val="single" w:sz="8" w:color="auto"/>
            </w:tcBorders>
            <w:shd w:val="clear" w:color="auto" w:fill="D4EEED"/>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D4EEED"/>
          </w:tcPr>
          <w:p>
            <w:pPr>
              <w:jc w:val="right"/>
              <w:spacing w:after="0" w:line="220" w:lineRule="exact"/>
              <w:rPr>
                <w:sz w:val="20"/>
                <w:szCs w:val="20"/>
                <w:color w:val="auto"/>
              </w:rPr>
            </w:pPr>
            <w:r>
              <w:rPr>
                <w:rFonts w:ascii="Times New Roman" w:cs="Times New Roman" w:eastAsia="Times New Roman" w:hAnsi="Times New Roman"/>
                <w:sz w:val="20"/>
                <w:szCs w:val="20"/>
                <w:color w:val="auto"/>
              </w:rPr>
              <w:t>5,117</w:t>
            </w:r>
          </w:p>
        </w:tc>
        <w:tc>
          <w:tcPr>
            <w:tcW w:w="100" w:type="dxa"/>
            <w:vAlign w:val="bottom"/>
            <w:shd w:val="clear" w:color="auto" w:fill="D4EEED"/>
          </w:tcPr>
          <w:p>
            <w:pPr>
              <w:spacing w:after="0"/>
              <w:rPr>
                <w:sz w:val="19"/>
                <w:szCs w:val="19"/>
                <w:color w:val="auto"/>
              </w:rPr>
            </w:pPr>
          </w:p>
        </w:tc>
      </w:tr>
      <w:tr>
        <w:trPr>
          <w:trHeight w:val="20"/>
        </w:trPr>
        <w:tc>
          <w:tcPr>
            <w:tcW w:w="18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20" w:lineRule="exact"/>
        <w:rPr>
          <w:sz w:val="20"/>
          <w:szCs w:val="20"/>
          <w:color w:val="auto"/>
        </w:rPr>
      </w:pPr>
    </w:p>
    <w:p>
      <w:pPr>
        <w:ind w:left="360" w:right="420" w:firstLine="490"/>
        <w:spacing w:after="0" w:line="258" w:lineRule="auto"/>
        <w:rPr>
          <w:sz w:val="20"/>
          <w:szCs w:val="20"/>
          <w:color w:val="auto"/>
        </w:rPr>
      </w:pPr>
      <w:r>
        <w:rPr>
          <w:rFonts w:ascii="Times New Roman" w:cs="Times New Roman" w:eastAsia="Times New Roman" w:hAnsi="Times New Roman"/>
          <w:sz w:val="20"/>
          <w:szCs w:val="20"/>
          <w:color w:val="auto"/>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64" w:lineRule="exact"/>
        <w:rPr>
          <w:sz w:val="20"/>
          <w:szCs w:val="20"/>
          <w:color w:val="auto"/>
        </w:rPr>
      </w:pPr>
    </w:p>
    <w:p>
      <w:pPr>
        <w:ind w:left="860" w:hanging="500"/>
        <w:spacing w:after="0"/>
        <w:tabs>
          <w:tab w:leader="none" w:pos="86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124" w:lineRule="exact"/>
        <w:rPr>
          <w:sz w:val="20"/>
          <w:szCs w:val="20"/>
          <w:color w:val="auto"/>
        </w:rPr>
      </w:pPr>
    </w:p>
    <w:p>
      <w:pPr>
        <w:ind w:left="360" w:right="540" w:firstLine="490"/>
        <w:spacing w:after="0" w:line="277" w:lineRule="auto"/>
        <w:rPr>
          <w:sz w:val="20"/>
          <w:szCs w:val="20"/>
          <w:color w:val="auto"/>
        </w:rPr>
      </w:pPr>
      <w:r>
        <w:rPr>
          <w:rFonts w:ascii="Times New Roman" w:cs="Times New Roman" w:eastAsia="Times New Roman" w:hAnsi="Times New Roman"/>
          <w:sz w:val="20"/>
          <w:szCs w:val="20"/>
          <w:color w:val="auto"/>
        </w:rPr>
        <w:t>During the years ended December 31, 2024, and 2023, the Company recorded no income tax benefits for the net operating losses incurred in each year due to its uncertainty of realizing a benefit from those items.</w:t>
      </w:r>
    </w:p>
    <w:p>
      <w:pPr>
        <w:spacing w:after="0" w:line="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domestic and foreign components of loss before income taxes are as follows.</w:t>
      </w:r>
    </w:p>
    <w:p>
      <w:pPr>
        <w:spacing w:after="0" w:line="157"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3520" w:type="dxa"/>
            <w:vAlign w:val="bottom"/>
            <w:tcBorders>
              <w:bottom w:val="single" w:sz="8" w:color="FEFEFE"/>
            </w:tcBorders>
            <w:shd w:val="clear" w:color="auto" w:fill="FEFEFE"/>
          </w:tcPr>
          <w:p>
            <w:pPr>
              <w:spacing w:after="0"/>
              <w:rPr>
                <w:sz w:val="17"/>
                <w:szCs w:val="17"/>
                <w:color w:val="auto"/>
              </w:rPr>
            </w:pPr>
          </w:p>
        </w:tc>
        <w:tc>
          <w:tcPr>
            <w:tcW w:w="2740" w:type="dxa"/>
            <w:vAlign w:val="bottom"/>
            <w:tcBorders>
              <w:bottom w:val="single" w:sz="8" w:color="FEFEFE"/>
            </w:tcBorders>
            <w:shd w:val="clear" w:color="auto" w:fill="FEFEFE"/>
          </w:tcPr>
          <w:p>
            <w:pPr>
              <w:spacing w:after="0"/>
              <w:rPr>
                <w:sz w:val="17"/>
                <w:szCs w:val="17"/>
                <w:color w:val="auto"/>
              </w:rPr>
            </w:pPr>
          </w:p>
        </w:tc>
        <w:tc>
          <w:tcPr>
            <w:tcW w:w="340" w:type="dxa"/>
            <w:vAlign w:val="bottom"/>
            <w:tcBorders>
              <w:bottom w:val="single" w:sz="8" w:color="auto"/>
            </w:tcBorders>
            <w:shd w:val="clear" w:color="auto" w:fill="FEFEFE"/>
          </w:tcPr>
          <w:p>
            <w:pPr>
              <w:spacing w:after="0"/>
              <w:rPr>
                <w:sz w:val="17"/>
                <w:szCs w:val="17"/>
                <w:color w:val="auto"/>
              </w:rPr>
            </w:pPr>
          </w:p>
        </w:tc>
        <w:tc>
          <w:tcPr>
            <w:tcW w:w="2760" w:type="dxa"/>
            <w:vAlign w:val="bottom"/>
            <w:tcBorders>
              <w:bottom w:val="single" w:sz="8" w:color="auto"/>
            </w:tcBorders>
            <w:gridSpan w:val="4"/>
            <w:shd w:val="clear" w:color="auto" w:fill="FEFEFE"/>
          </w:tcPr>
          <w:p>
            <w:pPr>
              <w:jc w:val="right"/>
              <w:ind w:right="58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88"/>
        </w:trPr>
        <w:tc>
          <w:tcPr>
            <w:tcW w:w="3520" w:type="dxa"/>
            <w:vAlign w:val="bottom"/>
            <w:tcBorders>
              <w:bottom w:val="single" w:sz="8" w:color="D4EEED"/>
            </w:tcBorders>
            <w:shd w:val="clear" w:color="auto" w:fill="FEFEFE"/>
          </w:tcPr>
          <w:p>
            <w:pPr>
              <w:spacing w:after="0"/>
              <w:rPr>
                <w:sz w:val="16"/>
                <w:szCs w:val="16"/>
                <w:color w:val="auto"/>
              </w:rPr>
            </w:pPr>
          </w:p>
        </w:tc>
        <w:tc>
          <w:tcPr>
            <w:tcW w:w="2740" w:type="dxa"/>
            <w:vAlign w:val="bottom"/>
            <w:tcBorders>
              <w:bottom w:val="single" w:sz="8" w:color="D4EEED"/>
            </w:tcBorders>
            <w:shd w:val="clear" w:color="auto" w:fill="FEFEFE"/>
          </w:tcPr>
          <w:p>
            <w:pPr>
              <w:spacing w:after="0"/>
              <w:rPr>
                <w:sz w:val="16"/>
                <w:szCs w:val="16"/>
                <w:color w:val="auto"/>
              </w:rPr>
            </w:pPr>
          </w:p>
        </w:tc>
        <w:tc>
          <w:tcPr>
            <w:tcW w:w="340" w:type="dxa"/>
            <w:vAlign w:val="bottom"/>
            <w:tcBorders>
              <w:bottom w:val="single" w:sz="8" w:color="auto"/>
            </w:tcBorders>
            <w:shd w:val="clear" w:color="auto" w:fill="FEFEFE"/>
          </w:tcPr>
          <w:p>
            <w:pPr>
              <w:spacing w:after="0"/>
              <w:rPr>
                <w:sz w:val="16"/>
                <w:szCs w:val="16"/>
                <w:color w:val="auto"/>
              </w:rPr>
            </w:pPr>
          </w:p>
        </w:tc>
        <w:tc>
          <w:tcPr>
            <w:tcW w:w="1220" w:type="dxa"/>
            <w:vAlign w:val="bottom"/>
            <w:tcBorders>
              <w:bottom w:val="single" w:sz="8" w:color="auto"/>
            </w:tcBorders>
            <w:shd w:val="clear" w:color="auto" w:fill="FEFEFE"/>
          </w:tcPr>
          <w:p>
            <w:pPr>
              <w:jc w:val="right"/>
              <w:ind w:right="58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D4EEED"/>
            </w:tcBorders>
            <w:shd w:val="clear" w:color="auto" w:fill="FEFEFE"/>
          </w:tcPr>
          <w:p>
            <w:pPr>
              <w:spacing w:after="0"/>
              <w:rPr>
                <w:sz w:val="16"/>
                <w:szCs w:val="16"/>
                <w:color w:val="auto"/>
              </w:rPr>
            </w:pPr>
          </w:p>
        </w:tc>
        <w:tc>
          <w:tcPr>
            <w:tcW w:w="300" w:type="dxa"/>
            <w:vAlign w:val="bottom"/>
            <w:tcBorders>
              <w:bottom w:val="single" w:sz="8" w:color="auto"/>
            </w:tcBorders>
            <w:shd w:val="clear" w:color="auto" w:fill="FEFEFE"/>
          </w:tcPr>
          <w:p>
            <w:pPr>
              <w:spacing w:after="0"/>
              <w:rPr>
                <w:sz w:val="16"/>
                <w:szCs w:val="16"/>
                <w:color w:val="auto"/>
              </w:rPr>
            </w:pPr>
          </w:p>
        </w:tc>
        <w:tc>
          <w:tcPr>
            <w:tcW w:w="1100" w:type="dxa"/>
            <w:vAlign w:val="bottom"/>
            <w:tcBorders>
              <w:bottom w:val="single" w:sz="8" w:color="auto"/>
            </w:tcBorders>
            <w:shd w:val="clear" w:color="auto" w:fill="FEFEFE"/>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4"/>
        </w:trPr>
        <w:tc>
          <w:tcPr>
            <w:tcW w:w="352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Domestic</w:t>
            </w:r>
          </w:p>
        </w:tc>
        <w:tc>
          <w:tcPr>
            <w:tcW w:w="2740" w:type="dxa"/>
            <w:vAlign w:val="bottom"/>
            <w:shd w:val="clear" w:color="auto" w:fill="D4EEED"/>
          </w:tcPr>
          <w:p>
            <w:pPr>
              <w:spacing w:after="0"/>
              <w:rPr>
                <w:sz w:val="20"/>
                <w:szCs w:val="20"/>
                <w:color w:val="auto"/>
              </w:rPr>
            </w:pPr>
          </w:p>
        </w:tc>
        <w:tc>
          <w:tcPr>
            <w:tcW w:w="340" w:type="dxa"/>
            <w:vAlign w:val="bottom"/>
            <w:shd w:val="clear" w:color="auto" w:fill="D4EEED"/>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(80,604)</w:t>
            </w:r>
          </w:p>
        </w:tc>
        <w:tc>
          <w:tcPr>
            <w:tcW w:w="140" w:type="dxa"/>
            <w:vAlign w:val="bottom"/>
            <w:shd w:val="clear" w:color="auto" w:fill="D4EEED"/>
          </w:tcPr>
          <w:p>
            <w:pPr>
              <w:spacing w:after="0"/>
              <w:rPr>
                <w:sz w:val="20"/>
                <w:szCs w:val="20"/>
                <w:color w:val="auto"/>
              </w:rPr>
            </w:pPr>
          </w:p>
        </w:tc>
        <w:tc>
          <w:tcPr>
            <w:tcW w:w="300" w:type="dxa"/>
            <w:vAlign w:val="bottom"/>
            <w:shd w:val="clear" w:color="auto" w:fill="D4EEED"/>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(36,948)</w:t>
            </w:r>
          </w:p>
        </w:tc>
      </w:tr>
      <w:tr>
        <w:trPr>
          <w:trHeight w:val="244"/>
        </w:trPr>
        <w:tc>
          <w:tcPr>
            <w:tcW w:w="3520" w:type="dxa"/>
            <w:vAlign w:val="bottom"/>
            <w:tcBorders>
              <w:bottom w:val="single" w:sz="8" w:color="D4EEED"/>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Foreign</w:t>
            </w:r>
          </w:p>
        </w:tc>
        <w:tc>
          <w:tcPr>
            <w:tcW w:w="2740" w:type="dxa"/>
            <w:vAlign w:val="bottom"/>
            <w:tcBorders>
              <w:bottom w:val="single" w:sz="8" w:color="D4EEED"/>
            </w:tcBorders>
            <w:shd w:val="clear" w:color="auto" w:fill="FEFEFE"/>
          </w:tcPr>
          <w:p>
            <w:pPr>
              <w:spacing w:after="0"/>
              <w:rPr>
                <w:sz w:val="21"/>
                <w:szCs w:val="21"/>
                <w:color w:val="auto"/>
              </w:rPr>
            </w:pPr>
          </w:p>
        </w:tc>
        <w:tc>
          <w:tcPr>
            <w:tcW w:w="340" w:type="dxa"/>
            <w:vAlign w:val="bottom"/>
            <w:tcBorders>
              <w:bottom w:val="single" w:sz="8" w:color="auto"/>
            </w:tcBorders>
            <w:shd w:val="clear" w:color="auto" w:fill="FEFEFE"/>
          </w:tcPr>
          <w:p>
            <w:pPr>
              <w:spacing w:after="0"/>
              <w:rPr>
                <w:sz w:val="21"/>
                <w:szCs w:val="21"/>
                <w:color w:val="auto"/>
              </w:rPr>
            </w:pPr>
          </w:p>
        </w:tc>
        <w:tc>
          <w:tcPr>
            <w:tcW w:w="1220" w:type="dxa"/>
            <w:vAlign w:val="bottom"/>
            <w:tcBorders>
              <w:bottom w:val="single" w:sz="8" w:color="auto"/>
            </w:tcBorders>
            <w:shd w:val="clear" w:color="auto" w:fill="FEFEFE"/>
          </w:tcPr>
          <w:p>
            <w:pPr>
              <w:jc w:val="right"/>
              <w:ind w:right="8"/>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4EEED"/>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100" w:type="dxa"/>
            <w:vAlign w:val="bottom"/>
            <w:tcBorders>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4"/>
        </w:trPr>
        <w:tc>
          <w:tcPr>
            <w:tcW w:w="3520" w:type="dxa"/>
            <w:vAlign w:val="bottom"/>
            <w:shd w:val="clear" w:color="auto" w:fill="D4EEED"/>
          </w:tcPr>
          <w:p>
            <w:pPr>
              <w:spacing w:after="0"/>
              <w:rPr>
                <w:sz w:val="20"/>
                <w:szCs w:val="20"/>
                <w:color w:val="auto"/>
              </w:rPr>
            </w:pPr>
          </w:p>
        </w:tc>
        <w:tc>
          <w:tcPr>
            <w:tcW w:w="2740" w:type="dxa"/>
            <w:vAlign w:val="bottom"/>
            <w:shd w:val="clear" w:color="auto" w:fill="D4EEED"/>
          </w:tcPr>
          <w:p>
            <w:pPr>
              <w:spacing w:after="0"/>
              <w:rPr>
                <w:sz w:val="20"/>
                <w:szCs w:val="20"/>
                <w:color w:val="auto"/>
              </w:rPr>
            </w:pPr>
          </w:p>
        </w:tc>
        <w:tc>
          <w:tcPr>
            <w:tcW w:w="340" w:type="dxa"/>
            <w:vAlign w:val="bottom"/>
            <w:tcBorders>
              <w:bottom w:val="single" w:sz="8" w:color="auto"/>
            </w:tcBorders>
            <w:shd w:val="clear" w:color="auto" w:fill="D4EEED"/>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(80,604)</w:t>
            </w:r>
          </w:p>
        </w:tc>
        <w:tc>
          <w:tcPr>
            <w:tcW w:w="140" w:type="dxa"/>
            <w:vAlign w:val="bottom"/>
            <w:shd w:val="clear" w:color="auto" w:fill="D4EEED"/>
          </w:tcPr>
          <w:p>
            <w:pPr>
              <w:spacing w:after="0"/>
              <w:rPr>
                <w:sz w:val="20"/>
                <w:szCs w:val="20"/>
                <w:color w:val="auto"/>
              </w:rPr>
            </w:pPr>
          </w:p>
        </w:tc>
        <w:tc>
          <w:tcPr>
            <w:tcW w:w="300" w:type="dxa"/>
            <w:vAlign w:val="bottom"/>
            <w:tcBorders>
              <w:bottom w:val="single" w:sz="8" w:color="auto"/>
            </w:tcBorders>
            <w:shd w:val="clear" w:color="auto" w:fill="D4EEED"/>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(36,949)</w:t>
            </w:r>
          </w:p>
        </w:tc>
      </w:tr>
      <w:tr>
        <w:trPr>
          <w:trHeight w:val="20"/>
        </w:trPr>
        <w:tc>
          <w:tcPr>
            <w:tcW w:w="3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360" w:right="480" w:firstLine="490"/>
        <w:spacing w:after="0" w:line="277" w:lineRule="auto"/>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income tax rate is as follows:</w:t>
      </w:r>
    </w:p>
    <w:p>
      <w:pPr>
        <w:spacing w:after="0" w:line="8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-113030</wp:posOffset>
                </wp:positionV>
                <wp:extent cx="5943600" cy="12509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25095"/>
                        </a:xfrm>
                        <a:prstGeom prst="rect">
                          <a:avLst/>
                        </a:prstGeom>
                        <a:solidFill>
                          <a:srgbClr val="FEFEFE"/>
                        </a:solidFill>
                      </wps:spPr>
                      <wps:bodyPr/>
                    </wps:wsp>
                  </a:graphicData>
                </a:graphic>
              </wp:anchor>
            </w:drawing>
          </mc:Choice>
          <mc:Fallback>
            <w:pict>
              <v:rect id="Shape 40" o:spid="_x0000_s1065" style="position:absolute;margin-left:18pt;margin-top:-8.8999pt;width:468pt;height: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w:r>
    </w:p>
    <w:tbl>
      <w:tblPr>
        <w:tblLayout w:type="fixed"/>
        <w:tblInd w:w="360" w:type="dxa"/>
        <w:tblCellMar>
          <w:top w:w="0" w:type="dxa"/>
          <w:left w:w="0" w:type="dxa"/>
          <w:bottom w:w="0" w:type="dxa"/>
          <w:right w:w="0" w:type="dxa"/>
        </w:tblCellMar>
      </w:tblPr>
      <w:tr>
        <w:trPr>
          <w:trHeight w:val="188"/>
        </w:trPr>
        <w:tc>
          <w:tcPr>
            <w:tcW w:w="6280" w:type="dxa"/>
            <w:vAlign w:val="bottom"/>
            <w:tcBorders>
              <w:top w:val="single" w:sz="8" w:color="FEFEFE"/>
            </w:tcBorders>
            <w:shd w:val="clear" w:color="auto" w:fill="FEFEFE"/>
          </w:tcPr>
          <w:p>
            <w:pPr>
              <w:spacing w:after="0"/>
              <w:rPr>
                <w:sz w:val="16"/>
                <w:szCs w:val="16"/>
                <w:color w:val="auto"/>
              </w:rPr>
            </w:pPr>
          </w:p>
        </w:tc>
        <w:tc>
          <w:tcPr>
            <w:tcW w:w="840" w:type="dxa"/>
            <w:vAlign w:val="bottom"/>
            <w:tcBorders>
              <w:top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tcBorders>
            <w:shd w:val="clear" w:color="auto" w:fill="FEFEFE"/>
          </w:tcPr>
          <w:p>
            <w:pPr>
              <w:spacing w:after="0"/>
              <w:rPr>
                <w:sz w:val="16"/>
                <w:szCs w:val="16"/>
                <w:color w:val="auto"/>
              </w:rPr>
            </w:pPr>
          </w:p>
        </w:tc>
        <w:tc>
          <w:tcPr>
            <w:tcW w:w="1580" w:type="dxa"/>
            <w:vAlign w:val="bottom"/>
            <w:tcBorders>
              <w:top w:val="single" w:sz="8" w:color="auto"/>
            </w:tcBorders>
            <w:gridSpan w:val="2"/>
            <w:shd w:val="clear" w:color="auto" w:fill="FEFEFE"/>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4"/>
        </w:trPr>
        <w:tc>
          <w:tcPr>
            <w:tcW w:w="6280" w:type="dxa"/>
            <w:vAlign w:val="bottom"/>
            <w:tcBorders>
              <w:top w:val="single" w:sz="8" w:color="D4EEED"/>
            </w:tcBorders>
            <w:shd w:val="clear" w:color="auto" w:fill="D4EEED"/>
          </w:tcPr>
          <w:p>
            <w:pPr>
              <w:spacing w:after="0"/>
              <w:rPr>
                <w:sz w:val="20"/>
                <w:szCs w:val="20"/>
                <w:color w:val="auto"/>
              </w:rPr>
            </w:pPr>
            <w:r>
              <w:rPr>
                <w:rFonts w:ascii="Times New Roman" w:cs="Times New Roman" w:eastAsia="Times New Roman" w:hAnsi="Times New Roman"/>
                <w:sz w:val="20"/>
                <w:szCs w:val="20"/>
                <w:color w:val="auto"/>
              </w:rPr>
              <w:t>Federal statutory income tax rate</w:t>
            </w:r>
          </w:p>
        </w:tc>
        <w:tc>
          <w:tcPr>
            <w:tcW w:w="840" w:type="dxa"/>
            <w:vAlign w:val="bottom"/>
            <w:tcBorders>
              <w:top w:val="single" w:sz="8" w:color="auto"/>
            </w:tcBorders>
            <w:shd w:val="clear" w:color="auto" w:fill="D4EEED"/>
          </w:tcPr>
          <w:p>
            <w:pPr>
              <w:spacing w:after="0"/>
              <w:rPr>
                <w:sz w:val="20"/>
                <w:szCs w:val="20"/>
                <w:color w:val="auto"/>
              </w:rPr>
            </w:pPr>
          </w:p>
        </w:tc>
        <w:tc>
          <w:tcPr>
            <w:tcW w:w="66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40" w:type="dxa"/>
            <w:vAlign w:val="bottom"/>
            <w:tcBorders>
              <w:top w:val="single" w:sz="8" w:color="D4EEED"/>
            </w:tcBorders>
            <w:shd w:val="clear" w:color="auto" w:fill="D4EEED"/>
          </w:tcPr>
          <w:p>
            <w:pPr>
              <w:spacing w:after="0"/>
              <w:rPr>
                <w:sz w:val="20"/>
                <w:szCs w:val="20"/>
                <w:color w:val="auto"/>
              </w:rPr>
            </w:pPr>
          </w:p>
        </w:tc>
        <w:tc>
          <w:tcPr>
            <w:tcW w:w="1440" w:type="dxa"/>
            <w:vAlign w:val="bottom"/>
            <w:tcBorders>
              <w:top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244"/>
        </w:trPr>
        <w:tc>
          <w:tcPr>
            <w:tcW w:w="628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State taxes, net of federal benefit</w:t>
            </w:r>
          </w:p>
        </w:tc>
        <w:tc>
          <w:tcPr>
            <w:tcW w:w="840" w:type="dxa"/>
            <w:vAlign w:val="bottom"/>
            <w:shd w:val="clear" w:color="auto" w:fill="FEFEFE"/>
          </w:tcPr>
          <w:p>
            <w:pPr>
              <w:spacing w:after="0"/>
              <w:rPr>
                <w:sz w:val="21"/>
                <w:szCs w:val="21"/>
                <w:color w:val="auto"/>
              </w:rPr>
            </w:pPr>
          </w:p>
        </w:tc>
        <w:tc>
          <w:tcPr>
            <w:tcW w:w="660" w:type="dxa"/>
            <w:vAlign w:val="bottom"/>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rPr>
              <w:t>5.3</w:t>
            </w:r>
          </w:p>
        </w:tc>
        <w:tc>
          <w:tcPr>
            <w:tcW w:w="140" w:type="dxa"/>
            <w:vAlign w:val="bottom"/>
            <w:shd w:val="clear" w:color="auto" w:fill="FEFEFE"/>
          </w:tcPr>
          <w:p>
            <w:pPr>
              <w:spacing w:after="0"/>
              <w:rPr>
                <w:sz w:val="21"/>
                <w:szCs w:val="21"/>
                <w:color w:val="auto"/>
              </w:rPr>
            </w:pPr>
          </w:p>
        </w:tc>
        <w:tc>
          <w:tcPr>
            <w:tcW w:w="1440" w:type="dxa"/>
            <w:vAlign w:val="bottom"/>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rPr>
              <w:t>4.9</w:t>
            </w:r>
          </w:p>
        </w:tc>
      </w:tr>
      <w:tr>
        <w:trPr>
          <w:trHeight w:val="244"/>
        </w:trPr>
        <w:tc>
          <w:tcPr>
            <w:tcW w:w="7120" w:type="dxa"/>
            <w:vAlign w:val="bottom"/>
            <w:gridSpan w:val="2"/>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Change in state tax rate</w:t>
            </w:r>
          </w:p>
        </w:tc>
        <w:tc>
          <w:tcPr>
            <w:tcW w:w="660" w:type="dxa"/>
            <w:vAlign w:val="bottom"/>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c>
          <w:tcPr>
            <w:tcW w:w="1580" w:type="dxa"/>
            <w:vAlign w:val="bottom"/>
            <w:gridSpan w:val="2"/>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r>
      <w:tr>
        <w:trPr>
          <w:trHeight w:val="244"/>
        </w:trPr>
        <w:tc>
          <w:tcPr>
            <w:tcW w:w="7120" w:type="dxa"/>
            <w:vAlign w:val="bottom"/>
            <w:gridSpan w:val="2"/>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Federal and state research and development tax credit</w:t>
            </w:r>
          </w:p>
        </w:tc>
        <w:tc>
          <w:tcPr>
            <w:tcW w:w="660" w:type="dxa"/>
            <w:vAlign w:val="bottom"/>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rPr>
              <w:t>14.5</w:t>
            </w:r>
          </w:p>
        </w:tc>
        <w:tc>
          <w:tcPr>
            <w:tcW w:w="1580" w:type="dxa"/>
            <w:vAlign w:val="bottom"/>
            <w:gridSpan w:val="2"/>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rPr>
              <w:t>8.2</w:t>
            </w:r>
          </w:p>
        </w:tc>
      </w:tr>
      <w:tr>
        <w:trPr>
          <w:trHeight w:val="244"/>
        </w:trPr>
        <w:tc>
          <w:tcPr>
            <w:tcW w:w="7120" w:type="dxa"/>
            <w:vAlign w:val="bottom"/>
            <w:gridSpan w:val="2"/>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Nondeductible permanent differences</w:t>
            </w:r>
          </w:p>
        </w:tc>
        <w:tc>
          <w:tcPr>
            <w:tcW w:w="660" w:type="dxa"/>
            <w:vAlign w:val="bottom"/>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(0.8)</w:t>
            </w:r>
          </w:p>
        </w:tc>
        <w:tc>
          <w:tcPr>
            <w:tcW w:w="1580" w:type="dxa"/>
            <w:vAlign w:val="bottom"/>
            <w:gridSpan w:val="2"/>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r>
      <w:tr>
        <w:trPr>
          <w:trHeight w:val="244"/>
        </w:trPr>
        <w:tc>
          <w:tcPr>
            <w:tcW w:w="7120" w:type="dxa"/>
            <w:vAlign w:val="bottom"/>
            <w:gridSpan w:val="2"/>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Stock compensation forfeitures - DTA Write Off</w:t>
            </w:r>
          </w:p>
        </w:tc>
        <w:tc>
          <w:tcPr>
            <w:tcW w:w="660" w:type="dxa"/>
            <w:vAlign w:val="bottom"/>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gridSpan w:val="2"/>
            <w:shd w:val="clear" w:color="auto" w:fill="FEFEFE"/>
          </w:tcPr>
          <w:p>
            <w:pPr>
              <w:jc w:val="right"/>
              <w:ind w:right="20"/>
              <w:spacing w:after="0"/>
              <w:rPr>
                <w:sz w:val="20"/>
                <w:szCs w:val="20"/>
                <w:color w:val="auto"/>
              </w:rPr>
            </w:pPr>
            <w:r>
              <w:rPr>
                <w:rFonts w:ascii="Times New Roman" w:cs="Times New Roman" w:eastAsia="Times New Roman" w:hAnsi="Times New Roman"/>
                <w:sz w:val="20"/>
                <w:szCs w:val="20"/>
                <w:color w:val="auto"/>
              </w:rPr>
              <w:t>(1.8)</w:t>
            </w:r>
          </w:p>
        </w:tc>
      </w:tr>
      <w:tr>
        <w:trPr>
          <w:trHeight w:val="244"/>
        </w:trPr>
        <w:tc>
          <w:tcPr>
            <w:tcW w:w="7120" w:type="dxa"/>
            <w:vAlign w:val="bottom"/>
            <w:gridSpan w:val="2"/>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Change in deferred tax asset valuation allowance</w:t>
            </w:r>
          </w:p>
        </w:tc>
        <w:tc>
          <w:tcPr>
            <w:tcW w:w="660" w:type="dxa"/>
            <w:vAlign w:val="bottom"/>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(38.7)</w:t>
            </w:r>
          </w:p>
        </w:tc>
        <w:tc>
          <w:tcPr>
            <w:tcW w:w="1580" w:type="dxa"/>
            <w:vAlign w:val="bottom"/>
            <w:gridSpan w:val="2"/>
            <w:shd w:val="clear" w:color="auto" w:fill="D4EEED"/>
          </w:tcPr>
          <w:p>
            <w:pPr>
              <w:jc w:val="right"/>
              <w:ind w:right="20"/>
              <w:spacing w:after="0"/>
              <w:rPr>
                <w:sz w:val="20"/>
                <w:szCs w:val="20"/>
                <w:color w:val="auto"/>
              </w:rPr>
            </w:pPr>
            <w:r>
              <w:rPr>
                <w:rFonts w:ascii="Times New Roman" w:cs="Times New Roman" w:eastAsia="Times New Roman" w:hAnsi="Times New Roman"/>
                <w:sz w:val="20"/>
                <w:szCs w:val="20"/>
                <w:color w:val="auto"/>
              </w:rPr>
              <w:t>(29.6)</w:t>
            </w:r>
          </w:p>
        </w:tc>
      </w:tr>
      <w:tr>
        <w:trPr>
          <w:trHeight w:val="234"/>
        </w:trPr>
        <w:tc>
          <w:tcPr>
            <w:tcW w:w="6280" w:type="dxa"/>
            <w:vAlign w:val="bottom"/>
            <w:tcBorders>
              <w:top w:val="single" w:sz="8" w:color="FEFEFE"/>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840" w:type="dxa"/>
            <w:vAlign w:val="bottom"/>
            <w:tcBorders>
              <w:top w:val="single" w:sz="8" w:color="auto"/>
              <w:bottom w:val="single" w:sz="8" w:color="auto"/>
            </w:tcBorders>
            <w:shd w:val="clear" w:color="auto" w:fill="FEFEFE"/>
          </w:tcPr>
          <w:p>
            <w:pPr>
              <w:spacing w:after="0"/>
              <w:rPr>
                <w:sz w:val="20"/>
                <w:szCs w:val="20"/>
                <w:color w:val="auto"/>
              </w:rPr>
            </w:pPr>
          </w:p>
        </w:tc>
        <w:tc>
          <w:tcPr>
            <w:tcW w:w="66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140" w:type="dxa"/>
            <w:vAlign w:val="bottom"/>
            <w:tcBorders>
              <w:top w:val="single" w:sz="8" w:color="FEFEFE"/>
            </w:tcBorders>
            <w:shd w:val="clear" w:color="auto" w:fill="FEFEFE"/>
          </w:tcPr>
          <w:p>
            <w:pPr>
              <w:spacing w:after="0"/>
              <w:rPr>
                <w:sz w:val="20"/>
                <w:szCs w:val="20"/>
                <w:color w:val="auto"/>
              </w:rPr>
            </w:pPr>
          </w:p>
        </w:tc>
        <w:tc>
          <w:tcPr>
            <w:tcW w:w="1440" w:type="dxa"/>
            <w:vAlign w:val="bottom"/>
            <w:tcBorders>
              <w:top w:val="single" w:sz="8" w:color="auto"/>
              <w:bottom w:val="single" w:sz="8" w:color="auto"/>
            </w:tcBorders>
            <w:shd w:val="clear" w:color="auto" w:fill="FEFEFE"/>
          </w:tcPr>
          <w:p>
            <w:pPr>
              <w:jc w:val="right"/>
              <w:spacing w:after="0"/>
              <w:rPr>
                <w:sz w:val="20"/>
                <w:szCs w:val="20"/>
                <w:color w:val="auto"/>
              </w:rPr>
            </w:pPr>
            <w:r>
              <w:rPr>
                <w:rFonts w:ascii="Times New Roman" w:cs="Times New Roman" w:eastAsia="Times New Roman" w:hAnsi="Times New Roman"/>
                <w:sz w:val="20"/>
                <w:szCs w:val="20"/>
                <w:color w:val="auto"/>
              </w:rPr>
              <w:t>0.0%</w:t>
            </w:r>
          </w:p>
        </w:tc>
      </w:tr>
      <w:tr>
        <w:trPr>
          <w:trHeight w:val="20"/>
        </w:trPr>
        <w:tc>
          <w:tcPr>
            <w:tcW w:w="6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960" w:h="17280" w:orient="portrait"/>
          <w:cols w:equalWidth="0" w:num="1">
            <w:col w:w="10080"/>
          </w:cols>
          <w:pgMar w:left="1440" w:top="1440" w:right="1440" w:bottom="906" w:gutter="0" w:footer="0" w:header="0"/>
          <w:type w:val="continuous"/>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Net deferred tax assets as of December 31, 2024 and 2023 consisted of the following:</w:t>
      </w:r>
    </w:p>
    <w:p>
      <w:pPr>
        <w:spacing w:after="0" w:line="157"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5280" w:type="dxa"/>
            <w:vAlign w:val="bottom"/>
            <w:tcBorders>
              <w:bottom w:val="single" w:sz="8" w:color="D4EEED"/>
            </w:tcBorders>
            <w:shd w:val="clear" w:color="auto" w:fill="FEFEFE"/>
          </w:tcPr>
          <w:p>
            <w:pPr>
              <w:spacing w:after="0"/>
              <w:rPr>
                <w:sz w:val="17"/>
                <w:szCs w:val="17"/>
                <w:color w:val="auto"/>
              </w:rPr>
            </w:pPr>
          </w:p>
        </w:tc>
        <w:tc>
          <w:tcPr>
            <w:tcW w:w="980" w:type="dxa"/>
            <w:vAlign w:val="bottom"/>
            <w:tcBorders>
              <w:bottom w:val="single" w:sz="8" w:color="D4EEED"/>
            </w:tcBorders>
            <w:shd w:val="clear" w:color="auto" w:fill="FEFEFE"/>
          </w:tcPr>
          <w:p>
            <w:pPr>
              <w:spacing w:after="0"/>
              <w:rPr>
                <w:sz w:val="17"/>
                <w:szCs w:val="17"/>
                <w:color w:val="auto"/>
              </w:rPr>
            </w:pPr>
          </w:p>
        </w:tc>
        <w:tc>
          <w:tcPr>
            <w:tcW w:w="340" w:type="dxa"/>
            <w:vAlign w:val="bottom"/>
            <w:tcBorders>
              <w:bottom w:val="single" w:sz="8" w:color="auto"/>
            </w:tcBorders>
            <w:shd w:val="clear" w:color="auto" w:fill="FEFEFE"/>
          </w:tcPr>
          <w:p>
            <w:pPr>
              <w:spacing w:after="0"/>
              <w:rPr>
                <w:sz w:val="17"/>
                <w:szCs w:val="17"/>
                <w:color w:val="auto"/>
              </w:rPr>
            </w:pPr>
          </w:p>
        </w:tc>
        <w:tc>
          <w:tcPr>
            <w:tcW w:w="1200" w:type="dxa"/>
            <w:vAlign w:val="bottom"/>
            <w:tcBorders>
              <w:bottom w:val="single" w:sz="8" w:color="auto"/>
            </w:tcBorders>
            <w:shd w:val="clear" w:color="auto" w:fill="FEFEFE"/>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D4EEED"/>
            </w:tcBorders>
            <w:shd w:val="clear" w:color="auto" w:fill="FEFEFE"/>
          </w:tcPr>
          <w:p>
            <w:pPr>
              <w:spacing w:after="0"/>
              <w:rPr>
                <w:sz w:val="17"/>
                <w:szCs w:val="17"/>
                <w:color w:val="auto"/>
              </w:rPr>
            </w:pPr>
          </w:p>
        </w:tc>
        <w:tc>
          <w:tcPr>
            <w:tcW w:w="300" w:type="dxa"/>
            <w:vAlign w:val="bottom"/>
            <w:tcBorders>
              <w:bottom w:val="single" w:sz="8" w:color="auto"/>
            </w:tcBorders>
            <w:shd w:val="clear" w:color="auto" w:fill="FEFEFE"/>
          </w:tcPr>
          <w:p>
            <w:pPr>
              <w:spacing w:after="0"/>
              <w:rPr>
                <w:sz w:val="17"/>
                <w:szCs w:val="17"/>
                <w:color w:val="auto"/>
              </w:rPr>
            </w:pPr>
          </w:p>
        </w:tc>
        <w:tc>
          <w:tcPr>
            <w:tcW w:w="1100" w:type="dxa"/>
            <w:vAlign w:val="bottom"/>
            <w:tcBorders>
              <w:bottom w:val="single" w:sz="8" w:color="auto"/>
            </w:tcBorders>
            <w:shd w:val="clear" w:color="auto" w:fill="FEFEFE"/>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4"/>
        </w:trPr>
        <w:tc>
          <w:tcPr>
            <w:tcW w:w="528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980" w:type="dxa"/>
            <w:vAlign w:val="bottom"/>
            <w:shd w:val="clear" w:color="auto" w:fill="D4EEED"/>
          </w:tcPr>
          <w:p>
            <w:pPr>
              <w:spacing w:after="0"/>
              <w:rPr>
                <w:sz w:val="20"/>
                <w:szCs w:val="20"/>
                <w:color w:val="auto"/>
              </w:rPr>
            </w:pPr>
          </w:p>
        </w:tc>
        <w:tc>
          <w:tcPr>
            <w:tcW w:w="340" w:type="dxa"/>
            <w:vAlign w:val="bottom"/>
            <w:shd w:val="clear" w:color="auto" w:fill="D4EEED"/>
          </w:tcPr>
          <w:p>
            <w:pPr>
              <w:spacing w:after="0"/>
              <w:rPr>
                <w:sz w:val="20"/>
                <w:szCs w:val="20"/>
                <w:color w:val="auto"/>
              </w:rPr>
            </w:pPr>
          </w:p>
        </w:tc>
        <w:tc>
          <w:tcPr>
            <w:tcW w:w="1200" w:type="dxa"/>
            <w:vAlign w:val="bottom"/>
            <w:shd w:val="clear" w:color="auto" w:fill="D4EEED"/>
          </w:tcPr>
          <w:p>
            <w:pPr>
              <w:spacing w:after="0"/>
              <w:rPr>
                <w:sz w:val="20"/>
                <w:szCs w:val="20"/>
                <w:color w:val="auto"/>
              </w:rPr>
            </w:pPr>
          </w:p>
        </w:tc>
        <w:tc>
          <w:tcPr>
            <w:tcW w:w="160" w:type="dxa"/>
            <w:vAlign w:val="bottom"/>
            <w:shd w:val="clear" w:color="auto" w:fill="D4EEED"/>
          </w:tcPr>
          <w:p>
            <w:pPr>
              <w:spacing w:after="0"/>
              <w:rPr>
                <w:sz w:val="20"/>
                <w:szCs w:val="20"/>
                <w:color w:val="auto"/>
              </w:rPr>
            </w:pPr>
          </w:p>
        </w:tc>
        <w:tc>
          <w:tcPr>
            <w:tcW w:w="300" w:type="dxa"/>
            <w:vAlign w:val="bottom"/>
            <w:shd w:val="clear" w:color="auto" w:fill="D4EEED"/>
          </w:tcPr>
          <w:p>
            <w:pPr>
              <w:spacing w:after="0"/>
              <w:rPr>
                <w:sz w:val="20"/>
                <w:szCs w:val="20"/>
                <w:color w:val="auto"/>
              </w:rPr>
            </w:pPr>
          </w:p>
        </w:tc>
        <w:tc>
          <w:tcPr>
            <w:tcW w:w="1100" w:type="dxa"/>
            <w:vAlign w:val="bottom"/>
            <w:shd w:val="clear" w:color="auto" w:fill="D4EEED"/>
          </w:tcPr>
          <w:p>
            <w:pPr>
              <w:spacing w:after="0"/>
              <w:rPr>
                <w:sz w:val="20"/>
                <w:szCs w:val="20"/>
                <w:color w:val="auto"/>
              </w:rPr>
            </w:pPr>
          </w:p>
        </w:tc>
      </w:tr>
      <w:tr>
        <w:trPr>
          <w:trHeight w:val="244"/>
        </w:trPr>
        <w:tc>
          <w:tcPr>
            <w:tcW w:w="528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Capitalized R&amp;D - acquired in merger with Zafgen</w:t>
            </w:r>
          </w:p>
        </w:tc>
        <w:tc>
          <w:tcPr>
            <w:tcW w:w="980" w:type="dxa"/>
            <w:vAlign w:val="bottom"/>
            <w:shd w:val="clear" w:color="auto" w:fill="FEFEFE"/>
          </w:tcPr>
          <w:p>
            <w:pPr>
              <w:spacing w:after="0"/>
              <w:rPr>
                <w:sz w:val="21"/>
                <w:szCs w:val="21"/>
                <w:color w:val="auto"/>
              </w:rPr>
            </w:pPr>
          </w:p>
        </w:tc>
        <w:tc>
          <w:tcPr>
            <w:tcW w:w="340" w:type="dxa"/>
            <w:vAlign w:val="bottom"/>
            <w:shd w:val="clear" w:color="auto" w:fill="FEFEFE"/>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FEFEFE"/>
          </w:tcPr>
          <w:p>
            <w:pPr>
              <w:jc w:val="right"/>
              <w:ind w:right="1"/>
              <w:spacing w:after="0"/>
              <w:rPr>
                <w:sz w:val="20"/>
                <w:szCs w:val="20"/>
                <w:color w:val="auto"/>
              </w:rPr>
            </w:pPr>
            <w:r>
              <w:rPr>
                <w:rFonts w:ascii="Times New Roman" w:cs="Times New Roman" w:eastAsia="Times New Roman" w:hAnsi="Times New Roman"/>
                <w:sz w:val="20"/>
                <w:szCs w:val="20"/>
                <w:color w:val="auto"/>
              </w:rPr>
              <w:t>66,678</w:t>
            </w:r>
          </w:p>
        </w:tc>
        <w:tc>
          <w:tcPr>
            <w:tcW w:w="160" w:type="dxa"/>
            <w:vAlign w:val="bottom"/>
            <w:shd w:val="clear" w:color="auto" w:fill="FEFEFE"/>
          </w:tcPr>
          <w:p>
            <w:pPr>
              <w:spacing w:after="0"/>
              <w:rPr>
                <w:sz w:val="21"/>
                <w:szCs w:val="21"/>
                <w:color w:val="auto"/>
              </w:rPr>
            </w:pPr>
          </w:p>
        </w:tc>
        <w:tc>
          <w:tcPr>
            <w:tcW w:w="300" w:type="dxa"/>
            <w:vAlign w:val="bottom"/>
            <w:shd w:val="clear" w:color="auto" w:fill="FEFEF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FEFEFE"/>
          </w:tcPr>
          <w:p>
            <w:pPr>
              <w:jc w:val="right"/>
              <w:ind w:right="1"/>
              <w:spacing w:after="0"/>
              <w:rPr>
                <w:sz w:val="20"/>
                <w:szCs w:val="20"/>
                <w:color w:val="auto"/>
              </w:rPr>
            </w:pPr>
            <w:r>
              <w:rPr>
                <w:rFonts w:ascii="Times New Roman" w:cs="Times New Roman" w:eastAsia="Times New Roman" w:hAnsi="Times New Roman"/>
                <w:sz w:val="20"/>
                <w:szCs w:val="20"/>
                <w:color w:val="auto"/>
              </w:rPr>
              <w:t>66,678</w:t>
            </w:r>
          </w:p>
        </w:tc>
      </w:tr>
      <w:tr>
        <w:trPr>
          <w:trHeight w:val="244"/>
        </w:trPr>
        <w:tc>
          <w:tcPr>
            <w:tcW w:w="528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Capitalized R&amp;D - Section 174 Costs post 2021</w:t>
            </w:r>
          </w:p>
        </w:tc>
        <w:tc>
          <w:tcPr>
            <w:tcW w:w="980" w:type="dxa"/>
            <w:vAlign w:val="bottom"/>
            <w:shd w:val="clear" w:color="auto" w:fill="D4EEED"/>
          </w:tcPr>
          <w:p>
            <w:pPr>
              <w:spacing w:after="0"/>
              <w:rPr>
                <w:sz w:val="21"/>
                <w:szCs w:val="21"/>
                <w:color w:val="auto"/>
              </w:rPr>
            </w:pPr>
          </w:p>
        </w:tc>
        <w:tc>
          <w:tcPr>
            <w:tcW w:w="340" w:type="dxa"/>
            <w:vAlign w:val="bottom"/>
            <w:shd w:val="clear" w:color="auto" w:fill="D4EEED"/>
          </w:tcPr>
          <w:p>
            <w:pPr>
              <w:spacing w:after="0"/>
              <w:rPr>
                <w:sz w:val="21"/>
                <w:szCs w:val="21"/>
                <w:color w:val="auto"/>
              </w:rPr>
            </w:pPr>
          </w:p>
        </w:tc>
        <w:tc>
          <w:tcPr>
            <w:tcW w:w="1200" w:type="dxa"/>
            <w:vAlign w:val="bottom"/>
            <w:shd w:val="clear" w:color="auto" w:fill="D4EEED"/>
          </w:tcPr>
          <w:p>
            <w:pPr>
              <w:jc w:val="right"/>
              <w:ind w:right="1"/>
              <w:spacing w:after="0"/>
              <w:rPr>
                <w:sz w:val="20"/>
                <w:szCs w:val="20"/>
                <w:color w:val="auto"/>
              </w:rPr>
            </w:pPr>
            <w:r>
              <w:rPr>
                <w:rFonts w:ascii="Times New Roman" w:cs="Times New Roman" w:eastAsia="Times New Roman" w:hAnsi="Times New Roman"/>
                <w:sz w:val="20"/>
                <w:szCs w:val="20"/>
                <w:color w:val="auto"/>
              </w:rPr>
              <w:t>22,616</w:t>
            </w:r>
          </w:p>
        </w:tc>
        <w:tc>
          <w:tcPr>
            <w:tcW w:w="160" w:type="dxa"/>
            <w:vAlign w:val="bottom"/>
            <w:shd w:val="clear" w:color="auto" w:fill="D4EEED"/>
          </w:tcPr>
          <w:p>
            <w:pPr>
              <w:spacing w:after="0"/>
              <w:rPr>
                <w:sz w:val="21"/>
                <w:szCs w:val="21"/>
                <w:color w:val="auto"/>
              </w:rPr>
            </w:pPr>
          </w:p>
        </w:tc>
        <w:tc>
          <w:tcPr>
            <w:tcW w:w="300" w:type="dxa"/>
            <w:vAlign w:val="bottom"/>
            <w:shd w:val="clear" w:color="auto" w:fill="D4EEED"/>
          </w:tcPr>
          <w:p>
            <w:pPr>
              <w:spacing w:after="0"/>
              <w:rPr>
                <w:sz w:val="21"/>
                <w:szCs w:val="21"/>
                <w:color w:val="auto"/>
              </w:rPr>
            </w:pPr>
          </w:p>
        </w:tc>
        <w:tc>
          <w:tcPr>
            <w:tcW w:w="1100" w:type="dxa"/>
            <w:vAlign w:val="bottom"/>
            <w:shd w:val="clear" w:color="auto" w:fill="D4EEED"/>
          </w:tcPr>
          <w:p>
            <w:pPr>
              <w:jc w:val="right"/>
              <w:ind w:right="1"/>
              <w:spacing w:after="0"/>
              <w:rPr>
                <w:sz w:val="20"/>
                <w:szCs w:val="20"/>
                <w:color w:val="auto"/>
              </w:rPr>
            </w:pPr>
            <w:r>
              <w:rPr>
                <w:rFonts w:ascii="Times New Roman" w:cs="Times New Roman" w:eastAsia="Times New Roman" w:hAnsi="Times New Roman"/>
                <w:sz w:val="20"/>
                <w:szCs w:val="20"/>
                <w:color w:val="auto"/>
              </w:rPr>
              <w:t>9,411</w:t>
            </w:r>
          </w:p>
        </w:tc>
      </w:tr>
      <w:tr>
        <w:trPr>
          <w:trHeight w:val="244"/>
        </w:trPr>
        <w:tc>
          <w:tcPr>
            <w:tcW w:w="528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Stock based compensation</w:t>
            </w:r>
          </w:p>
        </w:tc>
        <w:tc>
          <w:tcPr>
            <w:tcW w:w="980" w:type="dxa"/>
            <w:vAlign w:val="bottom"/>
            <w:shd w:val="clear" w:color="auto" w:fill="FEFEFE"/>
          </w:tcPr>
          <w:p>
            <w:pPr>
              <w:spacing w:after="0"/>
              <w:rPr>
                <w:sz w:val="21"/>
                <w:szCs w:val="21"/>
                <w:color w:val="auto"/>
              </w:rPr>
            </w:pPr>
          </w:p>
        </w:tc>
        <w:tc>
          <w:tcPr>
            <w:tcW w:w="340" w:type="dxa"/>
            <w:vAlign w:val="bottom"/>
            <w:shd w:val="clear" w:color="auto" w:fill="FEFEFE"/>
          </w:tcPr>
          <w:p>
            <w:pPr>
              <w:spacing w:after="0"/>
              <w:rPr>
                <w:sz w:val="21"/>
                <w:szCs w:val="21"/>
                <w:color w:val="auto"/>
              </w:rPr>
            </w:pPr>
          </w:p>
        </w:tc>
        <w:tc>
          <w:tcPr>
            <w:tcW w:w="1200" w:type="dxa"/>
            <w:vAlign w:val="bottom"/>
            <w:shd w:val="clear" w:color="auto" w:fill="FEFEFE"/>
          </w:tcPr>
          <w:p>
            <w:pPr>
              <w:jc w:val="right"/>
              <w:ind w:right="1"/>
              <w:spacing w:after="0"/>
              <w:rPr>
                <w:sz w:val="20"/>
                <w:szCs w:val="20"/>
                <w:color w:val="auto"/>
              </w:rPr>
            </w:pPr>
            <w:r>
              <w:rPr>
                <w:rFonts w:ascii="Times New Roman" w:cs="Times New Roman" w:eastAsia="Times New Roman" w:hAnsi="Times New Roman"/>
                <w:sz w:val="20"/>
                <w:szCs w:val="20"/>
                <w:color w:val="auto"/>
              </w:rPr>
              <w:t>4,879</w:t>
            </w:r>
          </w:p>
        </w:tc>
        <w:tc>
          <w:tcPr>
            <w:tcW w:w="16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100" w:type="dxa"/>
            <w:vAlign w:val="bottom"/>
            <w:shd w:val="clear" w:color="auto" w:fill="FEFEFE"/>
          </w:tcPr>
          <w:p>
            <w:pPr>
              <w:jc w:val="right"/>
              <w:ind w:right="1"/>
              <w:spacing w:after="0"/>
              <w:rPr>
                <w:sz w:val="20"/>
                <w:szCs w:val="20"/>
                <w:color w:val="auto"/>
              </w:rPr>
            </w:pPr>
            <w:r>
              <w:rPr>
                <w:rFonts w:ascii="Times New Roman" w:cs="Times New Roman" w:eastAsia="Times New Roman" w:hAnsi="Times New Roman"/>
                <w:sz w:val="20"/>
                <w:szCs w:val="20"/>
                <w:color w:val="auto"/>
              </w:rPr>
              <w:t>3,490</w:t>
            </w:r>
          </w:p>
        </w:tc>
      </w:tr>
      <w:tr>
        <w:trPr>
          <w:trHeight w:val="244"/>
        </w:trPr>
        <w:tc>
          <w:tcPr>
            <w:tcW w:w="528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980" w:type="dxa"/>
            <w:vAlign w:val="bottom"/>
            <w:shd w:val="clear" w:color="auto" w:fill="D4EEED"/>
          </w:tcPr>
          <w:p>
            <w:pPr>
              <w:spacing w:after="0"/>
              <w:rPr>
                <w:sz w:val="21"/>
                <w:szCs w:val="21"/>
                <w:color w:val="auto"/>
              </w:rPr>
            </w:pPr>
          </w:p>
        </w:tc>
        <w:tc>
          <w:tcPr>
            <w:tcW w:w="340" w:type="dxa"/>
            <w:vAlign w:val="bottom"/>
            <w:shd w:val="clear" w:color="auto" w:fill="D4EEED"/>
          </w:tcPr>
          <w:p>
            <w:pPr>
              <w:spacing w:after="0"/>
              <w:rPr>
                <w:sz w:val="21"/>
                <w:szCs w:val="21"/>
                <w:color w:val="auto"/>
              </w:rPr>
            </w:pPr>
          </w:p>
        </w:tc>
        <w:tc>
          <w:tcPr>
            <w:tcW w:w="1200" w:type="dxa"/>
            <w:vAlign w:val="bottom"/>
            <w:shd w:val="clear" w:color="auto" w:fill="D4EEED"/>
          </w:tcPr>
          <w:p>
            <w:pPr>
              <w:jc w:val="right"/>
              <w:ind w:right="1"/>
              <w:spacing w:after="0"/>
              <w:rPr>
                <w:sz w:val="20"/>
                <w:szCs w:val="20"/>
                <w:color w:val="auto"/>
              </w:rPr>
            </w:pPr>
            <w:r>
              <w:rPr>
                <w:rFonts w:ascii="Times New Roman" w:cs="Times New Roman" w:eastAsia="Times New Roman" w:hAnsi="Times New Roman"/>
                <w:sz w:val="20"/>
                <w:szCs w:val="20"/>
                <w:color w:val="auto"/>
              </w:rPr>
              <w:t>50,177</w:t>
            </w:r>
          </w:p>
        </w:tc>
        <w:tc>
          <w:tcPr>
            <w:tcW w:w="160" w:type="dxa"/>
            <w:vAlign w:val="bottom"/>
            <w:shd w:val="clear" w:color="auto" w:fill="D4EEED"/>
          </w:tcPr>
          <w:p>
            <w:pPr>
              <w:spacing w:after="0"/>
              <w:rPr>
                <w:sz w:val="21"/>
                <w:szCs w:val="21"/>
                <w:color w:val="auto"/>
              </w:rPr>
            </w:pPr>
          </w:p>
        </w:tc>
        <w:tc>
          <w:tcPr>
            <w:tcW w:w="300" w:type="dxa"/>
            <w:vAlign w:val="bottom"/>
            <w:shd w:val="clear" w:color="auto" w:fill="D4EEED"/>
          </w:tcPr>
          <w:p>
            <w:pPr>
              <w:spacing w:after="0"/>
              <w:rPr>
                <w:sz w:val="21"/>
                <w:szCs w:val="21"/>
                <w:color w:val="auto"/>
              </w:rPr>
            </w:pPr>
          </w:p>
        </w:tc>
        <w:tc>
          <w:tcPr>
            <w:tcW w:w="1100" w:type="dxa"/>
            <w:vAlign w:val="bottom"/>
            <w:shd w:val="clear" w:color="auto" w:fill="D4EEED"/>
          </w:tcPr>
          <w:p>
            <w:pPr>
              <w:jc w:val="right"/>
              <w:ind w:right="1"/>
              <w:spacing w:after="0"/>
              <w:rPr>
                <w:sz w:val="20"/>
                <w:szCs w:val="20"/>
                <w:color w:val="auto"/>
              </w:rPr>
            </w:pPr>
            <w:r>
              <w:rPr>
                <w:rFonts w:ascii="Times New Roman" w:cs="Times New Roman" w:eastAsia="Times New Roman" w:hAnsi="Times New Roman"/>
                <w:sz w:val="20"/>
                <w:szCs w:val="20"/>
                <w:color w:val="auto"/>
              </w:rPr>
              <w:t>45,195</w:t>
            </w:r>
          </w:p>
        </w:tc>
      </w:tr>
      <w:tr>
        <w:trPr>
          <w:trHeight w:val="244"/>
        </w:trPr>
        <w:tc>
          <w:tcPr>
            <w:tcW w:w="528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Tax credit carryforwards</w:t>
            </w:r>
          </w:p>
        </w:tc>
        <w:tc>
          <w:tcPr>
            <w:tcW w:w="980" w:type="dxa"/>
            <w:vAlign w:val="bottom"/>
            <w:shd w:val="clear" w:color="auto" w:fill="FEFEFE"/>
          </w:tcPr>
          <w:p>
            <w:pPr>
              <w:spacing w:after="0"/>
              <w:rPr>
                <w:sz w:val="21"/>
                <w:szCs w:val="21"/>
                <w:color w:val="auto"/>
              </w:rPr>
            </w:pPr>
          </w:p>
        </w:tc>
        <w:tc>
          <w:tcPr>
            <w:tcW w:w="340" w:type="dxa"/>
            <w:vAlign w:val="bottom"/>
            <w:shd w:val="clear" w:color="auto" w:fill="FEFEFE"/>
          </w:tcPr>
          <w:p>
            <w:pPr>
              <w:spacing w:after="0"/>
              <w:rPr>
                <w:sz w:val="21"/>
                <w:szCs w:val="21"/>
                <w:color w:val="auto"/>
              </w:rPr>
            </w:pPr>
          </w:p>
        </w:tc>
        <w:tc>
          <w:tcPr>
            <w:tcW w:w="1200" w:type="dxa"/>
            <w:vAlign w:val="bottom"/>
            <w:shd w:val="clear" w:color="auto" w:fill="FEFEFE"/>
          </w:tcPr>
          <w:p>
            <w:pPr>
              <w:jc w:val="right"/>
              <w:ind w:right="1"/>
              <w:spacing w:after="0"/>
              <w:rPr>
                <w:sz w:val="20"/>
                <w:szCs w:val="20"/>
                <w:color w:val="auto"/>
              </w:rPr>
            </w:pPr>
            <w:r>
              <w:rPr>
                <w:rFonts w:ascii="Times New Roman" w:cs="Times New Roman" w:eastAsia="Times New Roman" w:hAnsi="Times New Roman"/>
                <w:sz w:val="20"/>
                <w:szCs w:val="20"/>
                <w:color w:val="auto"/>
              </w:rPr>
              <w:t>28,022</w:t>
            </w:r>
          </w:p>
        </w:tc>
        <w:tc>
          <w:tcPr>
            <w:tcW w:w="16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100" w:type="dxa"/>
            <w:vAlign w:val="bottom"/>
            <w:shd w:val="clear" w:color="auto" w:fill="FEFEFE"/>
          </w:tcPr>
          <w:p>
            <w:pPr>
              <w:jc w:val="right"/>
              <w:ind w:right="1"/>
              <w:spacing w:after="0"/>
              <w:rPr>
                <w:sz w:val="20"/>
                <w:szCs w:val="20"/>
                <w:color w:val="auto"/>
              </w:rPr>
            </w:pPr>
            <w:r>
              <w:rPr>
                <w:rFonts w:ascii="Times New Roman" w:cs="Times New Roman" w:eastAsia="Times New Roman" w:hAnsi="Times New Roman"/>
                <w:sz w:val="20"/>
                <w:szCs w:val="20"/>
                <w:color w:val="auto"/>
              </w:rPr>
              <w:t>16,319</w:t>
            </w:r>
          </w:p>
        </w:tc>
      </w:tr>
      <w:tr>
        <w:trPr>
          <w:trHeight w:val="244"/>
        </w:trPr>
        <w:tc>
          <w:tcPr>
            <w:tcW w:w="528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Other temporary differences</w:t>
            </w:r>
          </w:p>
        </w:tc>
        <w:tc>
          <w:tcPr>
            <w:tcW w:w="980" w:type="dxa"/>
            <w:vAlign w:val="bottom"/>
            <w:shd w:val="clear" w:color="auto" w:fill="D4EEED"/>
          </w:tcPr>
          <w:p>
            <w:pPr>
              <w:spacing w:after="0"/>
              <w:rPr>
                <w:sz w:val="21"/>
                <w:szCs w:val="21"/>
                <w:color w:val="auto"/>
              </w:rPr>
            </w:pPr>
          </w:p>
        </w:tc>
        <w:tc>
          <w:tcPr>
            <w:tcW w:w="340" w:type="dxa"/>
            <w:vAlign w:val="bottom"/>
            <w:shd w:val="clear" w:color="auto" w:fill="D4EEED"/>
          </w:tcPr>
          <w:p>
            <w:pPr>
              <w:spacing w:after="0"/>
              <w:rPr>
                <w:sz w:val="21"/>
                <w:szCs w:val="21"/>
                <w:color w:val="auto"/>
              </w:rPr>
            </w:pPr>
          </w:p>
        </w:tc>
        <w:tc>
          <w:tcPr>
            <w:tcW w:w="1200" w:type="dxa"/>
            <w:vAlign w:val="bottom"/>
            <w:shd w:val="clear" w:color="auto" w:fill="D4EEED"/>
          </w:tcPr>
          <w:p>
            <w:pPr>
              <w:jc w:val="right"/>
              <w:ind w:right="1"/>
              <w:spacing w:after="0"/>
              <w:rPr>
                <w:sz w:val="20"/>
                <w:szCs w:val="20"/>
                <w:color w:val="auto"/>
              </w:rPr>
            </w:pPr>
            <w:r>
              <w:rPr>
                <w:rFonts w:ascii="Times New Roman" w:cs="Times New Roman" w:eastAsia="Times New Roman" w:hAnsi="Times New Roman"/>
                <w:sz w:val="20"/>
                <w:szCs w:val="20"/>
                <w:color w:val="auto"/>
              </w:rPr>
              <w:t>30</w:t>
            </w:r>
          </w:p>
        </w:tc>
        <w:tc>
          <w:tcPr>
            <w:tcW w:w="160" w:type="dxa"/>
            <w:vAlign w:val="bottom"/>
            <w:shd w:val="clear" w:color="auto" w:fill="D4EEED"/>
          </w:tcPr>
          <w:p>
            <w:pPr>
              <w:spacing w:after="0"/>
              <w:rPr>
                <w:sz w:val="21"/>
                <w:szCs w:val="21"/>
                <w:color w:val="auto"/>
              </w:rPr>
            </w:pPr>
          </w:p>
        </w:tc>
        <w:tc>
          <w:tcPr>
            <w:tcW w:w="300" w:type="dxa"/>
            <w:vAlign w:val="bottom"/>
            <w:shd w:val="clear" w:color="auto" w:fill="D4EEED"/>
          </w:tcPr>
          <w:p>
            <w:pPr>
              <w:spacing w:after="0"/>
              <w:rPr>
                <w:sz w:val="21"/>
                <w:szCs w:val="21"/>
                <w:color w:val="auto"/>
              </w:rPr>
            </w:pPr>
          </w:p>
        </w:tc>
        <w:tc>
          <w:tcPr>
            <w:tcW w:w="1100" w:type="dxa"/>
            <w:vAlign w:val="bottom"/>
            <w:shd w:val="clear" w:color="auto" w:fill="D4EEED"/>
          </w:tcPr>
          <w:p>
            <w:pPr>
              <w:jc w:val="right"/>
              <w:ind w:right="1"/>
              <w:spacing w:after="0"/>
              <w:rPr>
                <w:sz w:val="20"/>
                <w:szCs w:val="20"/>
                <w:color w:val="auto"/>
              </w:rPr>
            </w:pPr>
            <w:r>
              <w:rPr>
                <w:rFonts w:ascii="Times New Roman" w:cs="Times New Roman" w:eastAsia="Times New Roman" w:hAnsi="Times New Roman"/>
                <w:sz w:val="20"/>
                <w:szCs w:val="20"/>
                <w:color w:val="auto"/>
              </w:rPr>
              <w:t>21</w:t>
            </w:r>
          </w:p>
        </w:tc>
      </w:tr>
      <w:tr>
        <w:trPr>
          <w:trHeight w:val="244"/>
        </w:trPr>
        <w:tc>
          <w:tcPr>
            <w:tcW w:w="5280" w:type="dxa"/>
            <w:vAlign w:val="bottom"/>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Accruals &amp; reserves</w:t>
            </w:r>
          </w:p>
        </w:tc>
        <w:tc>
          <w:tcPr>
            <w:tcW w:w="980" w:type="dxa"/>
            <w:vAlign w:val="bottom"/>
            <w:shd w:val="clear" w:color="auto" w:fill="FEFEFE"/>
          </w:tcPr>
          <w:p>
            <w:pPr>
              <w:spacing w:after="0"/>
              <w:rPr>
                <w:sz w:val="21"/>
                <w:szCs w:val="21"/>
                <w:color w:val="auto"/>
              </w:rPr>
            </w:pPr>
          </w:p>
        </w:tc>
        <w:tc>
          <w:tcPr>
            <w:tcW w:w="340" w:type="dxa"/>
            <w:vAlign w:val="bottom"/>
            <w:shd w:val="clear" w:color="auto" w:fill="FEFEFE"/>
          </w:tcPr>
          <w:p>
            <w:pPr>
              <w:spacing w:after="0"/>
              <w:rPr>
                <w:sz w:val="21"/>
                <w:szCs w:val="21"/>
                <w:color w:val="auto"/>
              </w:rPr>
            </w:pPr>
          </w:p>
        </w:tc>
        <w:tc>
          <w:tcPr>
            <w:tcW w:w="1200" w:type="dxa"/>
            <w:vAlign w:val="bottom"/>
            <w:shd w:val="clear" w:color="auto" w:fill="FEFEFE"/>
          </w:tcPr>
          <w:p>
            <w:pPr>
              <w:jc w:val="right"/>
              <w:ind w:right="1"/>
              <w:spacing w:after="0"/>
              <w:rPr>
                <w:sz w:val="20"/>
                <w:szCs w:val="20"/>
                <w:color w:val="auto"/>
              </w:rPr>
            </w:pPr>
            <w:r>
              <w:rPr>
                <w:rFonts w:ascii="Times New Roman" w:cs="Times New Roman" w:eastAsia="Times New Roman" w:hAnsi="Times New Roman"/>
                <w:sz w:val="20"/>
                <w:szCs w:val="20"/>
                <w:color w:val="auto"/>
              </w:rPr>
              <w:t>19</w:t>
            </w:r>
          </w:p>
        </w:tc>
        <w:tc>
          <w:tcPr>
            <w:tcW w:w="16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100" w:type="dxa"/>
            <w:vAlign w:val="bottom"/>
            <w:shd w:val="clear" w:color="auto" w:fill="FEFEFE"/>
          </w:tcPr>
          <w:p>
            <w:pPr>
              <w:jc w:val="right"/>
              <w:ind w:right="1"/>
              <w:spacing w:after="0"/>
              <w:rPr>
                <w:sz w:val="20"/>
                <w:szCs w:val="20"/>
                <w:color w:val="auto"/>
              </w:rPr>
            </w:pPr>
            <w:r>
              <w:rPr>
                <w:rFonts w:ascii="Times New Roman" w:cs="Times New Roman" w:eastAsia="Times New Roman" w:hAnsi="Times New Roman"/>
                <w:sz w:val="20"/>
                <w:szCs w:val="20"/>
                <w:color w:val="auto"/>
              </w:rPr>
              <w:t>19</w:t>
            </w:r>
          </w:p>
        </w:tc>
      </w:tr>
      <w:tr>
        <w:trPr>
          <w:trHeight w:val="244"/>
        </w:trPr>
        <w:tc>
          <w:tcPr>
            <w:tcW w:w="5280" w:type="dxa"/>
            <w:vAlign w:val="bottom"/>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Fixed assets &amp; intangibles</w:t>
            </w:r>
          </w:p>
        </w:tc>
        <w:tc>
          <w:tcPr>
            <w:tcW w:w="980" w:type="dxa"/>
            <w:vAlign w:val="bottom"/>
            <w:shd w:val="clear" w:color="auto" w:fill="D4EEED"/>
          </w:tcPr>
          <w:p>
            <w:pPr>
              <w:spacing w:after="0"/>
              <w:rPr>
                <w:sz w:val="21"/>
                <w:szCs w:val="21"/>
                <w:color w:val="auto"/>
              </w:rPr>
            </w:pPr>
          </w:p>
        </w:tc>
        <w:tc>
          <w:tcPr>
            <w:tcW w:w="340" w:type="dxa"/>
            <w:vAlign w:val="bottom"/>
            <w:shd w:val="clear" w:color="auto" w:fill="D4EEED"/>
          </w:tcPr>
          <w:p>
            <w:pPr>
              <w:spacing w:after="0"/>
              <w:rPr>
                <w:sz w:val="21"/>
                <w:szCs w:val="21"/>
                <w:color w:val="auto"/>
              </w:rPr>
            </w:pPr>
          </w:p>
        </w:tc>
        <w:tc>
          <w:tcPr>
            <w:tcW w:w="1200" w:type="dxa"/>
            <w:vAlign w:val="bottom"/>
            <w:shd w:val="clear" w:color="auto" w:fill="D4EEED"/>
          </w:tcPr>
          <w:p>
            <w:pPr>
              <w:jc w:val="right"/>
              <w:ind w:right="1"/>
              <w:spacing w:after="0"/>
              <w:rPr>
                <w:sz w:val="20"/>
                <w:szCs w:val="20"/>
                <w:color w:val="auto"/>
              </w:rPr>
            </w:pPr>
            <w:r>
              <w:rPr>
                <w:rFonts w:ascii="Times New Roman" w:cs="Times New Roman" w:eastAsia="Times New Roman" w:hAnsi="Times New Roman"/>
                <w:sz w:val="20"/>
                <w:szCs w:val="20"/>
                <w:color w:val="auto"/>
              </w:rPr>
              <w:t>119</w:t>
            </w:r>
          </w:p>
        </w:tc>
        <w:tc>
          <w:tcPr>
            <w:tcW w:w="160" w:type="dxa"/>
            <w:vAlign w:val="bottom"/>
            <w:shd w:val="clear" w:color="auto" w:fill="D4EEED"/>
          </w:tcPr>
          <w:p>
            <w:pPr>
              <w:spacing w:after="0"/>
              <w:rPr>
                <w:sz w:val="21"/>
                <w:szCs w:val="21"/>
                <w:color w:val="auto"/>
              </w:rPr>
            </w:pPr>
          </w:p>
        </w:tc>
        <w:tc>
          <w:tcPr>
            <w:tcW w:w="300" w:type="dxa"/>
            <w:vAlign w:val="bottom"/>
            <w:shd w:val="clear" w:color="auto" w:fill="D4EEED"/>
          </w:tcPr>
          <w:p>
            <w:pPr>
              <w:spacing w:after="0"/>
              <w:rPr>
                <w:sz w:val="21"/>
                <w:szCs w:val="21"/>
                <w:color w:val="auto"/>
              </w:rPr>
            </w:pPr>
          </w:p>
        </w:tc>
        <w:tc>
          <w:tcPr>
            <w:tcW w:w="1100" w:type="dxa"/>
            <w:vAlign w:val="bottom"/>
            <w:shd w:val="clear" w:color="auto" w:fill="D4EEED"/>
          </w:tcPr>
          <w:p>
            <w:pPr>
              <w:jc w:val="right"/>
              <w:ind w:right="1"/>
              <w:spacing w:after="0"/>
              <w:rPr>
                <w:sz w:val="20"/>
                <w:szCs w:val="20"/>
                <w:color w:val="auto"/>
              </w:rPr>
            </w:pPr>
            <w:r>
              <w:rPr>
                <w:rFonts w:ascii="Times New Roman" w:cs="Times New Roman" w:eastAsia="Times New Roman" w:hAnsi="Times New Roman"/>
                <w:sz w:val="20"/>
                <w:szCs w:val="20"/>
                <w:color w:val="auto"/>
              </w:rPr>
              <w:t>107</w:t>
            </w:r>
          </w:p>
        </w:tc>
      </w:tr>
      <w:tr>
        <w:trPr>
          <w:trHeight w:val="244"/>
        </w:trPr>
        <w:tc>
          <w:tcPr>
            <w:tcW w:w="5280" w:type="dxa"/>
            <w:vAlign w:val="bottom"/>
            <w:tcBorders>
              <w:bottom w:val="single" w:sz="8" w:color="D4EEED"/>
            </w:tcBorders>
            <w:shd w:val="clear" w:color="auto" w:fill="FEFEFE"/>
          </w:tcPr>
          <w:p>
            <w:pPr>
              <w:ind w:left="200"/>
              <w:spacing w:after="0"/>
              <w:rPr>
                <w:sz w:val="20"/>
                <w:szCs w:val="20"/>
                <w:color w:val="auto"/>
              </w:rPr>
            </w:pPr>
            <w:r>
              <w:rPr>
                <w:rFonts w:ascii="Times New Roman" w:cs="Times New Roman" w:eastAsia="Times New Roman" w:hAnsi="Times New Roman"/>
                <w:sz w:val="20"/>
                <w:szCs w:val="20"/>
                <w:color w:val="auto"/>
              </w:rPr>
              <w:t>Operating lease liability</w:t>
            </w:r>
          </w:p>
        </w:tc>
        <w:tc>
          <w:tcPr>
            <w:tcW w:w="980" w:type="dxa"/>
            <w:vAlign w:val="bottom"/>
            <w:tcBorders>
              <w:bottom w:val="single" w:sz="8" w:color="D4EEED"/>
            </w:tcBorders>
            <w:shd w:val="clear" w:color="auto" w:fill="FEFEFE"/>
          </w:tcPr>
          <w:p>
            <w:pPr>
              <w:spacing w:after="0"/>
              <w:rPr>
                <w:sz w:val="21"/>
                <w:szCs w:val="21"/>
                <w:color w:val="auto"/>
              </w:rPr>
            </w:pPr>
          </w:p>
        </w:tc>
        <w:tc>
          <w:tcPr>
            <w:tcW w:w="340" w:type="dxa"/>
            <w:vAlign w:val="bottom"/>
            <w:tcBorders>
              <w:bottom w:val="single" w:sz="8" w:color="auto"/>
            </w:tcBorders>
            <w:shd w:val="clear" w:color="auto" w:fill="FEFEFE"/>
          </w:tcPr>
          <w:p>
            <w:pPr>
              <w:spacing w:after="0"/>
              <w:rPr>
                <w:sz w:val="21"/>
                <w:szCs w:val="21"/>
                <w:color w:val="auto"/>
              </w:rPr>
            </w:pPr>
          </w:p>
        </w:tc>
        <w:tc>
          <w:tcPr>
            <w:tcW w:w="1200" w:type="dxa"/>
            <w:vAlign w:val="bottom"/>
            <w:tcBorders>
              <w:bottom w:val="single" w:sz="8" w:color="auto"/>
            </w:tcBorders>
            <w:shd w:val="clear" w:color="auto" w:fill="FEFEFE"/>
          </w:tcPr>
          <w:p>
            <w:pPr>
              <w:jc w:val="right"/>
              <w:ind w:right="1"/>
              <w:spacing w:after="0"/>
              <w:rPr>
                <w:sz w:val="20"/>
                <w:szCs w:val="20"/>
                <w:color w:val="auto"/>
              </w:rPr>
            </w:pPr>
            <w:r>
              <w:rPr>
                <w:rFonts w:ascii="Times New Roman" w:cs="Times New Roman" w:eastAsia="Times New Roman" w:hAnsi="Times New Roman"/>
                <w:sz w:val="20"/>
                <w:szCs w:val="20"/>
                <w:color w:val="auto"/>
              </w:rPr>
              <w:t>1,196</w:t>
            </w:r>
          </w:p>
        </w:tc>
        <w:tc>
          <w:tcPr>
            <w:tcW w:w="160" w:type="dxa"/>
            <w:vAlign w:val="bottom"/>
            <w:tcBorders>
              <w:bottom w:val="single" w:sz="8" w:color="D4EEED"/>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100" w:type="dxa"/>
            <w:vAlign w:val="bottom"/>
            <w:tcBorders>
              <w:bottom w:val="single" w:sz="8" w:color="auto"/>
            </w:tcBorders>
            <w:shd w:val="clear" w:color="auto" w:fill="FEFEFE"/>
          </w:tcPr>
          <w:p>
            <w:pPr>
              <w:jc w:val="right"/>
              <w:ind w:right="1"/>
              <w:spacing w:after="0"/>
              <w:rPr>
                <w:sz w:val="20"/>
                <w:szCs w:val="20"/>
                <w:color w:val="auto"/>
              </w:rPr>
            </w:pPr>
            <w:r>
              <w:rPr>
                <w:rFonts w:ascii="Times New Roman" w:cs="Times New Roman" w:eastAsia="Times New Roman" w:hAnsi="Times New Roman"/>
                <w:sz w:val="20"/>
                <w:szCs w:val="20"/>
                <w:color w:val="auto"/>
              </w:rPr>
              <w:t>1,298</w:t>
            </w:r>
          </w:p>
        </w:tc>
      </w:tr>
      <w:tr>
        <w:trPr>
          <w:trHeight w:val="234"/>
        </w:trPr>
        <w:tc>
          <w:tcPr>
            <w:tcW w:w="5280" w:type="dxa"/>
            <w:vAlign w:val="bottom"/>
            <w:shd w:val="clear" w:color="auto" w:fill="D4EEED"/>
          </w:tcPr>
          <w:p>
            <w:pPr>
              <w:ind w:left="40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980" w:type="dxa"/>
            <w:vAlign w:val="bottom"/>
            <w:shd w:val="clear" w:color="auto" w:fill="D4EEED"/>
          </w:tcPr>
          <w:p>
            <w:pPr>
              <w:spacing w:after="0"/>
              <w:rPr>
                <w:sz w:val="20"/>
                <w:szCs w:val="20"/>
                <w:color w:val="auto"/>
              </w:rPr>
            </w:pPr>
          </w:p>
        </w:tc>
        <w:tc>
          <w:tcPr>
            <w:tcW w:w="340" w:type="dxa"/>
            <w:vAlign w:val="bottom"/>
            <w:shd w:val="clear" w:color="auto" w:fill="D4EEED"/>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D4EEED"/>
          </w:tcPr>
          <w:p>
            <w:pPr>
              <w:jc w:val="right"/>
              <w:ind w:right="1"/>
              <w:spacing w:after="0"/>
              <w:rPr>
                <w:sz w:val="20"/>
                <w:szCs w:val="20"/>
                <w:color w:val="auto"/>
              </w:rPr>
            </w:pPr>
            <w:r>
              <w:rPr>
                <w:rFonts w:ascii="Times New Roman" w:cs="Times New Roman" w:eastAsia="Times New Roman" w:hAnsi="Times New Roman"/>
                <w:sz w:val="20"/>
                <w:szCs w:val="20"/>
                <w:color w:val="auto"/>
              </w:rPr>
              <w:t>173,736</w:t>
            </w:r>
          </w:p>
        </w:tc>
        <w:tc>
          <w:tcPr>
            <w:tcW w:w="160" w:type="dxa"/>
            <w:vAlign w:val="bottom"/>
            <w:shd w:val="clear" w:color="auto" w:fill="D4EEED"/>
          </w:tcPr>
          <w:p>
            <w:pPr>
              <w:spacing w:after="0"/>
              <w:rPr>
                <w:sz w:val="20"/>
                <w:szCs w:val="20"/>
                <w:color w:val="auto"/>
              </w:rPr>
            </w:pPr>
          </w:p>
        </w:tc>
        <w:tc>
          <w:tcPr>
            <w:tcW w:w="300" w:type="dxa"/>
            <w:vAlign w:val="bottom"/>
            <w:shd w:val="clear" w:color="auto" w:fill="D4EEED"/>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4EEED"/>
          </w:tcPr>
          <w:p>
            <w:pPr>
              <w:jc w:val="right"/>
              <w:ind w:right="1"/>
              <w:spacing w:after="0"/>
              <w:rPr>
                <w:sz w:val="20"/>
                <w:szCs w:val="20"/>
                <w:color w:val="auto"/>
              </w:rPr>
            </w:pPr>
            <w:r>
              <w:rPr>
                <w:rFonts w:ascii="Times New Roman" w:cs="Times New Roman" w:eastAsia="Times New Roman" w:hAnsi="Times New Roman"/>
                <w:sz w:val="20"/>
                <w:szCs w:val="20"/>
                <w:color w:val="auto"/>
              </w:rPr>
              <w:t>142,538</w:t>
            </w:r>
          </w:p>
        </w:tc>
      </w:tr>
      <w:tr>
        <w:trPr>
          <w:trHeight w:val="244"/>
        </w:trPr>
        <w:tc>
          <w:tcPr>
            <w:tcW w:w="5280" w:type="dxa"/>
            <w:vAlign w:val="bottom"/>
            <w:shd w:val="clear" w:color="auto" w:fill="FEFEFE"/>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980" w:type="dxa"/>
            <w:vAlign w:val="bottom"/>
            <w:shd w:val="clear" w:color="auto" w:fill="FEFEFE"/>
          </w:tcPr>
          <w:p>
            <w:pPr>
              <w:spacing w:after="0"/>
              <w:rPr>
                <w:sz w:val="21"/>
                <w:szCs w:val="21"/>
                <w:color w:val="auto"/>
              </w:rPr>
            </w:pPr>
          </w:p>
        </w:tc>
        <w:tc>
          <w:tcPr>
            <w:tcW w:w="340" w:type="dxa"/>
            <w:vAlign w:val="bottom"/>
            <w:shd w:val="clear" w:color="auto" w:fill="FEFEFE"/>
          </w:tcPr>
          <w:p>
            <w:pPr>
              <w:spacing w:after="0"/>
              <w:rPr>
                <w:sz w:val="21"/>
                <w:szCs w:val="21"/>
                <w:color w:val="auto"/>
              </w:rPr>
            </w:pPr>
          </w:p>
        </w:tc>
        <w:tc>
          <w:tcPr>
            <w:tcW w:w="1200" w:type="dxa"/>
            <w:vAlign w:val="bottom"/>
            <w:shd w:val="clear" w:color="auto" w:fill="FEFEFE"/>
          </w:tcPr>
          <w:p>
            <w:pPr>
              <w:spacing w:after="0"/>
              <w:rPr>
                <w:sz w:val="21"/>
                <w:szCs w:val="21"/>
                <w:color w:val="auto"/>
              </w:rPr>
            </w:pPr>
          </w:p>
        </w:tc>
        <w:tc>
          <w:tcPr>
            <w:tcW w:w="160" w:type="dxa"/>
            <w:vAlign w:val="bottom"/>
            <w:shd w:val="clear" w:color="auto" w:fill="FEFEFE"/>
          </w:tcPr>
          <w:p>
            <w:pPr>
              <w:spacing w:after="0"/>
              <w:rPr>
                <w:sz w:val="21"/>
                <w:szCs w:val="21"/>
                <w:color w:val="auto"/>
              </w:rPr>
            </w:pPr>
          </w:p>
        </w:tc>
        <w:tc>
          <w:tcPr>
            <w:tcW w:w="300" w:type="dxa"/>
            <w:vAlign w:val="bottom"/>
            <w:shd w:val="clear" w:color="auto" w:fill="FEFEFE"/>
          </w:tcPr>
          <w:p>
            <w:pPr>
              <w:spacing w:after="0"/>
              <w:rPr>
                <w:sz w:val="21"/>
                <w:szCs w:val="21"/>
                <w:color w:val="auto"/>
              </w:rPr>
            </w:pPr>
          </w:p>
        </w:tc>
        <w:tc>
          <w:tcPr>
            <w:tcW w:w="1100" w:type="dxa"/>
            <w:vAlign w:val="bottom"/>
            <w:shd w:val="clear" w:color="auto" w:fill="FEFEFE"/>
          </w:tcPr>
          <w:p>
            <w:pPr>
              <w:spacing w:after="0"/>
              <w:rPr>
                <w:sz w:val="21"/>
                <w:szCs w:val="21"/>
                <w:color w:val="auto"/>
              </w:rPr>
            </w:pPr>
          </w:p>
        </w:tc>
      </w:tr>
      <w:tr>
        <w:trPr>
          <w:trHeight w:val="269"/>
        </w:trPr>
        <w:tc>
          <w:tcPr>
            <w:tcW w:w="5280" w:type="dxa"/>
            <w:vAlign w:val="bottom"/>
            <w:tcBorders>
              <w:bottom w:val="single" w:sz="8" w:color="D4EEED"/>
            </w:tcBorders>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Operating right of use asset</w:t>
            </w:r>
          </w:p>
        </w:tc>
        <w:tc>
          <w:tcPr>
            <w:tcW w:w="980" w:type="dxa"/>
            <w:vAlign w:val="bottom"/>
            <w:tcBorders>
              <w:bottom w:val="single" w:sz="8" w:color="D4EEED"/>
            </w:tcBorders>
            <w:shd w:val="clear" w:color="auto" w:fill="D4EEED"/>
          </w:tcPr>
          <w:p>
            <w:pPr>
              <w:spacing w:after="0"/>
              <w:rPr>
                <w:sz w:val="22"/>
                <w:szCs w:val="22"/>
                <w:color w:val="auto"/>
              </w:rPr>
            </w:pPr>
          </w:p>
        </w:tc>
        <w:tc>
          <w:tcPr>
            <w:tcW w:w="340" w:type="dxa"/>
            <w:vAlign w:val="bottom"/>
            <w:tcBorders>
              <w:bottom w:val="single" w:sz="8" w:color="auto"/>
            </w:tcBorders>
            <w:shd w:val="clear" w:color="auto" w:fill="D4EEED"/>
          </w:tcPr>
          <w:p>
            <w:pPr>
              <w:spacing w:after="0"/>
              <w:rPr>
                <w:sz w:val="22"/>
                <w:szCs w:val="22"/>
                <w:color w:val="auto"/>
              </w:rPr>
            </w:pPr>
          </w:p>
        </w:tc>
        <w:tc>
          <w:tcPr>
            <w:tcW w:w="120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(708)</w:t>
            </w:r>
          </w:p>
        </w:tc>
        <w:tc>
          <w:tcPr>
            <w:tcW w:w="160" w:type="dxa"/>
            <w:vAlign w:val="bottom"/>
            <w:tcBorders>
              <w:bottom w:val="single" w:sz="8" w:color="D4EEED"/>
            </w:tcBorders>
            <w:shd w:val="clear" w:color="auto" w:fill="D4EEED"/>
          </w:tcPr>
          <w:p>
            <w:pPr>
              <w:spacing w:after="0"/>
              <w:rPr>
                <w:sz w:val="22"/>
                <w:szCs w:val="22"/>
                <w:color w:val="auto"/>
              </w:rPr>
            </w:pPr>
          </w:p>
        </w:tc>
        <w:tc>
          <w:tcPr>
            <w:tcW w:w="300" w:type="dxa"/>
            <w:vAlign w:val="bottom"/>
            <w:tcBorders>
              <w:bottom w:val="single" w:sz="8" w:color="auto"/>
            </w:tcBorders>
            <w:shd w:val="clear" w:color="auto" w:fill="D4EEED"/>
          </w:tcPr>
          <w:p>
            <w:pPr>
              <w:spacing w:after="0"/>
              <w:rPr>
                <w:sz w:val="22"/>
                <w:szCs w:val="22"/>
                <w:color w:val="auto"/>
              </w:rPr>
            </w:pPr>
          </w:p>
        </w:tc>
        <w:tc>
          <w:tcPr>
            <w:tcW w:w="110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(768)</w:t>
            </w:r>
          </w:p>
        </w:tc>
      </w:tr>
      <w:tr>
        <w:trPr>
          <w:trHeight w:val="214"/>
        </w:trPr>
        <w:tc>
          <w:tcPr>
            <w:tcW w:w="5280" w:type="dxa"/>
            <w:vAlign w:val="bottom"/>
            <w:tcBorders>
              <w:top w:val="single" w:sz="8" w:color="FEFEFE"/>
              <w:bottom w:val="single" w:sz="8" w:color="D4EEED"/>
            </w:tcBorders>
            <w:shd w:val="clear" w:color="auto" w:fill="FEFEFE"/>
          </w:tcPr>
          <w:p>
            <w:pPr>
              <w:ind w:left="200"/>
              <w:spacing w:after="0" w:line="214" w:lineRule="exact"/>
              <w:rPr>
                <w:sz w:val="20"/>
                <w:szCs w:val="20"/>
                <w:color w:val="auto"/>
              </w:rPr>
            </w:pPr>
            <w:r>
              <w:rPr>
                <w:rFonts w:ascii="Times New Roman" w:cs="Times New Roman" w:eastAsia="Times New Roman" w:hAnsi="Times New Roman"/>
                <w:sz w:val="20"/>
                <w:szCs w:val="20"/>
                <w:color w:val="auto"/>
              </w:rPr>
              <w:t>Total deferred tax liabilities</w:t>
            </w:r>
          </w:p>
        </w:tc>
        <w:tc>
          <w:tcPr>
            <w:tcW w:w="980" w:type="dxa"/>
            <w:vAlign w:val="bottom"/>
            <w:tcBorders>
              <w:top w:val="single" w:sz="8" w:color="FEFEFE"/>
              <w:bottom w:val="single" w:sz="8" w:color="D4EEED"/>
            </w:tcBorders>
            <w:shd w:val="clear" w:color="auto" w:fill="FEFEFE"/>
          </w:tcPr>
          <w:p>
            <w:pPr>
              <w:spacing w:after="0"/>
              <w:rPr>
                <w:sz w:val="18"/>
                <w:szCs w:val="18"/>
                <w:color w:val="auto"/>
              </w:rPr>
            </w:pPr>
          </w:p>
        </w:tc>
        <w:tc>
          <w:tcPr>
            <w:tcW w:w="340" w:type="dxa"/>
            <w:vAlign w:val="bottom"/>
            <w:tcBorders>
              <w:top w:val="single" w:sz="8" w:color="auto"/>
              <w:bottom w:val="single" w:sz="8" w:color="auto"/>
            </w:tcBorders>
            <w:shd w:val="clear" w:color="auto" w:fill="FEFEFE"/>
          </w:tcPr>
          <w:p>
            <w:pPr>
              <w:jc w:val="right"/>
              <w:ind w:right="14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color w:val="auto"/>
              </w:rPr>
              <w:t>(708)</w:t>
            </w:r>
          </w:p>
        </w:tc>
        <w:tc>
          <w:tcPr>
            <w:tcW w:w="160" w:type="dxa"/>
            <w:vAlign w:val="bottom"/>
            <w:tcBorders>
              <w:top w:val="single" w:sz="8" w:color="FEFEFE"/>
              <w:bottom w:val="single" w:sz="8" w:color="D4EEED"/>
            </w:tcBorders>
            <w:shd w:val="clear" w:color="auto" w:fill="FEFEFE"/>
          </w:tcPr>
          <w:p>
            <w:pPr>
              <w:spacing w:after="0"/>
              <w:rPr>
                <w:sz w:val="18"/>
                <w:szCs w:val="18"/>
                <w:color w:val="auto"/>
              </w:rPr>
            </w:pPr>
          </w:p>
        </w:tc>
        <w:tc>
          <w:tcPr>
            <w:tcW w:w="300" w:type="dxa"/>
            <w:vAlign w:val="bottom"/>
            <w:tcBorders>
              <w:top w:val="single" w:sz="8" w:color="auto"/>
              <w:bottom w:val="single" w:sz="8" w:color="auto"/>
            </w:tcBorders>
            <w:shd w:val="clear" w:color="auto" w:fill="FEFEFE"/>
          </w:tcPr>
          <w:p>
            <w:pPr>
              <w:jc w:val="right"/>
              <w:ind w:right="10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shd w:val="clear" w:color="auto" w:fill="FEFEFE"/>
          </w:tcPr>
          <w:p>
            <w:pPr>
              <w:jc w:val="right"/>
              <w:spacing w:after="0" w:line="214" w:lineRule="exact"/>
              <w:rPr>
                <w:sz w:val="20"/>
                <w:szCs w:val="20"/>
                <w:color w:val="auto"/>
              </w:rPr>
            </w:pPr>
            <w:r>
              <w:rPr>
                <w:rFonts w:ascii="Times New Roman" w:cs="Times New Roman" w:eastAsia="Times New Roman" w:hAnsi="Times New Roman"/>
                <w:sz w:val="20"/>
                <w:szCs w:val="20"/>
                <w:color w:val="auto"/>
              </w:rPr>
              <w:t>(768)</w:t>
            </w:r>
          </w:p>
        </w:tc>
      </w:tr>
      <w:tr>
        <w:trPr>
          <w:trHeight w:val="259"/>
        </w:trPr>
        <w:tc>
          <w:tcPr>
            <w:tcW w:w="5280" w:type="dxa"/>
            <w:vAlign w:val="bottom"/>
            <w:tcBorders>
              <w:bottom w:val="single" w:sz="8" w:color="D4EEED"/>
            </w:tcBorders>
            <w:shd w:val="clear" w:color="auto" w:fill="D4EEED"/>
          </w:tcPr>
          <w:p>
            <w:pPr>
              <w:ind w:left="200"/>
              <w:spacing w:after="0"/>
              <w:rPr>
                <w:sz w:val="20"/>
                <w:szCs w:val="20"/>
                <w:color w:val="auto"/>
              </w:rPr>
            </w:pPr>
            <w:r>
              <w:rPr>
                <w:rFonts w:ascii="Times New Roman" w:cs="Times New Roman" w:eastAsia="Times New Roman" w:hAnsi="Times New Roman"/>
                <w:sz w:val="20"/>
                <w:szCs w:val="20"/>
                <w:color w:val="auto"/>
              </w:rPr>
              <w:t>Less: Valuation allowance</w:t>
            </w:r>
          </w:p>
        </w:tc>
        <w:tc>
          <w:tcPr>
            <w:tcW w:w="980" w:type="dxa"/>
            <w:vAlign w:val="bottom"/>
            <w:tcBorders>
              <w:bottom w:val="single" w:sz="8" w:color="D4EEED"/>
            </w:tcBorders>
            <w:shd w:val="clear" w:color="auto" w:fill="D4EEED"/>
          </w:tcPr>
          <w:p>
            <w:pPr>
              <w:spacing w:after="0"/>
              <w:rPr>
                <w:sz w:val="22"/>
                <w:szCs w:val="22"/>
                <w:color w:val="auto"/>
              </w:rPr>
            </w:pPr>
          </w:p>
        </w:tc>
        <w:tc>
          <w:tcPr>
            <w:tcW w:w="340" w:type="dxa"/>
            <w:vAlign w:val="bottom"/>
            <w:tcBorders>
              <w:bottom w:val="single" w:sz="8" w:color="auto"/>
            </w:tcBorders>
            <w:shd w:val="clear" w:color="auto" w:fill="D4EEED"/>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(173,028)</w:t>
            </w:r>
          </w:p>
        </w:tc>
        <w:tc>
          <w:tcPr>
            <w:tcW w:w="160" w:type="dxa"/>
            <w:vAlign w:val="bottom"/>
            <w:tcBorders>
              <w:bottom w:val="single" w:sz="8" w:color="D4EEED"/>
            </w:tcBorders>
            <w:shd w:val="clear" w:color="auto" w:fill="D4EEED"/>
          </w:tcPr>
          <w:p>
            <w:pPr>
              <w:spacing w:after="0"/>
              <w:rPr>
                <w:sz w:val="22"/>
                <w:szCs w:val="22"/>
                <w:color w:val="auto"/>
              </w:rPr>
            </w:pPr>
          </w:p>
        </w:tc>
        <w:tc>
          <w:tcPr>
            <w:tcW w:w="300" w:type="dxa"/>
            <w:vAlign w:val="bottom"/>
            <w:tcBorders>
              <w:bottom w:val="single" w:sz="8" w:color="auto"/>
            </w:tcBorders>
            <w:shd w:val="clear" w:color="auto" w:fill="D4EEED"/>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EED"/>
          </w:tcPr>
          <w:p>
            <w:pPr>
              <w:jc w:val="right"/>
              <w:spacing w:after="0"/>
              <w:rPr>
                <w:sz w:val="20"/>
                <w:szCs w:val="20"/>
                <w:color w:val="auto"/>
              </w:rPr>
            </w:pPr>
            <w:r>
              <w:rPr>
                <w:rFonts w:ascii="Times New Roman" w:cs="Times New Roman" w:eastAsia="Times New Roman" w:hAnsi="Times New Roman"/>
                <w:sz w:val="20"/>
                <w:szCs w:val="20"/>
                <w:color w:val="auto"/>
              </w:rPr>
              <w:t>(141,770)</w:t>
            </w:r>
          </w:p>
        </w:tc>
      </w:tr>
      <w:tr>
        <w:trPr>
          <w:trHeight w:val="214"/>
        </w:trPr>
        <w:tc>
          <w:tcPr>
            <w:tcW w:w="5280" w:type="dxa"/>
            <w:vAlign w:val="bottom"/>
            <w:tcBorders>
              <w:top w:val="single" w:sz="8" w:color="FEFEFE"/>
            </w:tcBorders>
            <w:shd w:val="clear" w:color="auto" w:fill="FEFEFE"/>
          </w:tcPr>
          <w:p>
            <w:pPr>
              <w:ind w:left="200"/>
              <w:spacing w:after="0" w:line="214" w:lineRule="exact"/>
              <w:rPr>
                <w:sz w:val="20"/>
                <w:szCs w:val="20"/>
                <w:color w:val="auto"/>
              </w:rPr>
            </w:pPr>
            <w:r>
              <w:rPr>
                <w:rFonts w:ascii="Times New Roman" w:cs="Times New Roman" w:eastAsia="Times New Roman" w:hAnsi="Times New Roman"/>
                <w:sz w:val="20"/>
                <w:szCs w:val="20"/>
                <w:color w:val="auto"/>
              </w:rPr>
              <w:t>Net deferred tax assets / (liabilities)</w:t>
            </w:r>
          </w:p>
        </w:tc>
        <w:tc>
          <w:tcPr>
            <w:tcW w:w="980" w:type="dxa"/>
            <w:vAlign w:val="bottom"/>
            <w:tcBorders>
              <w:top w:val="single" w:sz="8" w:color="FEFEFE"/>
            </w:tcBorders>
            <w:shd w:val="clear" w:color="auto" w:fill="FEFEFE"/>
          </w:tcPr>
          <w:p>
            <w:pPr>
              <w:spacing w:after="0"/>
              <w:rPr>
                <w:sz w:val="18"/>
                <w:szCs w:val="18"/>
                <w:color w:val="auto"/>
              </w:rPr>
            </w:pPr>
          </w:p>
        </w:tc>
        <w:tc>
          <w:tcPr>
            <w:tcW w:w="340" w:type="dxa"/>
            <w:vAlign w:val="bottom"/>
            <w:tcBorders>
              <w:top w:val="single" w:sz="8" w:color="auto"/>
              <w:bottom w:val="single" w:sz="8" w:color="auto"/>
            </w:tcBorders>
            <w:shd w:val="clear" w:color="auto" w:fill="FEFEFE"/>
          </w:tcPr>
          <w:p>
            <w:pPr>
              <w:jc w:val="right"/>
              <w:ind w:right="14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shd w:val="clear" w:color="auto" w:fill="FEFEFE"/>
          </w:tcPr>
          <w:p>
            <w:pPr>
              <w:jc w:val="right"/>
              <w:ind w:right="1"/>
              <w:spacing w:after="0" w:line="214"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FEFEFE"/>
            </w:tcBorders>
            <w:shd w:val="clear" w:color="auto" w:fill="FEFEFE"/>
          </w:tcPr>
          <w:p>
            <w:pPr>
              <w:spacing w:after="0"/>
              <w:rPr>
                <w:sz w:val="18"/>
                <w:szCs w:val="18"/>
                <w:color w:val="auto"/>
              </w:rPr>
            </w:pPr>
          </w:p>
        </w:tc>
        <w:tc>
          <w:tcPr>
            <w:tcW w:w="300" w:type="dxa"/>
            <w:vAlign w:val="bottom"/>
            <w:tcBorders>
              <w:top w:val="single" w:sz="8" w:color="auto"/>
              <w:bottom w:val="single" w:sz="8" w:color="auto"/>
            </w:tcBorders>
            <w:shd w:val="clear" w:color="auto" w:fill="FEFEFE"/>
          </w:tcPr>
          <w:p>
            <w:pPr>
              <w:jc w:val="right"/>
              <w:ind w:right="10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shd w:val="clear" w:color="auto" w:fill="FEFEFE"/>
          </w:tcPr>
          <w:p>
            <w:pPr>
              <w:jc w:val="right"/>
              <w:ind w:right="1"/>
              <w:spacing w:after="0" w:line="214"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5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360" w:right="380" w:firstLine="490"/>
        <w:spacing w:after="0" w:line="252" w:lineRule="auto"/>
        <w:rPr>
          <w:sz w:val="20"/>
          <w:szCs w:val="20"/>
          <w:color w:val="auto"/>
        </w:rPr>
      </w:pPr>
      <w:r>
        <w:rPr>
          <w:rFonts w:ascii="Times New Roman" w:cs="Times New Roman" w:eastAsia="Times New Roman" w:hAnsi="Times New Roman"/>
          <w:sz w:val="20"/>
          <w:szCs w:val="20"/>
          <w:color w:val="auto"/>
        </w:rPr>
        <w:t>Changes in the valuation allowance for deferred tax assets during the year ended December 31, 2024 and 2023 related primarily to the increase in net operating loss carryforwards and tax credit carryforwards and a decrease other deferred tax assets associated with a reduction in the Company’s effective state rate. Changes to the valuation allowance were as follows:</w:t>
      </w:r>
    </w:p>
    <w:p>
      <w:pPr>
        <w:spacing w:after="0" w:line="111"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5280" w:type="dxa"/>
            <w:vAlign w:val="bottom"/>
            <w:tcBorders>
              <w:bottom w:val="single" w:sz="8" w:color="FEFEFE"/>
            </w:tcBorders>
            <w:shd w:val="clear" w:color="auto" w:fill="FEFEFE"/>
          </w:tcPr>
          <w:p>
            <w:pPr>
              <w:spacing w:after="0"/>
              <w:rPr>
                <w:sz w:val="17"/>
                <w:szCs w:val="17"/>
                <w:color w:val="auto"/>
              </w:rPr>
            </w:pPr>
          </w:p>
        </w:tc>
        <w:tc>
          <w:tcPr>
            <w:tcW w:w="1140" w:type="dxa"/>
            <w:vAlign w:val="bottom"/>
            <w:tcBorders>
              <w:bottom w:val="single" w:sz="8" w:color="FEFEFE"/>
            </w:tcBorders>
            <w:shd w:val="clear" w:color="auto" w:fill="FEFEFE"/>
          </w:tcPr>
          <w:p>
            <w:pPr>
              <w:spacing w:after="0"/>
              <w:rPr>
                <w:sz w:val="17"/>
                <w:szCs w:val="17"/>
                <w:color w:val="auto"/>
              </w:rPr>
            </w:pPr>
          </w:p>
        </w:tc>
        <w:tc>
          <w:tcPr>
            <w:tcW w:w="280" w:type="dxa"/>
            <w:vAlign w:val="bottom"/>
            <w:tcBorders>
              <w:bottom w:val="single" w:sz="8" w:color="auto"/>
            </w:tcBorders>
            <w:shd w:val="clear" w:color="auto" w:fill="FEFEFE"/>
          </w:tcPr>
          <w:p>
            <w:pPr>
              <w:spacing w:after="0"/>
              <w:rPr>
                <w:sz w:val="17"/>
                <w:szCs w:val="17"/>
                <w:color w:val="auto"/>
              </w:rPr>
            </w:pPr>
          </w:p>
        </w:tc>
        <w:tc>
          <w:tcPr>
            <w:tcW w:w="2660" w:type="dxa"/>
            <w:vAlign w:val="bottom"/>
            <w:tcBorders>
              <w:bottom w:val="single" w:sz="8" w:color="auto"/>
            </w:tcBorders>
            <w:gridSpan w:val="4"/>
            <w:shd w:val="clear" w:color="auto" w:fill="FEFEFE"/>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88"/>
        </w:trPr>
        <w:tc>
          <w:tcPr>
            <w:tcW w:w="5280" w:type="dxa"/>
            <w:vAlign w:val="bottom"/>
            <w:tcBorders>
              <w:bottom w:val="single" w:sz="8" w:color="D4EEED"/>
            </w:tcBorders>
            <w:shd w:val="clear" w:color="auto" w:fill="FEFEFE"/>
          </w:tcPr>
          <w:p>
            <w:pPr>
              <w:spacing w:after="0"/>
              <w:rPr>
                <w:sz w:val="16"/>
                <w:szCs w:val="16"/>
                <w:color w:val="auto"/>
              </w:rPr>
            </w:pPr>
          </w:p>
        </w:tc>
        <w:tc>
          <w:tcPr>
            <w:tcW w:w="1140" w:type="dxa"/>
            <w:vAlign w:val="bottom"/>
            <w:tcBorders>
              <w:bottom w:val="single" w:sz="8" w:color="D4EEED"/>
            </w:tcBorders>
            <w:shd w:val="clear" w:color="auto" w:fill="FEFEFE"/>
          </w:tcPr>
          <w:p>
            <w:pPr>
              <w:spacing w:after="0"/>
              <w:rPr>
                <w:sz w:val="16"/>
                <w:szCs w:val="16"/>
                <w:color w:val="auto"/>
              </w:rPr>
            </w:pPr>
          </w:p>
        </w:tc>
        <w:tc>
          <w:tcPr>
            <w:tcW w:w="280" w:type="dxa"/>
            <w:vAlign w:val="bottom"/>
            <w:tcBorders>
              <w:bottom w:val="single" w:sz="8" w:color="auto"/>
            </w:tcBorders>
            <w:shd w:val="clear" w:color="auto" w:fill="FEFEFE"/>
          </w:tcPr>
          <w:p>
            <w:pPr>
              <w:spacing w:after="0"/>
              <w:rPr>
                <w:sz w:val="16"/>
                <w:szCs w:val="16"/>
                <w:color w:val="auto"/>
              </w:rPr>
            </w:pPr>
          </w:p>
        </w:tc>
        <w:tc>
          <w:tcPr>
            <w:tcW w:w="1120" w:type="dxa"/>
            <w:vAlign w:val="bottom"/>
            <w:tcBorders>
              <w:bottom w:val="single" w:sz="8" w:color="auto"/>
            </w:tcBorders>
            <w:shd w:val="clear" w:color="auto" w:fill="FEFEFE"/>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D4EEED"/>
            </w:tcBorders>
            <w:shd w:val="clear" w:color="auto" w:fill="FEFEFE"/>
          </w:tcPr>
          <w:p>
            <w:pPr>
              <w:spacing w:after="0"/>
              <w:rPr>
                <w:sz w:val="16"/>
                <w:szCs w:val="16"/>
                <w:color w:val="auto"/>
              </w:rPr>
            </w:pPr>
          </w:p>
        </w:tc>
        <w:tc>
          <w:tcPr>
            <w:tcW w:w="300" w:type="dxa"/>
            <w:vAlign w:val="bottom"/>
            <w:tcBorders>
              <w:bottom w:val="single" w:sz="8" w:color="auto"/>
            </w:tcBorders>
            <w:shd w:val="clear" w:color="auto" w:fill="FEFEFE"/>
          </w:tcPr>
          <w:p>
            <w:pPr>
              <w:spacing w:after="0"/>
              <w:rPr>
                <w:sz w:val="16"/>
                <w:szCs w:val="16"/>
                <w:color w:val="auto"/>
              </w:rPr>
            </w:pPr>
          </w:p>
        </w:tc>
        <w:tc>
          <w:tcPr>
            <w:tcW w:w="1100" w:type="dxa"/>
            <w:vAlign w:val="bottom"/>
            <w:tcBorders>
              <w:bottom w:val="single" w:sz="8" w:color="auto"/>
            </w:tcBorders>
            <w:shd w:val="clear" w:color="auto" w:fill="FEFEFE"/>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4"/>
        </w:trPr>
        <w:tc>
          <w:tcPr>
            <w:tcW w:w="528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Valuation allowance as of the beginning of the year</w:t>
            </w:r>
          </w:p>
        </w:tc>
        <w:tc>
          <w:tcPr>
            <w:tcW w:w="1140" w:type="dxa"/>
            <w:vAlign w:val="bottom"/>
            <w:shd w:val="clear" w:color="auto" w:fill="D4EEED"/>
          </w:tcPr>
          <w:p>
            <w:pPr>
              <w:spacing w:after="0"/>
              <w:rPr>
                <w:sz w:val="20"/>
                <w:szCs w:val="20"/>
                <w:color w:val="auto"/>
              </w:rPr>
            </w:pPr>
          </w:p>
        </w:tc>
        <w:tc>
          <w:tcPr>
            <w:tcW w:w="280" w:type="dxa"/>
            <w:vAlign w:val="bottom"/>
            <w:shd w:val="clear" w:color="auto" w:fill="D4EEED"/>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D4EEED"/>
          </w:tcPr>
          <w:p>
            <w:pPr>
              <w:jc w:val="right"/>
              <w:ind w:right="28"/>
              <w:spacing w:after="0"/>
              <w:rPr>
                <w:sz w:val="20"/>
                <w:szCs w:val="20"/>
                <w:color w:val="auto"/>
              </w:rPr>
            </w:pPr>
            <w:r>
              <w:rPr>
                <w:rFonts w:ascii="Times New Roman" w:cs="Times New Roman" w:eastAsia="Times New Roman" w:hAnsi="Times New Roman"/>
                <w:sz w:val="20"/>
                <w:szCs w:val="20"/>
                <w:color w:val="auto"/>
              </w:rPr>
              <w:t>141,770</w:t>
            </w:r>
          </w:p>
        </w:tc>
        <w:tc>
          <w:tcPr>
            <w:tcW w:w="140" w:type="dxa"/>
            <w:vAlign w:val="bottom"/>
            <w:shd w:val="clear" w:color="auto" w:fill="D4EEED"/>
          </w:tcPr>
          <w:p>
            <w:pPr>
              <w:spacing w:after="0"/>
              <w:rPr>
                <w:sz w:val="20"/>
                <w:szCs w:val="20"/>
                <w:color w:val="auto"/>
              </w:rPr>
            </w:pPr>
          </w:p>
        </w:tc>
        <w:tc>
          <w:tcPr>
            <w:tcW w:w="300" w:type="dxa"/>
            <w:vAlign w:val="bottom"/>
            <w:shd w:val="clear" w:color="auto" w:fill="D4EEED"/>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4EEED"/>
          </w:tcPr>
          <w:p>
            <w:pPr>
              <w:jc w:val="right"/>
              <w:ind w:right="5"/>
              <w:spacing w:after="0"/>
              <w:rPr>
                <w:sz w:val="20"/>
                <w:szCs w:val="20"/>
                <w:color w:val="auto"/>
              </w:rPr>
            </w:pPr>
            <w:r>
              <w:rPr>
                <w:rFonts w:ascii="Times New Roman" w:cs="Times New Roman" w:eastAsia="Times New Roman" w:hAnsi="Times New Roman"/>
                <w:sz w:val="20"/>
                <w:szCs w:val="20"/>
                <w:color w:val="auto"/>
              </w:rPr>
              <w:t>130,831</w:t>
            </w:r>
          </w:p>
        </w:tc>
      </w:tr>
      <w:tr>
        <w:trPr>
          <w:trHeight w:val="244"/>
        </w:trPr>
        <w:tc>
          <w:tcPr>
            <w:tcW w:w="5280" w:type="dxa"/>
            <w:vAlign w:val="bottom"/>
            <w:tcBorders>
              <w:bottom w:val="single" w:sz="8" w:color="D4EEED"/>
            </w:tcBorders>
            <w:shd w:val="clear" w:color="auto" w:fill="FEFEFE"/>
          </w:tcPr>
          <w:p>
            <w:pPr>
              <w:spacing w:after="0"/>
              <w:rPr>
                <w:sz w:val="20"/>
                <w:szCs w:val="20"/>
                <w:color w:val="auto"/>
              </w:rPr>
            </w:pPr>
            <w:r>
              <w:rPr>
                <w:rFonts w:ascii="Times New Roman" w:cs="Times New Roman" w:eastAsia="Times New Roman" w:hAnsi="Times New Roman"/>
                <w:sz w:val="20"/>
                <w:szCs w:val="20"/>
                <w:color w:val="auto"/>
              </w:rPr>
              <w:t>Increases recorded to income tax provision</w:t>
            </w:r>
          </w:p>
        </w:tc>
        <w:tc>
          <w:tcPr>
            <w:tcW w:w="1140" w:type="dxa"/>
            <w:vAlign w:val="bottom"/>
            <w:tcBorders>
              <w:bottom w:val="single" w:sz="8" w:color="D4EEED"/>
            </w:tcBorders>
            <w:shd w:val="clear" w:color="auto" w:fill="FEFEFE"/>
          </w:tcPr>
          <w:p>
            <w:pPr>
              <w:spacing w:after="0"/>
              <w:rPr>
                <w:sz w:val="21"/>
                <w:szCs w:val="21"/>
                <w:color w:val="auto"/>
              </w:rPr>
            </w:pPr>
          </w:p>
        </w:tc>
        <w:tc>
          <w:tcPr>
            <w:tcW w:w="280" w:type="dxa"/>
            <w:vAlign w:val="bottom"/>
            <w:tcBorders>
              <w:bottom w:val="single" w:sz="8" w:color="auto"/>
            </w:tcBorders>
            <w:shd w:val="clear" w:color="auto" w:fill="FEFEFE"/>
          </w:tcPr>
          <w:p>
            <w:pPr>
              <w:spacing w:after="0"/>
              <w:rPr>
                <w:sz w:val="21"/>
                <w:szCs w:val="21"/>
                <w:color w:val="auto"/>
              </w:rPr>
            </w:pPr>
          </w:p>
        </w:tc>
        <w:tc>
          <w:tcPr>
            <w:tcW w:w="1120" w:type="dxa"/>
            <w:vAlign w:val="bottom"/>
            <w:tcBorders>
              <w:bottom w:val="single" w:sz="8" w:color="auto"/>
            </w:tcBorders>
            <w:shd w:val="clear" w:color="auto" w:fill="FEFEFE"/>
          </w:tcPr>
          <w:p>
            <w:pPr>
              <w:jc w:val="right"/>
              <w:ind w:right="28"/>
              <w:spacing w:after="0"/>
              <w:rPr>
                <w:sz w:val="20"/>
                <w:szCs w:val="20"/>
                <w:color w:val="auto"/>
              </w:rPr>
            </w:pPr>
            <w:r>
              <w:rPr>
                <w:rFonts w:ascii="Times New Roman" w:cs="Times New Roman" w:eastAsia="Times New Roman" w:hAnsi="Times New Roman"/>
                <w:sz w:val="20"/>
                <w:szCs w:val="20"/>
                <w:color w:val="auto"/>
              </w:rPr>
              <w:t>31,258</w:t>
            </w:r>
          </w:p>
        </w:tc>
        <w:tc>
          <w:tcPr>
            <w:tcW w:w="140" w:type="dxa"/>
            <w:vAlign w:val="bottom"/>
            <w:tcBorders>
              <w:bottom w:val="single" w:sz="8" w:color="D4EEED"/>
            </w:tcBorders>
            <w:shd w:val="clear" w:color="auto" w:fill="FEFEFE"/>
          </w:tcPr>
          <w:p>
            <w:pPr>
              <w:spacing w:after="0"/>
              <w:rPr>
                <w:sz w:val="21"/>
                <w:szCs w:val="21"/>
                <w:color w:val="auto"/>
              </w:rPr>
            </w:pPr>
          </w:p>
        </w:tc>
        <w:tc>
          <w:tcPr>
            <w:tcW w:w="300" w:type="dxa"/>
            <w:vAlign w:val="bottom"/>
            <w:tcBorders>
              <w:bottom w:val="single" w:sz="8" w:color="auto"/>
            </w:tcBorders>
            <w:shd w:val="clear" w:color="auto" w:fill="FEFEFE"/>
          </w:tcPr>
          <w:p>
            <w:pPr>
              <w:spacing w:after="0"/>
              <w:rPr>
                <w:sz w:val="21"/>
                <w:szCs w:val="21"/>
                <w:color w:val="auto"/>
              </w:rPr>
            </w:pPr>
          </w:p>
        </w:tc>
        <w:tc>
          <w:tcPr>
            <w:tcW w:w="1100" w:type="dxa"/>
            <w:vAlign w:val="bottom"/>
            <w:tcBorders>
              <w:bottom w:val="single" w:sz="8" w:color="auto"/>
            </w:tcBorders>
            <w:shd w:val="clear" w:color="auto" w:fill="FEFEFE"/>
          </w:tcPr>
          <w:p>
            <w:pPr>
              <w:jc w:val="right"/>
              <w:ind w:right="5"/>
              <w:spacing w:after="0"/>
              <w:rPr>
                <w:sz w:val="20"/>
                <w:szCs w:val="20"/>
                <w:color w:val="auto"/>
              </w:rPr>
            </w:pPr>
            <w:r>
              <w:rPr>
                <w:rFonts w:ascii="Times New Roman" w:cs="Times New Roman" w:eastAsia="Times New Roman" w:hAnsi="Times New Roman"/>
                <w:sz w:val="20"/>
                <w:szCs w:val="20"/>
                <w:color w:val="auto"/>
              </w:rPr>
              <w:t>10,939</w:t>
            </w:r>
          </w:p>
        </w:tc>
      </w:tr>
      <w:tr>
        <w:trPr>
          <w:trHeight w:val="234"/>
        </w:trPr>
        <w:tc>
          <w:tcPr>
            <w:tcW w:w="5280" w:type="dxa"/>
            <w:vAlign w:val="bottom"/>
            <w:shd w:val="clear" w:color="auto" w:fill="D4EEED"/>
          </w:tcPr>
          <w:p>
            <w:pPr>
              <w:spacing w:after="0"/>
              <w:rPr>
                <w:sz w:val="20"/>
                <w:szCs w:val="20"/>
                <w:color w:val="auto"/>
              </w:rPr>
            </w:pPr>
            <w:r>
              <w:rPr>
                <w:rFonts w:ascii="Times New Roman" w:cs="Times New Roman" w:eastAsia="Times New Roman" w:hAnsi="Times New Roman"/>
                <w:sz w:val="20"/>
                <w:szCs w:val="20"/>
                <w:color w:val="auto"/>
              </w:rPr>
              <w:t>Valuation allowance at end of year</w:t>
            </w:r>
          </w:p>
        </w:tc>
        <w:tc>
          <w:tcPr>
            <w:tcW w:w="1140" w:type="dxa"/>
            <w:vAlign w:val="bottom"/>
            <w:shd w:val="clear" w:color="auto" w:fill="D4EEED"/>
          </w:tcPr>
          <w:p>
            <w:pPr>
              <w:spacing w:after="0"/>
              <w:rPr>
                <w:sz w:val="20"/>
                <w:szCs w:val="20"/>
                <w:color w:val="auto"/>
              </w:rPr>
            </w:pPr>
          </w:p>
        </w:tc>
        <w:tc>
          <w:tcPr>
            <w:tcW w:w="280" w:type="dxa"/>
            <w:vAlign w:val="bottom"/>
            <w:tcBorders>
              <w:bottom w:val="single" w:sz="8" w:color="auto"/>
            </w:tcBorders>
            <w:shd w:val="clear" w:color="auto" w:fill="D4EEED"/>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D4EEED"/>
          </w:tcPr>
          <w:p>
            <w:pPr>
              <w:jc w:val="right"/>
              <w:ind w:right="28"/>
              <w:spacing w:after="0"/>
              <w:rPr>
                <w:sz w:val="20"/>
                <w:szCs w:val="20"/>
                <w:color w:val="auto"/>
              </w:rPr>
            </w:pPr>
            <w:r>
              <w:rPr>
                <w:rFonts w:ascii="Times New Roman" w:cs="Times New Roman" w:eastAsia="Times New Roman" w:hAnsi="Times New Roman"/>
                <w:sz w:val="20"/>
                <w:szCs w:val="20"/>
                <w:color w:val="auto"/>
              </w:rPr>
              <w:t>173,028</w:t>
            </w:r>
          </w:p>
        </w:tc>
        <w:tc>
          <w:tcPr>
            <w:tcW w:w="140" w:type="dxa"/>
            <w:vAlign w:val="bottom"/>
            <w:shd w:val="clear" w:color="auto" w:fill="D4EEED"/>
          </w:tcPr>
          <w:p>
            <w:pPr>
              <w:spacing w:after="0"/>
              <w:rPr>
                <w:sz w:val="20"/>
                <w:szCs w:val="20"/>
                <w:color w:val="auto"/>
              </w:rPr>
            </w:pPr>
          </w:p>
        </w:tc>
        <w:tc>
          <w:tcPr>
            <w:tcW w:w="300" w:type="dxa"/>
            <w:vAlign w:val="bottom"/>
            <w:tcBorders>
              <w:bottom w:val="single" w:sz="8" w:color="auto"/>
            </w:tcBorders>
            <w:shd w:val="clear" w:color="auto" w:fill="D4EEED"/>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EED"/>
          </w:tcPr>
          <w:p>
            <w:pPr>
              <w:jc w:val="right"/>
              <w:ind w:right="5"/>
              <w:spacing w:after="0"/>
              <w:rPr>
                <w:sz w:val="20"/>
                <w:szCs w:val="20"/>
                <w:color w:val="auto"/>
              </w:rPr>
            </w:pPr>
            <w:r>
              <w:rPr>
                <w:rFonts w:ascii="Times New Roman" w:cs="Times New Roman" w:eastAsia="Times New Roman" w:hAnsi="Times New Roman"/>
                <w:sz w:val="20"/>
                <w:szCs w:val="20"/>
                <w:color w:val="auto"/>
              </w:rPr>
              <w:t>141,770</w:t>
            </w:r>
          </w:p>
        </w:tc>
      </w:tr>
      <w:tr>
        <w:trPr>
          <w:trHeight w:val="20"/>
        </w:trPr>
        <w:tc>
          <w:tcPr>
            <w:tcW w:w="5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360" w:right="400" w:firstLine="490"/>
        <w:spacing w:after="0" w:line="242" w:lineRule="auto"/>
        <w:rPr>
          <w:sz w:val="20"/>
          <w:szCs w:val="20"/>
          <w:color w:val="auto"/>
        </w:rPr>
      </w:pPr>
      <w:r>
        <w:rPr>
          <w:rFonts w:ascii="Times New Roman" w:cs="Times New Roman" w:eastAsia="Times New Roman" w:hAnsi="Times New Roman"/>
          <w:sz w:val="20"/>
          <w:szCs w:val="20"/>
          <w:color w:val="auto"/>
        </w:rPr>
        <w:t>As of December 31, 2024, the Company had net operating loss carryforwards that expire for federal, foreign and state income tax purposes of $198.2 million, $1.2 million and $164.5 million, respectively. The federal and state operating losses begin to expire in 2026 and 2030, while the foreign net loss carryforward can be carried forward indefinitely. As of December 31, 2024, the Company had federal net operating loss carryforwards that were generated after December 31, 2017 of $159.5 million that do not expire, however these carryforwards are limited to 80% of the taxable income in any one tax period. As of December 31, 2024, the Company also had available tax credit carryforwards for federal and state income tax purposes of $28.0 million which begin to expire in 2039. Utilization of the pre-Merger net operating loss carryforwards attributable to Zafgen, of approximately $33.5 million, are subject to a substantial annual limitation under Section 382 of the Internal Revenue Code of 1986 due to ownership changes occurred during the tax year associated with the Merger. In addition to the limitation of the pre-Merger NOL’s of Zafgen, the net capitalized R&amp;D deferred tax assets in the amount of $66.9 million is subject to the built-in loss rules under Section 382 and may not be realized if the underlying asset associated with the R&amp;D is disposed within five years of the Merger, or May 28, 2025. In general, an ownership change, as defined by Section 382, results from transactions increasing the ownership of certain stockholders or public groups in the stock of a corporation by more than 50% over a three-year period. The ownership changes will limit the amount of pre-merger Zafgen carryforwards that can be utilized annually to offset future taxable income with an annual limitation of approximately $35 thousand per year. The Company has reduced their NOL and R&amp;D tax credit deferred tax assets associated with the pre-Merger Zafgen operations as a result of the 382 analysis.</w:t>
      </w:r>
    </w:p>
    <w:p>
      <w:pPr>
        <w:spacing w:after="0" w:line="86" w:lineRule="exact"/>
        <w:rPr>
          <w:sz w:val="20"/>
          <w:szCs w:val="20"/>
          <w:color w:val="auto"/>
        </w:rPr>
      </w:pPr>
    </w:p>
    <w:p>
      <w:pPr>
        <w:ind w:left="360" w:right="520" w:firstLine="490"/>
        <w:spacing w:after="0" w:line="246" w:lineRule="auto"/>
        <w:rPr>
          <w:sz w:val="20"/>
          <w:szCs w:val="20"/>
          <w:color w:val="auto"/>
        </w:rPr>
      </w:pPr>
      <w:r>
        <w:rPr>
          <w:rFonts w:ascii="Times New Roman" w:cs="Times New Roman" w:eastAsia="Times New Roman" w:hAnsi="Times New Roman"/>
          <w:sz w:val="20"/>
          <w:szCs w:val="20"/>
          <w:color w:val="auto"/>
        </w:rPr>
        <w:t>The Company believes that as a result of its merger with Zafgen, its ability to utilize NOLs acquired in the transaction and our other NOLs is expected to be severely limited by Section 382 of the Code. Additionally, the Company’s July 2021, September 2022 and February 2024 equity transactions could also limit its ability to utilize NOLs in the future. The Company has not conducted a study to assess whether a change of control has occurred or whether there have been multiple changes of control since inception. If the Company experienced a change of control, as defined by Section 382, at any time since inception, utilization of its net operating loss carryforwards or tax credit carryforwards would be subject to an annual limitation under Section 382, which is determined by first</w:t>
      </w: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960" w:h="17280" w:orient="portrait"/>
          <w:cols w:equalWidth="0" w:num="1">
            <w:col w:w="10080"/>
          </w:cols>
          <w:pgMar w:left="1440" w:top="1440" w:right="1440" w:bottom="906" w:gutter="0" w:footer="0" w:header="0"/>
          <w:type w:val="continuous"/>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360"/>
        <w:spacing w:after="0" w:line="247" w:lineRule="auto"/>
        <w:rPr>
          <w:sz w:val="20"/>
          <w:szCs w:val="20"/>
          <w:color w:val="auto"/>
        </w:rPr>
      </w:pPr>
      <w:r>
        <w:rPr>
          <w:rFonts w:ascii="Times New Roman" w:cs="Times New Roman" w:eastAsia="Times New Roman" w:hAnsi="Times New Roman"/>
          <w:sz w:val="20"/>
          <w:szCs w:val="20"/>
          <w:color w:val="auto"/>
        </w:rPr>
        <w:t>multiplying the value of the Company’s stock at the time of the ownership change by the applicable long-term tax-exempt rate, and then could be subject to additional adjustments, as required. Additionally, our July 2021, September 2022 and February 2024 equity transactions could also limit our ability to utilize NOLs in the future.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80" w:lineRule="exact"/>
        <w:rPr>
          <w:sz w:val="20"/>
          <w:szCs w:val="20"/>
          <w:color w:val="auto"/>
        </w:rPr>
      </w:pPr>
    </w:p>
    <w:p>
      <w:pPr>
        <w:ind w:left="360" w:right="360" w:firstLine="490"/>
        <w:spacing w:after="0" w:line="247" w:lineRule="auto"/>
        <w:rPr>
          <w:sz w:val="20"/>
          <w:szCs w:val="20"/>
          <w:color w:val="auto"/>
        </w:rPr>
      </w:pPr>
      <w:r>
        <w:rPr>
          <w:rFonts w:ascii="Times New Roman" w:cs="Times New Roman" w:eastAsia="Times New Roman" w:hAnsi="Times New Roman"/>
          <w:sz w:val="20"/>
          <w:szCs w:val="20"/>
          <w:color w:val="auto"/>
        </w:rPr>
        <w:t>The Tax Cuts and Jobs Act ("TCJA") requires taxpayers to capitalize and amortize research and experimental expenditures under IRC Section 174 for tax years beginning after December 31, 2021. This rule became effective for the Company during the year ended December 31, 2022 and resulted in the capitalization of research and development costs of $69.2 million, $24.5 million and $22.2 million in 2024, 2023 and 2022, respectively. The Company is amortizing these costs for tax purposes over five years if the research and development was performed in the U.S. and over 15 years if the research and development was performed outside the U.S.</w:t>
      </w:r>
    </w:p>
    <w:p>
      <w:pPr>
        <w:spacing w:after="0" w:line="80" w:lineRule="exact"/>
        <w:rPr>
          <w:sz w:val="20"/>
          <w:szCs w:val="20"/>
          <w:color w:val="auto"/>
        </w:rPr>
      </w:pPr>
    </w:p>
    <w:p>
      <w:pPr>
        <w:ind w:left="360" w:right="460" w:firstLine="490"/>
        <w:spacing w:after="0" w:line="249" w:lineRule="auto"/>
        <w:rPr>
          <w:sz w:val="20"/>
          <w:szCs w:val="20"/>
          <w:color w:val="auto"/>
        </w:rPr>
      </w:pPr>
      <w:r>
        <w:rPr>
          <w:rFonts w:ascii="Times New Roman" w:cs="Times New Roman" w:eastAsia="Times New Roman" w:hAnsi="Times New Roman"/>
          <w:sz w:val="20"/>
          <w:szCs w:val="20"/>
          <w:color w:val="auto"/>
        </w:rPr>
        <w:t>As of December 31, 2024 and 2023, the Company’s net deferred tax asset balance before the valuation allowance was $173.0 million and $141.8 million, respectively, and was comprised principally of net operating loss carryforwards, capitalized research and development expenses and tax credit carryforwards. During the years ended December 31, 2024 and 2023, gross deferred tax assets increased due to deferred tax assets acquired as a result of additional net operating loss carryforwards and research and development tax credits generated.</w:t>
      </w:r>
    </w:p>
    <w:p>
      <w:pPr>
        <w:spacing w:after="0" w:line="77" w:lineRule="exact"/>
        <w:rPr>
          <w:sz w:val="20"/>
          <w:szCs w:val="20"/>
          <w:color w:val="auto"/>
        </w:rPr>
      </w:pPr>
    </w:p>
    <w:p>
      <w:pPr>
        <w:ind w:left="360" w:right="380" w:firstLine="490"/>
        <w:spacing w:after="0" w:line="247" w:lineRule="auto"/>
        <w:rPr>
          <w:sz w:val="20"/>
          <w:szCs w:val="20"/>
          <w:color w:val="auto"/>
        </w:rPr>
      </w:pPr>
      <w:r>
        <w:rPr>
          <w:rFonts w:ascii="Times New Roman" w:cs="Times New Roman" w:eastAsia="Times New Roman" w:hAnsi="Times New Roman"/>
          <w:sz w:val="20"/>
          <w:szCs w:val="20"/>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2024 and 2023. Management reevaluates the positive and negative evidence at each reporting period.</w:t>
      </w:r>
    </w:p>
    <w:p>
      <w:pPr>
        <w:spacing w:after="0" w:line="80" w:lineRule="exact"/>
        <w:rPr>
          <w:sz w:val="20"/>
          <w:szCs w:val="20"/>
          <w:color w:val="auto"/>
        </w:rPr>
      </w:pPr>
    </w:p>
    <w:p>
      <w:pPr>
        <w:ind w:left="360" w:right="360" w:firstLine="490"/>
        <w:spacing w:after="0" w:line="246" w:lineRule="auto"/>
        <w:rPr>
          <w:sz w:val="20"/>
          <w:szCs w:val="20"/>
          <w:color w:val="auto"/>
        </w:rPr>
      </w:pPr>
      <w:r>
        <w:rPr>
          <w:rFonts w:ascii="Times New Roman" w:cs="Times New Roman" w:eastAsia="Times New Roman" w:hAnsi="Times New Roman"/>
          <w:sz w:val="20"/>
          <w:szCs w:val="20"/>
          <w:color w:val="auto"/>
        </w:rPr>
        <w:t>The Company has not recorded any amounts for unrecognized tax benefits as of December 31, 2024 and 2023. 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2020 to the present. Earlier years may be examined to the extent that tax credit or net operating loss carryforwards are used in future periods. The Company’s policy is to record interest and penalties related to income taxes as part of its income tax provision.</w:t>
      </w:r>
    </w:p>
    <w:p>
      <w:pPr>
        <w:spacing w:after="0" w:line="94" w:lineRule="exact"/>
        <w:rPr>
          <w:sz w:val="20"/>
          <w:szCs w:val="20"/>
          <w:color w:val="auto"/>
        </w:rPr>
      </w:pPr>
    </w:p>
    <w:p>
      <w:pPr>
        <w:ind w:left="860" w:hanging="500"/>
        <w:spacing w:after="0"/>
        <w:tabs>
          <w:tab w:leader="none" w:pos="86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w:t>
      </w:r>
    </w:p>
    <w:p>
      <w:pPr>
        <w:spacing w:after="0" w:line="142" w:lineRule="exact"/>
        <w:rPr>
          <w:sz w:val="20"/>
          <w:szCs w:val="20"/>
          <w:color w:val="auto"/>
        </w:rPr>
      </w:pPr>
    </w:p>
    <w:p>
      <w:pPr>
        <w:ind w:left="360" w:right="360" w:firstLine="490"/>
        <w:spacing w:after="0" w:line="244" w:lineRule="auto"/>
        <w:rPr>
          <w:sz w:val="20"/>
          <w:szCs w:val="20"/>
          <w:color w:val="auto"/>
        </w:rPr>
      </w:pPr>
      <w:r>
        <w:rPr>
          <w:rFonts w:ascii="Times New Roman" w:cs="Times New Roman" w:eastAsia="Times New Roman" w:hAnsi="Times New Roman"/>
          <w:sz w:val="20"/>
          <w:szCs w:val="20"/>
          <w:color w:val="auto"/>
        </w:rPr>
        <w:t>In May 2024, the Company entered into an agreement with the Friedreich’s Ataxia Research Alliance (FARA) to join the TRACK-FA Neuroimaging Consortium that includes pharmaceutical, biotechnology, academic and clinical partners. The consortium will conduct a natural history study designed to establish disease-specific neuroimaging biomarkers to track disease progression in the brain and spinal cord and provide a basis for utilizing these biomarkers in clinical trials. As an industry partner, the Company will help fund the study and contribute to the study design, research activities, and analysis. The Company will have access to all study data for use in its regulatory filings, as appropriate. During the twelve months ended December 31, 2024, the Company incurred $0.9 million of costs related to the Track-FA program and will fund future costs going forward. One of the Company’s Directors is also a director of FARA.</w:t>
      </w:r>
    </w:p>
    <w:p>
      <w:pPr>
        <w:spacing w:after="0" w:line="86" w:lineRule="exact"/>
        <w:rPr>
          <w:sz w:val="20"/>
          <w:szCs w:val="20"/>
          <w:color w:val="auto"/>
        </w:rPr>
      </w:pPr>
    </w:p>
    <w:p>
      <w:pPr>
        <w:ind w:left="360" w:right="960" w:firstLine="490"/>
        <w:spacing w:after="0" w:line="277" w:lineRule="auto"/>
        <w:rPr>
          <w:sz w:val="20"/>
          <w:szCs w:val="20"/>
          <w:color w:val="auto"/>
        </w:rPr>
      </w:pPr>
      <w:r>
        <w:rPr>
          <w:rFonts w:ascii="Times New Roman" w:cs="Times New Roman" w:eastAsia="Times New Roman" w:hAnsi="Times New Roman"/>
          <w:sz w:val="20"/>
          <w:szCs w:val="20"/>
          <w:color w:val="auto"/>
        </w:rPr>
        <w:t>Additionally, during the twelve months ended December 31, 2024, the Company sponsored patient and caregiver awareness events held by FARA for a cumulative $0.1 million.</w:t>
      </w:r>
    </w:p>
    <w:p>
      <w:pPr>
        <w:sectPr>
          <w:pgSz w:w="12960" w:h="17280" w:orient="portrait"/>
          <w:cols w:equalWidth="0" w:num="1">
            <w:col w:w="10080"/>
          </w:cols>
          <w:pgMar w:left="1440" w:top="1440" w:right="1440"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sectPr>
      <w:pgSz w:w="12960" w:h="17280" w:orient="portrait"/>
      <w:cols w:equalWidth="0" w:num="1">
        <w:col w:w="10080"/>
      </w:cols>
      <w:pgMar w:left="1440" w:top="1440" w:right="1440" w:bottom="9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lowerRoman"/>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lvl w:ilvl="1">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1."/>
      <w:numFmt w:val="decimal"/>
      <w:start w:val="2"/>
    </w:lvl>
  </w:abstractNum>
  <w:abstractNum w:abstractNumId="61">
    <w:nsid w:val="1DBABF00"/>
    <w:multiLevelType w:val="hybridMultilevel"/>
    <w:lvl w:ilvl="0">
      <w:lvlJc w:val="left"/>
      <w:lvlText w:val="%1."/>
      <w:numFmt w:val="decimal"/>
      <w:start w:val="3"/>
    </w:lvl>
  </w:abstractNum>
  <w:abstractNum w:abstractNumId="62">
    <w:nsid w:val="4AD084E9"/>
    <w:multiLevelType w:val="hybridMultilevel"/>
    <w:lvl w:ilvl="0">
      <w:lvlJc w:val="left"/>
      <w:lvlText w:val="%1."/>
      <w:numFmt w:val="decimal"/>
      <w:start w:val="4"/>
    </w:lvl>
  </w:abstractNum>
  <w:abstractNum w:abstractNumId="63">
    <w:nsid w:val="1F48EAA1"/>
    <w:multiLevelType w:val="hybridMultilevel"/>
    <w:lvl w:ilvl="0">
      <w:lvlJc w:val="left"/>
      <w:lvlText w:val="%1."/>
      <w:numFmt w:val="decimal"/>
      <w:start w:val="5"/>
    </w:lvl>
  </w:abstractNum>
  <w:abstractNum w:abstractNumId="64">
    <w:nsid w:val="1381823A"/>
    <w:multiLevelType w:val="hybridMultilevel"/>
    <w:lvl w:ilvl="0">
      <w:lvlJc w:val="left"/>
      <w:lvlText w:val="%1."/>
      <w:numFmt w:val="decimal"/>
      <w:start w:val="6"/>
    </w:lvl>
  </w:abstractNum>
  <w:abstractNum w:abstractNumId="65">
    <w:nsid w:val="5DB70AE5"/>
    <w:multiLevelType w:val="hybridMultilevel"/>
    <w:lvl w:ilvl="0">
      <w:lvlJc w:val="left"/>
      <w:lvlText w:val="%1."/>
      <w:numFmt w:val="decimal"/>
      <w:start w:val="7"/>
    </w:lvl>
  </w:abstractNum>
  <w:abstractNum w:abstractNumId="66">
    <w:nsid w:val="100F8FCA"/>
    <w:multiLevelType w:val="hybridMultilevel"/>
    <w:lvl w:ilvl="0">
      <w:lvlJc w:val="left"/>
      <w:lvlText w:val="(%1)"/>
      <w:numFmt w:val="lowerLetter"/>
      <w:start w:val="1"/>
    </w:lvl>
  </w:abstractNum>
  <w:abstractNum w:abstractNumId="67">
    <w:nsid w:val="6590700B"/>
    <w:multiLevelType w:val="hybridMultilevel"/>
    <w:lvl w:ilvl="0">
      <w:lvlJc w:val="left"/>
      <w:lvlText w:val="%1."/>
      <w:numFmt w:val="decimal"/>
      <w:start w:val="8"/>
    </w:lvl>
  </w:abstractNum>
  <w:abstractNum w:abstractNumId="68">
    <w:nsid w:val="15014ACB"/>
    <w:multiLevelType w:val="hybridMultilevel"/>
    <w:lvl w:ilvl="0">
      <w:lvlJc w:val="left"/>
      <w:lvlText w:val="%1."/>
      <w:numFmt w:val="decimal"/>
      <w:start w:val="9"/>
    </w:lvl>
  </w:abstractNum>
  <w:abstractNum w:abstractNumId="69">
    <w:nsid w:val="5F5E7FD0"/>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2025-04-11T06:47:47Z</dcterms:created>
  <dcterms:modified xsi:type="dcterms:W3CDTF">2025-04-11T06:47:47Z</dcterms:modified>
</cp:coreProperties>
</file>