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Secor Alicia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ZAFGEN,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BROADWAY,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CAMBRIDGE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02142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6"/>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2"/>
                <w:szCs w:val="22"/>
                <w:color w:val="auto"/>
              </w:rPr>
            </w:pPr>
          </w:p>
        </w:tc>
        <w:tc>
          <w:tcPr>
            <w:tcW w:w="1860" w:type="dxa"/>
            <w:vAlign w:val="bottom"/>
            <w:gridSpan w:val="3"/>
            <w:vMerge w:val="restart"/>
          </w:tcPr>
          <w:p>
            <w:pPr>
              <w:ind w:left="900"/>
              <w:spacing w:after="0"/>
              <w:rPr>
                <w:sz w:val="20"/>
                <w:szCs w:val="20"/>
                <w:color w:val="auto"/>
              </w:rPr>
            </w:pPr>
            <w:r>
              <w:rPr>
                <w:rFonts w:ascii="Arial" w:cs="Arial" w:eastAsia="Arial" w:hAnsi="Arial"/>
                <w:sz w:val="18"/>
                <w:szCs w:val="18"/>
                <w:color w:val="0000FF"/>
              </w:rPr>
              <w:t>06/19/2014</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4,000</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380" w:type="dxa"/>
            <w:vAlign w:val="bottom"/>
          </w:tcPr>
          <w:p>
            <w:pPr>
              <w:spacing w:after="0"/>
              <w:rPr>
                <w:sz w:val="22"/>
                <w:szCs w:val="22"/>
                <w:color w:val="auto"/>
              </w:rPr>
            </w:pPr>
          </w:p>
        </w:tc>
        <w:tc>
          <w:tcPr>
            <w:tcW w:w="880" w:type="dxa"/>
            <w:vAlign w:val="bottom"/>
            <w:vMerge w:val="restart"/>
          </w:tcPr>
          <w:p>
            <w:pPr>
              <w:ind w:left="20"/>
              <w:spacing w:after="0"/>
              <w:rPr>
                <w:sz w:val="20"/>
                <w:szCs w:val="20"/>
                <w:color w:val="auto"/>
              </w:rPr>
            </w:pPr>
            <w:r>
              <w:rPr>
                <w:rFonts w:ascii="Arial" w:cs="Arial" w:eastAsia="Arial" w:hAnsi="Arial"/>
                <w:sz w:val="18"/>
                <w:szCs w:val="18"/>
                <w:color w:val="0000FF"/>
              </w:rPr>
              <w:t>4,000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1"/>
              </w:rPr>
              <w:t>Spouse</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6"/>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These shares are held by Ms. Secor's spouse. The Reporting Person disclaims beneficial ownership of the shares except to the extent of her pecuniary interest therein, if any.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Laurie Burlingame,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93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377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Alicia</w:t>
      </w:r>
      <w:r>
        <w:rPr>
          <w:sz w:val="20"/>
          <w:szCs w:val="20"/>
          <w:color w:val="auto"/>
        </w:rPr>
        <w:tab/>
      </w:r>
      <w:r>
        <w:rPr>
          <w:rFonts w:ascii="Arial" w:cs="Arial" w:eastAsia="Arial" w:hAnsi="Arial"/>
          <w:sz w:val="15"/>
          <w:szCs w:val="15"/>
          <w:color w:val="0000FF"/>
        </w:rPr>
        <w:t>06/23/2014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54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Thomas E. Hughes, Ph.D., Patricia L. Allen and Laurie Burlingame, signing singly, and with full power of substitution, the undersigned's true and lawful attorney-in-fact to:</w:t>
      </w:r>
    </w:p>
    <w:p>
      <w:pPr>
        <w:spacing w:after="0" w:line="207" w:lineRule="exact"/>
        <w:rPr>
          <w:sz w:val="20"/>
          <w:szCs w:val="20"/>
          <w:color w:val="auto"/>
        </w:rPr>
      </w:pPr>
    </w:p>
    <w:p>
      <w:pPr>
        <w:ind w:right="1779" w:firstLine="851"/>
        <w:spacing w:after="0" w:line="270" w:lineRule="auto"/>
        <w:tabs>
          <w:tab w:leader="none" w:pos="1685"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184"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13, 2014.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Alicia Secor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Alicia Secor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84516"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2019-12-18T04:39:33Z</dcterms:created>
  <dcterms:modified xsi:type="dcterms:W3CDTF">2019-12-18T04:39:33Z</dcterms:modified>
</cp:coreProperties>
</file>