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6078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07885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50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STARR KEVIN P</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THIRD ROCK VENTURES</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 NEWBURY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06/24/2014</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9" w:right="740" w:firstLine="9"/>
        <w:spacing w:after="0" w:line="238"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18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7" w:lineRule="exact"/>
        <w:rPr>
          <w:sz w:val="24"/>
          <w:szCs w:val="24"/>
          <w:color w:val="auto"/>
        </w:rPr>
      </w:pPr>
    </w:p>
    <w:p>
      <w:pPr>
        <w:sectPr>
          <w:pgSz w:w="11900" w:h="16838" w:orient="portrait"/>
          <w:cols w:equalWidth="0" w:num="3">
            <w:col w:w="3340" w:space="720"/>
            <w:col w:w="3269" w:space="720"/>
            <w:col w:w="3471"/>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740" w:type="dxa"/>
            <w:vAlign w:val="bottom"/>
            <w:gridSpan w:val="7"/>
            <w:vMerge w:val="restart"/>
          </w:tcPr>
          <w:p>
            <w:pPr>
              <w:jc w:val="center"/>
              <w:ind w:right="79"/>
              <w:spacing w:after="0"/>
              <w:rPr>
                <w:sz w:val="20"/>
                <w:szCs w:val="20"/>
                <w:color w:val="auto"/>
              </w:rPr>
            </w:pPr>
            <w:r>
              <w:rPr>
                <w:rFonts w:ascii="Arial" w:cs="Arial" w:eastAsia="Arial" w:hAnsi="Arial"/>
                <w:sz w:val="13"/>
                <w:szCs w:val="13"/>
                <w:color w:val="auto"/>
                <w:w w:val="99"/>
              </w:rPr>
              <w:t>4. If Amendment, Date of Original Filed (Month/Day/Year)</w:t>
            </w:r>
          </w:p>
        </w:tc>
        <w:tc>
          <w:tcPr>
            <w:tcW w:w="3880" w:type="dxa"/>
            <w:vAlign w:val="bottom"/>
            <w:gridSpan w:val="9"/>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40" w:type="dxa"/>
            <w:vAlign w:val="bottom"/>
            <w:gridSpan w:val="7"/>
            <w:vMerge w:val="continue"/>
          </w:tcPr>
          <w:p>
            <w:pPr>
              <w:spacing w:after="0"/>
              <w:rPr>
                <w:sz w:val="12"/>
                <w:szCs w:val="12"/>
                <w:color w:val="auto"/>
              </w:rPr>
            </w:pPr>
          </w:p>
        </w:tc>
        <w:tc>
          <w:tcPr>
            <w:tcW w:w="38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140" w:type="dxa"/>
            <w:vAlign w:val="bottom"/>
            <w:gridSpan w:val="6"/>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140"/>
              <w:spacing w:after="0"/>
              <w:rPr>
                <w:sz w:val="20"/>
                <w:szCs w:val="20"/>
                <w:color w:val="auto"/>
              </w:rPr>
            </w:pPr>
            <w:r>
              <w:rPr>
                <w:rFonts w:ascii="Arial" w:cs="Arial" w:eastAsia="Arial" w:hAnsi="Arial"/>
                <w:sz w:val="17"/>
                <w:szCs w:val="17"/>
                <w:color w:val="0000FF"/>
              </w:rPr>
              <w:t>02116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140" w:type="dxa"/>
            <w:vAlign w:val="bottom"/>
            <w:gridSpan w:val="6"/>
            <w:vMerge w:val="continue"/>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gridSpan w:val="2"/>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3"/>
          </w:tcPr>
          <w:p>
            <w:pPr>
              <w:jc w:val="center"/>
              <w:ind w:right="221"/>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4"/>
          </w:tcPr>
          <w:p>
            <w:pPr>
              <w:ind w:left="9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2"/>
          </w:tcPr>
          <w:p>
            <w:pPr>
              <w:ind w:left="940"/>
              <w:spacing w:after="0" w:line="126" w:lineRule="exact"/>
              <w:rPr>
                <w:sz w:val="20"/>
                <w:szCs w:val="20"/>
                <w:color w:val="auto"/>
              </w:rPr>
            </w:pPr>
            <w:r>
              <w:rPr>
                <w:rFonts w:ascii="Arial" w:cs="Arial" w:eastAsia="Arial" w:hAnsi="Arial"/>
                <w:sz w:val="12"/>
                <w:szCs w:val="12"/>
                <w:b w:val="1"/>
                <w:bCs w:val="1"/>
                <w:color w:val="auto"/>
                <w:w w:val="92"/>
              </w:rPr>
              <w:t>Date</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80"/>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4"/>
          </w:tcPr>
          <w:p>
            <w:pPr>
              <w:ind w:left="9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1"/>
                <w:szCs w:val="11"/>
                <w:color w:val="auto"/>
              </w:rPr>
            </w:pPr>
          </w:p>
        </w:tc>
        <w:tc>
          <w:tcPr>
            <w:tcW w:w="5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960" w:type="dxa"/>
            <w:vAlign w:val="bottom"/>
            <w:gridSpan w:val="4"/>
            <w:vMerge w:val="restart"/>
          </w:tcPr>
          <w:p>
            <w:pPr>
              <w:ind w:left="1040"/>
              <w:spacing w:after="0"/>
              <w:rPr>
                <w:sz w:val="20"/>
                <w:szCs w:val="20"/>
                <w:color w:val="auto"/>
              </w:rPr>
            </w:pPr>
            <w:r>
              <w:rPr>
                <w:rFonts w:ascii="Arial" w:cs="Arial" w:eastAsia="Arial" w:hAnsi="Arial"/>
                <w:sz w:val="17"/>
                <w:szCs w:val="17"/>
                <w:color w:val="0000FF"/>
              </w:rPr>
              <w:t>06/24/2014</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76"/>
              <w:spacing w:after="0"/>
              <w:rPr>
                <w:sz w:val="20"/>
                <w:szCs w:val="20"/>
                <w:color w:val="auto"/>
              </w:rPr>
            </w:pPr>
            <w:r>
              <w:rPr>
                <w:rFonts w:ascii="Arial" w:cs="Arial" w:eastAsia="Arial" w:hAnsi="Arial"/>
                <w:sz w:val="17"/>
                <w:szCs w:val="17"/>
                <w:color w:val="0000FF"/>
                <w:w w:val="89"/>
              </w:rPr>
              <w:t>3,543,116</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60" w:type="dxa"/>
            <w:vAlign w:val="bottom"/>
            <w:vMerge w:val="restart"/>
          </w:tcPr>
          <w:p>
            <w:pPr>
              <w:jc w:val="right"/>
              <w:ind w:right="194"/>
              <w:spacing w:after="0"/>
              <w:rPr>
                <w:sz w:val="20"/>
                <w:szCs w:val="20"/>
                <w:color w:val="auto"/>
              </w:rPr>
            </w:pPr>
            <w:r>
              <w:rPr>
                <w:rFonts w:ascii="Arial" w:cs="Arial" w:eastAsia="Arial" w:hAnsi="Arial"/>
                <w:sz w:val="11"/>
                <w:szCs w:val="11"/>
                <w:color w:val="008000"/>
              </w:rPr>
              <w:t>(1)</w:t>
            </w:r>
          </w:p>
        </w:tc>
        <w:tc>
          <w:tcPr>
            <w:tcW w:w="1600" w:type="dxa"/>
            <w:vAlign w:val="bottom"/>
            <w:gridSpan w:val="3"/>
            <w:vMerge w:val="restart"/>
          </w:tcPr>
          <w:p>
            <w:pPr>
              <w:ind w:left="200"/>
              <w:spacing w:after="0"/>
              <w:rPr>
                <w:sz w:val="20"/>
                <w:szCs w:val="20"/>
                <w:color w:val="auto"/>
              </w:rPr>
            </w:pPr>
            <w:r>
              <w:rPr>
                <w:rFonts w:ascii="Arial" w:cs="Arial" w:eastAsia="Arial" w:hAnsi="Arial"/>
                <w:sz w:val="17"/>
                <w:szCs w:val="17"/>
                <w:color w:val="0000FF"/>
              </w:rPr>
              <w:t>3,551,224</w:t>
            </w:r>
            <w:r>
              <w:rPr>
                <w:rFonts w:ascii="Arial" w:cs="Arial" w:eastAsia="Arial" w:hAnsi="Arial"/>
                <w:sz w:val="21"/>
                <w:szCs w:val="21"/>
                <w:color w:val="008000"/>
                <w:vertAlign w:val="superscript"/>
              </w:rPr>
              <w:t>(5)</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(4)</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960" w:type="dxa"/>
            <w:vAlign w:val="bottom"/>
            <w:gridSpan w:val="4"/>
            <w:vMerge w:val="restart"/>
          </w:tcPr>
          <w:p>
            <w:pPr>
              <w:ind w:left="1040"/>
              <w:spacing w:after="0"/>
              <w:rPr>
                <w:sz w:val="20"/>
                <w:szCs w:val="20"/>
                <w:color w:val="auto"/>
              </w:rPr>
            </w:pPr>
            <w:r>
              <w:rPr>
                <w:rFonts w:ascii="Arial" w:cs="Arial" w:eastAsia="Arial" w:hAnsi="Arial"/>
                <w:sz w:val="17"/>
                <w:szCs w:val="17"/>
                <w:color w:val="0000FF"/>
              </w:rPr>
              <w:t>06/24/2014</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76"/>
              <w:spacing w:after="0"/>
              <w:rPr>
                <w:sz w:val="20"/>
                <w:szCs w:val="20"/>
                <w:color w:val="auto"/>
              </w:rPr>
            </w:pPr>
            <w:r>
              <w:rPr>
                <w:rFonts w:ascii="Arial" w:cs="Arial" w:eastAsia="Arial" w:hAnsi="Arial"/>
                <w:sz w:val="17"/>
                <w:szCs w:val="17"/>
                <w:color w:val="0000FF"/>
                <w:w w:val="89"/>
              </w:rPr>
              <w:t>1,315,859</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60" w:type="dxa"/>
            <w:vAlign w:val="bottom"/>
            <w:vMerge w:val="restart"/>
          </w:tcPr>
          <w:p>
            <w:pPr>
              <w:jc w:val="right"/>
              <w:ind w:right="194"/>
              <w:spacing w:after="0"/>
              <w:rPr>
                <w:sz w:val="20"/>
                <w:szCs w:val="20"/>
                <w:color w:val="auto"/>
              </w:rPr>
            </w:pPr>
            <w:r>
              <w:rPr>
                <w:rFonts w:ascii="Arial" w:cs="Arial" w:eastAsia="Arial" w:hAnsi="Arial"/>
                <w:sz w:val="11"/>
                <w:szCs w:val="11"/>
                <w:color w:val="008000"/>
              </w:rPr>
              <w:t>(2)</w:t>
            </w:r>
          </w:p>
        </w:tc>
        <w:tc>
          <w:tcPr>
            <w:tcW w:w="1600" w:type="dxa"/>
            <w:vAlign w:val="bottom"/>
            <w:gridSpan w:val="3"/>
            <w:vMerge w:val="restart"/>
          </w:tcPr>
          <w:p>
            <w:pPr>
              <w:ind w:left="200"/>
              <w:spacing w:after="0"/>
              <w:rPr>
                <w:sz w:val="20"/>
                <w:szCs w:val="20"/>
                <w:color w:val="auto"/>
              </w:rPr>
            </w:pPr>
            <w:r>
              <w:rPr>
                <w:rFonts w:ascii="Arial" w:cs="Arial" w:eastAsia="Arial" w:hAnsi="Arial"/>
                <w:sz w:val="17"/>
                <w:szCs w:val="17"/>
                <w:color w:val="0000FF"/>
              </w:rPr>
              <w:t>4,867,083</w:t>
            </w:r>
            <w:r>
              <w:rPr>
                <w:rFonts w:ascii="Arial" w:cs="Arial" w:eastAsia="Arial" w:hAnsi="Arial"/>
                <w:sz w:val="21"/>
                <w:szCs w:val="21"/>
                <w:color w:val="008000"/>
                <w:vertAlign w:val="superscript"/>
              </w:rPr>
              <w:t>(5)</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(4)</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960" w:type="dxa"/>
            <w:vAlign w:val="bottom"/>
            <w:gridSpan w:val="4"/>
            <w:vMerge w:val="restart"/>
          </w:tcPr>
          <w:p>
            <w:pPr>
              <w:ind w:left="1040"/>
              <w:spacing w:after="0"/>
              <w:rPr>
                <w:sz w:val="20"/>
                <w:szCs w:val="20"/>
                <w:color w:val="auto"/>
              </w:rPr>
            </w:pPr>
            <w:r>
              <w:rPr>
                <w:rFonts w:ascii="Arial" w:cs="Arial" w:eastAsia="Arial" w:hAnsi="Arial"/>
                <w:sz w:val="17"/>
                <w:szCs w:val="17"/>
                <w:color w:val="0000FF"/>
              </w:rPr>
              <w:t>06/24/2014</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20" w:type="dxa"/>
            <w:vAlign w:val="bottom"/>
            <w:gridSpan w:val="2"/>
            <w:vMerge w:val="restart"/>
          </w:tcPr>
          <w:p>
            <w:pPr>
              <w:jc w:val="center"/>
              <w:ind w:left="76"/>
              <w:spacing w:after="0"/>
              <w:rPr>
                <w:sz w:val="20"/>
                <w:szCs w:val="20"/>
                <w:color w:val="auto"/>
              </w:rPr>
            </w:pPr>
            <w:r>
              <w:rPr>
                <w:rFonts w:ascii="Arial" w:cs="Arial" w:eastAsia="Arial" w:hAnsi="Arial"/>
                <w:sz w:val="17"/>
                <w:szCs w:val="17"/>
                <w:color w:val="0000FF"/>
                <w:w w:val="91"/>
              </w:rPr>
              <w:t>743,070</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60" w:type="dxa"/>
            <w:vAlign w:val="bottom"/>
            <w:vMerge w:val="restart"/>
          </w:tcPr>
          <w:p>
            <w:pPr>
              <w:jc w:val="right"/>
              <w:ind w:right="194"/>
              <w:spacing w:after="0"/>
              <w:rPr>
                <w:sz w:val="20"/>
                <w:szCs w:val="20"/>
                <w:color w:val="auto"/>
              </w:rPr>
            </w:pPr>
            <w:r>
              <w:rPr>
                <w:rFonts w:ascii="Arial" w:cs="Arial" w:eastAsia="Arial" w:hAnsi="Arial"/>
                <w:sz w:val="11"/>
                <w:szCs w:val="11"/>
                <w:color w:val="008000"/>
              </w:rPr>
              <w:t>(3)</w:t>
            </w:r>
          </w:p>
        </w:tc>
        <w:tc>
          <w:tcPr>
            <w:tcW w:w="1600" w:type="dxa"/>
            <w:vAlign w:val="bottom"/>
            <w:gridSpan w:val="3"/>
            <w:vMerge w:val="restart"/>
          </w:tcPr>
          <w:p>
            <w:pPr>
              <w:ind w:left="200"/>
              <w:spacing w:after="0"/>
              <w:rPr>
                <w:sz w:val="20"/>
                <w:szCs w:val="20"/>
                <w:color w:val="auto"/>
              </w:rPr>
            </w:pPr>
            <w:r>
              <w:rPr>
                <w:rFonts w:ascii="Arial" w:cs="Arial" w:eastAsia="Arial" w:hAnsi="Arial"/>
                <w:sz w:val="17"/>
                <w:szCs w:val="17"/>
                <w:color w:val="0000FF"/>
              </w:rPr>
              <w:t>5,610,153</w:t>
            </w:r>
            <w:r>
              <w:rPr>
                <w:rFonts w:ascii="Arial" w:cs="Arial" w:eastAsia="Arial" w:hAnsi="Arial"/>
                <w:sz w:val="21"/>
                <w:szCs w:val="21"/>
                <w:color w:val="008000"/>
                <w:vertAlign w:val="superscript"/>
              </w:rPr>
              <w:t>(5)</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60" w:type="dxa"/>
            <w:vAlign w:val="bottom"/>
            <w:gridSpan w:val="13"/>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80" w:type="dxa"/>
            <w:vAlign w:val="bottom"/>
            <w:gridSpan w:val="11"/>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ind w:left="2"/>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 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 4 and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3,543,116</w:t>
            </w: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left="2"/>
              <w:spacing w:after="0" w:line="100" w:lineRule="exact"/>
              <w:rPr>
                <w:sz w:val="20"/>
                <w:szCs w:val="20"/>
                <w:color w:val="auto"/>
              </w:rPr>
            </w:pPr>
            <w:r>
              <w:rPr>
                <w:rFonts w:ascii="Arial" w:cs="Arial" w:eastAsia="Arial" w:hAnsi="Arial"/>
                <w:sz w:val="11"/>
                <w:szCs w:val="11"/>
                <w:color w:val="0000FF"/>
              </w:rPr>
              <w:t>06/24/2014</w:t>
            </w: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1040" w:type="dxa"/>
            <w:vAlign w:val="bottom"/>
            <w:vMerge w:val="restart"/>
          </w:tcPr>
          <w:p>
            <w:pPr>
              <w:jc w:val="center"/>
              <w:ind w:left="202"/>
              <w:spacing w:after="0" w:line="100" w:lineRule="exact"/>
              <w:rPr>
                <w:sz w:val="20"/>
                <w:szCs w:val="20"/>
                <w:color w:val="auto"/>
              </w:rPr>
            </w:pPr>
            <w:r>
              <w:rPr>
                <w:rFonts w:ascii="Arial" w:cs="Arial" w:eastAsia="Arial" w:hAnsi="Arial"/>
                <w:sz w:val="11"/>
                <w:szCs w:val="11"/>
                <w:color w:val="0000FF"/>
              </w:rPr>
              <w:t>22,250,770</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380"/>
              <w:spacing w:after="0" w:line="100"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3"/>
          </w:tcPr>
          <w:p>
            <w:pPr>
              <w:ind w:left="6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1,315,859</w:t>
            </w: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(2)</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left="2"/>
              <w:spacing w:after="0" w:line="100" w:lineRule="exact"/>
              <w:rPr>
                <w:sz w:val="20"/>
                <w:szCs w:val="20"/>
                <w:color w:val="auto"/>
              </w:rPr>
            </w:pPr>
            <w:r>
              <w:rPr>
                <w:rFonts w:ascii="Arial" w:cs="Arial" w:eastAsia="Arial" w:hAnsi="Arial"/>
                <w:sz w:val="11"/>
                <w:szCs w:val="11"/>
                <w:color w:val="0000FF"/>
              </w:rPr>
              <w:t>06/24/2014</w:t>
            </w: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1040" w:type="dxa"/>
            <w:vAlign w:val="bottom"/>
            <w:vMerge w:val="restart"/>
          </w:tcPr>
          <w:p>
            <w:pPr>
              <w:jc w:val="center"/>
              <w:ind w:left="222"/>
              <w:spacing w:after="0" w:line="100" w:lineRule="exact"/>
              <w:rPr>
                <w:sz w:val="20"/>
                <w:szCs w:val="20"/>
                <w:color w:val="auto"/>
              </w:rPr>
            </w:pPr>
            <w:r>
              <w:rPr>
                <w:rFonts w:ascii="Arial" w:cs="Arial" w:eastAsia="Arial" w:hAnsi="Arial"/>
                <w:sz w:val="11"/>
                <w:szCs w:val="11"/>
                <w:color w:val="0000FF"/>
              </w:rPr>
              <w:t>8,263,595</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0</w:t>
            </w:r>
          </w:p>
        </w:tc>
        <w:tc>
          <w:tcPr>
            <w:tcW w:w="520" w:type="dxa"/>
            <w:vAlign w:val="bottom"/>
            <w:vMerge w:val="restart"/>
          </w:tcPr>
          <w:p>
            <w:pPr>
              <w:ind w:left="380"/>
              <w:spacing w:after="0" w:line="100"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ind w:left="20"/>
              <w:spacing w:after="0" w:line="52" w:lineRule="exact"/>
              <w:rPr>
                <w:sz w:val="20"/>
                <w:szCs w:val="20"/>
                <w:color w:val="auto"/>
              </w:rPr>
            </w:pPr>
            <w:r>
              <w:rPr>
                <w:rFonts w:ascii="Arial" w:cs="Arial" w:eastAsia="Arial" w:hAnsi="Arial"/>
                <w:sz w:val="5"/>
                <w:szCs w:val="5"/>
                <w:color w:val="0000FF"/>
              </w:rPr>
              <w:t>Stock</w:t>
            </w: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3"/>
          </w:tcPr>
          <w:p>
            <w:pPr>
              <w:ind w:left="60"/>
              <w:spacing w:after="0" w:line="52" w:lineRule="exact"/>
              <w:rPr>
                <w:sz w:val="20"/>
                <w:szCs w:val="20"/>
                <w:color w:val="auto"/>
              </w:rPr>
            </w:pPr>
            <w:r>
              <w:rPr>
                <w:rFonts w:ascii="Arial" w:cs="Arial" w:eastAsia="Arial" w:hAnsi="Arial"/>
                <w:sz w:val="3"/>
                <w:szCs w:val="3"/>
                <w:color w:val="0000FF"/>
              </w:rPr>
              <w:t>Footnote</w:t>
            </w:r>
            <w:r>
              <w:rPr>
                <w:rFonts w:ascii="Arial" w:cs="Arial" w:eastAsia="Arial" w:hAnsi="Arial"/>
                <w:sz w:val="5"/>
                <w:szCs w:val="5"/>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743,070</w:t>
            </w: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left="2"/>
              <w:spacing w:after="0"/>
              <w:rPr>
                <w:sz w:val="20"/>
                <w:szCs w:val="20"/>
                <w:color w:val="auto"/>
              </w:rPr>
            </w:pPr>
            <w:r>
              <w:rPr>
                <w:rFonts w:ascii="Arial" w:cs="Arial" w:eastAsia="Arial" w:hAnsi="Arial"/>
                <w:sz w:val="13"/>
                <w:szCs w:val="13"/>
                <w:color w:val="0000FF"/>
                <w:w w:val="89"/>
              </w:rPr>
              <w:t>06/24/2014</w:t>
            </w: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w:t>
            </w:r>
          </w:p>
        </w:tc>
        <w:tc>
          <w:tcPr>
            <w:tcW w:w="1040" w:type="dxa"/>
            <w:vAlign w:val="bottom"/>
            <w:vMerge w:val="restart"/>
          </w:tcPr>
          <w:p>
            <w:pPr>
              <w:jc w:val="center"/>
              <w:ind w:left="222"/>
              <w:spacing w:after="0"/>
              <w:rPr>
                <w:sz w:val="20"/>
                <w:szCs w:val="20"/>
                <w:color w:val="auto"/>
              </w:rPr>
            </w:pPr>
            <w:r>
              <w:rPr>
                <w:rFonts w:ascii="Arial" w:cs="Arial" w:eastAsia="Arial" w:hAnsi="Arial"/>
                <w:sz w:val="13"/>
                <w:szCs w:val="13"/>
                <w:color w:val="0000FF"/>
                <w:w w:val="89"/>
              </w:rPr>
              <w:t>4,666,478</w:t>
            </w:r>
          </w:p>
        </w:tc>
        <w:tc>
          <w:tcPr>
            <w:tcW w:w="8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3"/>
            <w:vMerge w:val="restart"/>
          </w:tcPr>
          <w:p>
            <w:pPr>
              <w:ind w:left="60"/>
              <w:spacing w:after="0" w:line="155"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B Preferred Stock automatically converted into Common Stock on a 6.28-for-1 basis at the closing of the Issuer's initial public offering for no consideration,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C Preferred Stock automatically converted into Common Stock on a 6.28-for-1 basis at the closing of the Issuer's initial public offering for no consideration,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Series D Preferred Stock automatically converted into Common Stock on a 6.28-for-1 basis at the closing of the Issuer's initial public offering for no consideration, and had no expiration date.</w:t>
      </w:r>
    </w:p>
    <w:p>
      <w:pPr>
        <w:spacing w:after="0" w:line="44" w:lineRule="exact"/>
        <w:rPr>
          <w:rFonts w:ascii="Arial" w:cs="Arial" w:eastAsia="Arial" w:hAnsi="Arial"/>
          <w:sz w:val="13"/>
          <w:szCs w:val="13"/>
          <w:color w:val="008000"/>
        </w:rPr>
      </w:pPr>
    </w:p>
    <w:p>
      <w:pPr>
        <w:jc w:val="both"/>
        <w:ind w:left="40" w:right="24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directly held by Third Rock Ventures, L.P. ("TRV"). The general partner of TRV is Third Rock Ventures GP, L.P. ("TRV GP"). The general partner of TRV GP is TRV GP, LLC ("TRV GP LLC"). The individual managers of TRV GP, LLC are Mark Levin ("Levin"), Dr. Robert Tepper ("Tepper") and the Reporting Person and, as such, each of TRV GP, TRV GP LLC, Levin, Tepper and the Reporting Person exercises shared voting and investment power over the shares held of record by TRV. The Reporting Person disclaims beneficial ownership of the shares except to the extent of his pecuniary interest therein, if any.</w:t>
      </w:r>
    </w:p>
    <w:p>
      <w:pPr>
        <w:spacing w:after="0" w:line="1" w:lineRule="exact"/>
        <w:rPr>
          <w:rFonts w:ascii="Arial" w:cs="Arial" w:eastAsia="Arial" w:hAnsi="Arial"/>
          <w:sz w:val="11"/>
          <w:szCs w:val="11"/>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8,108 shares of Common Stock directly owned by the Reporting Person.</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Kevin Starr</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06/26/2014</w:t>
            </w: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2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03"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2019-12-18T04:28:14Z</dcterms:created>
  <dcterms:modified xsi:type="dcterms:W3CDTF">2019-12-18T04:28:14Z</dcterms:modified>
</cp:coreProperties>
</file>