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680" w:type="dxa"/>
            <w:vAlign w:val="bottom"/>
          </w:tcPr>
          <w:p>
            <w:pPr>
              <w:jc w:val="center"/>
              <w:ind w:right="197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940" w:type="dxa"/>
            <w:vAlign w:val="bottom"/>
          </w:tcPr>
          <w:p>
            <w:pPr>
              <w:jc w:val="center"/>
              <w:ind w:left="174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80" w:type="dxa"/>
            <w:vAlign w:val="bottom"/>
          </w:tcPr>
          <w:p>
            <w:pPr>
              <w:jc w:val="center"/>
              <w:ind w:right="1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80" w:type="dxa"/>
            <w:vAlign w:val="bottom"/>
          </w:tcPr>
          <w:p>
            <w:pPr>
              <w:jc w:val="center"/>
              <w:ind w:right="1959"/>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74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5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5"/>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94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940" w:type="dxa"/>
            <w:vAlign w:val="bottom"/>
          </w:tcPr>
          <w:p>
            <w:pPr>
              <w:jc w:val="center"/>
              <w:ind w:right="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9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27, 2018, Zafgen, Inc. (the “Company”) entered into an Underwriting Agreement (the “Underwriting Agreement”) with Cowen and Company, LLC and Piper Jaffray &amp; Co., as representatives of the underwriters named therein (collectively, the “Underwriters”), relating to the public offering (the “Offering”) of 8,000,000 shares of the Company’s common stock, $0.001 par value per share (the “Common Stock”), at a price to the public of $7.50 per share (the “Offering Price”), less underwriting discounts and commissions. The net proceeds to the Company from the sale of the Common Stock, after deducting the underwriting discounts and commissions (but before deducting estimated offering expenses payable by the Company), will be $56.4 million. The Offering is expected to close on July 2, 2018, subject to the satisfaction of customary closing conditions. The Company has also granted the Underwriters a 30-day option to purchase up to an additional 1,200,000 shares of Common Stock at the Offering Price, less the underwriting discounts and commissions.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Offering was made pursuant to the Company’s effective shelf registration statement on Form S-3 (File No. 333-219834), including the prospectus dated August 9, 2017, as supplemented by a preliminary prospectus supplement dated June 27, 2018.</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foregoing is only a brief description of the terms of the Underwriting Agreement, does not purport to be a complete description of the rights and obligations of the parties thereunder, and is qualified in its entirety by reference to the Underwriting Agreement that is filed as Exhibit 1.1 to this Current Report on Form 8-K and incorporated by reference herein. The legal opinion of Goodwin Procter LLP relating to the legality of the issuance and sale of the shares in the Offering is attached as Exhibit 5.1 to this Current Report on Form 8-K.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June 27, 2018, the Company issued a press release announcing the Offering and on June 28, 2018, the Company issued a press release announcing the pricing of the Offering. Copies of these press releases are attached hereto as Exhibits 99.1 and 99.2, respectively, and are each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104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2"/>
                <w:szCs w:val="22"/>
                <w:color w:val="auto"/>
              </w:rPr>
            </w:pPr>
          </w:p>
        </w:tc>
        <w:tc>
          <w:tcPr>
            <w:tcW w:w="9560" w:type="dxa"/>
            <w:vAlign w:val="bottom"/>
            <w:tcBorders>
              <w:top w:val="single" w:sz="8" w:color="auto"/>
              <w:bottom w:val="single" w:sz="8" w:color="0000EE"/>
            </w:tcBorders>
            <w:gridSpan w:val="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as of June 27, 2018, among Zafgen, Inc. and Cowen and Company, LLC and Piper Jaffray &amp; Co., as</w:t>
              </w:r>
            </w:hyperlink>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representatives of the underwriters named therein.</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4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Opinion of Goodwin Procter LLP.</w:t>
              </w:r>
            </w:hyperlink>
          </w:p>
        </w:tc>
        <w:tc>
          <w:tcPr>
            <w:tcW w:w="1140" w:type="dxa"/>
            <w:vAlign w:val="bottom"/>
            <w:tcBorders>
              <w:top w:val="single" w:sz="8" w:color="0000EE"/>
            </w:tcBorders>
          </w:tcPr>
          <w:p>
            <w:pPr>
              <w:spacing w:after="0"/>
              <w:rPr>
                <w:sz w:val="24"/>
                <w:szCs w:val="24"/>
                <w:color w:val="auto"/>
              </w:rPr>
            </w:pPr>
          </w:p>
        </w:tc>
        <w:tc>
          <w:tcPr>
            <w:tcW w:w="6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43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Consent of Goodwin Procter LLP (included in Exhibit 5.1).</w:t>
              </w:r>
            </w:hyperlink>
          </w:p>
        </w:tc>
        <w:tc>
          <w:tcPr>
            <w:tcW w:w="6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40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Press release issued by Zafgen, Inc. on June 27, 2018.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40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Press release issued by Zafgen, Inc. on June 28, 2018.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10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Underwriting Agreement, dated as of June 27, 2018, among Zafgen, Inc. and Cowen and Company, LLC and Piper Jaffray &amp; Co.,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representatives of the underwriters named therein.</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issued by Zafgen, Inc. on June 27, 2018.</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issued by Zafgen, Inc. on June 28, 2018.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32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June 28, 2018</w:t>
            </w:r>
          </w:p>
        </w:tc>
        <w:tc>
          <w:tcPr>
            <w:tcW w:w="7640" w:type="dxa"/>
            <w:vAlign w:val="bottom"/>
            <w:gridSpan w:val="2"/>
          </w:tcPr>
          <w:p>
            <w:pPr>
              <w:ind w:left="2320"/>
              <w:spacing w:after="0"/>
              <w:rPr>
                <w:sz w:val="20"/>
                <w:szCs w:val="20"/>
                <w:color w:val="auto"/>
              </w:rPr>
            </w:pPr>
            <w:r>
              <w:rPr>
                <w:rFonts w:ascii="Arial" w:cs="Arial" w:eastAsia="Arial" w:hAnsi="Arial"/>
                <w:sz w:val="18"/>
                <w:szCs w:val="18"/>
                <w:color w:val="auto"/>
              </w:rPr>
              <w:t>By:  /s/ Jeffrey Hatfield</w:t>
            </w:r>
          </w:p>
        </w:tc>
      </w:tr>
      <w:tr>
        <w:trPr>
          <w:trHeight w:val="195"/>
        </w:trPr>
        <w:tc>
          <w:tcPr>
            <w:tcW w:w="37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Jeffrey Hatfield</w:t>
            </w:r>
          </w:p>
        </w:tc>
      </w:tr>
      <w:tr>
        <w:trPr>
          <w:trHeight w:val="230"/>
        </w:trPr>
        <w:tc>
          <w:tcPr>
            <w:tcW w:w="37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ZAFGEN,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8,000,000 Shares of Common Stock, par value $0.001 per share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27,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Zafgen, Inc., a Delaware corporation (the “Company”), proposes to issue and sell to the several Underwriters listed in Schedule 1 hereto (the “Underwriters”), for whom you are acting as representatives (the “Representatives”), an aggregate of 8,000,000 shares of Common Stock, par value $0.001 per share (the “Common Stock”), of the Company (the “Underwritten Shares”) and, at the option of the Underwriters, up to an additional 1,200,000 shares of Common Stock, par value $0.001 per share, of the Company (the “Option Shares”). The Underwritten Shares and the Option Shares are herein referred to as the “Shares”. The shares of Common Stock, par value $0.001 per share, of the Company to be outstanding after giving effect to the sale of the Shares are referred to herein as the “Stock.”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 with the several Underwriters concerning the purchase and sale of the Shares, as follows:</w:t>
      </w:r>
    </w:p>
    <w:p>
      <w:pPr>
        <w:spacing w:after="0" w:line="117" w:lineRule="exact"/>
        <w:rPr>
          <w:sz w:val="20"/>
          <w:szCs w:val="20"/>
          <w:color w:val="auto"/>
        </w:rPr>
      </w:pPr>
    </w:p>
    <w:p>
      <w:pPr>
        <w:ind w:firstLine="464"/>
        <w:spacing w:after="0" w:line="291"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(File</w:t>
      </w:r>
    </w:p>
    <w:p>
      <w:pPr>
        <w:spacing w:after="0" w:line="252" w:lineRule="auto"/>
        <w:rPr>
          <w:rFonts w:ascii="Arial" w:cs="Arial" w:eastAsia="Arial" w:hAnsi="Arial"/>
          <w:sz w:val="16"/>
          <w:szCs w:val="16"/>
          <w:color w:val="auto"/>
        </w:rPr>
      </w:pPr>
      <w:r>
        <w:rPr>
          <w:rFonts w:ascii="Arial" w:cs="Arial" w:eastAsia="Arial" w:hAnsi="Arial"/>
          <w:sz w:val="18"/>
          <w:szCs w:val="18"/>
          <w:color w:val="auto"/>
        </w:rPr>
        <w:t>No. 333-219834),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the preliminary prospectus supplement of the Company dated as of June 27, 2018 and filed with the Commission pursuant to Rule 424(a) under the Securities Act together with the prospectus included in the Registration Statement at the time of its effectiveness that omitted Rule 430 Information, and the term “Prospectus” means the prospectus supplement in the form</w:t>
      </w:r>
    </w:p>
    <w:p>
      <w:pPr>
        <w:sectPr>
          <w:pgSz w:w="11900" w:h="16838" w:orient="portrait"/>
          <w:cols w:equalWidth="0" w:num="1">
            <w:col w:w="11420"/>
          </w:cols>
          <w:pgMar w:left="240" w:top="125" w:right="23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used (or made available upon request of purchasers pursuant to Rule 173 under the Securities Act) in connection with confirmation of sales of the Shares together with the prospectus included in the Registration Statement at the time of its effectiveness that omitted Rule 430 Information.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spacing w:after="0" w:line="18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At or prior to the Applicable Time (as defined below), the Company had prepared the following information (collectively with the pricing information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“Pricing Disclosure Package”): a Preliminary Prospectus dated June 27, 2018 and each “free-writing prospectus” (as defined pursuant to Rule 405 under the Securities Act)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7:00 p.m., New York City time, on June 27, 2018.</w:t>
      </w:r>
    </w:p>
    <w:p>
      <w:pPr>
        <w:spacing w:after="0" w:line="225" w:lineRule="exact"/>
        <w:rPr>
          <w:sz w:val="20"/>
          <w:szCs w:val="20"/>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Purchase of the Shares by the Underwriters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 Schedule 1 hereto at a price per share (the “Purchase Price”) of $7.05.</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7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(30</w:t>
      </w:r>
      <w:r>
        <w:rPr>
          <w:rFonts w:ascii="Arial" w:cs="Arial" w:eastAsia="Arial" w:hAnsi="Arial"/>
          <w:sz w:val="13"/>
          <w:szCs w:val="13"/>
          <w:color w:val="auto"/>
        </w:rPr>
        <w:t>th</w:t>
      </w:r>
      <w:r>
        <w:rPr>
          <w:rFonts w:ascii="Arial" w:cs="Arial" w:eastAsia="Arial" w:hAnsi="Arial"/>
          <w:sz w:val="16"/>
          <w:szCs w:val="16"/>
          <w:color w:val="auto"/>
        </w:rPr>
        <w:t>) day following the date of the Prospectus, by written notice from the Representatives to the Company. Such notice shall set forth the aggregate number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(10</w:t>
      </w:r>
      <w:r>
        <w:rPr>
          <w:rFonts w:ascii="Arial" w:cs="Arial" w:eastAsia="Arial" w:hAnsi="Arial"/>
          <w:sz w:val="14"/>
          <w:szCs w:val="14"/>
          <w:color w:val="auto"/>
        </w:rPr>
        <w:t>th</w:t>
      </w:r>
      <w:r>
        <w:rPr>
          <w:rFonts w:ascii="Arial" w:cs="Arial" w:eastAsia="Arial" w:hAnsi="Arial"/>
          <w:sz w:val="17"/>
          <w:szCs w:val="17"/>
          <w:color w:val="auto"/>
        </w:rPr>
        <w:t xml:space="preserve">) full business day (as hereinafter defined) after the date of such notice (unless such time and date are postponed in accordance with the provisions of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 Any such notice shall be given at least two (2) business days prior to the date and time of delivery specified therein.</w:t>
      </w:r>
    </w:p>
    <w:p>
      <w:pPr>
        <w:spacing w:after="0" w:line="171" w:lineRule="exact"/>
        <w:rPr>
          <w:sz w:val="20"/>
          <w:szCs w:val="20"/>
          <w:color w:val="auto"/>
        </w:rPr>
      </w:pPr>
    </w:p>
    <w:p>
      <w:pPr>
        <w:jc w:val="both"/>
        <w:ind w:right="80" w:firstLine="464"/>
        <w:spacing w:after="0" w:line="264"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Prospectus. The Company acknowledges and agrees that the Underwriters may offer and sell Shares to or through any affiliate of an Underwriter.</w:t>
      </w:r>
    </w:p>
    <w:p>
      <w:pPr>
        <w:spacing w:after="0" w:line="181" w:lineRule="exact"/>
        <w:rPr>
          <w:rFonts w:ascii="Arial" w:cs="Arial" w:eastAsia="Arial" w:hAnsi="Arial"/>
          <w:sz w:val="18"/>
          <w:szCs w:val="18"/>
          <w:color w:val="auto"/>
        </w:rPr>
      </w:pPr>
    </w:p>
    <w:p>
      <w:pPr>
        <w:ind w:firstLine="464"/>
        <w:spacing w:after="0" w:line="255" w:lineRule="auto"/>
        <w:tabs>
          <w:tab w:leader="none" w:pos="701"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for the Shares shall be made by wire transfer in immediately available funds to the account specified by the Company to the Representatives in the case of the Underwritten Shares, at the offices of Ropes &amp; Gray LLP, Prudential Tower, 800 Boylston Street, Boston, MA 02199 at 10:00 A.M., New York City time, on July 2, 2018, or at such other time or place on the same or such other date, not later than the fifth (5</w:t>
      </w:r>
      <w:r>
        <w:rPr>
          <w:rFonts w:ascii="Arial" w:cs="Arial" w:eastAsia="Arial" w:hAnsi="Arial"/>
          <w:sz w:val="15"/>
          <w:szCs w:val="15"/>
          <w:color w:val="auto"/>
        </w:rPr>
        <w:t>th</w:t>
      </w:r>
      <w:r>
        <w:rPr>
          <w:rFonts w:ascii="Arial" w:cs="Arial" w:eastAsia="Arial" w:hAnsi="Arial"/>
          <w:sz w:val="18"/>
          <w:szCs w:val="18"/>
          <w:color w:val="auto"/>
        </w:rPr>
        <w:t>)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each time and date for such payment for the Option Shares, if other than the Closing Date, is herein referred to as an “Additional Closing Date”.</w:t>
      </w:r>
    </w:p>
    <w:p>
      <w:pPr>
        <w:spacing w:after="0" w:line="18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Payment for the Shares to be purchased on the Closing Date or an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unless the Representatives shall otherwise instruct.</w:t>
      </w:r>
    </w:p>
    <w:p>
      <w:pPr>
        <w:spacing w:after="0" w:line="171" w:lineRule="exact"/>
        <w:rPr>
          <w:sz w:val="20"/>
          <w:szCs w:val="20"/>
          <w:color w:val="auto"/>
        </w:rPr>
      </w:pPr>
    </w:p>
    <w:p>
      <w:pPr>
        <w:ind w:right="100" w:firstLine="464"/>
        <w:spacing w:after="0" w:line="271" w:lineRule="auto"/>
        <w:tabs>
          <w:tab w:leader="none" w:pos="71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60" w:right="220" w:firstLine="443"/>
        <w:spacing w:after="0" w:line="264" w:lineRule="auto"/>
        <w:tabs>
          <w:tab w:leader="none" w:pos="1143"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Preliminary Prospectus included in the Pricing Disclosure Package, at the time of filing thereof, complied in all material respects with the applicable requirements of the Securities Act, and no Preliminary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hereof.</w:t>
      </w:r>
    </w:p>
    <w:p>
      <w:pPr>
        <w:spacing w:after="0" w:line="85" w:lineRule="exact"/>
        <w:rPr>
          <w:sz w:val="20"/>
          <w:szCs w:val="20"/>
          <w:color w:val="auto"/>
        </w:rPr>
      </w:pPr>
    </w:p>
    <w:p>
      <w:pPr>
        <w:ind w:right="100" w:firstLine="443"/>
        <w:spacing w:after="0" w:line="293"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furnished to the Company in writing by any Underwriter through the Representatives expressly for use in such Pricing Disclosure Package, it being understood and agreed that the only such information furnished by any Underwriter consists of the information described as such in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hereof.</w:t>
      </w:r>
    </w:p>
    <w:p>
      <w:pPr>
        <w:spacing w:after="0" w:line="56" w:lineRule="exact"/>
        <w:rPr>
          <w:rFonts w:ascii="Arial" w:cs="Arial" w:eastAsia="Arial" w:hAnsi="Arial"/>
          <w:sz w:val="16"/>
          <w:szCs w:val="16"/>
          <w:color w:val="auto"/>
        </w:rPr>
      </w:pPr>
    </w:p>
    <w:p>
      <w:pPr>
        <w:ind w:left="680" w:hanging="237"/>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Registration Statement, the Preliminary Prospectus and the Prospectus, the Company</w:t>
      </w:r>
    </w:p>
    <w:p>
      <w:pPr>
        <w:spacing w:after="0" w:line="34" w:lineRule="exact"/>
        <w:rPr>
          <w:rFonts w:ascii="Arial" w:cs="Arial" w:eastAsia="Arial" w:hAnsi="Arial"/>
          <w:sz w:val="17"/>
          <w:szCs w:val="17"/>
          <w:color w:val="auto"/>
        </w:rPr>
      </w:pPr>
    </w:p>
    <w:p>
      <w:pPr>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(including its agents and representatives, other than the Underwriters in their capacity as such) has not prepared, used, authorized, approved or referred to and will not prepare,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each electronic road show and any other written communications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each such Issuer Free Writing Prospectus or Preliminary Prospectus in reliance upon and in conformity with information furnished to the Company in writing by any Underwriter through the Representatives expressly for use in such Issuer Free Writing Prospectus or Preliminary Prospectus, it being understood and agreed that the only such information furnished by any Underwriter consists of the information described as such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84" w:lineRule="exact"/>
        <w:rPr>
          <w:rFonts w:ascii="Arial" w:cs="Arial" w:eastAsia="Arial" w:hAnsi="Arial"/>
          <w:sz w:val="17"/>
          <w:szCs w:val="17"/>
          <w:color w:val="auto"/>
        </w:rPr>
      </w:pPr>
    </w:p>
    <w:p>
      <w:pPr>
        <w:ind w:right="320" w:firstLine="443"/>
        <w:spacing w:after="0" w:line="277"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filing of the Registration Statement with the Commission (or, if earlier, the first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engaged directly or through any person authorized to act on its behalf in any Testing-the-Waters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8" w:name="page9"/>
    <w:bookmarkEnd w:id="8"/>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 (as defined herein)) through the date hereof, the Company has been and is an “emerging growth company,” as defined in Section 2(a) of the Securities Act (an “Emerging Growth Company”). “Testing-the-Waters Communication” means any oral or written communication with potential investors undertaken in reliance on Section 5(d) of the Securities Act.</w:t>
      </w:r>
    </w:p>
    <w:p>
      <w:pPr>
        <w:spacing w:after="0" w:line="73" w:lineRule="exact"/>
        <w:rPr>
          <w:sz w:val="20"/>
          <w:szCs w:val="20"/>
          <w:color w:val="auto"/>
        </w:rPr>
      </w:pPr>
    </w:p>
    <w:p>
      <w:pPr>
        <w:ind w:firstLine="443"/>
        <w:spacing w:after="0" w:line="269" w:lineRule="auto"/>
        <w:tabs>
          <w:tab w:leader="none" w:pos="68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engaged in any Testing-the-Waters Communications in connection with the offering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in connection with the offering of the Shares. The Company reconfirms that the Representatives have been authorized to act on its behalf in undertaking Testing-the-Waters Communications. The Company has not distributed or approved for distribution any Written Testing-the-Waters Communications.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71" w:lineRule="exact"/>
        <w:rPr>
          <w:rFonts w:ascii="Arial" w:cs="Arial" w:eastAsia="Arial" w:hAnsi="Arial"/>
          <w:sz w:val="17"/>
          <w:szCs w:val="17"/>
          <w:color w:val="auto"/>
        </w:rPr>
      </w:pPr>
    </w:p>
    <w:p>
      <w:pPr>
        <w:ind w:right="20" w:firstLine="443"/>
        <w:spacing w:after="0" w:line="268" w:lineRule="auto"/>
        <w:tabs>
          <w:tab w:leader="none" w:pos="66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The Registration Statement has been declared effective by the Commission. No order suspending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each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furnished to the Company in writing by any Underwriter through the Representatives expressly for use in the Registration Statement, the Prospectus or any amendment or supplement thereto, it being understood and agreed that the only such information furnished by any Underwriter consists of the information described as such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79" w:lineRule="exact"/>
        <w:rPr>
          <w:rFonts w:ascii="Arial" w:cs="Arial" w:eastAsia="Arial" w:hAnsi="Arial"/>
          <w:sz w:val="17"/>
          <w:szCs w:val="17"/>
          <w:color w:val="auto"/>
        </w:rPr>
      </w:pPr>
    </w:p>
    <w:p>
      <w:pPr>
        <w:ind w:right="140" w:firstLine="443"/>
        <w:spacing w:after="0" w:line="259"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the Registration Statement, the Prospectus and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79" w:lineRule="exact"/>
        <w:rPr>
          <w:sz w:val="20"/>
          <w:szCs w:val="20"/>
          <w:color w:val="auto"/>
        </w:rPr>
      </w:pPr>
    </w:p>
    <w:p>
      <w:pPr>
        <w:ind w:firstLine="443"/>
        <w:spacing w:after="0" w:line="269"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(“GAAP”) applied on a consistent basis throughout the periods covered thereby, except in the case of any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74" w:lineRule="exact"/>
        <w:rPr>
          <w:rFonts w:ascii="Arial" w:cs="Arial" w:eastAsia="Arial" w:hAnsi="Arial"/>
          <w:sz w:val="17"/>
          <w:szCs w:val="17"/>
          <w:color w:val="auto"/>
        </w:rPr>
      </w:pPr>
    </w:p>
    <w:p>
      <w:pPr>
        <w:ind w:right="120" w:firstLine="443"/>
        <w:spacing w:after="0" w:line="286" w:lineRule="auto"/>
        <w:tabs>
          <w:tab w:leader="none" w:pos="65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incorporated by reference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Pricing Disclosure Package and the Prospectus,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of clauses (i)-(iii) as otherwise disclosed in the Registration Statement, the Pricing Disclosure Package and the Prospectus.</w:t>
      </w:r>
    </w:p>
    <w:p>
      <w:pPr>
        <w:spacing w:after="0" w:line="63" w:lineRule="exact"/>
        <w:rPr>
          <w:rFonts w:ascii="Arial" w:cs="Arial" w:eastAsia="Arial" w:hAnsi="Arial"/>
          <w:sz w:val="16"/>
          <w:szCs w:val="16"/>
          <w:color w:val="auto"/>
        </w:rPr>
      </w:pPr>
    </w:p>
    <w:p>
      <w:pPr>
        <w:ind w:right="180" w:firstLine="443"/>
        <w:spacing w:after="0" w:line="264" w:lineRule="auto"/>
        <w:tabs>
          <w:tab w:leader="none" w:pos="65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Company and each of its subsidiaries have been duly organized and are validly existing and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their respective jurisdictions of organization, are duly qualified to do business and are in good standing in each jurisdiction in which their respective ownership or lease of property or the conduct 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0" w:name="page11"/>
    <w:bookmarkEnd w:id="10"/>
    <w:p>
      <w:pPr>
        <w:ind w:right="3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prospects, properties, management, financial position, stockholders’ equity or results of operations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70" w:lineRule="exact"/>
        <w:rPr>
          <w:sz w:val="20"/>
          <w:szCs w:val="20"/>
          <w:color w:val="auto"/>
        </w:rPr>
      </w:pPr>
    </w:p>
    <w:p>
      <w:pPr>
        <w:ind w:right="20" w:firstLine="443"/>
        <w:spacing w:after="0" w:line="287" w:lineRule="auto"/>
        <w:tabs>
          <w:tab w:leader="none" w:pos="693"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under the heading “Description of Capital Stock”;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under the heading “Description of Capital Stock”;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60" w:lineRule="exact"/>
        <w:rPr>
          <w:rFonts w:ascii="Arial" w:cs="Arial" w:eastAsia="Arial" w:hAnsi="Arial"/>
          <w:sz w:val="16"/>
          <w:szCs w:val="16"/>
          <w:color w:val="auto"/>
        </w:rPr>
      </w:pPr>
    </w:p>
    <w:p>
      <w:pPr>
        <w:ind w:right="20" w:firstLine="443"/>
        <w:spacing w:after="0" w:line="270" w:lineRule="auto"/>
        <w:tabs>
          <w:tab w:leader="none" w:pos="653"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With respect to the outstanding stock options (the “Stock Options”) granted pursuant to the stock-based compensation plans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its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all material respects in accordance with the terms of the Company Stock Plans and all applicable laws and regulatory rules or requirements, and (iv) each such grant was properly accounted for in accordance with GAAP in the financial statements (including the related notes) of the Company.</w:t>
      </w:r>
    </w:p>
    <w:p>
      <w:pPr>
        <w:spacing w:after="0" w:line="73" w:lineRule="exact"/>
        <w:rPr>
          <w:rFonts w:ascii="Arial" w:cs="Arial" w:eastAsia="Arial" w:hAnsi="Arial"/>
          <w:sz w:val="17"/>
          <w:szCs w:val="17"/>
          <w:color w:val="auto"/>
        </w:rPr>
      </w:pPr>
    </w:p>
    <w:p>
      <w:pPr>
        <w:ind w:firstLine="443"/>
        <w:spacing w:after="0" w:line="264" w:lineRule="auto"/>
        <w:tabs>
          <w:tab w:leader="none" w:pos="74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full corporate right, power and authority to execute and deliver this Agreement and to perform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hereunder; and all corporate action required to be taken for the due and proper authorization, execution and delivery by it of this Agreement and the consummation by it of the transactions contemplated hereby has been duly and validly taken.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11" w:name="page12"/>
    <w:bookmarkEnd w:id="11"/>
    <w:p>
      <w:pPr>
        <w:ind w:left="700" w:hanging="2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jc w:val="both"/>
        <w:ind w:right="4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and, when issued and delivered and paid</w:t>
      </w:r>
      <w:r>
        <w:rPr>
          <w:rFonts w:ascii="Arial" w:cs="Arial" w:eastAsia="Arial" w:hAnsi="Arial"/>
          <w:sz w:val="18"/>
          <w:szCs w:val="18"/>
          <w:i w:val="1"/>
          <w:iCs w:val="1"/>
          <w:color w:val="auto"/>
        </w:rPr>
        <w:t xml:space="preserve"> </w:t>
      </w:r>
      <w:r>
        <w:rPr>
          <w:rFonts w:ascii="Arial" w:cs="Arial" w:eastAsia="Arial" w:hAnsi="Arial"/>
          <w:sz w:val="18"/>
          <w:szCs w:val="18"/>
          <w:color w:val="auto"/>
        </w:rPr>
        <w:t>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that have not been duly waived.</w:t>
      </w:r>
    </w:p>
    <w:p>
      <w:pPr>
        <w:spacing w:after="0" w:line="78" w:lineRule="exact"/>
        <w:rPr>
          <w:rFonts w:ascii="Arial" w:cs="Arial" w:eastAsia="Arial" w:hAnsi="Arial"/>
          <w:sz w:val="18"/>
          <w:szCs w:val="18"/>
          <w:color w:val="auto"/>
        </w:rPr>
      </w:pPr>
    </w:p>
    <w:p>
      <w:pPr>
        <w:ind w:firstLine="443"/>
        <w:spacing w:after="0" w:line="272"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69" w:lineRule="exact"/>
        <w:rPr>
          <w:rFonts w:ascii="Arial" w:cs="Arial" w:eastAsia="Arial" w:hAnsi="Arial"/>
          <w:sz w:val="17"/>
          <w:szCs w:val="17"/>
          <w:color w:val="auto"/>
        </w:rPr>
      </w:pPr>
    </w:p>
    <w:p>
      <w:pPr>
        <w:ind w:right="100" w:firstLine="443"/>
        <w:spacing w:after="0" w:line="289" w:lineRule="auto"/>
        <w:tabs>
          <w:tab w:leader="none" w:pos="693"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Shares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consummation by the Company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or default that would not, individually or in the aggregate, have a Material Adverse Effect.</w:t>
      </w:r>
    </w:p>
    <w:p>
      <w:pPr>
        <w:spacing w:after="0" w:line="58" w:lineRule="exact"/>
        <w:rPr>
          <w:rFonts w:ascii="Arial" w:cs="Arial" w:eastAsia="Arial" w:hAnsi="Arial"/>
          <w:sz w:val="16"/>
          <w:szCs w:val="16"/>
          <w:color w:val="auto"/>
        </w:rPr>
      </w:pPr>
    </w:p>
    <w:p>
      <w:pPr>
        <w:ind w:firstLine="443"/>
        <w:spacing w:after="0" w:line="255" w:lineRule="auto"/>
        <w:tabs>
          <w:tab w:leader="none" w:pos="66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for official listing on the Nasdaq Stock Exchange and under applicable state securities laws in connection with the purchase and distribution of the Shares by the Underwriters.</w:t>
      </w:r>
    </w:p>
    <w:p>
      <w:pPr>
        <w:spacing w:after="0" w:line="85" w:lineRule="exact"/>
        <w:rPr>
          <w:rFonts w:ascii="Arial" w:cs="Arial" w:eastAsia="Arial" w:hAnsi="Arial"/>
          <w:sz w:val="18"/>
          <w:szCs w:val="18"/>
          <w:color w:val="auto"/>
        </w:rPr>
      </w:pPr>
    </w:p>
    <w:p>
      <w:pPr>
        <w:jc w:val="both"/>
        <w:ind w:right="100" w:firstLine="443"/>
        <w:spacing w:after="0" w:line="259" w:lineRule="auto"/>
        <w:tabs>
          <w:tab w:leader="none" w:pos="673"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Except as described in the Registration Statement, the Pricing Disclosure Package and the Prospectus, there are no legal,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investigations, actions, suits or proceedings pending to which the Company or any of its subsidiaries is a party or to which any property of the Company or any of its subsidiaries is the subject that, individually or in the aggregate, if determined adversely to the Company or any of its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12" w:name="page13"/>
    <w:bookmarkEnd w:id="1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would reasonably be expected to have a Material Adverse Effect;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59" w:lineRule="exact"/>
        <w:rPr>
          <w:sz w:val="20"/>
          <w:szCs w:val="20"/>
          <w:color w:val="auto"/>
        </w:rPr>
      </w:pPr>
    </w:p>
    <w:p>
      <w:pPr>
        <w:ind w:right="280" w:firstLine="443"/>
        <w:spacing w:after="0" w:line="312" w:lineRule="auto"/>
        <w:tabs>
          <w:tab w:leader="none" w:pos="653"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PricewaterhouseCoopers LLP (“PWC”),who has certified certain financial statements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38" w:lineRule="exact"/>
        <w:rPr>
          <w:rFonts w:ascii="Arial" w:cs="Arial" w:eastAsia="Arial" w:hAnsi="Arial"/>
          <w:sz w:val="16"/>
          <w:szCs w:val="16"/>
          <w:color w:val="auto"/>
        </w:rPr>
      </w:pPr>
    </w:p>
    <w:p>
      <w:pPr>
        <w:ind w:firstLine="443"/>
        <w:spacing w:after="0" w:line="25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The Company and its subsidiaries do not own any real property and have valid rights to lease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use, all items of real and personal property that are material to the respective business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80" w:lineRule="exact"/>
        <w:rPr>
          <w:rFonts w:ascii="Arial" w:cs="Arial" w:eastAsia="Arial" w:hAnsi="Arial"/>
          <w:sz w:val="18"/>
          <w:szCs w:val="18"/>
          <w:color w:val="auto"/>
        </w:rPr>
      </w:pPr>
    </w:p>
    <w:p>
      <w:pPr>
        <w:ind w:firstLine="443"/>
        <w:spacing w:after="0" w:line="285"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Intellectual Property Rights</w:t>
      </w:r>
      <w:r>
        <w:rPr>
          <w:rFonts w:ascii="Arial" w:cs="Arial" w:eastAsia="Arial" w:hAnsi="Arial"/>
          <w:sz w:val="16"/>
          <w:szCs w:val="16"/>
          <w:color w:val="auto"/>
        </w:rPr>
        <w:t>. Except as expressly contemplated by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Company owns or has valid, binding and enforceable licenses or other rights under the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necessary for, or used in the conduct, or the proposed conduct, of the business of the Company in the manner described in the Registration Statement, the Pricing Disclosure Package and the Prospectus (collectively, the “Company Intellectual Property”); to the knowledge of the Company, the patents, trademarks, and copyrights included within the Company Intellectual Property are valid, enforceable, and subsisting; other than as disclosed in the Registration Statement, the Pricing Disclosure Package and the Prospectus, (i) the Company is not obligated to pay a material royalty, grant a license, or provide other material consideration to any third party in connection with the Company Intellectual Property, (ii) the Company has not received any notice of any claim of infringement, misappropriation or conflict with any asserted rights of others with respect to any of the Company’s products, proposed products, processes or Company Intellectual Property, (iii) to the knowledge of the Company, neither the sale nor use of any of the discoveries, inventions, products, proposed products or processes of the Company referred to in the Registration Statement, the Pricing Disclosure Package or the Prospectus do or will, to the knowledge of the Company, infringe, interfere or conflict with any valid patent claim of any third party, and (iv) to the knowledge of the Company, no third party has any ownership right in or to any Company Intellectual Property that is owned by the Company, other than any co-owner of any patent constituting Company Intellectual Property who is listed on the records of the U.S. Patent and Trademark Office (the “USPTO”) and any co-owner of any patent application constituting Company Intellectual Property who is named in such patent application, and, to the knowledge of the Company, no third party has any ownership right in or to any Company Intellectual Property in any field of use that is exclusively licensed to the Company, other than any licensor to the Company of such Company Intellectual Property.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3" w:name="page14"/>
    <w:bookmarkEnd w:id="13"/>
    <w:p>
      <w:pPr>
        <w:ind w:right="80" w:firstLine="443"/>
        <w:spacing w:after="0" w:line="255" w:lineRule="auto"/>
        <w:tabs>
          <w:tab w:leader="none" w:pos="73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Patents and Patent Applications</w:t>
      </w:r>
      <w:r>
        <w:rPr>
          <w:rFonts w:ascii="Arial" w:cs="Arial" w:eastAsia="Arial" w:hAnsi="Arial"/>
          <w:sz w:val="18"/>
          <w:szCs w:val="18"/>
          <w:color w:val="auto"/>
        </w:rPr>
        <w:t>. All patents and patent applications owned by or licensed to the Company or under which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85" w:lineRule="exact"/>
        <w:rPr>
          <w:rFonts w:ascii="Arial" w:cs="Arial" w:eastAsia="Arial" w:hAnsi="Arial"/>
          <w:sz w:val="18"/>
          <w:szCs w:val="18"/>
          <w:color w:val="auto"/>
        </w:rPr>
      </w:pPr>
    </w:p>
    <w:p>
      <w:pPr>
        <w:ind w:right="20" w:firstLine="443"/>
        <w:spacing w:after="0" w:line="259"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240" w:firstLine="443"/>
        <w:spacing w:after="0" w:line="259"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Shares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w:t>
      </w:r>
    </w:p>
    <w:p>
      <w:pPr>
        <w:spacing w:after="0" w:line="78" w:lineRule="exact"/>
        <w:rPr>
          <w:rFonts w:ascii="Arial" w:cs="Arial" w:eastAsia="Arial" w:hAnsi="Arial"/>
          <w:sz w:val="18"/>
          <w:szCs w:val="18"/>
          <w:color w:val="auto"/>
        </w:rPr>
      </w:pPr>
    </w:p>
    <w:p>
      <w:pPr>
        <w:ind w:right="240" w:firstLine="443"/>
        <w:spacing w:after="0" w:line="297" w:lineRule="auto"/>
        <w:tabs>
          <w:tab w:leader="none" w:pos="68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filed all tax returns that are required to have been filed by them pursuant to applicable state,</w:t>
      </w:r>
      <w:r>
        <w:rPr>
          <w:rFonts w:ascii="Arial" w:cs="Arial" w:eastAsia="Arial" w:hAnsi="Arial"/>
          <w:sz w:val="16"/>
          <w:szCs w:val="16"/>
          <w:i w:val="1"/>
          <w:iCs w:val="1"/>
          <w:color w:val="auto"/>
        </w:rPr>
        <w:t xml:space="preserve"> </w:t>
      </w:r>
      <w:r>
        <w:rPr>
          <w:rFonts w:ascii="Arial" w:cs="Arial" w:eastAsia="Arial" w:hAnsi="Arial"/>
          <w:sz w:val="16"/>
          <w:szCs w:val="16"/>
          <w:color w:val="auto"/>
        </w:rPr>
        <w:t>local or foreign law and have paid all taxes shown thereon or otherwise assessed, which are due and payable, except assessments which are being contested in good faith and as to which adequate reserves in accordance with GAAP have been provided; and except as otherwise disclosed in the Registration Statement, the Pricing Disclosure Package and the Prospectus, there is no material tax deficiency that has been, or would reasonably be expected to be, asserted against the Company or any of its subsidiaries or any of their respective properties or assets.</w:t>
      </w:r>
    </w:p>
    <w:p>
      <w:pPr>
        <w:spacing w:after="0" w:line="50" w:lineRule="exact"/>
        <w:rPr>
          <w:sz w:val="20"/>
          <w:szCs w:val="20"/>
          <w:color w:val="auto"/>
        </w:rPr>
      </w:pPr>
    </w:p>
    <w:p>
      <w:pPr>
        <w:ind w:firstLine="443"/>
        <w:spacing w:after="0" w:line="269" w:lineRule="auto"/>
        <w:tabs>
          <w:tab w:leader="none" w:pos="763"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applicable licenses, certificates, permits and other authorizations issued</w:t>
      </w:r>
      <w:r>
        <w:rPr>
          <w:rFonts w:ascii="Arial" w:cs="Arial" w:eastAsia="Arial" w:hAnsi="Arial"/>
          <w:sz w:val="17"/>
          <w:szCs w:val="17"/>
          <w:i w:val="1"/>
          <w:iCs w:val="1"/>
          <w:color w:val="auto"/>
        </w:rPr>
        <w:t xml:space="preserve"> </w:t>
      </w:r>
      <w:r>
        <w:rPr>
          <w:rFonts w:ascii="Arial" w:cs="Arial" w:eastAsia="Arial" w:hAnsi="Arial"/>
          <w:sz w:val="17"/>
          <w:szCs w:val="17"/>
          <w:color w:val="auto"/>
        </w:rPr>
        <w:t>by, and have made any necessary declarations and filings with, the appropriate and applicable federal, state, local or foreign governmental or regulatory authorities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have a Material Adverse Effect; and except as described in the Registration Statement, the Pricing Disclosure Package and the Prospectus, neither the Company nor any of its subsidiaries has received, or, to the knowledge of the Company, other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to have a Material Adverse Effect. Except as described in the Registration Statement, the Pricing Disclosure Package and the Prospectus, as applicable, the Company and its subsidiaries (i) are, and at all times have been, in compliance with all statutes, rules and regulations applicable to the ownership, testing,</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manufacture, packaging, processing, use, distribution, storage, import, export or disposal of any product candidates of the Company or its subsidiaries that are described or referred to in the Registration Statement, the Pricing Disclosure Package and the Prospectus (“Product Candidate Applicable Laws”), except where such noncompliance would not, individually or in the aggregate, reasonably be expected to have a Material Adverse Effect and (ii) have not received any U.S. Food and Drug Administration (“FDA”) Form 483, written notice of adverse finding, warning letter, untitled letter or other correspondence or written notice from any court or arbitrator or governmental or regulatory authority alleging or asserting substantial non-compliance with (x) any Product Candidate Applicable Laws or (y) any licenses, exemptions, certificates, approvals, clearances, authorizations, permits and supplements or amendments thereto required by any such Product Candidate Applicable Laws.</w:t>
      </w:r>
    </w:p>
    <w:p>
      <w:pPr>
        <w:spacing w:after="0" w:line="59" w:lineRule="exact"/>
        <w:rPr>
          <w:sz w:val="20"/>
          <w:szCs w:val="20"/>
          <w:color w:val="auto"/>
        </w:rPr>
      </w:pPr>
    </w:p>
    <w:p>
      <w:pPr>
        <w:ind w:right="40" w:firstLine="443"/>
        <w:spacing w:after="0" w:line="312" w:lineRule="auto"/>
        <w:tabs>
          <w:tab w:leader="none" w:pos="78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No Labor Disputes. </w:t>
      </w:r>
      <w:r>
        <w:rPr>
          <w:rFonts w:ascii="Arial" w:cs="Arial" w:eastAsia="Arial" w:hAnsi="Arial"/>
          <w:sz w:val="16"/>
          <w:szCs w:val="16"/>
          <w:color w:val="auto"/>
        </w:rPr>
        <w:t>No labor disturbance by or dispute with employees of the Company or any of its subsidiaries exists 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w:t>
      </w:r>
    </w:p>
    <w:p>
      <w:pPr>
        <w:spacing w:after="0" w:line="38" w:lineRule="exact"/>
        <w:rPr>
          <w:rFonts w:ascii="Arial" w:cs="Arial" w:eastAsia="Arial" w:hAnsi="Arial"/>
          <w:sz w:val="16"/>
          <w:szCs w:val="16"/>
          <w:color w:val="auto"/>
        </w:rPr>
      </w:pPr>
    </w:p>
    <w:p>
      <w:pPr>
        <w:ind w:right="100" w:firstLine="443"/>
        <w:spacing w:after="0" w:line="283" w:lineRule="auto"/>
        <w:tabs>
          <w:tab w:leader="none" w:pos="76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and Liability under Environmental Laws. </w:t>
      </w:r>
      <w:r>
        <w:rPr>
          <w:rFonts w:ascii="Arial" w:cs="Arial" w:eastAsia="Arial" w:hAnsi="Arial"/>
          <w:sz w:val="16"/>
          <w:szCs w:val="16"/>
          <w:color w:val="auto"/>
        </w:rPr>
        <w:t>(i) The Company and its subsidiaries (a) are, and during the past five (5) years</w:t>
      </w:r>
      <w:r>
        <w:rPr>
          <w:rFonts w:ascii="Arial" w:cs="Arial" w:eastAsia="Arial" w:hAnsi="Arial"/>
          <w:sz w:val="16"/>
          <w:szCs w:val="16"/>
          <w:i w:val="1"/>
          <w:iCs w:val="1"/>
          <w:color w:val="auto"/>
        </w:rPr>
        <w:t xml:space="preserve"> </w:t>
      </w:r>
      <w:r>
        <w:rPr>
          <w:rFonts w:ascii="Arial" w:cs="Arial" w:eastAsia="Arial" w:hAnsi="Arial"/>
          <w:sz w:val="16"/>
          <w:szCs w:val="16"/>
          <w:color w:val="auto"/>
        </w:rPr>
        <w:t>were, in 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generation, storage, treatment, use, handling, transportation, Release (as defined below) or threat of Release of Hazardous Materials (as defined below) (collectively, “Environmental Laws”), (b) have received and are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the Registration Statement, the Pricing Disclosure Package and the Prospectus,</w:t>
      </w:r>
    </w:p>
    <w:p>
      <w:pPr>
        <w:spacing w:after="0" w:line="3" w:lineRule="exact"/>
        <w:rPr>
          <w:rFonts w:ascii="Arial" w:cs="Arial" w:eastAsia="Arial" w:hAnsi="Arial"/>
          <w:sz w:val="16"/>
          <w:szCs w:val="16"/>
          <w:color w:val="auto"/>
        </w:rPr>
      </w:pPr>
    </w:p>
    <w:p>
      <w:pPr>
        <w:ind w:right="20" w:firstLine="4"/>
        <w:spacing w:after="0" w:line="270" w:lineRule="auto"/>
        <w:tabs>
          <w:tab w:leader="none" w:pos="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are no proceedings that are pending, or that are known by the Company to be contemplated, against the Company or any of its subsidiaries under any Environmental Laws in which a governmental entity is also a party, other than such proceedings regarding which it is reasonably believed no monetary sanctions of $100,000 or more will be imposed against the Company of any of its subsidiaries, (B) to the knowledge of the Company, there are no facts or issues regarding compliance with Environmental Laws, or liabilities or other obligations under Environmental Laws, including the Release or threat of Release of Hazardous Materials, that would reasonably be expected to have a Material Adverse Effect, and (C) none of the Company and its subsidiaries anticipates material capital expenditures relating to any Environmental Laws.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5" w:name="page16"/>
    <w:bookmarkEnd w:id="15"/>
    <w:p>
      <w:pPr>
        <w:ind w:right="100" w:firstLine="443"/>
        <w:spacing w:after="0" w:line="287" w:lineRule="auto"/>
        <w:tabs>
          <w:tab w:leader="none" w:pos="783"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Hazardous Materials</w:t>
      </w:r>
      <w:r>
        <w:rPr>
          <w:rFonts w:ascii="Arial" w:cs="Arial" w:eastAsia="Arial" w:hAnsi="Arial"/>
          <w:sz w:val="16"/>
          <w:szCs w:val="16"/>
          <w:color w:val="auto"/>
        </w:rPr>
        <w:t>. There has been no storage, generation, transportation, use, handling, treatment, Release or threat of Release of</w:t>
      </w:r>
      <w:r>
        <w:rPr>
          <w:rFonts w:ascii="Arial" w:cs="Arial" w:eastAsia="Arial" w:hAnsi="Arial"/>
          <w:sz w:val="16"/>
          <w:szCs w:val="16"/>
          <w:i w:val="1"/>
          <w:iCs w:val="1"/>
          <w:color w:val="auto"/>
        </w:rPr>
        <w:t xml:space="preserve"> </w:t>
      </w:r>
      <w:r>
        <w:rPr>
          <w:rFonts w:ascii="Arial" w:cs="Arial" w:eastAsia="Arial" w:hAnsi="Arial"/>
          <w:sz w:val="16"/>
          <w:szCs w:val="16"/>
          <w:color w:val="auto"/>
        </w:rPr>
        <w:t>Hazardous 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to the knowledge of the Company, previously owned, operated or leased by the Company or any of its subsidiaries, or, to the knowledge of the Company, at, on, under or from any other property or facility, in violation of any Environmental Laws or in a manner or amount or to a location that would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would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60" w:lineRule="exact"/>
        <w:rPr>
          <w:rFonts w:ascii="Arial" w:cs="Arial" w:eastAsia="Arial" w:hAnsi="Arial"/>
          <w:sz w:val="16"/>
          <w:szCs w:val="16"/>
          <w:color w:val="auto"/>
        </w:rPr>
      </w:pPr>
    </w:p>
    <w:p>
      <w:pPr>
        <w:ind w:firstLine="443"/>
        <w:spacing w:after="0" w:line="283" w:lineRule="auto"/>
        <w:tabs>
          <w:tab w:leader="none" w:pos="763"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ERISA. </w:t>
      </w:r>
      <w:r>
        <w:rPr>
          <w:rFonts w:ascii="Arial" w:cs="Arial" w:eastAsia="Arial" w:hAnsi="Arial"/>
          <w:sz w:val="16"/>
          <w:szCs w:val="16"/>
          <w:color w:val="auto"/>
        </w:rPr>
        <w:t>(i) Each employee benefit plan, within the meaning of Section 3(3) of the Employee Retirement Income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“Code”)) would have any liability (each, a “</w:t>
      </w:r>
      <w:r>
        <w:rPr>
          <w:rFonts w:ascii="Arial" w:cs="Arial" w:eastAsia="Arial" w:hAnsi="Arial"/>
          <w:sz w:val="16"/>
          <w:szCs w:val="16"/>
          <w:u w:val="single" w:color="auto"/>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except for noncompliance that could not reasonably be expected to result in material liability to the Company or its subsidiaries; (ii) no prohibited transaction, within the meaning of Section 406 of ERISA or Section 4975 of the Code, has occurred with respect to any Plan excluding transactions effected pursuant to a statutory or administrative exemption that could reasonably be expected to result in material liability to the Company or its subsidiaries; (iii) for each Plan that is subject to the funding rules of Section 412 of the Code or Section 302 of ERISA, the minimum funding standard of Section 412 of the Code or Section 302 of ERISA, as applicable, has been satisfied (without taking into account any waiver thereof or extension of any amortization period) and is reasonably expected to be satisfied in the future (without taking into account any waiver thereof or extension of any amortization period); (iv) the fair market value of the assets of each Plan that is subject to the funding rules of Section 412 of the Code on Section 302 of ERISA exceeds the present value of all benefits accrued under such Plan (determined based on those assumptions used to fund such Plan); (v) no “reportable event” (within the meaning of Section 4043(c) of ERISA) has occurred or is reasonably expected to occur that either has resulted, or could reasonably be expected to result, in material liability to the Company or its subsidiaries;</w:t>
      </w:r>
    </w:p>
    <w:p>
      <w:pPr>
        <w:spacing w:after="0" w:line="2" w:lineRule="exact"/>
        <w:rPr>
          <w:rFonts w:ascii="Arial" w:cs="Arial" w:eastAsia="Arial" w:hAnsi="Arial"/>
          <w:sz w:val="16"/>
          <w:szCs w:val="16"/>
          <w:color w:val="auto"/>
        </w:rPr>
      </w:pPr>
    </w:p>
    <w:p>
      <w:pPr>
        <w:ind w:right="20" w:firstLine="4"/>
        <w:spacing w:after="0" w:line="252"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nor any member of the Controlled Group has incurred, nor reasonably expects to incur, any liability under Title IV of ERISA (other than contributions to the Plan or premiums to the PBGC, in the ordinary course and without default) in respect of a Plan (including a “multiemployer plan”, within the meaning of Section 4001(a)(3) of ERISA); and (vii)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 None of the following events has occurred or, to the knowledge of the Company, is reasonably likely to occur: (x) a material increase in the aggregate amount of contributions required to be made to all Plans by the Company or its subsidiaries in the current fiscal year of the Company and its subsidiaries compared to the amount of such</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contributions made in the Company and its subsidiaries’ most recently completed fiscal year; or (y) an increase that is material to the Company and its subsidiaries, taken as a whole, in the Company and its subsidiaries’ “accumulated post-retirement benefit obligations” (within the meaning of Statement of Financial Accounting Standards 106) compared to the amount of such obligations in the Company and its subsidiaries’ most recently completed fiscal year.</w:t>
      </w:r>
    </w:p>
    <w:p>
      <w:pPr>
        <w:spacing w:after="0" w:line="79" w:lineRule="exact"/>
        <w:rPr>
          <w:sz w:val="20"/>
          <w:szCs w:val="20"/>
          <w:color w:val="auto"/>
        </w:rPr>
      </w:pPr>
    </w:p>
    <w:p>
      <w:pPr>
        <w:ind w:right="180" w:firstLine="443"/>
        <w:spacing w:after="0" w:line="255"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and its subsidiaries maintain an effective system of “disclosure controls and procedures”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required by Rule 13a-15 of the Exchange Act.</w:t>
      </w:r>
    </w:p>
    <w:p>
      <w:pPr>
        <w:spacing w:after="0" w:line="81" w:lineRule="exact"/>
        <w:rPr>
          <w:rFonts w:ascii="Arial" w:cs="Arial" w:eastAsia="Arial" w:hAnsi="Arial"/>
          <w:sz w:val="18"/>
          <w:szCs w:val="18"/>
          <w:color w:val="auto"/>
        </w:rPr>
      </w:pPr>
    </w:p>
    <w:p>
      <w:pPr>
        <w:ind w:firstLine="443"/>
        <w:spacing w:after="0" w:line="285" w:lineRule="auto"/>
        <w:tabs>
          <w:tab w:leader="none" w:pos="78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 Rule</w:t>
      </w:r>
      <w:r>
        <w:rPr>
          <w:rFonts w:ascii="Arial" w:cs="Arial" w:eastAsia="Arial" w:hAnsi="Arial"/>
          <w:sz w:val="16"/>
          <w:szCs w:val="16"/>
          <w:i w:val="1"/>
          <w:iCs w:val="1"/>
          <w:color w:val="auto"/>
        </w:rPr>
        <w:t xml:space="preserve"> </w:t>
      </w:r>
      <w:r>
        <w:rPr>
          <w:rFonts w:ascii="Arial" w:cs="Arial" w:eastAsia="Arial" w:hAnsi="Arial"/>
          <w:sz w:val="16"/>
          <w:szCs w:val="16"/>
          <w:color w:val="auto"/>
        </w:rPr>
        <w:t>13a-15(f) of the Exchange Act) that have been designed to comply with the requirements of the Exchange Act and have been designed by, or under the supervision of, its principal executive and principal financial officer,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Based on the Company’s most recent evaluation of its internal control over financial reporting pursuant to Rule 13a-15(c) of the Exchange Act, except as disclosed in the Registration Statement, the Pricing Disclosure Package and the Prospectus, there are no material weaknesses in the Company’s internal control over financial reporting.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to the knowledge of the Company, any fraud, whether or not material, that involves management or other employees who have a significant role in the Company’s internal control over financial reporting.</w:t>
      </w:r>
    </w:p>
    <w:p>
      <w:pPr>
        <w:spacing w:after="0" w:line="67" w:lineRule="exact"/>
        <w:rPr>
          <w:rFonts w:ascii="Arial" w:cs="Arial" w:eastAsia="Arial" w:hAnsi="Arial"/>
          <w:sz w:val="16"/>
          <w:szCs w:val="16"/>
          <w:color w:val="auto"/>
        </w:rPr>
      </w:pPr>
    </w:p>
    <w:p>
      <w:pPr>
        <w:ind w:right="200" w:firstLine="443"/>
        <w:spacing w:after="0" w:line="264" w:lineRule="auto"/>
        <w:tabs>
          <w:tab w:leader="none" w:pos="78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eXtensible Business Reporting Language. </w:t>
      </w:r>
      <w:r>
        <w:rPr>
          <w:rFonts w:ascii="Arial" w:cs="Arial" w:eastAsia="Arial" w:hAnsi="Arial"/>
          <w:sz w:val="18"/>
          <w:szCs w:val="18"/>
          <w:color w:val="auto"/>
        </w:rPr>
        <w:t>The interactive data in eXtensible Business Reporting Language included or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74" w:right="239" w:bottom="1440" w:gutter="0" w:footer="0" w:header="0"/>
        </w:sectPr>
      </w:pPr>
    </w:p>
    <w:bookmarkStart w:id="17" w:name="page18"/>
    <w:bookmarkEnd w:id="17"/>
    <w:p>
      <w:pPr>
        <w:ind w:firstLine="443"/>
        <w:spacing w:after="0" w:line="272" w:lineRule="auto"/>
        <w:tabs>
          <w:tab w:leader="none" w:pos="703"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Insurance. </w:t>
      </w:r>
      <w:r>
        <w:rPr>
          <w:rFonts w:ascii="Arial" w:cs="Arial" w:eastAsia="Arial" w:hAnsi="Arial"/>
          <w:sz w:val="17"/>
          <w:szCs w:val="17"/>
          <w:color w:val="auto"/>
        </w:rPr>
        <w:t>The Company and its subsidiaries have insurance covering their respective properties, operations, personnel and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business interruption insurance, which insurance is in amounts and insures against such losses and risks as are generally maintained by companies engaged in the same or similar business and which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69" w:lineRule="exact"/>
        <w:rPr>
          <w:rFonts w:ascii="Arial" w:cs="Arial" w:eastAsia="Arial" w:hAnsi="Arial"/>
          <w:sz w:val="17"/>
          <w:szCs w:val="17"/>
          <w:color w:val="auto"/>
        </w:rPr>
      </w:pPr>
    </w:p>
    <w:p>
      <w:pPr>
        <w:jc w:val="both"/>
        <w:ind w:right="180" w:firstLine="443"/>
        <w:spacing w:after="0" w:line="288" w:lineRule="auto"/>
        <w:tabs>
          <w:tab w:leader="none" w:pos="703"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employee, or affiliate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its subsidiaries, to the knowledge of the Company, any agent or other person associated with or acting on behalf of the Company or any of its subsidiaries has (i) used any corporate funds for any unlawful contribution, gift, entertainment or other unlawful expense relating to political activity;</w:t>
      </w:r>
    </w:p>
    <w:p>
      <w:pPr>
        <w:ind w:right="300" w:firstLine="4"/>
        <w:spacing w:after="0" w:line="281"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Arial" w:cs="Arial" w:eastAsia="Arial" w:hAnsi="Arial"/>
          <w:sz w:val="16"/>
          <w:szCs w:val="16"/>
          <w:color w:val="auto"/>
        </w:rPr>
      </w:pPr>
    </w:p>
    <w:p>
      <w:pPr>
        <w:ind w:right="60" w:firstLine="4"/>
        <w:spacing w:after="0" w:line="26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and the representation and warranty contained herein.</w:t>
      </w:r>
    </w:p>
    <w:p>
      <w:pPr>
        <w:spacing w:after="0" w:line="72" w:lineRule="exact"/>
        <w:rPr>
          <w:rFonts w:ascii="Arial" w:cs="Arial" w:eastAsia="Arial" w:hAnsi="Arial"/>
          <w:sz w:val="17"/>
          <w:szCs w:val="17"/>
          <w:color w:val="auto"/>
        </w:rPr>
      </w:pPr>
    </w:p>
    <w:p>
      <w:pPr>
        <w:ind w:right="80" w:firstLine="443"/>
        <w:spacing w:after="0" w:line="255" w:lineRule="auto"/>
        <w:tabs>
          <w:tab w:leader="none" w:pos="78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Compliance with Money Laundering Laws</w:t>
      </w:r>
      <w:r>
        <w:rPr>
          <w:rFonts w:ascii="Arial" w:cs="Arial" w:eastAsia="Arial" w:hAnsi="Arial"/>
          <w:sz w:val="18"/>
          <w:szCs w:val="18"/>
          <w:color w:val="auto"/>
        </w:rPr>
        <w:t>. The operations of the Company and its subsidiaries are and have been conducted at all times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1" w:lineRule="exact"/>
        <w:rPr>
          <w:rFonts w:ascii="Arial" w:cs="Arial" w:eastAsia="Arial" w:hAnsi="Arial"/>
          <w:sz w:val="18"/>
          <w:szCs w:val="18"/>
          <w:color w:val="auto"/>
        </w:rPr>
      </w:pPr>
    </w:p>
    <w:p>
      <w:pPr>
        <w:ind w:right="320" w:firstLine="443"/>
        <w:spacing w:after="0" w:line="276" w:lineRule="auto"/>
        <w:tabs>
          <w:tab w:leader="none" w:pos="703"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employees or affiliates, nor,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the Company, any agent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Nations Security Council (“UNSC”), the European Union, Her Majesty’s Treasury (“HMT”), or other relevant sanctions authority (collectively, “Sanctions”), nor is the Company, or any of its subsidiaries located, organized or resident in a country or territory that is the subject or the target of Sanctions, including, without limitation, Cuba, Burma (Myanmar), Iran, North Korea, Sudan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initial purchaser, advisor, investor or otherwise) of Sanctions. For the past five (5) years,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70" w:lineRule="exact"/>
        <w:rPr>
          <w:sz w:val="20"/>
          <w:szCs w:val="20"/>
          <w:color w:val="auto"/>
        </w:rPr>
      </w:pPr>
    </w:p>
    <w:p>
      <w:pPr>
        <w:ind w:right="60" w:firstLine="443"/>
        <w:spacing w:after="0" w:line="259" w:lineRule="auto"/>
        <w:tabs>
          <w:tab w:leader="none" w:pos="8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78" w:lineRule="exact"/>
        <w:rPr>
          <w:rFonts w:ascii="Arial" w:cs="Arial" w:eastAsia="Arial" w:hAnsi="Arial"/>
          <w:sz w:val="18"/>
          <w:szCs w:val="18"/>
          <w:color w:val="auto"/>
        </w:rPr>
      </w:pPr>
    </w:p>
    <w:p>
      <w:pPr>
        <w:ind w:right="260" w:firstLine="443"/>
        <w:spacing w:after="0" w:line="264" w:lineRule="auto"/>
        <w:tabs>
          <w:tab w:leader="none" w:pos="7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Shares.</w:t>
      </w:r>
    </w:p>
    <w:p>
      <w:pPr>
        <w:spacing w:after="0" w:line="73" w:lineRule="exact"/>
        <w:rPr>
          <w:rFonts w:ascii="Arial" w:cs="Arial" w:eastAsia="Arial" w:hAnsi="Arial"/>
          <w:sz w:val="18"/>
          <w:szCs w:val="18"/>
          <w:color w:val="auto"/>
        </w:rPr>
      </w:pPr>
    </w:p>
    <w:p>
      <w:pPr>
        <w:ind w:right="80" w:firstLine="443"/>
        <w:spacing w:after="0" w:line="308" w:lineRule="auto"/>
        <w:tabs>
          <w:tab w:leader="none" w:pos="78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Shares.</w:t>
      </w:r>
    </w:p>
    <w:p>
      <w:pPr>
        <w:spacing w:after="0" w:line="38" w:lineRule="exact"/>
        <w:rPr>
          <w:rFonts w:ascii="Arial" w:cs="Arial" w:eastAsia="Arial" w:hAnsi="Arial"/>
          <w:sz w:val="17"/>
          <w:szCs w:val="17"/>
          <w:color w:val="auto"/>
        </w:rPr>
      </w:pPr>
    </w:p>
    <w:p>
      <w:pPr>
        <w:ind w:right="60" w:firstLine="443"/>
        <w:spacing w:after="0" w:line="277" w:lineRule="auto"/>
        <w:tabs>
          <w:tab w:leader="none" w:pos="7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any action designed to or that would reasonably be expected to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any stabilization or manipulation of the price of the Shares.</w:t>
      </w:r>
    </w:p>
    <w:p>
      <w:pPr>
        <w:spacing w:after="0" w:line="62" w:lineRule="exact"/>
        <w:rPr>
          <w:rFonts w:ascii="Arial" w:cs="Arial" w:eastAsia="Arial" w:hAnsi="Arial"/>
          <w:sz w:val="18"/>
          <w:szCs w:val="18"/>
          <w:color w:val="auto"/>
        </w:rPr>
      </w:pPr>
    </w:p>
    <w:p>
      <w:pPr>
        <w:jc w:val="both"/>
        <w:ind w:right="200" w:firstLine="443"/>
        <w:spacing w:after="0" w:line="264" w:lineRule="auto"/>
        <w:tabs>
          <w:tab w:leader="none" w:pos="7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The application of the proceeds received by the Company from the issuance, sale and delivery of the Shares as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will not violate Regulation T, U or X of the Board of Governors of the Federal Reserve System or any other regulation of such Board of Governors.</w:t>
      </w:r>
    </w:p>
    <w:p>
      <w:pPr>
        <w:spacing w:after="0" w:line="73" w:lineRule="exact"/>
        <w:rPr>
          <w:rFonts w:ascii="Arial" w:cs="Arial" w:eastAsia="Arial" w:hAnsi="Arial"/>
          <w:sz w:val="18"/>
          <w:szCs w:val="18"/>
          <w:color w:val="auto"/>
        </w:rPr>
      </w:pPr>
    </w:p>
    <w:p>
      <w:pPr>
        <w:ind w:firstLine="443"/>
        <w:spacing w:after="0" w:line="264" w:lineRule="auto"/>
        <w:tabs>
          <w:tab w:leader="none" w:pos="72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60" w:firstLine="443"/>
        <w:spacing w:after="0" w:line="264" w:lineRule="auto"/>
        <w:tabs>
          <w:tab w:leader="none" w:pos="74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the Registration Statement, the Pricing Disclosure Package and the Prospectus is not based on or derived from sources that are reliable and accurate in all material respects.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74" w:right="259" w:bottom="1440" w:gutter="0" w:footer="0" w:header="0"/>
        </w:sectPr>
      </w:pPr>
    </w:p>
    <w:bookmarkStart w:id="19" w:name="page20"/>
    <w:bookmarkEnd w:id="19"/>
    <w:p>
      <w:pPr>
        <w:ind w:firstLine="443"/>
        <w:spacing w:after="0" w:line="285" w:lineRule="auto"/>
        <w:tabs>
          <w:tab w:leader="none" w:pos="70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Tests, Studies and Clinical Trials</w:t>
      </w:r>
      <w:r>
        <w:rPr>
          <w:rFonts w:ascii="Arial" w:cs="Arial" w:eastAsia="Arial" w:hAnsi="Arial"/>
          <w:sz w:val="16"/>
          <w:szCs w:val="16"/>
          <w:color w:val="auto"/>
        </w:rPr>
        <w:t>. To the Company’s knowledge, the tests, nonclinical and clinical studies and clinical trials that are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Registration Statement, the Pricing Disclosure Package and the Prospectus (the “Company Studies and Trials”) were and, if still pending, are being, conducted in all material respects in substantial compliance with the protocols, including the protocols submitted to the U.S. Food and Drug Administration (the “FDA”) or any foreign governmental body exercising comparable authority, procedures and controls pursuant to, where applicable, accepted professional and scientific standards, and any applicable laws and regulations; the descriptions of the tests, nonclinical and clinical studies and clinical trials conducted by or, to the Company’s knowledge, on behalf of the Company with respect to the Company’s product candidates, and the results thereof, contained in the Registration Statement, the Pricing Disclosure Package and the Prospectus are accurate and complete in all material respects; the Company is not aware of any other tests, nonclinical or clinical studies or clinical trials, the results of which reasonably call into question the results described in the Registration Statement, the Pricing Disclosure Package and the Prospectus; and, except as may be described in the Registration Statement, the Pricing Disclosure Package and the Prospectus, the Company has not received any notices or correspondence from the FDA, any foreign, state or local governmental body exercising comparable authority or any Institutional Review Board requiring the termination, suspension, material modification or clinical hold of any clinical trials conducted by or on behalf of the Company, which termination, suspension, material modification or clinical hold would reasonably be expected to have a Material Adverse Effect and, to the Company’s knowledge, there is no reasonable grounds for the same. The Company has obtained (or caused to be obtained) informed consent by or on behalf of each human subject who participated in the Company Studies and Trials. In using or disclosing patient information received by the Company in connection with the Company Studies and Trials, the Company has complied in all material respects with all applicable laws and regulatory rules or requirements, including, without limitation, the Health Insurance Portability and Accountability Act of 1996 and the rules and regulations thereunder.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276" w:lineRule="exact"/>
        <w:rPr>
          <w:rFonts w:ascii="Arial" w:cs="Arial" w:eastAsia="Arial" w:hAnsi="Arial"/>
          <w:sz w:val="16"/>
          <w:szCs w:val="16"/>
          <w:color w:val="auto"/>
        </w:rPr>
      </w:pPr>
    </w:p>
    <w:p>
      <w:pPr>
        <w:ind w:right="80" w:firstLine="443"/>
        <w:spacing w:after="0" w:line="297" w:lineRule="auto"/>
        <w:tabs>
          <w:tab w:leader="none" w:pos="78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Regulatory Filings</w:t>
      </w:r>
      <w:r>
        <w:rPr>
          <w:rFonts w:ascii="Arial" w:cs="Arial" w:eastAsia="Arial" w:hAnsi="Arial"/>
          <w:sz w:val="16"/>
          <w:szCs w:val="16"/>
          <w:color w:val="auto"/>
        </w:rPr>
        <w:t>. The Company has not failed to file with the Regulatory Authorities any material and required filing, declaration,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or submission with respect to the Company’s product candidates that are described or referred to in the Registration Statement, the Pricing Disclosure Package and the Prospectus; all such material and required filings, declarations, listings, registrations, reports or submissions were in substantial compliance with applicable laws when filed; and no material deficiencies regarding compliance with applicable law have been asserted by any applicable regulatory authority with respect to any such material and required filings, declarations, listing, registrations, reports or submissions.</w:t>
      </w:r>
    </w:p>
    <w:p>
      <w:pPr>
        <w:spacing w:after="0" w:line="50" w:lineRule="exact"/>
        <w:rPr>
          <w:rFonts w:ascii="Arial" w:cs="Arial" w:eastAsia="Arial" w:hAnsi="Arial"/>
          <w:sz w:val="16"/>
          <w:szCs w:val="16"/>
          <w:color w:val="auto"/>
        </w:rPr>
      </w:pPr>
    </w:p>
    <w:p>
      <w:pPr>
        <w:ind w:right="200" w:firstLine="443"/>
        <w:spacing w:after="0" w:line="312" w:lineRule="auto"/>
        <w:tabs>
          <w:tab w:leader="none" w:pos="78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to the knowledge of the Company,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38" w:lineRule="exact"/>
        <w:rPr>
          <w:rFonts w:ascii="Arial" w:cs="Arial" w:eastAsia="Arial" w:hAnsi="Arial"/>
          <w:sz w:val="16"/>
          <w:szCs w:val="16"/>
          <w:color w:val="auto"/>
        </w:rPr>
      </w:pPr>
    </w:p>
    <w:p>
      <w:pPr>
        <w:ind w:right="100" w:firstLine="443"/>
        <w:spacing w:after="0" w:line="312" w:lineRule="auto"/>
        <w:tabs>
          <w:tab w:leader="none" w:pos="86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Status under the Securities Act</w:t>
      </w:r>
      <w:r>
        <w:rPr>
          <w:rFonts w:ascii="Arial" w:cs="Arial" w:eastAsia="Arial" w:hAnsi="Arial"/>
          <w:sz w:val="16"/>
          <w:szCs w:val="16"/>
          <w:color w:val="auto"/>
        </w:rPr>
        <w:t>. At the time of filing the Registration Statement and any post-effective amendment thereto, at the earliest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74" w:right="259" w:bottom="1440" w:gutter="0" w:footer="0" w:header="0"/>
        </w:sectPr>
      </w:pPr>
    </w:p>
    <w:bookmarkStart w:id="20" w:name="page21"/>
    <w:bookmarkEnd w:id="20"/>
    <w:p>
      <w:pPr>
        <w:ind w:right="120" w:firstLine="443"/>
        <w:spacing w:after="0" w:line="277" w:lineRule="auto"/>
        <w:tabs>
          <w:tab w:leader="none" w:pos="783"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Ratings</w:t>
      </w:r>
      <w:r>
        <w:rPr>
          <w:rFonts w:ascii="Arial" w:cs="Arial" w:eastAsia="Arial" w:hAnsi="Arial"/>
          <w:sz w:val="18"/>
          <w:szCs w:val="18"/>
          <w:color w:val="auto"/>
        </w:rPr>
        <w:t>. There are (and prior to the Closing Date, will be) no debt securities by a “nationally recognized statistical rating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 is defined in Section 3(a)(2) of the Exchange Act.</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firstLine="443"/>
        <w:spacing w:after="0" w:line="291" w:lineRule="auto"/>
        <w:tabs>
          <w:tab w:leader="none" w:pos="683"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will file the final Prospectus with the Commission within the time periods specified by Rule 424(b)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430A, 430B or 430C under the Securities Act, will file any Issuer Free Writing Prospectus to the extent required by Rule 433 under the Securities Act, and will file promptly all reports and any definitive proxy or other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59" w:lineRule="exact"/>
        <w:rPr>
          <w:rFonts w:ascii="Arial" w:cs="Arial" w:eastAsia="Arial" w:hAnsi="Arial"/>
          <w:sz w:val="16"/>
          <w:szCs w:val="16"/>
          <w:color w:val="auto"/>
        </w:rPr>
      </w:pPr>
    </w:p>
    <w:p>
      <w:pPr>
        <w:ind w:right="80" w:firstLine="443"/>
        <w:spacing w:after="0" w:line="290" w:lineRule="auto"/>
        <w:tabs>
          <w:tab w:leader="none" w:pos="693"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two signed copies of the Registration Statement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58" w:lineRule="exact"/>
        <w:rPr>
          <w:rFonts w:ascii="Arial" w:cs="Arial" w:eastAsia="Arial" w:hAnsi="Arial"/>
          <w:sz w:val="16"/>
          <w:szCs w:val="16"/>
          <w:color w:val="auto"/>
        </w:rPr>
      </w:pPr>
    </w:p>
    <w:p>
      <w:pPr>
        <w:ind w:firstLine="443"/>
        <w:spacing w:after="0" w:line="257" w:lineRule="auto"/>
        <w:tabs>
          <w:tab w:leader="none" w:pos="68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Issuer Free Writing Prospectuses. </w:t>
      </w:r>
      <w:r>
        <w:rPr>
          <w:rFonts w:ascii="Arial" w:cs="Arial" w:eastAsia="Arial" w:hAnsi="Arial"/>
          <w:sz w:val="18"/>
          <w:szCs w:val="18"/>
          <w:color w:val="auto"/>
        </w:rPr>
        <w:t>Before using, authorizing, approving, referring to or filing any Issuer Free</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prepare, use, authorize, approve, refer to or file any such Issuer Free Writing Prospectus or file any such proposed amendment or supplement to which the Representatives reasonably object.</w:t>
      </w:r>
    </w:p>
    <w:p>
      <w:pPr>
        <w:spacing w:after="0" w:line="80" w:lineRule="exact"/>
        <w:rPr>
          <w:rFonts w:ascii="Arial" w:cs="Arial" w:eastAsia="Arial" w:hAnsi="Arial"/>
          <w:sz w:val="18"/>
          <w:szCs w:val="18"/>
          <w:color w:val="auto"/>
        </w:rPr>
      </w:pPr>
    </w:p>
    <w:p>
      <w:pPr>
        <w:ind w:right="140" w:firstLine="443"/>
        <w:spacing w:after="0" w:line="257" w:lineRule="auto"/>
        <w:tabs>
          <w:tab w:leader="none" w:pos="693"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Notice to the Representatives. </w:t>
      </w:r>
      <w:r>
        <w:rPr>
          <w:rFonts w:ascii="Arial" w:cs="Arial" w:eastAsia="Arial" w:hAnsi="Arial"/>
          <w:sz w:val="18"/>
          <w:szCs w:val="18"/>
          <w:color w:val="auto"/>
        </w:rPr>
        <w:t>The Company will advise the Representatives promptly, and confirm such advice in writing, (i) when any</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Registration Statement has been filed or becomes effective; (ii) when any supplement to the Prospectus, any Issuer Free Writing Prospectus, any Written Testing-the-Waters Communication or any amendment to the Prospectus has been filed or distributed; (iii) of any request by the Commission for any amendment to the Registration Statement or any amendment or supplement to the Prospectus or the receipt of any comments from the Commission relating to the Registration</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74" w:right="279" w:bottom="1440" w:gutter="0" w:footer="0" w:header="0"/>
        </w:sectPr>
      </w:pPr>
    </w:p>
    <w:bookmarkStart w:id="21" w:name="page22"/>
    <w:bookmarkEnd w:id="2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any other request by the Commission for any additional information including, but not limited to, any request for information concerning any Testing-the-Waters Communication; (iv)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 of the occurrence of any event or development within the Prospectus Delivery Period as a result of which the Prospectus,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Written Testing-the-Waters Communication is delivered to a purchaser, not misleading; and (vi)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64" w:lineRule="exact"/>
        <w:rPr>
          <w:sz w:val="20"/>
          <w:szCs w:val="20"/>
          <w:color w:val="auto"/>
        </w:rPr>
      </w:pPr>
    </w:p>
    <w:p>
      <w:pPr>
        <w:ind w:firstLine="443"/>
        <w:spacing w:after="0" w:line="267" w:lineRule="auto"/>
        <w:tabs>
          <w:tab w:leader="none" w:pos="68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22" w:name="page23"/>
    <w:bookmarkEnd w:id="22"/>
    <w:p>
      <w:pPr>
        <w:ind w:firstLine="443"/>
        <w:spacing w:after="0" w:line="257" w:lineRule="auto"/>
        <w:tabs>
          <w:tab w:leader="none" w:pos="663"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Blue Sky Compliance. </w:t>
      </w:r>
      <w:r>
        <w:rPr>
          <w:rFonts w:ascii="Arial" w:cs="Arial" w:eastAsia="Arial" w:hAnsi="Arial"/>
          <w:sz w:val="18"/>
          <w:szCs w:val="18"/>
          <w:color w:val="auto"/>
        </w:rPr>
        <w:t>The Company will qualify the Shares for offer and sale under the securities or Blue Sky laws of such jurisdictions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shall reasonably request and will continue such qualifications in effect so long as required for distribution of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0" w:lineRule="exact"/>
        <w:rPr>
          <w:rFonts w:ascii="Arial" w:cs="Arial" w:eastAsia="Arial" w:hAnsi="Arial"/>
          <w:sz w:val="18"/>
          <w:szCs w:val="18"/>
          <w:color w:val="auto"/>
        </w:rPr>
      </w:pPr>
    </w:p>
    <w:p>
      <w:pPr>
        <w:ind w:right="20" w:firstLine="443"/>
        <w:spacing w:after="0" w:line="288" w:lineRule="auto"/>
        <w:tabs>
          <w:tab w:leader="none" w:pos="693"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statement that satisfies the provisions of Section 11(a) of the Securities Act and Rule 158 of the Commission promulgated thereunder covering a period of at least twelve (12) months beginning with the first fiscal quarter of the Company occurring after the “effective date” (as defined in Rule</w:t>
      </w:r>
    </w:p>
    <w:p>
      <w:pPr>
        <w:ind w:right="240" w:firstLine="4"/>
        <w:spacing w:after="0" w:line="254" w:lineRule="auto"/>
        <w:tabs>
          <w:tab w:leader="none" w:pos="3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Registration Statement,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the Commission’s Electronic Data Gathering, Analysis and Retrieval system (“EDGAR”).</w:t>
      </w:r>
    </w:p>
    <w:p>
      <w:pPr>
        <w:spacing w:after="0" w:line="81" w:lineRule="exact"/>
        <w:rPr>
          <w:rFonts w:ascii="Arial" w:cs="Arial" w:eastAsia="Arial" w:hAnsi="Arial"/>
          <w:sz w:val="18"/>
          <w:szCs w:val="18"/>
          <w:color w:val="auto"/>
        </w:rPr>
      </w:pPr>
    </w:p>
    <w:p>
      <w:pPr>
        <w:ind w:firstLine="443"/>
        <w:spacing w:after="0" w:line="271" w:lineRule="auto"/>
        <w:tabs>
          <w:tab w:leader="none" w:pos="693"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60 days after the date of the Prospectus, the Company will not (i) offer, pledge, sell, contract to sell, sell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the Shares to be sold hereunder and any shares of Stock of the Company issued upon the exercise of options granted under Company Stock Plans.</w:t>
      </w:r>
    </w:p>
    <w:p>
      <w:pPr>
        <w:spacing w:after="0" w:line="70" w:lineRule="exact"/>
        <w:rPr>
          <w:rFonts w:ascii="Arial" w:cs="Arial" w:eastAsia="Arial" w:hAnsi="Arial"/>
          <w:sz w:val="17"/>
          <w:szCs w:val="17"/>
          <w:color w:val="auto"/>
        </w:rPr>
      </w:pPr>
    </w:p>
    <w:p>
      <w:pPr>
        <w:ind w:right="120" w:firstLine="443"/>
        <w:spacing w:after="0" w:line="277" w:lineRule="auto"/>
        <w:tabs>
          <w:tab w:leader="none" w:pos="653"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“Use of Proceeds”.</w:t>
      </w:r>
    </w:p>
    <w:p>
      <w:pPr>
        <w:spacing w:after="0" w:line="62" w:lineRule="exact"/>
        <w:rPr>
          <w:rFonts w:ascii="Arial" w:cs="Arial" w:eastAsia="Arial" w:hAnsi="Arial"/>
          <w:sz w:val="18"/>
          <w:szCs w:val="18"/>
          <w:color w:val="auto"/>
        </w:rPr>
      </w:pPr>
    </w:p>
    <w:p>
      <w:pPr>
        <w:ind w:right="40" w:firstLine="443"/>
        <w:spacing w:after="0" w:line="277" w:lineRule="auto"/>
        <w:tabs>
          <w:tab w:leader="none" w:pos="653"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without giving effect to activities by the Underwriters, any action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or that would reasonably be expected to cause or result in any stabilization or manipulation of the price of the Stock.</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 Company will use its best efforts to list for quotation the Shares on the Nasdaq Global Market (the “Nasdaq Market”).</w:t>
      </w:r>
    </w:p>
    <w:p>
      <w:pPr>
        <w:spacing w:after="0" w:line="140" w:lineRule="exact"/>
        <w:rPr>
          <w:rFonts w:ascii="Arial" w:cs="Arial" w:eastAsia="Arial" w:hAnsi="Arial"/>
          <w:sz w:val="16"/>
          <w:szCs w:val="16"/>
          <w:color w:val="auto"/>
        </w:rPr>
      </w:pPr>
    </w:p>
    <w:p>
      <w:pPr>
        <w:ind w:right="140" w:firstLine="443"/>
        <w:spacing w:after="0" w:line="257" w:lineRule="auto"/>
        <w:tabs>
          <w:tab w:leader="none" w:pos="653"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During a period of three (3) years from the date of this Agreement, the Company will furnish to the Representatives,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3" w:name="page24"/>
    <w:bookmarkEnd w:id="23"/>
    <w:p>
      <w:pPr>
        <w:ind w:left="440" w:right="220" w:firstLine="443"/>
        <w:spacing w:after="0" w:line="277" w:lineRule="auto"/>
        <w:tabs>
          <w:tab w:leader="none" w:pos="1183"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 Retention</w:t>
      </w:r>
      <w:r>
        <w:rPr>
          <w:rFonts w:ascii="Arial" w:cs="Arial" w:eastAsia="Arial" w:hAnsi="Arial"/>
          <w:sz w:val="18"/>
          <w:szCs w:val="18"/>
          <w:color w:val="auto"/>
        </w:rPr>
        <w:t>. The Company will, pursuant to reasonable procedures developed in good faith, retain copies of each Issuer Free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left="440" w:right="40" w:firstLine="443"/>
        <w:spacing w:after="0" w:line="264" w:lineRule="auto"/>
        <w:tabs>
          <w:tab w:leader="none" w:pos="1133"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at any time prior to the later of (i) completion of the distribution of Shares within the meaning of the Securities Act and (ii) completion of the 60-day restricted period referred to in </w:t>
      </w:r>
      <w:r>
        <w:rPr>
          <w:rFonts w:ascii="Arial" w:cs="Arial" w:eastAsia="Arial" w:hAnsi="Arial"/>
          <w:sz w:val="18"/>
          <w:szCs w:val="18"/>
          <w:u w:val="single" w:color="auto"/>
          <w:color w:val="auto"/>
        </w:rPr>
        <w:t>Section 4(h)</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ind w:left="620" w:hanging="176"/>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440" w:right="20" w:firstLine="443"/>
        <w:spacing w:after="0" w:line="290" w:lineRule="auto"/>
        <w:tabs>
          <w:tab w:leader="none" w:pos="1123"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or prepared pursuant to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above (including any electronic road show approved by the Company), or (iii) any free writing prospectus prepared by such underwriter and approved by the Company in advance in writing (each such free writing prospectus referred to in clauses (i) or (iii), an “Underwriter Free Writing Prospectus”).</w:t>
      </w:r>
    </w:p>
    <w:p>
      <w:pPr>
        <w:spacing w:after="0" w:line="58" w:lineRule="exact"/>
        <w:rPr>
          <w:rFonts w:ascii="Arial" w:cs="Arial" w:eastAsia="Arial" w:hAnsi="Arial"/>
          <w:sz w:val="16"/>
          <w:szCs w:val="16"/>
          <w:color w:val="auto"/>
        </w:rPr>
      </w:pPr>
    </w:p>
    <w:p>
      <w:pPr>
        <w:ind w:left="440" w:right="200" w:firstLine="443"/>
        <w:spacing w:after="0" w:line="277" w:lineRule="auto"/>
        <w:tabs>
          <w:tab w:leader="none" w:pos="113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62" w:lineRule="exact"/>
        <w:rPr>
          <w:rFonts w:ascii="Arial" w:cs="Arial" w:eastAsia="Arial" w:hAnsi="Arial"/>
          <w:sz w:val="18"/>
          <w:szCs w:val="18"/>
          <w:color w:val="auto"/>
        </w:rPr>
      </w:pPr>
    </w:p>
    <w:p>
      <w:pPr>
        <w:ind w:left="440" w:firstLine="443"/>
        <w:spacing w:after="0" w:line="277" w:lineRule="auto"/>
        <w:tabs>
          <w:tab w:leader="none" w:pos="11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left="-20" w:right="60" w:firstLine="464"/>
        <w:spacing w:after="0" w:line="264" w:lineRule="auto"/>
        <w:tabs>
          <w:tab w:leader="none" w:pos="61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an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40" w:right="80" w:firstLine="443"/>
        <w:spacing w:after="0" w:line="276" w:lineRule="auto"/>
        <w:tabs>
          <w:tab w:leader="none" w:pos="1123"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and all requests by the Commission for additional information shall have been complied with to the reasonable satisfaction of the Representatives.</w:t>
      </w:r>
    </w:p>
    <w:p>
      <w:pPr>
        <w:spacing w:after="0" w:line="64" w:lineRule="exact"/>
        <w:rPr>
          <w:rFonts w:ascii="Arial" w:cs="Arial" w:eastAsia="Arial" w:hAnsi="Arial"/>
          <w:sz w:val="17"/>
          <w:szCs w:val="17"/>
          <w:color w:val="auto"/>
        </w:rPr>
      </w:pPr>
    </w:p>
    <w:p>
      <w:pPr>
        <w:ind w:left="440" w:right="20" w:firstLine="443"/>
        <w:spacing w:after="0" w:line="259" w:lineRule="auto"/>
        <w:tabs>
          <w:tab w:leader="none" w:pos="1133"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and on and as of the Closing Date or an Additional Closing Date, as the case may be; and the statements of the Company and its officers made in any certificates delivered pursuant to this Agreement shall be true and correct on and as of the Closing Date or an Additional Closing Date, as the case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4" w:right="239" w:bottom="1440" w:gutter="0" w:footer="0" w:header="0"/>
        </w:sectPr>
      </w:pPr>
    </w:p>
    <w:bookmarkStart w:id="24" w:name="page25"/>
    <w:bookmarkEnd w:id="24"/>
    <w:p>
      <w:pPr>
        <w:ind w:right="20" w:firstLine="443"/>
        <w:spacing w:after="0" w:line="276" w:lineRule="auto"/>
        <w:tabs>
          <w:tab w:leader="none" w:pos="683"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7"/>
          <w:szCs w:val="17"/>
          <w:color w:val="auto"/>
        </w:rPr>
        <w:t>No event or condition of a type described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shall have occurred or shall exist, which event</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an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60" w:firstLine="443"/>
        <w:spacing w:after="0" w:line="289"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an Additional Closing Date,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w:t>
      </w:r>
      <w:r>
        <w:rPr>
          <w:rFonts w:ascii="Arial" w:cs="Arial" w:eastAsia="Arial" w:hAnsi="Arial"/>
          <w:sz w:val="16"/>
          <w:szCs w:val="16"/>
          <w:u w:val="single" w:color="auto"/>
          <w:color w:val="auto"/>
        </w:rPr>
        <w:t>Sections 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3(f)</w:t>
      </w:r>
      <w:r>
        <w:rPr>
          <w:rFonts w:ascii="Arial" w:cs="Arial" w:eastAsia="Arial" w:hAnsi="Arial"/>
          <w:sz w:val="16"/>
          <w:szCs w:val="16"/>
          <w:color w:val="auto"/>
        </w:rPr>
        <w:t xml:space="preserve"> hereof are true and correct, (ii) confirming that the other representations and warranties of the Company in this Agreement are true and correct and that the Company has in all material respects complied with all agreements and satisfied all conditions on its part to be performed or satisfied hereunder at or prior to the Closing Date or the Additional Closing Date, as the case may be, and (iii) to the effect set forth in paragraphs (a) and (c) above. On the date of this Agreement and on the Closing Date or an Additional Closing Date, as the case may be, the Representatives shall have received a certificate of the chief financial officer of the Company in form and substance reasonably satisfactory to the Representatives.</w:t>
      </w:r>
    </w:p>
    <w:p>
      <w:pPr>
        <w:spacing w:after="0" w:line="58" w:lineRule="exact"/>
        <w:rPr>
          <w:rFonts w:ascii="Arial" w:cs="Arial" w:eastAsia="Arial" w:hAnsi="Arial"/>
          <w:sz w:val="16"/>
          <w:szCs w:val="16"/>
          <w:color w:val="auto"/>
        </w:rPr>
      </w:pPr>
    </w:p>
    <w:p>
      <w:pPr>
        <w:ind w:firstLine="443"/>
        <w:spacing w:after="0" w:line="255"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Comfort Letters. </w:t>
      </w:r>
      <w:r>
        <w:rPr>
          <w:rFonts w:ascii="Arial" w:cs="Arial" w:eastAsia="Arial" w:hAnsi="Arial"/>
          <w:sz w:val="18"/>
          <w:szCs w:val="18"/>
          <w:color w:val="auto"/>
        </w:rPr>
        <w:t>On the date of this Agreement and on the Closing Date or an Additional Closing Date, as the case may be, PWC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Pricing Disclosure Package and the Prospectus; provided, that the letter delivered on the Closing Date or an Additional Closing Date, as the case may be, shall use a “cut-off” date no more than two (2) business days prior to such Closing Date or such Additional Closing Date, as the case may be.</w:t>
      </w:r>
    </w:p>
    <w:p>
      <w:pPr>
        <w:spacing w:after="0" w:line="81" w:lineRule="exact"/>
        <w:rPr>
          <w:rFonts w:ascii="Arial" w:cs="Arial" w:eastAsia="Arial" w:hAnsi="Arial"/>
          <w:sz w:val="18"/>
          <w:szCs w:val="18"/>
          <w:color w:val="auto"/>
        </w:rPr>
      </w:pPr>
    </w:p>
    <w:p>
      <w:pPr>
        <w:ind w:right="40" w:firstLine="443"/>
        <w:spacing w:after="0" w:line="286" w:lineRule="auto"/>
        <w:tabs>
          <w:tab w:leader="none" w:pos="663"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w:t>
      </w:r>
      <w:r>
        <w:rPr>
          <w:rFonts w:ascii="Arial" w:cs="Arial" w:eastAsia="Arial" w:hAnsi="Arial"/>
          <w:sz w:val="17"/>
          <w:szCs w:val="17"/>
          <w:color w:val="auto"/>
        </w:rPr>
        <w:t>Goodwin Procter LLP, counsel for the Company,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Company, their written opinion and 10b-5 statement, dated the Closing Date or an Additional Closing Date, as the case may be, and addressed to the Underwriters, in form and substance reasonably satisfactory to the Representatives.</w:t>
      </w:r>
    </w:p>
    <w:p>
      <w:pPr>
        <w:spacing w:after="0" w:line="57" w:lineRule="exact"/>
        <w:rPr>
          <w:rFonts w:ascii="Arial" w:cs="Arial" w:eastAsia="Arial" w:hAnsi="Arial"/>
          <w:sz w:val="17"/>
          <w:szCs w:val="17"/>
          <w:color w:val="auto"/>
        </w:rPr>
      </w:pPr>
    </w:p>
    <w:p>
      <w:pPr>
        <w:ind w:right="40" w:firstLine="443"/>
        <w:spacing w:after="0" w:line="302"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the Company with Respect to the Company’s Subsidiaries. </w:t>
      </w:r>
      <w:r>
        <w:rPr>
          <w:rFonts w:ascii="Arial" w:cs="Arial" w:eastAsia="Arial" w:hAnsi="Arial"/>
          <w:sz w:val="16"/>
          <w:szCs w:val="16"/>
          <w:color w:val="auto"/>
        </w:rPr>
        <w:t>Goodwin Procter LLP, counsel for the Company,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their written opinion with respect to Zafgen Securities Corporation, a Massachusetts securities corporation, and Zafgen Animal Health, LLC, a Delaware limited liability company, dated the Closing Date or the Additional Closing Date, as the case may be, and addressed to the Underwriters, in form and substance reasonably satisfactory to the Representatives.</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74" w:right="239" w:bottom="1440" w:gutter="0" w:footer="0" w:header="0"/>
        </w:sectPr>
      </w:pPr>
    </w:p>
    <w:bookmarkStart w:id="25" w:name="page26"/>
    <w:bookmarkEnd w:id="25"/>
    <w:p>
      <w:pPr>
        <w:ind w:left="460" w:right="20" w:firstLine="443"/>
        <w:spacing w:after="0" w:line="259"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of Intellectual Property Counsel for the Company. </w:t>
      </w:r>
      <w:r>
        <w:rPr>
          <w:rFonts w:ascii="Arial" w:cs="Arial" w:eastAsia="Arial" w:hAnsi="Arial"/>
          <w:sz w:val="18"/>
          <w:szCs w:val="18"/>
          <w:color w:val="auto"/>
        </w:rPr>
        <w:t>Goodwin Procter LLP, special counsel for the Company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matters, shall have furnished to the Representatives, at the request of the Company, their written opinion, dated the Closing Date or an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460" w:right="20" w:firstLine="443"/>
        <w:spacing w:after="0" w:line="264" w:lineRule="auto"/>
        <w:tabs>
          <w:tab w:leader="none" w:pos="111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Chief Financial Officer Certificate. </w:t>
      </w:r>
      <w:r>
        <w:rPr>
          <w:rFonts w:ascii="Arial" w:cs="Arial" w:eastAsia="Arial" w:hAnsi="Arial"/>
          <w:sz w:val="18"/>
          <w:szCs w:val="18"/>
          <w:color w:val="auto"/>
        </w:rPr>
        <w:t>On the date of this Agreement and on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shall have received from the chief financial officer of the Company a certificate in form and substance reasonably satisfactory to the Representatives.</w:t>
      </w:r>
    </w:p>
    <w:p>
      <w:pPr>
        <w:spacing w:after="0" w:line="73" w:lineRule="exact"/>
        <w:rPr>
          <w:rFonts w:ascii="Arial" w:cs="Arial" w:eastAsia="Arial" w:hAnsi="Arial"/>
          <w:sz w:val="18"/>
          <w:szCs w:val="18"/>
          <w:color w:val="auto"/>
        </w:rPr>
      </w:pPr>
    </w:p>
    <w:p>
      <w:pPr>
        <w:ind w:left="460" w:right="100" w:firstLine="443"/>
        <w:spacing w:after="0" w:line="259" w:lineRule="auto"/>
        <w:tabs>
          <w:tab w:leader="none" w:pos="111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Ropes &amp; Gray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8" w:lineRule="exact"/>
        <w:rPr>
          <w:rFonts w:ascii="Arial" w:cs="Arial" w:eastAsia="Arial" w:hAnsi="Arial"/>
          <w:sz w:val="18"/>
          <w:szCs w:val="18"/>
          <w:color w:val="auto"/>
        </w:rPr>
      </w:pPr>
    </w:p>
    <w:p>
      <w:pPr>
        <w:ind w:left="460" w:right="260" w:firstLine="443"/>
        <w:spacing w:after="0" w:line="302" w:lineRule="auto"/>
        <w:tabs>
          <w:tab w:leader="none" w:pos="115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or Sale. </w:t>
      </w:r>
      <w:r>
        <w:rPr>
          <w:rFonts w:ascii="Arial" w:cs="Arial" w:eastAsia="Arial" w:hAnsi="Arial"/>
          <w:sz w:val="16"/>
          <w:szCs w:val="16"/>
          <w:color w:val="auto"/>
        </w:rPr>
        <w:t>No action shall have been taken and no statute, rule, regulation or order shall have been enacted,</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or issued by any federal, state or foreign governmental or regulatory authority that would, as of the Closing Date or an Additional Closing Date, as the case may be, prevent the issuance or sale of the Shares; and no injunction or order of any federal, state or foreign court shall have been issued that would, as of the Closing Date or an Additional Closing Date, as the case may be, prevent the issuance or sale of the Shares.</w:t>
      </w:r>
    </w:p>
    <w:p>
      <w:pPr>
        <w:spacing w:after="0" w:line="46" w:lineRule="exact"/>
        <w:rPr>
          <w:rFonts w:ascii="Arial" w:cs="Arial" w:eastAsia="Arial" w:hAnsi="Arial"/>
          <w:sz w:val="16"/>
          <w:szCs w:val="16"/>
          <w:color w:val="auto"/>
        </w:rPr>
      </w:pPr>
    </w:p>
    <w:p>
      <w:pPr>
        <w:ind w:left="460" w:right="120" w:firstLine="443"/>
        <w:spacing w:after="0" w:line="257" w:lineRule="auto"/>
        <w:tabs>
          <w:tab w:leader="none" w:pos="111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 and in each case to the extent such writing or standard form of telecommunication exists in a relevant jurisdiction.</w:t>
      </w:r>
    </w:p>
    <w:p>
      <w:pPr>
        <w:spacing w:after="0" w:line="80" w:lineRule="exact"/>
        <w:rPr>
          <w:rFonts w:ascii="Arial" w:cs="Arial" w:eastAsia="Arial" w:hAnsi="Arial"/>
          <w:sz w:val="18"/>
          <w:szCs w:val="18"/>
          <w:color w:val="auto"/>
        </w:rPr>
      </w:pPr>
    </w:p>
    <w:p>
      <w:pPr>
        <w:ind w:left="460" w:right="120" w:firstLine="443"/>
        <w:spacing w:after="0" w:line="277" w:lineRule="auto"/>
        <w:tabs>
          <w:tab w:leader="none" w:pos="120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Additional Closing Date, as the case may be, shall have been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for listing on the Nasdaq Market, subject to official notice of issuance.</w:t>
      </w:r>
    </w:p>
    <w:p>
      <w:pPr>
        <w:spacing w:after="0" w:line="62"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i w:val="1"/>
          <w:iCs w:val="1"/>
          <w:color w:val="auto"/>
        </w:rPr>
        <w:t xml:space="preserve"> </w:t>
      </w:r>
      <w:r>
        <w:rPr>
          <w:rFonts w:ascii="Arial" w:cs="Arial" w:eastAsia="Arial" w:hAnsi="Arial"/>
          <w:sz w:val="16"/>
          <w:szCs w:val="16"/>
          <w:color w:val="auto"/>
        </w:rPr>
        <w:t>hereto, between you and certain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and directors of the Company relating to sales and certain other dispositions of shares of Stock or certain other securities, delivered to you on or before the date hereof, shall be in full force and effect on the Closing Date or an Additional Closing Date, as the case may be.</w:t>
      </w:r>
    </w:p>
    <w:p>
      <w:pPr>
        <w:spacing w:after="0" w:line="38" w:lineRule="exact"/>
        <w:rPr>
          <w:rFonts w:ascii="Arial" w:cs="Arial" w:eastAsia="Arial" w:hAnsi="Arial"/>
          <w:sz w:val="16"/>
          <w:szCs w:val="16"/>
          <w:color w:val="auto"/>
        </w:rPr>
      </w:pPr>
    </w:p>
    <w:p>
      <w:pPr>
        <w:ind w:left="460" w:right="12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an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ind w:left="620" w:hanging="17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68" w:lineRule="auto"/>
        <w:tabs>
          <w:tab w:leader="none" w:pos="681"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w:t>
      </w:r>
    </w:p>
    <w:p>
      <w:pPr>
        <w:spacing w:after="0" w:line="183" w:lineRule="exact"/>
        <w:rPr>
          <w:rFonts w:ascii="Arial" w:cs="Arial" w:eastAsia="Arial" w:hAnsi="Arial"/>
          <w:sz w:val="17"/>
          <w:szCs w:val="17"/>
          <w:color w:val="auto"/>
        </w:rPr>
      </w:pPr>
    </w:p>
    <w:p>
      <w:pPr>
        <w:ind w:left="-20" w:right="60" w:firstLine="464"/>
        <w:spacing w:after="0" w:line="287" w:lineRule="auto"/>
        <w:tabs>
          <w:tab w:leader="none" w:pos="69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(including, without limitation, reasonable and documented legal fees and other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figure appearing in the eighth paragraph under the caption “Underwriting”, the information regarding electronic and internet distribution contained in the thirty-second paragraph and the information regarding stabilizing transactions appearing in the eleventh through fifteenth paragraphs, in each case under the caption “Underwriting”.</w:t>
      </w:r>
    </w:p>
    <w:p>
      <w:pPr>
        <w:spacing w:after="0" w:line="168" w:lineRule="exact"/>
        <w:rPr>
          <w:rFonts w:ascii="Arial" w:cs="Arial" w:eastAsia="Arial" w:hAnsi="Arial"/>
          <w:sz w:val="16"/>
          <w:szCs w:val="16"/>
          <w:color w:val="auto"/>
        </w:rPr>
      </w:pPr>
    </w:p>
    <w:p>
      <w:pPr>
        <w:ind w:left="-20" w:right="20" w:firstLine="464"/>
        <w:spacing w:after="0" w:line="302" w:lineRule="auto"/>
        <w:tabs>
          <w:tab w:leader="none" w:pos="68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27" w:name="page28"/>
    <w:bookmarkEnd w:id="2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it has been materially prejudiced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materially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thirty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2" w:lineRule="exact"/>
        <w:rPr>
          <w:sz w:val="20"/>
          <w:szCs w:val="20"/>
          <w:color w:val="auto"/>
        </w:rPr>
      </w:pPr>
    </w:p>
    <w:p>
      <w:pPr>
        <w:ind w:right="120" w:firstLine="464"/>
        <w:spacing w:after="0" w:line="293" w:lineRule="auto"/>
        <w:tabs>
          <w:tab w:leader="none" w:pos="711"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8" w:name="page29"/>
    <w:bookmarkEnd w:id="28"/>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9" w:lineRule="exact"/>
        <w:rPr>
          <w:sz w:val="20"/>
          <w:szCs w:val="20"/>
          <w:color w:val="auto"/>
        </w:rPr>
      </w:pPr>
    </w:p>
    <w:p>
      <w:pPr>
        <w:ind w:left="700" w:hanging="236"/>
        <w:spacing w:after="0"/>
        <w:tabs>
          <w:tab w:leader="none" w:pos="70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580" w:firstLine="464"/>
        <w:spacing w:after="0" w:line="277" w:lineRule="auto"/>
        <w:tabs>
          <w:tab w:leader="none" w:pos="681"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exclusive and shall not limit any rights or remedies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160" w:firstLine="464"/>
        <w:spacing w:after="0" w:line="288" w:lineRule="auto"/>
        <w:tabs>
          <w:tab w:leader="none" w:pos="63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prior to the Closing Date or, in the case of the Option Shares, prior to an Additional Closing Date (i) trading generally shall have been suspended or materially limited on or by any of the New York Stock Exchange, the American Stock Exchange or the Nasdaq Stock Market;</w:t>
      </w:r>
    </w:p>
    <w:p>
      <w:pPr>
        <w:ind w:right="20" w:firstLine="8"/>
        <w:spacing w:after="0" w:line="252"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an Additional Closing Date, as the case may be, on the terms and in the manner contemplated by this Agreement, the Pricing Disclosure Package and the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9" w:name="page30"/>
    <w:bookmarkEnd w:id="29"/>
    <w:p>
      <w:pPr>
        <w:ind w:left="740" w:hanging="27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7" w:lineRule="auto"/>
        <w:tabs>
          <w:tab w:leader="none" w:pos="7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If, on the Closing Date or an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an Additional Closing Date, as the case may be, for up to five (5)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w:t>
      </w:r>
      <w:r>
        <w:rPr>
          <w:rFonts w:ascii="Arial" w:cs="Arial" w:eastAsia="Arial" w:hAnsi="Arial"/>
          <w:sz w:val="16"/>
          <w:szCs w:val="16"/>
          <w:u w:val="single" w:color="auto"/>
          <w:color w:val="auto"/>
        </w:rPr>
        <w:t>Section 10</w:t>
      </w:r>
      <w:r>
        <w:rPr>
          <w:rFonts w:ascii="Arial" w:cs="Arial" w:eastAsia="Arial" w:hAnsi="Arial"/>
          <w:sz w:val="16"/>
          <w:szCs w:val="16"/>
          <w:color w:val="auto"/>
        </w:rPr>
        <w:t>, purchases Shares that a defaulting Underwriter agreed but failed to purchase.</w:t>
      </w:r>
    </w:p>
    <w:p>
      <w:pPr>
        <w:spacing w:after="0" w:line="172" w:lineRule="exact"/>
        <w:rPr>
          <w:rFonts w:ascii="Arial" w:cs="Arial" w:eastAsia="Arial" w:hAnsi="Arial"/>
          <w:sz w:val="16"/>
          <w:szCs w:val="16"/>
          <w:color w:val="auto"/>
        </w:rPr>
      </w:pPr>
    </w:p>
    <w:p>
      <w:pPr>
        <w:ind w:right="160" w:firstLine="464"/>
        <w:spacing w:after="0" w:line="273" w:lineRule="auto"/>
        <w:tabs>
          <w:tab w:leader="none" w:pos="7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an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8" w:lineRule="exact"/>
        <w:rPr>
          <w:rFonts w:ascii="Arial" w:cs="Arial" w:eastAsia="Arial" w:hAnsi="Arial"/>
          <w:sz w:val="17"/>
          <w:szCs w:val="17"/>
          <w:color w:val="auto"/>
        </w:rPr>
      </w:pPr>
    </w:p>
    <w:p>
      <w:pPr>
        <w:ind w:firstLine="464"/>
        <w:spacing w:after="0" w:line="254"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Shares of a defaulting Underwriter or Underwriters by the non-defaulting Underwriters and the Company as provided in paragraph (a) above, the aggregate number of Shares that remain unpurchased on the Closing Date or an Additional Closing Date, as the case may be, exceeds one-eleventh of the aggregate amount of Shares to be purchased on such date, or if the Company shall not exercise the right described in paragraph (b) above, then this Agreement or, with respect to an Additional Closing Date, the obligation of the Underwriters to purchase Shares on an Additional Closing Date shall terminate without liability on the part of the non-defaulting Underwriters. Any termination of this Agreement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without liability on the part of the Company, except that the Company and the Underwriters will continue to be liable for the payment of expenses as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and except that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shall not terminate and shall remain in effect.</w:t>
      </w:r>
    </w:p>
    <w:p>
      <w:pPr>
        <w:spacing w:after="0" w:line="192"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279" w:lineRule="exact"/>
        <w:rPr>
          <w:sz w:val="20"/>
          <w:szCs w:val="20"/>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right="10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0" w:name="page31"/>
    <w:bookmarkEnd w:id="30"/>
    <w:p>
      <w:pPr>
        <w:ind w:left="-8" w:right="20" w:firstLine="8"/>
        <w:spacing w:after="0" w:line="285" w:lineRule="auto"/>
        <w:tabs>
          <w:tab w:leader="none" w:pos="257"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of the Shares under the state or foreign securities or blue sky laws of such jurisdictions as the Representative may designate, the expenses incurred in connection with any filing with, and clearance of the offering by, FINRA (excluding the amount incurred in connection with clause</w:t>
      </w:r>
    </w:p>
    <w:p>
      <w:pPr>
        <w:spacing w:after="0" w:line="2" w:lineRule="exact"/>
        <w:rPr>
          <w:rFonts w:ascii="Arial" w:cs="Arial" w:eastAsia="Arial" w:hAnsi="Arial"/>
          <w:sz w:val="16"/>
          <w:szCs w:val="16"/>
          <w:color w:val="auto"/>
        </w:rPr>
      </w:pPr>
    </w:p>
    <w:p>
      <w:pPr>
        <w:ind w:left="-8" w:firstLine="8"/>
        <w:spacing w:after="0" w:line="281" w:lineRule="auto"/>
        <w:tabs>
          <w:tab w:leader="none" w:pos="347"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below) and the preparation, printing and distribution of a Blue Sky Memorandum (all such fees and expenses including the related fees and expenses of counsel for the Underwriters) not to exceed $30,000 without the prior written consent of the Company; (v) the cost of preparing stock certificates; (vi) the costs and charges of any transfer agent and any registrar; (vii) all application fees incurred in connection with any filing with, and clearance of the offering by, FINRA; (viii) all reasonable and documented expenses incurred by the Company in connection with any “road show” presentation to potential investors; and</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expenses and application fees related to the listing of the Shares on the Nasdaq Market.</w:t>
      </w:r>
    </w:p>
    <w:p>
      <w:pPr>
        <w:spacing w:after="0" w:line="210" w:lineRule="exact"/>
        <w:rPr>
          <w:rFonts w:ascii="Arial" w:cs="Arial" w:eastAsia="Arial" w:hAnsi="Arial"/>
          <w:sz w:val="18"/>
          <w:szCs w:val="18"/>
          <w:color w:val="auto"/>
        </w:rPr>
      </w:pPr>
    </w:p>
    <w:p>
      <w:pPr>
        <w:ind w:left="-8" w:right="300" w:firstLine="464"/>
        <w:spacing w:after="0" w:line="277" w:lineRule="auto"/>
        <w:tabs>
          <w:tab w:leader="none" w:pos="7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provided for by this Agreement, the Underwriters will pay all of their own expenses, including the fees of their counsel and travel and lodging expenses of the Representatives.</w:t>
      </w:r>
    </w:p>
    <w:p>
      <w:pPr>
        <w:spacing w:after="0" w:line="170" w:lineRule="exact"/>
        <w:rPr>
          <w:rFonts w:ascii="Arial" w:cs="Arial" w:eastAsia="Arial" w:hAnsi="Arial"/>
          <w:sz w:val="18"/>
          <w:szCs w:val="18"/>
          <w:color w:val="auto"/>
        </w:rPr>
      </w:pPr>
    </w:p>
    <w:p>
      <w:pPr>
        <w:ind w:left="-8" w:right="20" w:firstLine="464"/>
        <w:spacing w:after="0" w:line="291" w:lineRule="auto"/>
        <w:tabs>
          <w:tab w:leader="none" w:pos="6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(ii) the Company for any reason fails to tender the Shares for delivery to the Underwriters (other than by reason of a default by any Underwriter) at the Closing Date or an Additional Closing Date, as applicable, in accordance with this Agreement or</w:t>
      </w:r>
    </w:p>
    <w:p>
      <w:pPr>
        <w:ind w:left="-8" w:right="160" w:firstLine="8"/>
        <w:spacing w:after="0" w:line="253"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Underwriters decline to purchase the Shares because any of the conditions to the Underwriters’ obligations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have not been met, the Company agrees to reimburse the Underwriters for all reasonable and documented out-of-pocket costs and expenses (including the reasonable and documented fees and expenses of their legal counsel) reasonably incurred by the Underwriters in connection with this Agreement and the offering contemplated hereby. For the avoidance of doubt, the Company will not pay or reimburse any costs, fees or expenses incurred by any Underwriter that defaults on its obligations to purchase the Shares.</w:t>
      </w:r>
    </w:p>
    <w:p>
      <w:pPr>
        <w:spacing w:after="0" w:line="191" w:lineRule="exact"/>
        <w:rPr>
          <w:sz w:val="20"/>
          <w:szCs w:val="20"/>
          <w:color w:val="auto"/>
        </w:rPr>
      </w:pPr>
    </w:p>
    <w:p>
      <w:pPr>
        <w:ind w:left="-8" w:right="140" w:firstLine="464"/>
        <w:spacing w:after="0" w:line="279" w:lineRule="auto"/>
        <w:tabs>
          <w:tab w:leader="none" w:pos="71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xml:space="preserve">. This Agreement shall inure to the benefit of and be binding upon the parties hereto and their respective successors and the officers and directors and any controlling persons referred to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1" w:lineRule="exact"/>
        <w:rPr>
          <w:rFonts w:ascii="Arial" w:cs="Arial" w:eastAsia="Arial" w:hAnsi="Arial"/>
          <w:sz w:val="17"/>
          <w:szCs w:val="17"/>
          <w:color w:val="auto"/>
        </w:rPr>
      </w:pPr>
    </w:p>
    <w:p>
      <w:pPr>
        <w:ind w:left="-8" w:right="260" w:firstLine="464"/>
        <w:spacing w:after="0" w:line="259" w:lineRule="auto"/>
        <w:tabs>
          <w:tab w:leader="none" w:pos="71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w:t>
      </w:r>
    </w:p>
    <w:p>
      <w:pPr>
        <w:spacing w:after="0" w:line="186" w:lineRule="exact"/>
        <w:rPr>
          <w:rFonts w:ascii="Arial" w:cs="Arial" w:eastAsia="Arial" w:hAnsi="Arial"/>
          <w:sz w:val="18"/>
          <w:szCs w:val="18"/>
          <w:color w:val="auto"/>
        </w:rPr>
      </w:pPr>
    </w:p>
    <w:p>
      <w:pPr>
        <w:ind w:left="-8" w:right="80" w:firstLine="464"/>
        <w:spacing w:after="0" w:line="286" w:lineRule="auto"/>
        <w:tabs>
          <w:tab w:leader="none" w:pos="71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274" w:right="259" w:bottom="1440" w:gutter="0" w:footer="0" w:header="0"/>
        </w:sectPr>
      </w:pPr>
    </w:p>
    <w:bookmarkStart w:id="31" w:name="page32"/>
    <w:bookmarkEnd w:id="31"/>
    <w:p>
      <w:pPr>
        <w:ind w:left="700" w:hanging="27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left="-40" w:right="20" w:firstLine="464"/>
        <w:spacing w:after="0" w:line="277" w:lineRule="auto"/>
        <w:tabs>
          <w:tab w:leader="none" w:pos="66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Authority of the Representatives. </w:t>
      </w:r>
      <w:r>
        <w:rPr>
          <w:rFonts w:ascii="Arial" w:cs="Arial" w:eastAsia="Arial" w:hAnsi="Arial"/>
          <w:sz w:val="18"/>
          <w:szCs w:val="18"/>
          <w:color w:val="auto"/>
        </w:rPr>
        <w:t>Any action by the Underwriters hereunder may be taken by the Representatives on behalf of the Underwriters,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action taken by the Representatives shall be binding upon the Underwriters.</w:t>
      </w:r>
    </w:p>
    <w:p>
      <w:pPr>
        <w:spacing w:after="0" w:line="170" w:lineRule="exact"/>
        <w:rPr>
          <w:rFonts w:ascii="Arial" w:cs="Arial" w:eastAsia="Arial" w:hAnsi="Arial"/>
          <w:sz w:val="18"/>
          <w:szCs w:val="18"/>
          <w:color w:val="auto"/>
        </w:rPr>
      </w:pPr>
    </w:p>
    <w:p>
      <w:pPr>
        <w:ind w:left="-40" w:firstLine="464"/>
        <w:spacing w:after="0" w:line="271" w:lineRule="auto"/>
        <w:tabs>
          <w:tab w:leader="none" w:pos="671"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 transmitted</w:t>
      </w:r>
      <w:r>
        <w:rPr>
          <w:rFonts w:ascii="Arial" w:cs="Arial" w:eastAsia="Arial" w:hAnsi="Arial"/>
          <w:sz w:val="17"/>
          <w:szCs w:val="17"/>
          <w:i w:val="1"/>
          <w:iCs w:val="1"/>
          <w:color w:val="auto"/>
        </w:rPr>
        <w:t xml:space="preserve"> </w:t>
      </w:r>
      <w:r>
        <w:rPr>
          <w:rFonts w:ascii="Arial" w:cs="Arial" w:eastAsia="Arial" w:hAnsi="Arial"/>
          <w:sz w:val="17"/>
          <w:szCs w:val="17"/>
          <w:color w:val="auto"/>
        </w:rPr>
        <w:t>and confirmed by any standard form of telecommunication. Notices to the Underwriters shall be given to the Representatives c/o Cowen and Company, LLC, Attention: Grant Miller, Head of Equity Capital Markets, 599 Lexington Avenue, 27</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(fax: (646) 562-1269) and c/o Piper Jaffray &amp; Co., Attention: Equity Capital Markets, 800 Nicollet Mall, Minneapolis, MN 55402, (fax: (612) 303-1070 and email: LegalCapMarkets@pjc.com), in each case with a copy to Ropes &amp; Gray LLP, Prudential Tower, 800 Boylston Street, Boston, Massachusetts 02199 (fax: (617) 235-0392), Attention: Patrick O’Brien, Esq. Notices to the Company shall be given to it at Zafgen, Inc., 175 Portland Street 4</w:t>
      </w:r>
      <w:r>
        <w:rPr>
          <w:rFonts w:ascii="Arial" w:cs="Arial" w:eastAsia="Arial" w:hAnsi="Arial"/>
          <w:sz w:val="14"/>
          <w:szCs w:val="14"/>
          <w:color w:val="auto"/>
        </w:rPr>
        <w:t>th</w:t>
      </w:r>
      <w:r>
        <w:rPr>
          <w:rFonts w:ascii="Arial" w:cs="Arial" w:eastAsia="Arial" w:hAnsi="Arial"/>
          <w:sz w:val="17"/>
          <w:szCs w:val="17"/>
          <w:color w:val="auto"/>
        </w:rPr>
        <w:t xml:space="preserve"> Floor, Boston, MA, 02114 (fax: (617) 249-0940); Attention: Jeffrey Hatfield; with a copy to Goodwin Proctor LLP, 100 Northern Avenue, Boston, MA 02210, (fax: (617) 523-1231), Attention: Mitchell S. Bloom, Esq. and Laurie A. Burlingame, Esq.</w:t>
      </w:r>
    </w:p>
    <w:p>
      <w:pPr>
        <w:spacing w:after="0" w:line="178" w:lineRule="exact"/>
        <w:rPr>
          <w:rFonts w:ascii="Arial" w:cs="Arial" w:eastAsia="Arial" w:hAnsi="Arial"/>
          <w:sz w:val="17"/>
          <w:szCs w:val="17"/>
          <w:color w:val="auto"/>
        </w:rPr>
      </w:pPr>
    </w:p>
    <w:p>
      <w:pPr>
        <w:ind w:left="-40" w:right="660" w:firstLine="464"/>
        <w:spacing w:after="0" w:line="308" w:lineRule="auto"/>
        <w:tabs>
          <w:tab w:leader="none" w:pos="661"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left="-40" w:right="1340" w:firstLine="464"/>
        <w:spacing w:after="0" w:line="308" w:lineRule="auto"/>
        <w:tabs>
          <w:tab w:leader="none" w:pos="671"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left="-40" w:right="320" w:firstLine="464"/>
        <w:spacing w:after="0" w:line="277" w:lineRule="auto"/>
        <w:tabs>
          <w:tab w:leader="none" w:pos="66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40" w:right="620" w:firstLine="464"/>
        <w:spacing w:after="0" w:line="277" w:lineRule="auto"/>
        <w:tabs>
          <w:tab w:leader="none" w:pos="64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74"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ZAFGEN, INC.</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Patricia Allen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740"/>
          </w:cols>
          <w:pgMar w:left="700" w:top="274"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 James Streator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E. James Streator,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Chad E. Huber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Chad E.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219"/>
          </w:cols>
          <w:pgMar w:left="240" w:top="27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Arial" w:cs="Arial" w:eastAsia="Arial" w:hAnsi="Arial"/>
                <w:sz w:val="14"/>
                <w:szCs w:val="14"/>
                <w:color w:val="auto"/>
                <w:w w:val="96"/>
              </w:rPr>
              <w:t>Underwriter</w:t>
            </w:r>
          </w:p>
        </w:tc>
        <w:tc>
          <w:tcPr>
            <w:tcW w:w="62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w w:val="93"/>
              </w:rPr>
              <w:t>Number of Underwritten Shares</w:t>
            </w:r>
          </w:p>
        </w:tc>
        <w:tc>
          <w:tcPr>
            <w:tcW w:w="106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Number of Option Shares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10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18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29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800,000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880" w:type="dxa"/>
            <w:vAlign w:val="bottom"/>
          </w:tcPr>
          <w:p>
            <w:pPr>
              <w:jc w:val="right"/>
              <w:spacing w:after="0"/>
              <w:rPr>
                <w:sz w:val="20"/>
                <w:szCs w:val="20"/>
                <w:color w:val="auto"/>
              </w:rPr>
            </w:pPr>
            <w:r>
              <w:rPr>
                <w:rFonts w:ascii="Arial" w:cs="Arial" w:eastAsia="Arial" w:hAnsi="Arial"/>
                <w:sz w:val="18"/>
                <w:szCs w:val="18"/>
                <w:color w:val="auto"/>
              </w:rPr>
              <w:t>800,000</w:t>
            </w:r>
          </w:p>
        </w:tc>
        <w:tc>
          <w:tcPr>
            <w:tcW w:w="10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Pricing Disclosure Package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Pricing Information Provided Orally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offering price: $7.50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8,000,000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Shares: 1,200,000</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10795</wp:posOffset>
            </wp:positionV>
            <wp:extent cx="571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 Zafgen, Inc.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 “Underwriting Agreement”) with Zafgen, Inc., a Delaware corporation (the “Company”), providing for the public offering (the “Public Offering”) by the several Underwriters named in Schedule 1 to the Underwriting Agreement (the “Underwriters”), of Common Stock, par value $0.001 per share, of the Company (the “Common Stock”). Capitalized terms used herein and not otherwise defined shall have the meanings set forth in the Underwriting Agreement.</w:t>
      </w:r>
    </w:p>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of the Underwriters’ agreement to purchase and make the Public Offering of the Common Stock, and for other good and valuable consideration receipt of which is hereby acknowledged, the undersigned hereby agrees that, without the prior written consent of Cowen and Company, LLC and Piper Jaffray &amp; Co. on behalf of the Underwriters, the undersigned will not, during the period commencing on the date of this Letter Agreement and ending on the date 60 days after the date of the prospectus relating to the Public Offering (the “Prospectus”),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The foregoing restrictions shall not apply to:</w:t>
      </w:r>
    </w:p>
    <w:p>
      <w:pPr>
        <w:spacing w:after="0" w:line="61" w:lineRule="exact"/>
        <w:rPr>
          <w:sz w:val="20"/>
          <w:szCs w:val="20"/>
          <w:color w:val="auto"/>
        </w:rPr>
      </w:pPr>
    </w:p>
    <w:p>
      <w:pPr>
        <w:ind w:left="5660" w:right="4040" w:hanging="5196"/>
        <w:spacing w:after="0" w:line="449" w:lineRule="auto"/>
        <w:tabs>
          <w:tab w:leader="none" w:pos="7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securities acquired in open market transactions after the date of the Public Offering; 1</w:t>
      </w:r>
    </w:p>
    <w:p>
      <w:pPr>
        <w:sectPr>
          <w:pgSz w:w="11900" w:h="16838" w:orient="portrait"/>
          <w:cols w:equalWidth="0" w:num="1">
            <w:col w:w="11420"/>
          </w:cols>
          <w:pgMar w:left="240" w:top="274" w:right="239" w:bottom="1440" w:gutter="0" w:footer="0" w:header="0"/>
        </w:sectPr>
      </w:pPr>
    </w:p>
    <w:bookmarkStart w:id="37" w:name="page38"/>
    <w:bookmarkEnd w:id="37"/>
    <w:p>
      <w:pPr>
        <w:ind w:right="540" w:firstLine="464"/>
        <w:spacing w:after="0" w:line="277" w:lineRule="auto"/>
        <w:tabs>
          <w:tab w:leader="none" w:pos="741"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of securities (i) as a bona fide gift or gifts or (ii) by will or intestacy to the legal representative, heir, beneficiary or a member of the immediate family of the undersigned in a transaction not involving a disposition for value;</w:t>
      </w:r>
    </w:p>
    <w:p>
      <w:pPr>
        <w:spacing w:after="0" w:line="170" w:lineRule="exact"/>
        <w:rPr>
          <w:rFonts w:ascii="Arial" w:cs="Arial" w:eastAsia="Arial" w:hAnsi="Arial"/>
          <w:sz w:val="18"/>
          <w:szCs w:val="18"/>
          <w:color w:val="auto"/>
        </w:rPr>
      </w:pPr>
    </w:p>
    <w:p>
      <w:pPr>
        <w:ind w:right="100" w:firstLine="464"/>
        <w:spacing w:after="0" w:line="286" w:lineRule="auto"/>
        <w:tabs>
          <w:tab w:leader="none" w:pos="741"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undersigned is an individual, transfers of shares of Common Stock or any security directly or indirectly convertible into Common Stock to any trust for the direct or indirect benefit of the undersigned or the immediate family of the undersigned, or limited partnerships the partners of which are the undersigned and/or the immediate family members of the undersigned, in each case for estate planning purposes;</w:t>
      </w:r>
    </w:p>
    <w:p>
      <w:pPr>
        <w:spacing w:after="0" w:line="165" w:lineRule="exact"/>
        <w:rPr>
          <w:rFonts w:ascii="Arial" w:cs="Arial" w:eastAsia="Arial" w:hAnsi="Arial"/>
          <w:sz w:val="17"/>
          <w:szCs w:val="17"/>
          <w:color w:val="auto"/>
        </w:rPr>
      </w:pPr>
    </w:p>
    <w:p>
      <w:pPr>
        <w:ind w:right="260" w:firstLine="464"/>
        <w:spacing w:after="0" w:line="277"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undersigned is a trust, distributions of shares of Common Stock or any security directly or indirectly convertible into Common Stock to its beneficiaries in a transaction not involving a disposition for value;</w:t>
      </w:r>
    </w:p>
    <w:p>
      <w:pPr>
        <w:spacing w:after="0" w:line="170" w:lineRule="exact"/>
        <w:rPr>
          <w:rFonts w:ascii="Arial" w:cs="Arial" w:eastAsia="Arial" w:hAnsi="Arial"/>
          <w:sz w:val="18"/>
          <w:szCs w:val="18"/>
          <w:color w:val="auto"/>
        </w:rPr>
      </w:pPr>
    </w:p>
    <w:p>
      <w:pPr>
        <w:ind w:right="260" w:firstLine="464"/>
        <w:spacing w:after="0" w:line="259" w:lineRule="auto"/>
        <w:tabs>
          <w:tab w:leader="none" w:pos="7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undersigned is a corporation, limited liability company, partnership or other entity, distribution of shares of Common Stock or any security directly or indirectly convertible into Common Stock to members, stockholders, limited partners, subsidiaries or affiliates (as defined in Rule 405 promulgated under the Securities Act of 1933, as amended) of the undersigned or to any investment fund or other entity that controls or manages the undersigned in a transaction not involving a disposition for value;</w:t>
      </w:r>
    </w:p>
    <w:p>
      <w:pPr>
        <w:spacing w:after="0" w:line="186" w:lineRule="exact"/>
        <w:rPr>
          <w:rFonts w:ascii="Arial" w:cs="Arial" w:eastAsia="Arial" w:hAnsi="Arial"/>
          <w:sz w:val="18"/>
          <w:szCs w:val="18"/>
          <w:color w:val="auto"/>
        </w:rPr>
      </w:pPr>
    </w:p>
    <w:p>
      <w:pPr>
        <w:ind w:right="60" w:firstLine="464"/>
        <w:spacing w:after="0" w:line="277" w:lineRule="auto"/>
        <w:tabs>
          <w:tab w:leader="none" w:pos="7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to the Company pursuant to agreements under which the Company has the option to repurchase such shares or securities upon termination of service of the undersigned;</w:t>
      </w:r>
    </w:p>
    <w:p>
      <w:pPr>
        <w:spacing w:after="0" w:line="170" w:lineRule="exact"/>
        <w:rPr>
          <w:rFonts w:ascii="Arial" w:cs="Arial" w:eastAsia="Arial" w:hAnsi="Arial"/>
          <w:sz w:val="18"/>
          <w:szCs w:val="18"/>
          <w:color w:val="auto"/>
        </w:rPr>
      </w:pPr>
    </w:p>
    <w:p>
      <w:pPr>
        <w:ind w:right="520" w:firstLine="464"/>
        <w:spacing w:after="0" w:line="277"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receipt by the undersigned from the Company of shares of Common Stock upon the exercise of options, provided that any such shares of Common Stock received upon such exercise shall be subject to the terms of this Letter Agreement;</w:t>
      </w:r>
    </w:p>
    <w:p>
      <w:pPr>
        <w:spacing w:after="0" w:line="170" w:lineRule="exact"/>
        <w:rPr>
          <w:rFonts w:ascii="Arial" w:cs="Arial" w:eastAsia="Arial" w:hAnsi="Arial"/>
          <w:sz w:val="18"/>
          <w:szCs w:val="18"/>
          <w:color w:val="auto"/>
        </w:rPr>
      </w:pPr>
    </w:p>
    <w:p>
      <w:pPr>
        <w:ind w:firstLine="464"/>
        <w:spacing w:after="0" w:line="255"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that satisfies the requirements of Rule 10b5-1 under the Exchange Act (a “10b5-1 Plan”) for the transfer of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will be no transfer of shares of the undersigned’s Common Stock during the 60-day period referred to above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during the 60-day period; or</w:t>
      </w:r>
    </w:p>
    <w:p>
      <w:pPr>
        <w:spacing w:after="0" w:line="193" w:lineRule="exact"/>
        <w:rPr>
          <w:rFonts w:ascii="Arial" w:cs="Arial" w:eastAsia="Arial" w:hAnsi="Arial"/>
          <w:sz w:val="18"/>
          <w:szCs w:val="18"/>
          <w:color w:val="auto"/>
        </w:rPr>
      </w:pPr>
    </w:p>
    <w:p>
      <w:pPr>
        <w:ind w:left="680" w:hanging="216"/>
        <w:spacing w:after="0"/>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transactions effected pursuant to a 10b5-1 Plan in existence on the date hereof, provided that such 10b5-1 plan shall not be amended during the</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60-day period referred to above and that if any such transaction is reported in any public report or filing with the Securities and Exchange Commission, such report or filing shall include a note that the transaction was pursuant to such 10b5-1 Plan;</w:t>
      </w:r>
    </w:p>
    <w:p>
      <w:pPr>
        <w:spacing w:after="0" w:line="18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transfer or distribution pursuant to clauses (B), (C), (D) or (E), each transferee, beneficiary, donee, heir or distributee shall execute and deliver to the Representatives a lock-up letter in the form of this paragraph;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any transfer or distribution pursuant to clause (A), (B), (C), (D), (E), (F), (G) or (H) no filing by any party (the undersigned, donor, donee, transferor or transferee) under the Securities Exchange Act of 1934, as amended, or other public announcement shall be required or shall be made voluntarily in connection with such transfer or distribution (other than a filing on a Form 5 made after the expiration of the 60-day period referred to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8" w:name="page39"/>
    <w:bookmarkEnd w:id="38"/>
    <w:p>
      <w:pPr>
        <w:ind w:right="3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either of the Representatives withdraws from or declines to participate in the Public Offering, all references to the Representatives contained in this Letter Agreement shall be deemed to refer to the sole Representative that continues to participate in the Public Offering (the “Sole Representative”), and, in such event, any written consent, waiver or notice given or delivered in connection with this Letter Agreement by the Sole Representative shall be deemed to be sufficient and effective for all purposes under this Letter Agreement.</w:t>
      </w:r>
    </w:p>
    <w:p>
      <w:pPr>
        <w:spacing w:after="0" w:line="17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For purposes of this Letter Agreement, “immediate family” shall mean any relationship by blood, marriage or adoption, not more remote than first cousin.</w:t>
      </w:r>
    </w:p>
    <w:p>
      <w:pPr>
        <w:spacing w:after="0" w:line="14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shall survive the death or incapacity of the undersigned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undersigned understands that, if (i) the Underwriting Agreement does not become effective by August 31, 2018 or (ii) after becoming effective, the Underwriting Agreement (other than the provisions thereof which survive termination) shall terminate or be terminated prior to payment for and delivery of the Common Stock to be sold thereunder, this Letter Agreement shall terminate and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STOCKHOLDER</w:t>
      </w:r>
      <w:r>
        <w:rPr>
          <w:rFonts w:ascii="Arial" w:cs="Arial" w:eastAsia="Arial" w:hAnsi="Arial"/>
          <w:sz w:val="18"/>
          <w:szCs w:val="18"/>
          <w:color w:val="auto"/>
        </w:rPr>
        <w:t>]</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(File No. 333-219834) (as amended or supplemented, the “Registration Statement”) filed on August 9, 2017 with the Securities and Exchange Commission (the “Commission”) pursuant to the Securities Act of 1933, as amended (the “Securities Act”), relating to the registration of the offer by Zafgen, Inc., a Delaware corporation (the “Company”) of up to $150,000,000 of any combination of securities of the types specified therein. The Registration Statement was declared effective by the Commission on August 23, 2017. Reference is made to our opinion letter dated August 9, 2017 and included as Exhibit 5.1 to the Registration Statement. We are delivering this supplemental opinion letter in connection with the prospectus supplement (the “Prospectus Supplement”) filed on June 28, 2018 by the Company with the Commission pursuant to Rule 424 under the Securities Act. The Prospectus Supplement relates to the offering by the Company of up to 8,000,000 shares of the Company’s Common Stock, par value $0.001 per share (the “Shares”) covered by the Registration Statement. The Shares include an over-allotment option granted to the underwriters of the offering to purchase 1,200,000 Shares. The Shares are being sold to the several underwriters named in, and pursuant to, an underwriting agreement among the Company and such underwriters (the “Underwriting Agreement”).</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Goodwin Procter LLP</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169545</wp:posOffset>
            </wp:positionV>
            <wp:extent cx="1844040" cy="831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Announces Proposed Offering of Common Stock</w:t>
      </w:r>
    </w:p>
    <w:p>
      <w:pPr>
        <w:spacing w:after="0" w:line="22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BOSTON, Mass., June 27, 2018 </w:t>
      </w:r>
      <w:r>
        <w:rPr>
          <w:rFonts w:ascii="Arial" w:cs="Arial" w:eastAsia="Arial" w:hAnsi="Arial"/>
          <w:sz w:val="17"/>
          <w:szCs w:val="17"/>
          <w:color w:val="auto"/>
        </w:rPr>
        <w:t>– Zafgen, Inc., (Nasdaq:ZFGN), a clinical-stage biopharmaceutical company leveraging its proprietary MetAP2 biology</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to develop novel therapies for patients affected by complex metabolic diseases, today announced that it has commenced an underwritten public offering of its common stock. All of the shares in the offering will be sold by Zafgen. In addition, Zafgen intends to grant the underwriters a 30-day option to purchase up to an additional fifteen percent (15%) of the shares of common stock offered in the public offering.</w:t>
      </w:r>
    </w:p>
    <w:p>
      <w:pPr>
        <w:spacing w:after="0" w:line="1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Cowen and Company, LLC and Piper Jaffray &amp; Co. are serving as joint book-running managers for the offering, and JMP Securities LLC and Wedbush Securities Inc. are serving as co-lead managers. The offering is subject to market and other conditions, and there can be no assurance as to whether or when the offering may be completed, or as to the actual size or terms of the offering.</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shares are being offered by Zafgen pursuant to a shelf registration statement that was previously filed with, and subsequently declared effective by, the Securities and Exchange Commission (SEC). A preliminary prospectus supplement relating to and describing the terms of the offering will be filed with the SEC and will be available on the SEC’s website at www.sec.gov. Copies of the preliminary prospectus relating to the offering may be obtained, when available, by contacting Cowen and Company, LLC, c/o Broadridge Financial Services, 1155 Long Island Avenue, Edgewood, NY, 11717, Attn: Broadridge Financial Solutions, by telephone at (631) 274-2806, or Piper Jaffray &amp; Co., Attn: Prospectus Department, 800 Nicollet Mall, J12S03, Minneapolis, MN 55402, by telephone at (800) 747-3924, or by email at prospectus@pjc.com.</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the initial part of a Phase 2 clinical trial. Learn more at www.zafgen.com.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169545</wp:posOffset>
            </wp:positionV>
            <wp:extent cx="1844040" cy="831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Announces Pricing of Offering of Common Stock</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BOSTON, Mass., June 28, 2018 </w:t>
      </w:r>
      <w:r>
        <w:rPr>
          <w:rFonts w:ascii="Arial" w:cs="Arial" w:eastAsia="Arial" w:hAnsi="Arial"/>
          <w:sz w:val="17"/>
          <w:szCs w:val="17"/>
          <w:color w:val="auto"/>
        </w:rPr>
        <w:t>– Zafgen, Inc., (Nasdaq:ZFGN), a clinical-stage biopharmaceutical company leveraging its proprietary MetAP2 biology</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to develop novel therapies for patients affected by complex metabolic diseases, today announced the pricing of its previously announced registered underwritten public offering of 8,000,000 shares of its common stock at a price to the public of $7.50 per share for total gross proceeds of $60 million, before deducting the underwriting discounts and commissions and other estimated offering expenses. All of the shares in the offering will be sold by Zafgen. In addition, Zafgen has granted the underwriters a 30-day option to purchase up to an additional 1,200,000 shares of common stock at the public offering price. The offering is expected to close on July 2, 2018, subject to customary closing conditions.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Cowen and Company, LLC and Piper Jaffray &amp; Co. are serving as joint book-running managers for the offering, and JMP Securities LLC and Wedbush Securities Inc. are serving as co-lead managers.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shares are being offered by Zafgen pursuant to a shelf registration statement that was previously filed with, and subsequently declared effective by, the Securities and Exchange Commission (SEC). A preliminary prospectus supplement relating to and describing the terms of the offering was filed with the SEC and available on the SEC’s website at www.sec.gov. Copies of the preliminary prospectus relating to the offering may be obtained by contacting Cowen and Company, LLC, c/o Broadridge Financial Solutions, 1155 Long Island Avenue, Edgewood, NY, 11717, Attn: Broadridge Financial Solutions, by telephone at</w:t>
      </w:r>
    </w:p>
    <w:p>
      <w:pPr>
        <w:spacing w:after="0" w:line="2" w:lineRule="exact"/>
        <w:rPr>
          <w:sz w:val="20"/>
          <w:szCs w:val="20"/>
          <w:color w:val="auto"/>
        </w:rPr>
      </w:pPr>
    </w:p>
    <w:p>
      <w:pPr>
        <w:ind w:right="160" w:firstLine="8"/>
        <w:spacing w:after="0" w:line="261" w:lineRule="auto"/>
        <w:tabs>
          <w:tab w:leader="none" w:pos="4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274-2806, or Piper Jaffray &amp; Co., Attn: Prospectus Department, 800 Nicollet Mall, J12S03, Minneapolis, MN 55402, by telephone at (800) 747-3924, or by email at prospectus@pjc.com.</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the initial part of a Phase 2 clinical trial. Learn more at www.zafgen.com.</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2"/>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lowerLetter"/>
      <w:start w:val="2"/>
    </w:lvl>
  </w:abstractNum>
  <w:abstractNum w:abstractNumId="5">
    <w:nsid w:val="8138641"/>
    <w:multiLevelType w:val="hybridMultilevel"/>
    <w:lvl w:ilvl="0">
      <w:lvlJc w:val="left"/>
      <w:lvlText w:val="(%1)"/>
      <w:numFmt w:val="lowerLetter"/>
      <w:start w:val="4"/>
    </w:lvl>
  </w:abstractNum>
  <w:abstractNum w:abstractNumId="6">
    <w:nsid w:val="1E7FF521"/>
    <w:multiLevelType w:val="hybridMultilevel"/>
    <w:lvl w:ilvl="0">
      <w:lvlJc w:val="left"/>
      <w:lvlText w:val="%1."/>
      <w:numFmt w:val="decimal"/>
      <w:start w:val="3"/>
    </w:lvl>
    <w:lvl w:ilvl="1">
      <w:lvlJc w:val="left"/>
      <w:lvlText w:val="(%2)"/>
      <w:numFmt w:val="lowerLetter"/>
      <w:start w:val="1"/>
    </w:lvl>
  </w:abstractNum>
  <w:abstractNum w:abstractNumId="7">
    <w:nsid w:val="7C3DBD3D"/>
    <w:multiLevelType w:val="hybridMultilevel"/>
    <w:lvl w:ilvl="0">
      <w:lvlJc w:val="left"/>
      <w:lvlText w:val="(%1)"/>
      <w:numFmt w:val="lowerLetter"/>
      <w:start w:val="2"/>
    </w:lvl>
  </w:abstractNum>
  <w:abstractNum w:abstractNumId="8">
    <w:nsid w:val="737B8DDC"/>
    <w:multiLevelType w:val="hybridMultilevel"/>
    <w:lvl w:ilvl="0">
      <w:lvlJc w:val="left"/>
      <w:lvlText w:val="(%1)"/>
      <w:numFmt w:val="lowerLetter"/>
      <w:start w:val="5"/>
    </w:lvl>
  </w:abstractNum>
  <w:abstractNum w:abstractNumId="9">
    <w:nsid w:val="6CEAF087"/>
    <w:multiLevelType w:val="hybridMultilevel"/>
    <w:lvl w:ilvl="0">
      <w:lvlJc w:val="left"/>
      <w:lvlText w:val="(%1)"/>
      <w:numFmt w:val="lowerLetter"/>
      <w:start w:val="8"/>
    </w:lvl>
  </w:abstractNum>
  <w:abstractNum w:abstractNumId="10">
    <w:nsid w:val="22221A70"/>
    <w:multiLevelType w:val="hybridMultilevel"/>
    <w:lvl w:ilvl="0">
      <w:lvlJc w:val="left"/>
      <w:lvlText w:val="(%1)"/>
      <w:numFmt w:val="lowerLetter"/>
      <w:start w:val="11"/>
    </w:lvl>
  </w:abstractNum>
  <w:abstractNum w:abstractNumId="11">
    <w:nsid w:val="4516DDE9"/>
    <w:multiLevelType w:val="hybridMultilevel"/>
    <w:lvl w:ilvl="0">
      <w:lvlJc w:val="left"/>
      <w:lvlText w:val="(%1)"/>
      <w:numFmt w:val="lowerLetter"/>
      <w:start w:val="14"/>
    </w:lvl>
  </w:abstractNum>
  <w:abstractNum w:abstractNumId="12">
    <w:nsid w:val="3006C83E"/>
    <w:multiLevelType w:val="hybridMultilevel"/>
    <w:lvl w:ilvl="0">
      <w:lvlJc w:val="left"/>
      <w:lvlText w:val="(%1)"/>
      <w:numFmt w:val="lowerLetter"/>
      <w:start w:val="20"/>
    </w:lvl>
  </w:abstractNum>
  <w:abstractNum w:abstractNumId="13">
    <w:nsid w:val="614FD4A1"/>
    <w:multiLevelType w:val="hybridMultilevel"/>
    <w:lvl w:ilvl="0">
      <w:lvlJc w:val="left"/>
      <w:lvlText w:val="(%1)"/>
      <w:numFmt w:val="lowerLetter"/>
      <w:start w:val="23"/>
    </w:lvl>
  </w:abstractNum>
  <w:abstractNum w:abstractNumId="14">
    <w:nsid w:val="419AC241"/>
    <w:multiLevelType w:val="hybridMultilevel"/>
    <w:lvl w:ilvl="0">
      <w:lvlJc w:val="left"/>
      <w:lvlText w:val="(%1)"/>
      <w:numFmt w:val="lowerLetter"/>
      <w:start w:val="27"/>
    </w:lvl>
  </w:abstractNum>
  <w:abstractNum w:abstractNumId="15">
    <w:nsid w:val="5577F8E1"/>
    <w:multiLevelType w:val="hybridMultilevel"/>
    <w:lvl w:ilvl="0">
      <w:lvlJc w:val="left"/>
      <w:lvlText w:val="%1"/>
      <w:numFmt w:val="upperLetter"/>
      <w:start w:val="1"/>
    </w:lvl>
    <w:lvl w:ilvl="1">
      <w:lvlJc w:val="left"/>
      <w:lvlText w:val="(%2)"/>
      <w:numFmt w:val="lowerLetter"/>
      <w:start w:val="28"/>
    </w:lvl>
  </w:abstractNum>
  <w:abstractNum w:abstractNumId="16">
    <w:nsid w:val="440BADFC"/>
    <w:multiLevelType w:val="hybridMultilevel"/>
    <w:lvl w:ilvl="0">
      <w:lvlJc w:val="left"/>
      <w:lvlText w:val="(%1)"/>
      <w:numFmt w:val="upperLetter"/>
      <w:start w:val="1"/>
    </w:lvl>
    <w:lvl w:ilvl="1">
      <w:lvlJc w:val="left"/>
      <w:lvlText w:val="%2"/>
      <w:numFmt w:val="lowerLetter"/>
      <w:start w:val="1"/>
    </w:lvl>
  </w:abstractNum>
  <w:abstractNum w:abstractNumId="17">
    <w:nsid w:val="5072367"/>
    <w:multiLevelType w:val="hybridMultilevel"/>
    <w:lvl w:ilvl="0">
      <w:lvlJc w:val="left"/>
      <w:lvlText w:val="%1"/>
      <w:numFmt w:val="lowerRoman"/>
      <w:start w:val="1"/>
    </w:lvl>
    <w:lvl w:ilvl="1">
      <w:lvlJc w:val="left"/>
      <w:lvlText w:val="(%2)"/>
      <w:numFmt w:val="lowerLetter"/>
      <w:start w:val="30"/>
    </w:lvl>
  </w:abstractNum>
  <w:abstractNum w:abstractNumId="18">
    <w:nsid w:val="3804823E"/>
    <w:multiLevelType w:val="hybridMultilevel"/>
    <w:lvl w:ilvl="0">
      <w:lvlJc w:val="left"/>
      <w:lvlText w:val="(%1)"/>
      <w:numFmt w:val="lowerRoman"/>
      <w:start w:val="6"/>
    </w:lvl>
    <w:lvl w:ilvl="1">
      <w:lvlJc w:val="left"/>
      <w:lvlText w:val="%2"/>
      <w:numFmt w:val="lowerLetter"/>
      <w:start w:val="1"/>
    </w:lvl>
  </w:abstractNum>
  <w:abstractNum w:abstractNumId="19">
    <w:nsid w:val="77465F01"/>
    <w:multiLevelType w:val="hybridMultilevel"/>
    <w:lvl w:ilvl="0">
      <w:lvlJc w:val="left"/>
      <w:lvlText w:val="(%1)"/>
      <w:numFmt w:val="lowerLetter"/>
      <w:start w:val="32"/>
    </w:lvl>
  </w:abstractNum>
  <w:abstractNum w:abstractNumId="20">
    <w:nsid w:val="7724C67E"/>
    <w:multiLevelType w:val="hybridMultilevel"/>
    <w:lvl w:ilvl="0">
      <w:lvlJc w:val="left"/>
      <w:lvlText w:val="%1"/>
      <w:numFmt w:val="lowerRoman"/>
      <w:start w:val="1"/>
    </w:lvl>
    <w:lvl w:ilvl="1">
      <w:lvlJc w:val="left"/>
      <w:lvlText w:val="(%2)"/>
      <w:numFmt w:val="lowerLetter"/>
      <w:start w:val="35"/>
    </w:lvl>
  </w:abstractNum>
  <w:abstractNum w:abstractNumId="21">
    <w:nsid w:val="5C482A97"/>
    <w:multiLevelType w:val="hybridMultilevel"/>
    <w:lvl w:ilvl="0">
      <w:lvlJc w:val="left"/>
      <w:lvlText w:val="(%1)"/>
      <w:numFmt w:val="lowerRoman"/>
      <w:start w:val="2"/>
    </w:lvl>
    <w:lvl w:ilvl="1">
      <w:lvlJc w:val="left"/>
      <w:lvlText w:val="(%2)"/>
      <w:numFmt w:val="lowerLetter"/>
      <w:start w:val="37"/>
    </w:lvl>
  </w:abstractNum>
  <w:abstractNum w:abstractNumId="22">
    <w:nsid w:val="2463B9EA"/>
    <w:multiLevelType w:val="hybridMultilevel"/>
    <w:lvl w:ilvl="0">
      <w:lvlJc w:val="left"/>
      <w:lvlText w:val="(%1)"/>
      <w:numFmt w:val="lowerLetter"/>
      <w:start w:val="39"/>
    </w:lvl>
  </w:abstractNum>
  <w:abstractNum w:abstractNumId="23">
    <w:nsid w:val="5E884ADC"/>
    <w:multiLevelType w:val="hybridMultilevel"/>
    <w:lvl w:ilvl="0">
      <w:lvlJc w:val="left"/>
      <w:lvlText w:val="(%1)"/>
      <w:numFmt w:val="lowerLetter"/>
      <w:start w:val="46"/>
    </w:lvl>
  </w:abstractNum>
  <w:abstractNum w:abstractNumId="24">
    <w:nsid w:val="51EAD36B"/>
    <w:multiLevelType w:val="hybridMultilevel"/>
    <w:lvl w:ilvl="0">
      <w:lvlJc w:val="left"/>
      <w:lvlText w:val="%1"/>
      <w:numFmt w:val="decimal"/>
      <w:start w:val="1"/>
    </w:lvl>
    <w:lvl w:ilvl="1">
      <w:lvlJc w:val="left"/>
      <w:lvlText w:val="(%2)"/>
      <w:numFmt w:val="lowerLetter"/>
      <w:start w:val="50"/>
    </w:lvl>
  </w:abstractNum>
  <w:abstractNum w:abstractNumId="25">
    <w:nsid w:val="2D517796"/>
    <w:multiLevelType w:val="hybridMultilevel"/>
    <w:lvl w:ilvl="0">
      <w:lvlJc w:val="left"/>
      <w:lvlText w:val="%1."/>
      <w:numFmt w:val="decimal"/>
      <w:start w:val="4"/>
    </w:lvl>
    <w:lvl w:ilvl="1">
      <w:lvlJc w:val="left"/>
      <w:lvlText w:val="(%2)"/>
      <w:numFmt w:val="lowerLetter"/>
      <w:start w:val="1"/>
    </w:lvl>
  </w:abstractNum>
  <w:abstractNum w:abstractNumId="26">
    <w:nsid w:val="580BD78F"/>
    <w:multiLevelType w:val="hybridMultilevel"/>
    <w:lvl w:ilvl="0">
      <w:lvlJc w:val="left"/>
      <w:lvlText w:val="(%1)"/>
      <w:numFmt w:val="lowerLetter"/>
      <w:start w:val="5"/>
    </w:lvl>
  </w:abstractNum>
  <w:abstractNum w:abstractNumId="27">
    <w:nsid w:val="153EA438"/>
    <w:multiLevelType w:val="hybridMultilevel"/>
    <w:lvl w:ilvl="0">
      <w:lvlJc w:val="left"/>
      <w:lvlText w:val="%1"/>
      <w:numFmt w:val="decimal"/>
      <w:start w:val="1"/>
    </w:lvl>
    <w:lvl w:ilvl="1">
      <w:lvlJc w:val="left"/>
      <w:lvlText w:val="(%2)"/>
      <w:numFmt w:val="lowerLetter"/>
      <w:start w:val="6"/>
    </w:lvl>
  </w:abstractNum>
  <w:abstractNum w:abstractNumId="28">
    <w:nsid w:val="3855585C"/>
    <w:multiLevelType w:val="hybridMultilevel"/>
    <w:lvl w:ilvl="0">
      <w:lvlJc w:val="left"/>
      <w:lvlText w:val="%1)"/>
      <w:numFmt w:val="decimal"/>
      <w:start w:val="158"/>
    </w:lvl>
    <w:lvl w:ilvl="1">
      <w:lvlJc w:val="left"/>
      <w:lvlText w:val="(%2)"/>
      <w:numFmt w:val="lowerLetter"/>
      <w:start w:val="8"/>
    </w:lvl>
  </w:abstractNum>
  <w:abstractNum w:abstractNumId="29">
    <w:nsid w:val="70A64E2A"/>
    <w:multiLevelType w:val="hybridMultilevel"/>
    <w:lvl w:ilvl="0">
      <w:lvlJc w:val="left"/>
      <w:lvlText w:val="%1"/>
      <w:numFmt w:val="decimal"/>
      <w:start w:val="1"/>
    </w:lvl>
    <w:lvl w:ilvl="1">
      <w:lvlJc w:val="left"/>
      <w:lvlText w:val="(%2)"/>
      <w:numFmt w:val="lowerLetter"/>
      <w:start w:val="13"/>
    </w:lvl>
  </w:abstractNum>
  <w:abstractNum w:abstractNumId="30">
    <w:nsid w:val="6A2342EC"/>
    <w:multiLevelType w:val="hybridMultilevel"/>
    <w:lvl w:ilvl="0">
      <w:lvlJc w:val="left"/>
      <w:lvlText w:val="%1."/>
      <w:numFmt w:val="decimal"/>
      <w:start w:val="5"/>
    </w:lvl>
    <w:lvl w:ilvl="1">
      <w:lvlJc w:val="left"/>
      <w:lvlText w:val="(%2)"/>
      <w:numFmt w:val="lowerLetter"/>
      <w:start w:val="1"/>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lowerLetter"/>
      <w:start w:val="8"/>
    </w:lvl>
  </w:abstractNum>
  <w:abstractNum w:abstractNumId="33">
    <w:nsid w:val="725A06FB"/>
    <w:multiLevelType w:val="hybridMultilevel"/>
    <w:lvl w:ilvl="0">
      <w:lvlJc w:val="left"/>
      <w:lvlText w:val="%1."/>
      <w:numFmt w:val="decimal"/>
      <w:start w:val="7"/>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4"/>
    </w:lvl>
  </w:abstractNum>
  <w:abstractNum w:abstractNumId="36">
    <w:nsid w:val="7A6D8D3C"/>
    <w:multiLevelType w:val="hybridMultilevel"/>
    <w:lvl w:ilvl="0">
      <w:lvlJc w:val="left"/>
      <w:lvlText w:val="%1"/>
      <w:numFmt w:val="lowerLetter"/>
      <w:start w:val="1"/>
    </w:lvl>
    <w:lvl w:ilvl="1">
      <w:lvlJc w:val="left"/>
      <w:lvlText w:val="(%2)"/>
      <w:numFmt w:val="lowerLetter"/>
      <w:start w:val="5"/>
    </w:lvl>
  </w:abstractNum>
  <w:abstractNum w:abstractNumId="37">
    <w:nsid w:val="4B588F54"/>
    <w:multiLevelType w:val="hybridMultilevel"/>
    <w:lvl w:ilvl="0">
      <w:lvlJc w:val="left"/>
      <w:lvlText w:val="(%1)"/>
      <w:numFmt w:val="lowerLetter"/>
      <w:start w:val="4"/>
    </w:lvl>
    <w:lvl w:ilvl="1">
      <w:lvlJc w:val="left"/>
      <w:lvlText w:val="(%2)"/>
      <w:numFmt w:val="lowerLetter"/>
      <w:start w:val="6"/>
    </w:lvl>
  </w:abstractNum>
  <w:abstractNum w:abstractNumId="38">
    <w:nsid w:val="542289EC"/>
    <w:multiLevelType w:val="hybridMultilevel"/>
    <w:lvl w:ilvl="0">
      <w:lvlJc w:val="left"/>
      <w:lvlText w:val="%1"/>
      <w:numFmt w:val="lowerRoman"/>
      <w:start w:val="1"/>
    </w:lvl>
    <w:lvl w:ilvl="1">
      <w:lvlJc w:val="left"/>
      <w:lvlText w:val="%2."/>
      <w:numFmt w:val="decimal"/>
      <w:start w:val="8"/>
    </w:lvl>
  </w:abstractNum>
  <w:abstractNum w:abstractNumId="39">
    <w:nsid w:val="6DE91B18"/>
    <w:multiLevelType w:val="hybridMultilevel"/>
    <w:lvl w:ilvl="0">
      <w:lvlJc w:val="left"/>
      <w:lvlText w:val="(%1)"/>
      <w:numFmt w:val="lowerRoman"/>
      <w:start w:val="2"/>
    </w:lvl>
    <w:lvl w:ilvl="1">
      <w:lvlJc w:val="left"/>
      <w:lvlText w:val="%2"/>
      <w:numFmt w:val="decimal"/>
      <w:start w:val="1"/>
    </w:lvl>
  </w:abstractNum>
  <w:abstractNum w:abstractNumId="40">
    <w:nsid w:val="38437FDB"/>
    <w:multiLevelType w:val="hybridMultilevel"/>
    <w:lvl w:ilvl="0">
      <w:lvlJc w:val="left"/>
      <w:lvlText w:val="%1."/>
      <w:numFmt w:val="decimal"/>
      <w:start w:val="10"/>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decimal"/>
      <w:start w:val="1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Roman"/>
      <w:start w:val="2"/>
    </w:lvl>
    <w:lvl w:ilvl="1">
      <w:lvlJc w:val="left"/>
      <w:lvlText w:val="%2"/>
      <w:numFmt w:val="lowerLetter"/>
      <w:start w:val="1"/>
    </w:lvl>
  </w:abstractNum>
  <w:abstractNum w:abstractNumId="45">
    <w:nsid w:val="749ABB43"/>
    <w:multiLevelType w:val="hybridMultilevel"/>
    <w:lvl w:ilvl="0">
      <w:lvlJc w:val="left"/>
      <w:lvlText w:val="(%1)"/>
      <w:numFmt w:val="lowerRoman"/>
      <w:start w:val="7"/>
    </w:lvl>
    <w:lvl w:ilvl="1">
      <w:lvlJc w:val="left"/>
      <w:lvlText w:val="%2"/>
      <w:numFmt w:val="lowerLetter"/>
      <w:start w:val="1"/>
    </w:lvl>
  </w:abstractNum>
  <w:abstractNum w:abstractNumId="46">
    <w:nsid w:val="3DC240FB"/>
    <w:multiLevelType w:val="hybridMultilevel"/>
    <w:lvl w:ilvl="0">
      <w:lvlJc w:val="left"/>
      <w:lvlText w:val="(%1)"/>
      <w:numFmt w:val="lowerRoman"/>
      <w:start w:val="9"/>
    </w:lvl>
    <w:lvl w:ilvl="1">
      <w:lvlJc w:val="left"/>
      <w:lvlText w:val="(%2)"/>
      <w:numFmt w:val="lowerLetter"/>
      <w:start w:val="2"/>
    </w:lvl>
  </w:abstractNum>
  <w:abstractNum w:abstractNumId="47">
    <w:nsid w:val="1BA026FA"/>
    <w:multiLevelType w:val="hybridMultilevel"/>
    <w:lvl w:ilvl="0">
      <w:lvlJc w:val="left"/>
      <w:lvlText w:val="(%1)"/>
      <w:numFmt w:val="lowerRoman"/>
      <w:start w:val="3"/>
    </w:lvl>
    <w:lvl w:ilvl="1">
      <w:lvlJc w:val="left"/>
      <w:lvlText w:val="%2"/>
      <w:numFmt w:val="lowerLetter"/>
      <w:start w:val="1"/>
    </w:lvl>
  </w:abstractNum>
  <w:abstractNum w:abstractNumId="48">
    <w:nsid w:val="79A1DEAA"/>
    <w:multiLevelType w:val="hybridMultilevel"/>
    <w:lvl w:ilvl="0">
      <w:lvlJc w:val="left"/>
      <w:lvlText w:val="%1."/>
      <w:numFmt w:val="decimal"/>
      <w:start w:val="12"/>
    </w:lvl>
  </w:abstractNum>
  <w:abstractNum w:abstractNumId="49">
    <w:nsid w:val="75C6C33A"/>
    <w:multiLevelType w:val="hybridMultilevel"/>
    <w:lvl w:ilvl="0">
      <w:lvlJc w:val="left"/>
      <w:lvlText w:val="%1."/>
      <w:numFmt w:val="decimal"/>
      <w:start w:val="15"/>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upperLetter"/>
      <w:start w:val="1"/>
    </w:lvl>
  </w:abstractNum>
  <w:abstractNum w:abstractNumId="52">
    <w:nsid w:val="520EEDD1"/>
    <w:multiLevelType w:val="hybridMultilevel"/>
    <w:lvl w:ilvl="0">
      <w:lvlJc w:val="left"/>
      <w:lvlText w:val="(%1)"/>
      <w:numFmt w:val="upperLetter"/>
      <w:start w:val="2"/>
    </w:lvl>
  </w:abstractNum>
  <w:abstractNum w:abstractNumId="53">
    <w:nsid w:val="374A3FE6"/>
    <w:multiLevelType w:val="hybridMultilevel"/>
    <w:lvl w:ilvl="0">
      <w:lvlJc w:val="left"/>
      <w:lvlText w:val="(%1)"/>
      <w:numFmt w:val="decimal"/>
      <w:start w:val="6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2019-12-28T21:17:32Z</dcterms:created>
  <dcterms:modified xsi:type="dcterms:W3CDTF">2019-12-28T21:17:32Z</dcterms:modified>
</cp:coreProperties>
</file>