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219075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w:t>
      </w:r>
    </w:p>
    <w:p>
      <w:pPr>
        <w:jc w:val="center"/>
        <w:ind w:right="2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Date of Report (Date of Earliest Event Reported): November 6,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242570</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8"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Zafgen, Inc.</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227965</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060" w:type="dxa"/>
        <w:tblCellMar>
          <w:top w:w="0" w:type="dxa"/>
          <w:left w:w="0" w:type="dxa"/>
          <w:bottom w:w="0" w:type="dxa"/>
          <w:right w:w="0" w:type="dxa"/>
        </w:tblCellMar>
      </w:tblPr>
      <w:tr>
        <w:trPr>
          <w:trHeight w:val="212"/>
        </w:trPr>
        <w:tc>
          <w:tcPr>
            <w:tcW w:w="3540" w:type="dxa"/>
            <w:vAlign w:val="bottom"/>
          </w:tcPr>
          <w:p>
            <w:pPr>
              <w:jc w:val="center"/>
              <w:ind w:right="1839"/>
              <w:spacing w:after="0"/>
              <w:rPr>
                <w:sz w:val="20"/>
                <w:szCs w:val="20"/>
                <w:color w:val="auto"/>
              </w:rPr>
            </w:pPr>
            <w:r>
              <w:rPr>
                <w:rFonts w:ascii="Arial" w:cs="Arial" w:eastAsia="Arial" w:hAnsi="Arial"/>
                <w:sz w:val="18"/>
                <w:szCs w:val="18"/>
                <w:b w:val="1"/>
                <w:bCs w:val="1"/>
                <w:color w:val="auto"/>
                <w:w w:val="98"/>
              </w:rPr>
              <w:t>DELAWARE</w:t>
            </w:r>
          </w:p>
        </w:tc>
        <w:tc>
          <w:tcPr>
            <w:tcW w:w="2420" w:type="dxa"/>
            <w:vAlign w:val="bottom"/>
          </w:tcPr>
          <w:p>
            <w:pPr>
              <w:ind w:left="640"/>
              <w:spacing w:after="0"/>
              <w:rPr>
                <w:sz w:val="20"/>
                <w:szCs w:val="20"/>
                <w:color w:val="auto"/>
              </w:rPr>
            </w:pPr>
            <w:r>
              <w:rPr>
                <w:rFonts w:ascii="Arial" w:cs="Arial" w:eastAsia="Arial" w:hAnsi="Arial"/>
                <w:sz w:val="18"/>
                <w:szCs w:val="18"/>
                <w:b w:val="1"/>
                <w:bCs w:val="1"/>
                <w:color w:val="auto"/>
              </w:rPr>
              <w:t>001-36510</w:t>
            </w:r>
          </w:p>
        </w:tc>
        <w:tc>
          <w:tcPr>
            <w:tcW w:w="2800" w:type="dxa"/>
            <w:vAlign w:val="bottom"/>
          </w:tcPr>
          <w:p>
            <w:pPr>
              <w:jc w:val="center"/>
              <w:ind w:left="1601"/>
              <w:spacing w:after="0"/>
              <w:rPr>
                <w:sz w:val="20"/>
                <w:szCs w:val="20"/>
                <w:color w:val="auto"/>
              </w:rPr>
            </w:pPr>
            <w:r>
              <w:rPr>
                <w:rFonts w:ascii="Arial" w:cs="Arial" w:eastAsia="Arial" w:hAnsi="Arial"/>
                <w:sz w:val="18"/>
                <w:szCs w:val="18"/>
                <w:b w:val="1"/>
                <w:bCs w:val="1"/>
                <w:color w:val="auto"/>
                <w:w w:val="91"/>
              </w:rPr>
              <w:t>20-3857670</w:t>
            </w:r>
          </w:p>
        </w:tc>
      </w:tr>
      <w:tr>
        <w:trPr>
          <w:trHeight w:val="149"/>
        </w:trPr>
        <w:tc>
          <w:tcPr>
            <w:tcW w:w="3540" w:type="dxa"/>
            <w:vAlign w:val="bottom"/>
          </w:tcPr>
          <w:p>
            <w:pPr>
              <w:jc w:val="center"/>
              <w:ind w:right="181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4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(Commission</w:t>
            </w:r>
          </w:p>
        </w:tc>
        <w:tc>
          <w:tcPr>
            <w:tcW w:w="2800" w:type="dxa"/>
            <w:vAlign w:val="bottom"/>
          </w:tcPr>
          <w:p>
            <w:pPr>
              <w:jc w:val="center"/>
              <w:ind w:left="160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540" w:type="dxa"/>
            <w:vAlign w:val="bottom"/>
          </w:tcPr>
          <w:p>
            <w:pPr>
              <w:jc w:val="center"/>
              <w:ind w:right="1839"/>
              <w:spacing w:after="0"/>
              <w:rPr>
                <w:sz w:val="20"/>
                <w:szCs w:val="20"/>
                <w:color w:val="auto"/>
              </w:rPr>
            </w:pPr>
            <w:r>
              <w:rPr>
                <w:rFonts w:ascii="Arial" w:cs="Arial" w:eastAsia="Arial" w:hAnsi="Arial"/>
                <w:sz w:val="14"/>
                <w:szCs w:val="14"/>
                <w:b w:val="1"/>
                <w:bCs w:val="1"/>
                <w:color w:val="auto"/>
                <w:w w:val="94"/>
              </w:rPr>
              <w:t>of incorporation)</w:t>
            </w:r>
          </w:p>
        </w:tc>
        <w:tc>
          <w:tcPr>
            <w:tcW w:w="2420" w:type="dxa"/>
            <w:vAlign w:val="bottom"/>
          </w:tcPr>
          <w:p>
            <w:pPr>
              <w:ind w:left="620"/>
              <w:spacing w:after="0"/>
              <w:rPr>
                <w:sz w:val="20"/>
                <w:szCs w:val="20"/>
                <w:color w:val="auto"/>
              </w:rPr>
            </w:pPr>
            <w:r>
              <w:rPr>
                <w:rFonts w:ascii="Arial" w:cs="Arial" w:eastAsia="Arial" w:hAnsi="Arial"/>
                <w:sz w:val="14"/>
                <w:szCs w:val="14"/>
                <w:b w:val="1"/>
                <w:bCs w:val="1"/>
                <w:color w:val="auto"/>
              </w:rPr>
              <w:t>File Number)</w:t>
            </w:r>
          </w:p>
        </w:tc>
        <w:tc>
          <w:tcPr>
            <w:tcW w:w="2800" w:type="dxa"/>
            <w:vAlign w:val="bottom"/>
          </w:tcPr>
          <w:p>
            <w:pPr>
              <w:jc w:val="center"/>
              <w:ind w:left="1601"/>
              <w:spacing w:after="0"/>
              <w:rPr>
                <w:sz w:val="20"/>
                <w:szCs w:val="20"/>
                <w:color w:val="auto"/>
              </w:rPr>
            </w:pPr>
            <w:r>
              <w:rPr>
                <w:rFonts w:ascii="Arial" w:cs="Arial" w:eastAsia="Arial" w:hAnsi="Arial"/>
                <w:sz w:val="14"/>
                <w:szCs w:val="14"/>
                <w:b w:val="1"/>
                <w:bCs w:val="1"/>
                <w:color w:val="auto"/>
                <w:w w:val="94"/>
              </w:rPr>
              <w:t>Identification No.)</w:t>
            </w:r>
          </w:p>
        </w:tc>
      </w:tr>
      <w:tr>
        <w:trPr>
          <w:trHeight w:val="439"/>
        </w:trPr>
        <w:tc>
          <w:tcPr>
            <w:tcW w:w="3540" w:type="dxa"/>
            <w:vAlign w:val="bottom"/>
          </w:tcPr>
          <w:p>
            <w:pPr>
              <w:jc w:val="center"/>
              <w:ind w:right="19"/>
              <w:spacing w:after="0"/>
              <w:rPr>
                <w:sz w:val="20"/>
                <w:szCs w:val="20"/>
                <w:color w:val="auto"/>
              </w:rPr>
            </w:pPr>
            <w:r>
              <w:rPr>
                <w:rFonts w:ascii="Arial" w:cs="Arial" w:eastAsia="Arial" w:hAnsi="Arial"/>
                <w:sz w:val="18"/>
                <w:szCs w:val="18"/>
                <w:b w:val="1"/>
                <w:bCs w:val="1"/>
                <w:color w:val="auto"/>
                <w:w w:val="90"/>
              </w:rPr>
              <w:t>3 Center Plaza, Suite 610</w:t>
            </w:r>
          </w:p>
        </w:tc>
        <w:tc>
          <w:tcPr>
            <w:tcW w:w="24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5"/>
        </w:trPr>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86"/>
              </w:rPr>
              <w:t>Boston, Massachusetts</w:t>
            </w:r>
          </w:p>
        </w:tc>
        <w:tc>
          <w:tcPr>
            <w:tcW w:w="2420" w:type="dxa"/>
            <w:vAlign w:val="bottom"/>
          </w:tcPr>
          <w:p>
            <w:pPr>
              <w:spacing w:after="0"/>
              <w:rPr>
                <w:sz w:val="19"/>
                <w:szCs w:val="19"/>
                <w:color w:val="auto"/>
              </w:rPr>
            </w:pPr>
          </w:p>
        </w:tc>
        <w:tc>
          <w:tcPr>
            <w:tcW w:w="2800" w:type="dxa"/>
            <w:vAlign w:val="bottom"/>
          </w:tcPr>
          <w:p>
            <w:pPr>
              <w:jc w:val="right"/>
              <w:ind w:right="1161"/>
              <w:spacing w:after="0"/>
              <w:rPr>
                <w:sz w:val="20"/>
                <w:szCs w:val="20"/>
                <w:color w:val="auto"/>
              </w:rPr>
            </w:pPr>
            <w:r>
              <w:rPr>
                <w:rFonts w:ascii="Arial" w:cs="Arial" w:eastAsia="Arial" w:hAnsi="Arial"/>
                <w:sz w:val="18"/>
                <w:szCs w:val="18"/>
                <w:b w:val="1"/>
                <w:bCs w:val="1"/>
                <w:color w:val="auto"/>
              </w:rPr>
              <w:t>02108</w:t>
            </w:r>
          </w:p>
        </w:tc>
      </w:tr>
      <w:tr>
        <w:trPr>
          <w:trHeight w:val="186"/>
        </w:trPr>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420" w:type="dxa"/>
            <w:vAlign w:val="bottom"/>
          </w:tcPr>
          <w:p>
            <w:pPr>
              <w:spacing w:after="0"/>
              <w:rPr>
                <w:sz w:val="16"/>
                <w:szCs w:val="16"/>
                <w:color w:val="auto"/>
              </w:rPr>
            </w:pPr>
          </w:p>
        </w:tc>
        <w:tc>
          <w:tcPr>
            <w:tcW w:w="2800" w:type="dxa"/>
            <w:vAlign w:val="bottom"/>
          </w:tcPr>
          <w:p>
            <w:pPr>
              <w:jc w:val="center"/>
              <w:ind w:right="61"/>
              <w:spacing w:after="0"/>
              <w:rPr>
                <w:sz w:val="20"/>
                <w:szCs w:val="20"/>
                <w:color w:val="auto"/>
              </w:rPr>
            </w:pPr>
            <w:r>
              <w:rPr>
                <w:rFonts w:ascii="Arial" w:cs="Arial" w:eastAsia="Arial" w:hAnsi="Arial"/>
                <w:sz w:val="14"/>
                <w:szCs w:val="14"/>
                <w:b w:val="1"/>
                <w:bCs w:val="1"/>
                <w:color w:val="auto"/>
                <w:w w:val="95"/>
              </w:rPr>
              <w:t>(Zip Code)</w:t>
            </w:r>
          </w:p>
        </w:tc>
      </w:tr>
    </w:tbl>
    <w:p>
      <w:pPr>
        <w:spacing w:after="0" w:line="18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Registrant’s telephone number, including area code (617) 622-4003</w:t>
      </w:r>
    </w:p>
    <w:p>
      <w:pPr>
        <w:spacing w:after="0" w:line="22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219075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44" w:lineRule="exact"/>
        <w:rPr>
          <w:sz w:val="24"/>
          <w:szCs w:val="24"/>
          <w:color w:val="auto"/>
        </w:rPr>
      </w:pPr>
    </w:p>
    <w:tbl>
      <w:tblPr>
        <w:tblLayout w:type="fixed"/>
        <w:tblInd w:w="20" w:type="dxa"/>
        <w:tblCellMar>
          <w:top w:w="0" w:type="dxa"/>
          <w:left w:w="0" w:type="dxa"/>
          <w:bottom w:w="0" w:type="dxa"/>
          <w:right w:w="0" w:type="dxa"/>
        </w:tblCellMar>
      </w:tblPr>
      <w:tr>
        <w:trPr>
          <w:trHeight w:val="185"/>
        </w:trPr>
        <w:tc>
          <w:tcPr>
            <w:tcW w:w="3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Trading 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ZFGN</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NASDAQ Global Market</w:t>
            </w:r>
          </w:p>
        </w:tc>
      </w:tr>
    </w:tbl>
    <w:p>
      <w:pPr>
        <w:spacing w:after="0" w:line="183" w:lineRule="exact"/>
        <w:rPr>
          <w:sz w:val="24"/>
          <w:szCs w:val="24"/>
          <w:color w:val="auto"/>
        </w:rPr>
      </w:pPr>
    </w:p>
    <w:p>
      <w:pPr>
        <w:ind w:right="2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90805</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133350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40"/>
          </w:cols>
          <w:pgMar w:left="440" w:top="449" w:right="419" w:bottom="1440" w:gutter="0" w:footer="0" w:header="0"/>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21" w:lineRule="exact"/>
        <w:rPr>
          <w:sz w:val="20"/>
          <w:szCs w:val="20"/>
          <w:color w:val="auto"/>
        </w:rPr>
      </w:pPr>
    </w:p>
    <w:p>
      <w:pPr>
        <w:ind w:right="240" w:firstLine="441"/>
        <w:spacing w:after="0" w:line="277" w:lineRule="auto"/>
        <w:rPr>
          <w:sz w:val="20"/>
          <w:szCs w:val="20"/>
          <w:color w:val="auto"/>
        </w:rPr>
      </w:pPr>
      <w:r>
        <w:rPr>
          <w:rFonts w:ascii="Arial" w:cs="Arial" w:eastAsia="Arial" w:hAnsi="Arial"/>
          <w:sz w:val="18"/>
          <w:szCs w:val="18"/>
          <w:color w:val="auto"/>
        </w:rPr>
        <w:t>On November 6, 2019, Zafgen, Inc. (the “Company”) announced its financial results for the third quarter of 2019. A copy of the press release is being furnished as Exhibit 99.1 to this Report on Form 8-K and is incorporated by reference herein.</w:t>
      </w:r>
    </w:p>
    <w:p>
      <w:pPr>
        <w:spacing w:after="0" w:line="170" w:lineRule="exact"/>
        <w:rPr>
          <w:sz w:val="20"/>
          <w:szCs w:val="20"/>
          <w:color w:val="auto"/>
        </w:rPr>
      </w:pPr>
    </w:p>
    <w:p>
      <w:pPr>
        <w:ind w:right="20" w:firstLine="441"/>
        <w:spacing w:after="0" w:line="259" w:lineRule="auto"/>
        <w:rPr>
          <w:sz w:val="20"/>
          <w:szCs w:val="20"/>
          <w:color w:val="auto"/>
        </w:rPr>
      </w:pPr>
      <w:r>
        <w:rPr>
          <w:rFonts w:ascii="Arial" w:cs="Arial" w:eastAsia="Arial" w:hAnsi="Arial"/>
          <w:sz w:val="18"/>
          <w:szCs w:val="18"/>
          <w:color w:val="auto"/>
        </w:rPr>
        <w:t>The information in this Report on Form 8-K and Exhibit 99.1 attached hereto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4240" w:type="dxa"/>
            <w:vAlign w:val="bottom"/>
            <w:gridSpan w:val="2"/>
          </w:tcPr>
          <w:p>
            <w:pPr>
              <w:jc w:val="right"/>
              <w:ind w:right="1319"/>
              <w:spacing w:after="0"/>
              <w:rPr>
                <w:sz w:val="20"/>
                <w:szCs w:val="20"/>
                <w:color w:val="auto"/>
              </w:rPr>
            </w:pPr>
            <w:r>
              <w:rPr>
                <w:rFonts w:ascii="Arial" w:cs="Arial" w:eastAsia="Arial" w:hAnsi="Arial"/>
                <w:sz w:val="18"/>
                <w:szCs w:val="18"/>
                <w:b w:val="1"/>
                <w:bCs w:val="1"/>
                <w:color w:val="auto"/>
                <w:w w:val="94"/>
              </w:rPr>
              <w:t>Financial Statements and Exhibits.</w:t>
            </w:r>
          </w:p>
        </w:tc>
        <w:tc>
          <w:tcPr>
            <w:tcW w:w="4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900" w:type="dxa"/>
            <w:vAlign w:val="bottom"/>
          </w:tcPr>
          <w:p>
            <w:pPr>
              <w:spacing w:after="0"/>
              <w:rPr>
                <w:sz w:val="20"/>
                <w:szCs w:val="20"/>
                <w:color w:val="auto"/>
              </w:rPr>
            </w:pPr>
          </w:p>
        </w:tc>
      </w:tr>
      <w:tr>
        <w:trPr>
          <w:trHeight w:val="324"/>
        </w:trPr>
        <w:tc>
          <w:tcPr>
            <w:tcW w:w="104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4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900" w:type="dxa"/>
            <w:vAlign w:val="bottom"/>
          </w:tcPr>
          <w:p>
            <w:pPr>
              <w:spacing w:after="0"/>
              <w:rPr>
                <w:sz w:val="24"/>
                <w:szCs w:val="24"/>
                <w:color w:val="auto"/>
              </w:rPr>
            </w:pPr>
          </w:p>
        </w:tc>
      </w:tr>
      <w:tr>
        <w:trPr>
          <w:trHeight w:val="399"/>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c>
          <w:tcPr>
            <w:tcW w:w="4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tcPr>
          <w:p>
            <w:pPr>
              <w:spacing w:after="0"/>
              <w:rPr>
                <w:sz w:val="24"/>
                <w:szCs w:val="24"/>
                <w:color w:val="auto"/>
              </w:rPr>
            </w:pPr>
          </w:p>
        </w:tc>
      </w:tr>
      <w:tr>
        <w:trPr>
          <w:trHeight w:val="270"/>
        </w:trPr>
        <w:tc>
          <w:tcPr>
            <w:tcW w:w="720" w:type="dxa"/>
            <w:vAlign w:val="bottom"/>
          </w:tcPr>
          <w:p>
            <w:pPr>
              <w:spacing w:after="0"/>
              <w:rPr>
                <w:sz w:val="20"/>
                <w:szCs w:val="20"/>
                <w:color w:val="auto"/>
              </w:rPr>
            </w:pPr>
            <w:r>
              <w:rPr>
                <w:rFonts w:ascii="Arial" w:cs="Arial" w:eastAsia="Arial" w:hAnsi="Arial"/>
                <w:sz w:val="18"/>
                <w:szCs w:val="18"/>
                <w:color w:val="auto"/>
              </w:rPr>
              <w:t>99.1</w:t>
            </w:r>
          </w:p>
        </w:tc>
        <w:tc>
          <w:tcPr>
            <w:tcW w:w="3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68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Press release issued by Zafgen, Inc. on November 6, 2019, furnished herewith.</w:t>
              </w:r>
            </w:hyperlink>
          </w:p>
        </w:tc>
        <w:tc>
          <w:tcPr>
            <w:tcW w:w="3900" w:type="dxa"/>
            <w:vAlign w:val="bottom"/>
          </w:tcPr>
          <w:p>
            <w:pPr>
              <w:spacing w:after="0"/>
              <w:rPr>
                <w:sz w:val="23"/>
                <w:szCs w:val="23"/>
                <w:color w:val="auto"/>
              </w:rPr>
            </w:pPr>
          </w:p>
        </w:tc>
      </w:tr>
      <w:tr>
        <w:trPr>
          <w:trHeight w:val="669"/>
        </w:trPr>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40" w:type="dxa"/>
            <w:vAlign w:val="bottom"/>
            <w:gridSpan w:val="2"/>
          </w:tcPr>
          <w:p>
            <w:pPr>
              <w:jc w:val="right"/>
              <w:ind w:right="99"/>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50"/>
              <w:spacing w:after="0"/>
              <w:rPr>
                <w:sz w:val="20"/>
                <w:szCs w:val="20"/>
                <w:color w:val="auto"/>
              </w:rPr>
            </w:pPr>
            <w:r>
              <w:rPr>
                <w:rFonts w:ascii="Arial" w:cs="Arial" w:eastAsia="Arial" w:hAnsi="Arial"/>
                <w:sz w:val="18"/>
                <w:szCs w:val="18"/>
                <w:color w:val="auto"/>
              </w:rPr>
              <w:t>*</w:t>
            </w:r>
          </w:p>
        </w:tc>
        <w:tc>
          <w:tcPr>
            <w:tcW w:w="3900" w:type="dxa"/>
            <w:vAlign w:val="bottom"/>
          </w:tcPr>
          <w:p>
            <w:pPr>
              <w:spacing w:after="0"/>
              <w:rPr>
                <w:sz w:val="24"/>
                <w:szCs w:val="24"/>
                <w:color w:val="auto"/>
              </w:rPr>
            </w:pPr>
          </w:p>
        </w:tc>
      </w:tr>
    </w:tbl>
    <w:p>
      <w:pPr>
        <w:sectPr>
          <w:pgSz w:w="11900" w:h="16838" w:orient="portrait"/>
          <w:cols w:equalWidth="0" w:num="1">
            <w:col w:w="11040"/>
          </w:cols>
          <w:pgMar w:left="440" w:top="270" w:right="41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right="320"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7340" w:type="dxa"/>
            <w:vAlign w:val="bottom"/>
            <w:gridSpan w:val="2"/>
          </w:tcPr>
          <w:p>
            <w:pPr>
              <w:ind w:left="1940"/>
              <w:spacing w:after="0"/>
              <w:rPr>
                <w:sz w:val="20"/>
                <w:szCs w:val="20"/>
                <w:color w:val="auto"/>
              </w:rPr>
            </w:pPr>
            <w:r>
              <w:rPr>
                <w:rFonts w:ascii="Arial" w:cs="Arial" w:eastAsia="Arial" w:hAnsi="Arial"/>
                <w:sz w:val="18"/>
                <w:szCs w:val="18"/>
                <w:b w:val="1"/>
                <w:bCs w:val="1"/>
                <w:color w:val="auto"/>
              </w:rPr>
              <w:t>ZAFGEN, INC.</w:t>
            </w:r>
          </w:p>
        </w:tc>
      </w:tr>
      <w:tr>
        <w:trPr>
          <w:trHeight w:val="432"/>
        </w:trPr>
        <w:tc>
          <w:tcPr>
            <w:tcW w:w="3700" w:type="dxa"/>
            <w:vAlign w:val="bottom"/>
          </w:tcPr>
          <w:p>
            <w:pPr>
              <w:spacing w:after="0"/>
              <w:rPr>
                <w:sz w:val="20"/>
                <w:szCs w:val="20"/>
                <w:color w:val="auto"/>
              </w:rPr>
            </w:pPr>
            <w:r>
              <w:rPr>
                <w:rFonts w:ascii="Arial" w:cs="Arial" w:eastAsia="Arial" w:hAnsi="Arial"/>
                <w:sz w:val="18"/>
                <w:szCs w:val="18"/>
                <w:color w:val="auto"/>
              </w:rPr>
              <w:t>Date: November 6, 2019</w:t>
            </w:r>
          </w:p>
        </w:tc>
        <w:tc>
          <w:tcPr>
            <w:tcW w:w="7340" w:type="dxa"/>
            <w:vAlign w:val="bottom"/>
            <w:gridSpan w:val="2"/>
          </w:tcPr>
          <w:p>
            <w:pPr>
              <w:ind w:left="1940"/>
              <w:spacing w:after="0"/>
              <w:rPr>
                <w:sz w:val="20"/>
                <w:szCs w:val="20"/>
                <w:color w:val="auto"/>
              </w:rPr>
            </w:pPr>
            <w:r>
              <w:rPr>
                <w:rFonts w:ascii="Arial" w:cs="Arial" w:eastAsia="Arial" w:hAnsi="Arial"/>
                <w:sz w:val="18"/>
                <w:szCs w:val="18"/>
                <w:color w:val="auto"/>
              </w:rPr>
              <w:t>By:  /s/ Jeffrey S. Hatfield</w:t>
            </w:r>
          </w:p>
        </w:tc>
      </w:tr>
      <w:tr>
        <w:trPr>
          <w:trHeight w:val="195"/>
        </w:trPr>
        <w:tc>
          <w:tcPr>
            <w:tcW w:w="370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508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Jeffrey S. Hatfield</w:t>
            </w:r>
          </w:p>
        </w:tc>
      </w:tr>
      <w:tr>
        <w:trPr>
          <w:trHeight w:val="230"/>
        </w:trPr>
        <w:tc>
          <w:tcPr>
            <w:tcW w:w="37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080" w:type="dxa"/>
            <w:vAlign w:val="bottom"/>
          </w:tcPr>
          <w:p>
            <w:pPr>
              <w:ind w:left="10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040"/>
          </w:cols>
          <w:pgMar w:left="440" w:top="270" w:right="4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2579370</wp:posOffset>
            </wp:positionH>
            <wp:positionV relativeFrom="paragraph">
              <wp:posOffset>172085</wp:posOffset>
            </wp:positionV>
            <wp:extent cx="1844040" cy="8318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44040" cy="831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Zafgen Reports Third Quarter 2019 Financial Results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Evaluation of strategic alternatives ongoing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Boston, November 6, 2019 </w:t>
      </w:r>
      <w:r>
        <w:rPr>
          <w:rFonts w:ascii="Arial" w:cs="Arial" w:eastAsia="Arial" w:hAnsi="Arial"/>
          <w:sz w:val="18"/>
          <w:szCs w:val="18"/>
          <w:color w:val="auto"/>
        </w:rPr>
        <w:t>– Zafgen, Inc. (Nasdaq:ZFGN) today reported its third quarter 2019 financial results.</w:t>
      </w:r>
    </w:p>
    <w:p>
      <w:pPr>
        <w:spacing w:after="0" w:line="22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 September 2019, Zafgen announced plans to explore strategic options to maximize shareholder value and these efforts are ongoing. The potential strategic alternatives that may be evaluated include, but are not limited to, an acquisition, merger, business combination, in-licensing, or other strategic transaction involving the Company or its assets.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2019 Financial Results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Marketable Securities</w:t>
      </w:r>
    </w:p>
    <w:p>
      <w:pPr>
        <w:spacing w:after="0" w:line="117"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As of September 30, 2019, the Company had cash, cash equivalents, and marketable securities totaling $82.0 million. Based on previously announced and recently implemented plans to reduce operating expenses and prioritize key resources announced previously, Zafgen expects significantly reduced cash burn in its future quarters compared to the third quarter of 2019.</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w:t>
      </w:r>
    </w:p>
    <w:p>
      <w:pPr>
        <w:spacing w:after="0" w:line="117"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The Company reported a net loss for the third quarter of 2019 of $12.9 million, or $0.35 per share, compared to a net loss of $15.1 million, or $0.41 per share, for the third quarter of 2018. The net loss for the third quarter of 2019 includes $4.0 million of restructuring charges.</w:t>
      </w:r>
    </w:p>
    <w:p>
      <w:pPr>
        <w:spacing w:after="0" w:line="14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weighted average common shares (basic and diluted) outstanding used to compute net loss per share were 37.4 million for the third quarter of 2019 compared to 36.6 million for the same quarter of 2018.</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Research and development expenses for the third quarter of 2019 were $5.3 million compared to $11.8 million for the third quarter of 2018. The decrease in research and development expenses compared to the prior year period was primarily due to lower spend to resolve the FDA clinical hold and decreased personnel related costs.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Restructuring Charges</w:t>
      </w:r>
    </w:p>
    <w:p>
      <w:pPr>
        <w:spacing w:after="0" w:line="11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Restructuring charges for the third quarter of 2019 were $4.0 million and include personnel related costs primarily related to severance expenses as a result of the multiple reductions in workforce and contract termination costs implemented in the third quarter of 2019.</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General and administrative expenses for the third quarter of 2019 were $3.6 million, compared to $3.3 million for the third quarter of 2018. The increase in general and administrative expenses as compared to the prior year period was primarily due to an increase in professional fees related to strategic alternatives activities and legal fees, which were partially offset by a decrease in non-cash stock-based compensation.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Zafgen</w:t>
      </w:r>
    </w:p>
    <w:p>
      <w:pPr>
        <w:spacing w:after="0" w:line="12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Zafgen (Nasdaq:ZFGN) is a biopharmaceutical company that has leveraged its proprietary MetAP2 biology platform to pioneer the study of MetAP2 inhibitors in both common and rare metabolic disorders. Learn more at www.zafgen.com.</w:t>
      </w:r>
    </w:p>
    <w:p>
      <w:pPr>
        <w:spacing w:after="0" w:line="170" w:lineRule="exact"/>
        <w:rPr>
          <w:sz w:val="20"/>
          <w:szCs w:val="20"/>
          <w:color w:val="auto"/>
        </w:rPr>
      </w:pPr>
    </w:p>
    <w:p>
      <w:pPr>
        <w:jc w:val="both"/>
        <w:ind w:right="40"/>
        <w:spacing w:after="0" w:line="302" w:lineRule="auto"/>
        <w:rPr>
          <w:sz w:val="20"/>
          <w:szCs w:val="20"/>
          <w:color w:val="auto"/>
        </w:rPr>
      </w:pPr>
      <w:r>
        <w:rPr>
          <w:rFonts w:ascii="Arial" w:cs="Arial" w:eastAsia="Arial" w:hAnsi="Arial"/>
          <w:sz w:val="16"/>
          <w:szCs w:val="16"/>
          <w:color w:val="auto"/>
        </w:rPr>
        <w:t>As previously announced, the Company has retained MTS Health Partners L.P. as its exclusive advisor to assist the Company in exploring alternatives. There can be no assurance that the exploration of strategic alternatives will result in any transaction being entered into or consummated. The Company has not set a timetable for completion of this review process and the Company does not intend to comment further unless or until the Board of Directors has approved a definitive course of action, the review process is concluded, or it is determined that other disclosure is appropriate.</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Various statements in this release concerning Zafgen’s future expectations, plans and prospects, including without limitation, Zafgen’s plans to explore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strategic alternatives, Zafgen’s expected cash, cash equivalents and marketable securities balance as of September 30, 2019, and Zafgen’s expectations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regarding the length of its cash runway, may constitute forward-looking statements for the purposes of the safe harbor provisions of The Private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Securities Litigation Reform Act of 1995 and other federal securities laws. Forward-looking statements can be identified by terminology such as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“anticipate,” “believe,” “could,” “could increase the likelihood,” “estimate,” “expect,” “intend,” “is planned,” “may,” “should,” “will,” “will enable,”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“would be expected,” “look forward,” “may provide,” “would” or similar terms, variations of such terms or the negative of those terms. Actual results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may differ materially from those indicated by these forward-looking statements as a result of various important factors, including, without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limitation, Zafgen’s ability to explore strategic alternatives and enter into and consummate a transaction as a result of such process, Zafgen’s ability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retain personnel, and unexpected expenditures, as well as those risks more fully discussed in the section entitled “Risk Factors” in Zafgen’s most recent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Annual Report on Form 10-K filed with the Securities and Exchange Commission, as well as discussions of potential risks, uncertainties,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5" w:name="page6"/>
    <w:bookmarkEnd w:id="5"/>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other important factors in Zafgen’s subsequent filings with the Securities and Exchange Commission, including without limitation Zafgen’s Quarterly Reports on Form 10-Q. In addition, any forward-looking statements represent Zafgen’s views only as of today and should not be relied upon as representing its views as of any subsequent date. Zafgen explicitly disclaims any obligation to update any forward-looking statements, whether as a result of new information, future events or otherwise.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Media/Investor Relations Contacts</w:t>
      </w:r>
      <w:r>
        <w:rPr>
          <w:rFonts w:ascii="Arial" w:cs="Arial" w:eastAsia="Arial" w:hAnsi="Arial"/>
          <w:sz w:val="18"/>
          <w:szCs w:val="18"/>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Zafgen,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Patricia Allen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617-648-9792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Media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Krystle Gibbs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Ten Bridge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krystle@tenbridgecommunications.com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508-479-6358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John Woolford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Westwicke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john.woolford@westwicke.com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443-213-0506</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860"/>
          </w:cols>
          <w:pgMar w:left="440" w:top="274" w:right="59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ZAFGEN,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4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2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40" w:type="dxa"/>
            <w:vAlign w:val="bottom"/>
            <w:gridSpan w:val="6"/>
          </w:tcPr>
          <w:p>
            <w:pPr>
              <w:jc w:val="right"/>
              <w:ind w:right="96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2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40" w:type="dxa"/>
            <w:vAlign w:val="bottom"/>
            <w:tcBorders>
              <w:bottom w:val="single" w:sz="8" w:color="CCEEFF"/>
            </w:tcBorders>
          </w:tcPr>
          <w:p>
            <w:pPr>
              <w:spacing w:after="0"/>
              <w:rPr>
                <w:sz w:val="12"/>
                <w:szCs w:val="12"/>
                <w:color w:val="auto"/>
              </w:rPr>
            </w:pPr>
          </w:p>
        </w:tc>
        <w:tc>
          <w:tcPr>
            <w:tcW w:w="8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8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23,463</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36,472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3,627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3,339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10,891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9,959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Restructuring charges</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4,019</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40" w:type="dxa"/>
            <w:vAlign w:val="bottom"/>
          </w:tcPr>
          <w:p>
            <w:pPr>
              <w:ind w:left="700"/>
              <w:spacing w:after="0"/>
              <w:rPr>
                <w:sz w:val="20"/>
                <w:szCs w:val="20"/>
                <w:color w:val="auto"/>
              </w:rPr>
            </w:pPr>
            <w:r>
              <w:rPr>
                <w:rFonts w:ascii="Arial" w:cs="Arial" w:eastAsia="Arial" w:hAnsi="Arial"/>
                <w:sz w:val="18"/>
                <w:szCs w:val="18"/>
                <w:color w:val="auto"/>
              </w:rPr>
              <w:t>Total operating expenses</w:t>
            </w:r>
          </w:p>
        </w:tc>
        <w:tc>
          <w:tcPr>
            <w:tcW w:w="8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12,906</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15,169</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38,373</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46,431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(12,906)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(15,169)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(38,373)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(46,431)</w:t>
            </w:r>
          </w:p>
        </w:tc>
        <w:tc>
          <w:tcPr>
            <w:tcW w:w="0" w:type="dxa"/>
            <w:vAlign w:val="bottom"/>
          </w:tcPr>
          <w:p>
            <w:pPr>
              <w:spacing w:after="0"/>
              <w:rPr>
                <w:sz w:val="1"/>
                <w:szCs w:val="1"/>
                <w:color w:val="auto"/>
              </w:rPr>
            </w:pPr>
          </w:p>
        </w:tc>
      </w:tr>
      <w:tr>
        <w:trPr>
          <w:trHeight w:val="223"/>
        </w:trPr>
        <w:tc>
          <w:tcPr>
            <w:tcW w:w="506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8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1,654</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340"/>
              <w:spacing w:after="0"/>
              <w:rPr>
                <w:sz w:val="20"/>
                <w:szCs w:val="20"/>
                <w:color w:val="auto"/>
              </w:rPr>
            </w:pPr>
            <w:r>
              <w:rPr>
                <w:rFonts w:ascii="Arial" w:cs="Arial" w:eastAsia="Arial" w:hAnsi="Arial"/>
                <w:sz w:val="18"/>
                <w:szCs w:val="18"/>
                <w:color w:val="auto"/>
              </w:rPr>
              <w:t>Interest expense</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(426)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(475)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(1,404)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currency transaction losses, net</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vMerge w:val="restart"/>
          </w:tcPr>
          <w:p>
            <w:pPr>
              <w:ind w:left="700"/>
              <w:spacing w:after="0"/>
              <w:rPr>
                <w:sz w:val="20"/>
                <w:szCs w:val="20"/>
                <w:color w:val="auto"/>
              </w:rPr>
            </w:pPr>
            <w:r>
              <w:rPr>
                <w:rFonts w:ascii="Arial" w:cs="Arial" w:eastAsia="Arial" w:hAnsi="Arial"/>
                <w:sz w:val="18"/>
                <w:szCs w:val="18"/>
                <w:color w:val="auto"/>
              </w:rPr>
              <w:t>Total other income (expense), net</w:t>
            </w:r>
          </w:p>
        </w:tc>
        <w:tc>
          <w:tcPr>
            <w:tcW w:w="8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vMerge w:val="continue"/>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102</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218</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(367)</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(12,914)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(15,067)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(38,155)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(46,798)</w:t>
            </w:r>
          </w:p>
        </w:tc>
        <w:tc>
          <w:tcPr>
            <w:tcW w:w="0" w:type="dxa"/>
            <w:vAlign w:val="bottom"/>
          </w:tcPr>
          <w:p>
            <w:pPr>
              <w:spacing w:after="0"/>
              <w:rPr>
                <w:sz w:val="1"/>
                <w:szCs w:val="1"/>
                <w:color w:val="auto"/>
              </w:rPr>
            </w:pPr>
          </w:p>
        </w:tc>
      </w:tr>
      <w:tr>
        <w:trPr>
          <w:trHeight w:val="20"/>
        </w:trPr>
        <w:tc>
          <w:tcPr>
            <w:tcW w:w="5060" w:type="dxa"/>
            <w:vAlign w:val="bottom"/>
            <w:gridSpan w:val="2"/>
            <w:vMerge w:val="restart"/>
          </w:tcPr>
          <w:p>
            <w:pPr>
              <w:spacing w:after="0"/>
              <w:rPr>
                <w:sz w:val="20"/>
                <w:szCs w:val="20"/>
                <w:color w:val="auto"/>
              </w:rPr>
            </w:pPr>
            <w:r>
              <w:rPr>
                <w:rFonts w:ascii="Arial" w:cs="Arial" w:eastAsia="Arial" w:hAnsi="Arial"/>
                <w:sz w:val="18"/>
                <w:szCs w:val="18"/>
                <w:color w:val="auto"/>
              </w:rPr>
              <w:t>Net loss per share, basic and diluted</w:t>
            </w:r>
          </w:p>
        </w:tc>
        <w:tc>
          <w:tcPr>
            <w:tcW w:w="8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60" w:type="dxa"/>
            <w:vAlign w:val="bottom"/>
            <w:gridSpan w:val="2"/>
            <w:vMerge w:val="continue"/>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w w:val="96"/>
              </w:rPr>
              <w:t>Weighted average common shares outstanding, basic and diluted</w:t>
            </w:r>
          </w:p>
        </w:tc>
        <w:tc>
          <w:tcPr>
            <w:tcW w:w="8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37,369,829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36,619,575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37,337,081</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30,608,664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860" w:type="dxa"/>
            <w:vAlign w:val="bottom"/>
            <w:vMerge w:val="restart"/>
          </w:tcPr>
          <w:p>
            <w:pPr>
              <w:jc w:val="right"/>
              <w:ind w:right="270"/>
              <w:spacing w:after="0"/>
              <w:rPr>
                <w:sz w:val="20"/>
                <w:szCs w:val="20"/>
                <w:color w:val="auto"/>
              </w:rPr>
            </w:pPr>
            <w:r>
              <w:rPr>
                <w:rFonts w:ascii="Arial" w:cs="Arial" w:eastAsia="Arial" w:hAnsi="Arial"/>
                <w:sz w:val="18"/>
                <w:szCs w:val="18"/>
                <w:color w:val="auto"/>
              </w:rPr>
              <w:t>4</w:t>
            </w: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8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440" w:top="270" w:right="41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ZAFGEN,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60" w:type="dxa"/>
            <w:vAlign w:val="bottom"/>
          </w:tcPr>
          <w:p>
            <w:pPr>
              <w:spacing w:after="0"/>
              <w:rPr>
                <w:sz w:val="14"/>
                <w:szCs w:val="14"/>
                <w:color w:val="auto"/>
              </w:rPr>
            </w:pPr>
          </w:p>
        </w:tc>
        <w:tc>
          <w:tcPr>
            <w:tcW w:w="1320" w:type="dxa"/>
            <w:vAlign w:val="bottom"/>
            <w:gridSpan w:val="4"/>
          </w:tcPr>
          <w:p>
            <w:pPr>
              <w:ind w:left="200"/>
              <w:spacing w:after="0"/>
              <w:rPr>
                <w:sz w:val="20"/>
                <w:szCs w:val="20"/>
                <w:color w:val="auto"/>
              </w:rPr>
            </w:pPr>
            <w:r>
              <w:rPr>
                <w:rFonts w:ascii="Arial" w:cs="Arial" w:eastAsia="Arial" w:hAnsi="Arial"/>
                <w:sz w:val="14"/>
                <w:szCs w:val="14"/>
                <w:b w:val="1"/>
                <w:bCs w:val="1"/>
                <w:color w:val="auto"/>
              </w:rPr>
              <w:t>September 30,</w:t>
            </w:r>
          </w:p>
        </w:tc>
        <w:tc>
          <w:tcPr>
            <w:tcW w:w="1140" w:type="dxa"/>
            <w:vAlign w:val="bottom"/>
            <w:gridSpan w:val="4"/>
          </w:tcPr>
          <w:p>
            <w:pPr>
              <w:ind w:left="1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56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5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43,337</w:t>
            </w: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49,331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340"/>
              <w:spacing w:after="0"/>
              <w:rPr>
                <w:sz w:val="20"/>
                <w:szCs w:val="20"/>
                <w:color w:val="auto"/>
              </w:rPr>
            </w:pPr>
            <w:r>
              <w:rPr>
                <w:rFonts w:ascii="Arial" w:cs="Arial" w:eastAsia="Arial" w:hAnsi="Arial"/>
                <w:sz w:val="18"/>
                <w:szCs w:val="18"/>
                <w:color w:val="auto"/>
              </w:rPr>
              <w:t>Marketable securities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38,669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68,735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Tax incentive receivable</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current assets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83,443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121,330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913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 assets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Restricted cash</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1,339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ind w:left="700"/>
              <w:spacing w:after="0"/>
              <w:rPr>
                <w:sz w:val="20"/>
                <w:szCs w:val="20"/>
                <w:color w:val="auto"/>
              </w:rPr>
            </w:pPr>
            <w:r>
              <w:rPr>
                <w:rFonts w:ascii="Arial" w:cs="Arial" w:eastAsia="Arial" w:hAnsi="Arial"/>
                <w:sz w:val="18"/>
                <w:szCs w:val="18"/>
                <w:color w:val="auto"/>
              </w:rPr>
              <w:t>Total assets</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92,887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121,762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3,319</w:t>
            </w: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340"/>
              <w:spacing w:after="0"/>
              <w:rPr>
                <w:sz w:val="20"/>
                <w:szCs w:val="20"/>
                <w:color w:val="auto"/>
              </w:rPr>
            </w:pPr>
            <w:r>
              <w:rPr>
                <w:rFonts w:ascii="Arial" w:cs="Arial" w:eastAsia="Arial" w:hAnsi="Arial"/>
                <w:sz w:val="18"/>
                <w:szCs w:val="18"/>
                <w:color w:val="auto"/>
              </w:rPr>
              <w:t>Accrued expenses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1,719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4,261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restructuring costs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340"/>
              <w:spacing w:after="0"/>
              <w:rPr>
                <w:sz w:val="20"/>
                <w:szCs w:val="20"/>
                <w:color w:val="auto"/>
              </w:rPr>
            </w:pPr>
            <w:r>
              <w:rPr>
                <w:rFonts w:ascii="Arial" w:cs="Arial" w:eastAsia="Arial" w:hAnsi="Arial"/>
                <w:sz w:val="18"/>
                <w:szCs w:val="18"/>
                <w:color w:val="auto"/>
              </w:rPr>
              <w:t>Operating lease liabilities, current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Notes payable, current</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ind w:left="700"/>
              <w:spacing w:after="0"/>
              <w:rPr>
                <w:sz w:val="20"/>
                <w:szCs w:val="20"/>
                <w:color w:val="auto"/>
              </w:rPr>
            </w:pPr>
            <w:r>
              <w:rPr>
                <w:rFonts w:ascii="Arial" w:cs="Arial" w:eastAsia="Arial" w:hAnsi="Arial"/>
                <w:sz w:val="18"/>
                <w:szCs w:val="18"/>
                <w:color w:val="auto"/>
              </w:rPr>
              <w:t>Total current liabilities</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16,339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13,306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Notes payable, long-term</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ind w:left="340"/>
              <w:spacing w:after="0"/>
              <w:rPr>
                <w:sz w:val="20"/>
                <w:szCs w:val="20"/>
                <w:color w:val="auto"/>
              </w:rPr>
            </w:pPr>
            <w:r>
              <w:rPr>
                <w:rFonts w:ascii="Arial" w:cs="Arial" w:eastAsia="Arial" w:hAnsi="Arial"/>
                <w:sz w:val="18"/>
                <w:szCs w:val="18"/>
                <w:color w:val="auto"/>
              </w:rPr>
              <w:t>Operating lease liabilities</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6,502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liabilities</w:t>
            </w: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33,007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28,491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58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6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8"/>
              </w:rPr>
              <w:t>Preferred stock; $0.001 par value per share; 5,000,000 shares authorized as of September 30, 2019 and</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6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4"/>
              </w:rPr>
              <w:t>December 31, 2018; no shares issued and outstanding as of September 30, 2019 and December 31, 2018</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60" w:type="dxa"/>
            <w:vAlign w:val="bottom"/>
          </w:tcPr>
          <w:p>
            <w:pPr>
              <w:ind w:left="340"/>
              <w:spacing w:after="0" w:line="201" w:lineRule="exact"/>
              <w:rPr>
                <w:sz w:val="20"/>
                <w:szCs w:val="20"/>
                <w:color w:val="auto"/>
              </w:rPr>
            </w:pPr>
            <w:r>
              <w:rPr>
                <w:rFonts w:ascii="Arial" w:cs="Arial" w:eastAsia="Arial" w:hAnsi="Arial"/>
                <w:sz w:val="18"/>
                <w:szCs w:val="18"/>
                <w:color w:val="auto"/>
                <w:w w:val="96"/>
              </w:rPr>
              <w:t>Common stock, $0.001 par value per share; 115,000,000 shares authorized as of September 30, 2019 and</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520"/>
              <w:spacing w:after="0"/>
              <w:rPr>
                <w:sz w:val="20"/>
                <w:szCs w:val="20"/>
                <w:color w:val="auto"/>
              </w:rPr>
            </w:pPr>
            <w:r>
              <w:rPr>
                <w:rFonts w:ascii="Arial" w:cs="Arial" w:eastAsia="Arial" w:hAnsi="Arial"/>
                <w:sz w:val="18"/>
                <w:szCs w:val="18"/>
                <w:color w:val="auto"/>
                <w:w w:val="90"/>
              </w:rPr>
              <w:t>December 31, 2018; 37,370,301 and 37,287,221 shares issued and outstanding as of September 30, 2019 and</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60" w:type="dxa"/>
            <w:vAlign w:val="bottom"/>
          </w:tcPr>
          <w:p>
            <w:pPr>
              <w:ind w:left="520"/>
              <w:spacing w:after="0"/>
              <w:rPr>
                <w:sz w:val="20"/>
                <w:szCs w:val="20"/>
                <w:color w:val="auto"/>
              </w:rPr>
            </w:pPr>
            <w:r>
              <w:rPr>
                <w:rFonts w:ascii="Arial" w:cs="Arial" w:eastAsia="Arial" w:hAnsi="Arial"/>
                <w:sz w:val="18"/>
                <w:szCs w:val="18"/>
                <w:color w:val="auto"/>
              </w:rPr>
              <w:t>December 31, 2018, respectively</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448,902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444,212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340"/>
              <w:spacing w:after="0"/>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(389,100)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(350,945)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income (loss)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60" w:type="dxa"/>
            <w:vAlign w:val="bottom"/>
          </w:tcPr>
          <w:p>
            <w:pPr>
              <w:ind w:left="1060"/>
              <w:spacing w:after="0"/>
              <w:rPr>
                <w:sz w:val="20"/>
                <w:szCs w:val="20"/>
                <w:color w:val="auto"/>
              </w:rPr>
            </w:pPr>
            <w:r>
              <w:rPr>
                <w:rFonts w:ascii="Arial" w:cs="Arial" w:eastAsia="Arial" w:hAnsi="Arial"/>
                <w:sz w:val="18"/>
                <w:szCs w:val="18"/>
                <w:color w:val="auto"/>
              </w:rPr>
              <w:t>Total stockholders’ equity</w:t>
            </w:r>
          </w:p>
        </w:tc>
        <w:tc>
          <w:tcPr>
            <w:tcW w:w="2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59,880</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93,271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liabilities and stockholders’ equity</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92,887</w:t>
            </w: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121,762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80" w:type="dxa"/>
            <w:vAlign w:val="bottom"/>
            <w:gridSpan w:val="2"/>
            <w:vMerge w:val="restart"/>
          </w:tcPr>
          <w:p>
            <w:pPr>
              <w:jc w:val="right"/>
              <w:ind w:right="2930"/>
              <w:spacing w:after="0"/>
              <w:rPr>
                <w:sz w:val="20"/>
                <w:szCs w:val="20"/>
                <w:color w:val="auto"/>
              </w:rPr>
            </w:pPr>
            <w:r>
              <w:rPr>
                <w:rFonts w:ascii="Arial" w:cs="Arial" w:eastAsia="Arial" w:hAnsi="Arial"/>
                <w:sz w:val="18"/>
                <w:szCs w:val="18"/>
                <w:color w:val="auto"/>
              </w:rPr>
              <w:t>5</w:t>
            </w: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58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040"/>
      </w:cols>
      <w:pgMar w:left="440" w:top="270"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2019-12-28T02:27:50Z</dcterms:created>
  <dcterms:modified xsi:type="dcterms:W3CDTF">2019-12-28T02:27:50Z</dcterms:modified>
</cp:coreProperties>
</file>