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5,571,963.00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5,571,963.00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5,571,963.00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Biotech Innovation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139"/>
        <w:spacing w:after="0"/>
        <w:rPr>
          <w:sz w:val="20"/>
          <w:szCs w:val="20"/>
          <w:color w:val="auto"/>
        </w:rPr>
      </w:pPr>
      <w:r>
        <w:rPr>
          <w:rFonts w:ascii="Times New Roman" w:cs="Times New Roman" w:eastAsia="Times New Roman" w:hAnsi="Times New Roman"/>
          <w:sz w:val="21"/>
          <w:szCs w:val="21"/>
          <w:color w:val="auto"/>
        </w:rPr>
        <w:t>MASSACHUSETTS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3,356,076.00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3,356,076.00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3,356,076.00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LARIMAR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Three Bala Plaza East, Suite 506 Bala Cynwyd, PA 19004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517125100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5,571,963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8"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5571963</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5571963</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5"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p>
      <w:pPr>
        <w:spacing w:after="0" w:line="15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Janus Henderson Biotech Innovation Master Fund Ltd</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20"/>
      </w:cols>
      <w:pgMar w:left="360" w:top="11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2025-05-14T11:31:39Z</dcterms:created>
  <dcterms:modified xsi:type="dcterms:W3CDTF">2025-05-14T11:31:39Z</dcterms:modified>
</cp:coreProperties>
</file>