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0" w:lineRule="exact"/>
        <w:rPr>
          <w:sz w:val="24"/>
          <w:szCs w:val="24"/>
          <w:color w:val="auto"/>
        </w:rPr>
      </w:pPr>
    </w:p>
    <w:p>
      <w:pPr>
        <w:ind w:left="3880" w:right="1540" w:hanging="3863"/>
        <w:spacing w:after="0" w:line="320" w:lineRule="auto"/>
        <w:tabs>
          <w:tab w:leader="none" w:pos="5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000" w:right="1540" w:hanging="3983"/>
        <w:spacing w:after="0" w:line="320" w:lineRule="auto"/>
        <w:tabs>
          <w:tab w:leader="none" w:pos="5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____</w:t>
      </w:r>
    </w:p>
    <w:p>
      <w:pPr>
        <w:spacing w:after="0" w:line="1"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001-36510</w:t>
      </w:r>
    </w:p>
    <w:p>
      <w:pPr>
        <w:spacing w:after="0" w:line="1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42"/>
        </w:trPr>
        <w:tc>
          <w:tcPr>
            <w:tcW w:w="4060" w:type="dxa"/>
            <w:vAlign w:val="bottom"/>
          </w:tcPr>
          <w:p>
            <w:pPr>
              <w:spacing w:after="0"/>
              <w:rPr>
                <w:sz w:val="21"/>
                <w:szCs w:val="21"/>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196"/>
        </w:trPr>
        <w:tc>
          <w:tcPr>
            <w:tcW w:w="4060" w:type="dxa"/>
            <w:vAlign w:val="bottom"/>
          </w:tcPr>
          <w:p>
            <w:pPr>
              <w:spacing w:after="0"/>
              <w:rPr>
                <w:sz w:val="17"/>
                <w:szCs w:val="17"/>
                <w:color w:val="auto"/>
              </w:rPr>
            </w:pPr>
          </w:p>
        </w:tc>
        <w:tc>
          <w:tcPr>
            <w:tcW w:w="34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3760" w:type="dxa"/>
            <w:vAlign w:val="bottom"/>
          </w:tcPr>
          <w:p>
            <w:pPr>
              <w:spacing w:after="0"/>
              <w:rPr>
                <w:sz w:val="17"/>
                <w:szCs w:val="17"/>
                <w:color w:val="auto"/>
              </w:rPr>
            </w:pPr>
          </w:p>
        </w:tc>
      </w:tr>
      <w:tr>
        <w:trPr>
          <w:trHeight w:val="93"/>
        </w:trPr>
        <w:tc>
          <w:tcPr>
            <w:tcW w:w="40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54"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both"/>
        <w:ind w:right="292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12 2025, there were 85,590,392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right="2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spacing w:after="0" w:line="75" w:lineRule="exact"/>
        <w:rPr>
          <w:rFonts w:ascii="Times New Roman" w:cs="Times New Roman" w:eastAsia="Times New Roman" w:hAnsi="Times New Roman"/>
          <w:sz w:val="18"/>
          <w:szCs w:val="18"/>
          <w:color w:val="auto"/>
        </w:rPr>
      </w:pPr>
    </w:p>
    <w:p>
      <w:pPr>
        <w:ind w:left="1020" w:right="3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the FDA's request for additional information or studies (whether clinical or non-clinical), changes in clinical protocols, adverse events, regulatory restrictions, including additional clinical holds, and milestones for nomlabofusp;</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open label trial and our pediatric PK run-in trial, including the timing of site initiations and the rate of patient enrollment;</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recently completed financing and any future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6" w:lineRule="exact"/>
        <w:rPr>
          <w:sz w:val="20"/>
          <w:szCs w:val="20"/>
          <w:color w:val="auto"/>
        </w:rPr>
      </w:pPr>
    </w:p>
    <w:p>
      <w:pPr>
        <w:ind w:left="1020" w:right="2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71"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 and</w:t>
      </w:r>
    </w:p>
    <w:p>
      <w:pPr>
        <w:spacing w:after="0" w:line="79"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occur at all. The factors that could cause or contribute to such differences include, but are not limited to, those discussed in our Annual Report on Form 10-K filed on March 24, 2025 and our Quarterly Report on Form 10-Q filed on April 30, 2025.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60" w:type="dxa"/>
            <w:vAlign w:val="bottom"/>
            <w:tcBorders>
              <w:top w:val="single" w:sz="8" w:color="0000FF"/>
            </w:tcBorders>
            <w:gridSpan w:val="6"/>
          </w:tcPr>
          <w:p>
            <w:pPr>
              <w:spacing w:after="0"/>
              <w:rPr>
                <w:sz w:val="24"/>
                <w:szCs w:val="24"/>
                <w:color w:val="auto"/>
              </w:rPr>
            </w:pPr>
          </w:p>
        </w:tc>
        <w:tc>
          <w:tcPr>
            <w:tcW w:w="35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2024</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2025 and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0" w:type="dxa"/>
            <w:vAlign w:val="bottom"/>
            <w:tcBorders>
              <w:bottom w:val="single" w:sz="8" w:color="0000EE"/>
            </w:tcBorders>
          </w:tcPr>
          <w:p>
            <w:pPr>
              <w:spacing w:after="0"/>
              <w:rPr>
                <w:sz w:val="24"/>
                <w:szCs w:val="24"/>
                <w:color w:val="auto"/>
              </w:rPr>
            </w:pPr>
          </w:p>
        </w:tc>
        <w:tc>
          <w:tcPr>
            <w:tcW w:w="36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885"/>
        </w:trPr>
        <w:tc>
          <w:tcPr>
            <w:tcW w:w="2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gridSpan w:val="11"/>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149,988</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of June 30, 2025 and December 31, 2024; no shares issued and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as of June 30, 2025 and December 31, 2024</w:t>
            </w: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as of June 30, 2025 and December 31, 2024;</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64,027,892 and 63,815,065 shares issued and outstanding as of</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(324,621)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(269,158)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149,988</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-3093720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7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100" w:type="dxa"/>
            <w:vAlign w:val="bottom"/>
          </w:tcPr>
          <w:p>
            <w:pPr>
              <w:spacing w:after="0"/>
              <w:rPr>
                <w:sz w:val="18"/>
                <w:szCs w:val="18"/>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(24,599)</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(58,979)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(41,333)</w:t>
            </w: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Pr>
          <w:p>
            <w:pPr>
              <w:spacing w:after="0"/>
              <w:rPr>
                <w:sz w:val="18"/>
                <w:szCs w:val="18"/>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(26,182)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(21,627)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(55,463)</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3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(0.62)</w:t>
            </w: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64,027,892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63,801,792</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63,996,126</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58,677,749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(26,182)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(21,627)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(55,463)</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(36,281)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50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5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(26,245)</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(21,752)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(55,620)</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(36,512)</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-1791335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-1791335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-1791335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-1216660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-1199515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-1216660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-1199515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-1216660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-1199515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-890905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-873760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-890905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-873760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-890905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-316230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-316230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10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0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63,815,065</w:t>
            </w:r>
          </w:p>
        </w:tc>
        <w:tc>
          <w:tcPr>
            <w:tcW w:w="10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(269,158)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(29,281)</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(29,281)</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64,027,892</w:t>
            </w:r>
          </w:p>
        </w:tc>
        <w:tc>
          <w:tcPr>
            <w:tcW w:w="10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442,592</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(26,182)</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(26,182)</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64,027,892</w:t>
            </w:r>
          </w:p>
        </w:tc>
        <w:tc>
          <w:tcPr>
            <w:tcW w:w="10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444,420</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(324,621)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-753745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-753745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-753745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-753745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-753745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-170815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10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0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10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(188,554)</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(14,654)</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63,800,017</w:t>
            </w:r>
          </w:p>
        </w:tc>
        <w:tc>
          <w:tcPr>
            <w:tcW w:w="10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(21,627)</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(21,627)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63,802,517</w:t>
            </w:r>
          </w:p>
        </w:tc>
        <w:tc>
          <w:tcPr>
            <w:tcW w:w="10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(224,835)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-890905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-890905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-890905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-890905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-890905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83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(55,463)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(36,281)</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expense</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r>
      <w:tr>
        <w:trPr>
          <w:trHeight w:val="209"/>
        </w:trPr>
        <w:tc>
          <w:tcPr>
            <w:tcW w:w="8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(45,921)</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(24,399)</w:t>
            </w:r>
          </w:p>
        </w:tc>
      </w:tr>
      <w:tr>
        <w:trPr>
          <w:trHeight w:val="210"/>
        </w:trPr>
        <w:tc>
          <w:tcPr>
            <w:tcW w:w="8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(80,142)</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(166,582)</w:t>
            </w: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(131,856)</w:t>
            </w:r>
          </w:p>
        </w:tc>
      </w:tr>
      <w:tr>
        <w:trPr>
          <w:trHeight w:val="209"/>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161,806</w:t>
            </w:r>
          </w:p>
        </w:tc>
        <w:tc>
          <w:tcPr>
            <w:tcW w:w="120" w:type="dxa"/>
            <w:vAlign w:val="bottom"/>
          </w:tcPr>
          <w:p>
            <w:pPr>
              <w:spacing w:after="0"/>
              <w:rPr>
                <w:sz w:val="18"/>
                <w:szCs w:val="18"/>
                <w:color w:val="auto"/>
              </w:rPr>
            </w:pP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161,817</w:t>
            </w:r>
          </w:p>
        </w:tc>
        <w:tc>
          <w:tcPr>
            <w:tcW w:w="120" w:type="dxa"/>
            <w:vAlign w:val="bottom"/>
          </w:tcPr>
          <w:p>
            <w:pPr>
              <w:spacing w:after="0"/>
              <w:rPr>
                <w:sz w:val="18"/>
                <w:szCs w:val="18"/>
                <w:color w:val="auto"/>
              </w:rPr>
            </w:pP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(12,631)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spacing w:after="0"/>
              <w:rPr>
                <w:sz w:val="18"/>
                <w:szCs w:val="18"/>
                <w:color w:val="auto"/>
              </w:rPr>
            </w:pPr>
          </w:p>
        </w:tc>
      </w:tr>
      <w:tr>
        <w:trPr>
          <w:trHeight w:val="210"/>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included in accrued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-2253615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-1696720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-1130935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-556260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-556260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Larimar initiated human clinical studies of nomlabofusp in 2019. Since then, the Company has completed two Phase 1 clinical studies, a Phase 2 dose exploration study and a PK run-in study in adolescents (12-17 years old).</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2024, the Company initiated its open label extension study in patients with FA. The open label extension study's eligibility criteria only allowed patients who previously participated in the Company’s prior nomlabofusp Phase 1 or Phase 2 studies. In 2025, the Company changed the name of the open label extension study to the open label study, due to the inclusion of patients who had not participated in prior nomlabofusp clinical studies. The Company's ongoing open label study is currently screening and enrolling eligible adolescents that completed dosing in the recently completed PK run-in study into the open label study. In addition, the Company is also screening and enrolling patients with FA who have not participated in prior nomlabofusp clinical studies. The Company is also planning to enroll children (2-11 years of age) directly into the open label study.</w:t>
      </w:r>
    </w:p>
    <w:p>
      <w:pPr>
        <w:spacing w:after="0" w:line="79"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engaged in multiple discussions and interactions with the U.S. Food and Drug Administration (“FDA”) in connection with its clinical development of nomlabofusp and such communications remain ongoing. The Company currently participates in the FDA’s Center for Drug Evaluation and Research ("CDER”) Support for Clinical Trials Advancing Rare Disease Therapeutics (“START”) pilot program. The objective of this program is to accelerate the development of drugs for rare diseases that lead to significant disability or death by facilitating frequent advice and regular communication with the FDA staff to expedite the review process.</w:t>
      </w:r>
    </w:p>
    <w:p>
      <w:pPr>
        <w:spacing w:after="0" w:line="7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had numerous interactions with the European Medicines Agency ("EMA") and the United Kingdom’s Medicines and Healthcare Regulatory Agency (“MHRA”) regarding the clinical development of nomlabofusp.</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has received Orphan Drug Designation and Fast Track Designation from the FDA. The Company has been granted orphan drug designation in the European Union (the ”EU”) and access to the EU’s Priority Medicines Program (“PRIME”) Scheme. The Company has also received access to the EMA’s Innovative Licensing and Access Pathway (“ILAP”). All these programs are designed to facilitate drug development of therapeutics for rare and/or orphan indications.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significant developments are as follows:</w:t>
      </w:r>
    </w:p>
    <w:p>
      <w:pPr>
        <w:spacing w:after="0" w:line="117" w:lineRule="exact"/>
        <w:rPr>
          <w:sz w:val="20"/>
          <w:szCs w:val="20"/>
          <w:color w:val="auto"/>
        </w:rPr>
      </w:pPr>
    </w:p>
    <w:p>
      <w:pPr>
        <w:ind w:left="1020" w:right="30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Company reported positive initial data from its ongoing open label study. This data included safety, FXN levels, clinical and pharmacokinetic data. Also in December 2024, the Company announced that they were increasing the dose in the open label study to 50 mg of nomlabofusp daily for then currently enrolled participants. All newly enrolled participants will start dosing at 50 mg nomlabofusp daily. In March 2025, the Company announced that its Safety Monitoring Team has deemed anaphylaxis as an adverse drug reaction likely associated with nomlabofusp and therefore they expect to see additional reactions. To reduce the risk of allergic reactions, including anaphylaxis, the Company amended the open label study protocol to administer premedication with antihistamines for the first month of dosing.</w:t>
      </w:r>
    </w:p>
    <w:p>
      <w:pPr>
        <w:spacing w:after="0" w:line="80"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initiated dosing of adolescents (12-17 years old) in its PK run-in study for patients with FA. Study participants were randomized 2:1 to receive either nomlabofusp at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86" w:lineRule="exact"/>
        <w:rPr>
          <w:sz w:val="20"/>
          <w:szCs w:val="20"/>
          <w:color w:val="auto"/>
        </w:rPr>
      </w:pPr>
    </w:p>
    <w:p>
      <w:pPr>
        <w:ind w:left="1020" w:right="260"/>
        <w:spacing w:after="0" w:line="282" w:lineRule="auto"/>
        <w:rPr>
          <w:sz w:val="20"/>
          <w:szCs w:val="20"/>
          <w:color w:val="auto"/>
        </w:rPr>
      </w:pPr>
      <w:r>
        <w:rPr>
          <w:rFonts w:ascii="Times New Roman" w:cs="Times New Roman" w:eastAsia="Times New Roman" w:hAnsi="Times New Roman"/>
          <w:sz w:val="18"/>
          <w:szCs w:val="18"/>
          <w:color w:val="auto"/>
        </w:rPr>
        <w:t>weight-base dose expected to match the PK of adults receiving the 50 mg dose, or placebo, daily for seven days. The Company completed dosing of 14 adolescents in March 2025.</w:t>
      </w:r>
    </w:p>
    <w:p>
      <w:pPr>
        <w:spacing w:after="0" w:line="54" w:lineRule="exact"/>
        <w:rPr>
          <w:sz w:val="20"/>
          <w:szCs w:val="20"/>
          <w:color w:val="auto"/>
        </w:rPr>
      </w:pPr>
    </w:p>
    <w:p>
      <w:pPr>
        <w:ind w:left="1020" w:right="6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FDA accepted the data supporting the comparability of the lyophilized drug product to the frozen solution and agreed with the Company's plans to introduce the lyophilized product into its clinical development program. The frozen solution is the dosage form currently being used in the open label study. In May 2025, the Company began to introduce the lyophilized product formulation, which is intended for commercialization, into the open label study with new study participants.</w:t>
      </w:r>
    </w:p>
    <w:p>
      <w:pPr>
        <w:spacing w:after="0" w:line="71"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the Company announced that FDA stated as part of a START pilot program that it is open to considering the use of FXN concentration as a reasonably likely surrogate endpoint (“RLSE”) and the acceptability of FXN concentration as an RLSE to support accelerated approval will be a matter of review in a future marketing application. FDA recommended focusing on assessments of skin FXN concentrations rather than buccal FXN concentrations due to more consistent sampling and less variability. FDA acknowledged that data the Company recently submitted appear to support a relationship between increased FXN concentrations in skin cells and relevant tissues such as the heart, dorsal root ganglion and skeletal muscle. FDA also acknowledged that the nonclinical studies the Company submitted were performed at relevant human doses. FDA also suggested that the Company consider exploring the relationship between increases in FXN in skin and changes in pharmacodynamic ("PD") markers such as lipid profiles and/or clinical measures to provide additional support for the use of FXN as an RLSE. The Company continues to interact with the FDA under the START pilot program.</w:t>
      </w:r>
    </w:p>
    <w:p>
      <w:pPr>
        <w:spacing w:after="0" w:line="80"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FDA provided safety database recommendations for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 In a prior communication received in March, FDA stated that it is open to the use of skin FXN concentrations as a RLSE and acknowledged the submitted data appear to support a relationship between increased skin FXN and relevant tissues such as the heart, dorsal root ganglion, and skeletal muscle. Acceptability of increases in skin FXN for accelerated approval will be decided during future BLA review.</w:t>
      </w:r>
    </w:p>
    <w:p>
      <w:pPr>
        <w:spacing w:after="0" w:line="80"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announced the publication of nonclinical data evaluating the mechanism of action, pharmacodynamics and pharmacology of nomlabofusp as a novel FXN protein replacement therapy designed to address the underlying cause of FA in two peer-reviewed articles. These data were included in the briefing package reviewed by the FDA in support of using skin FXN concentrations as a RLSE for the Company's registrational program seeking accelerated approval for nomlabofusp.</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Nomlabofusp plans and milestones include the following:</w:t>
      </w:r>
    </w:p>
    <w:p>
      <w:pPr>
        <w:spacing w:after="0" w:line="117" w:lineRule="exact"/>
        <w:rPr>
          <w:sz w:val="20"/>
          <w:szCs w:val="20"/>
          <w:color w:val="auto"/>
        </w:rPr>
      </w:pPr>
    </w:p>
    <w:p>
      <w:pPr>
        <w:ind w:left="1020" w:right="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open label study continues to enroll, and active study participants are currently receiving the 50 mg dose of nomlabofusp. The Company plans to provide an update in September 2025 on open label data on at least 30 to 40 study participants who received at least one dose of nomlabofusp. Safety and PK data from the recently completed adolescent PK run-in study are also expected as part of the September 2025 update.</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Adolescent participants from the PK run-in study are currently screening and enrolling in the open label study. Larimar is also screening and enrolling into the open label study patients with FA who have not participated in prior nomlabofusp clinical studies. In addition, Larimar plans to enroll children (2 to 11 years of age) directly into the open label study.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the Company plans to submit a BLA seeking accelerated approval.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feedback from FDA and EMA on the study protocol, global Phase 3 study sites in the U.S., European Union, U.K., Canada, and Australia were identified and are currently being qualified and initiated. The Company expects to begin patient recruitment later this year.</w:t>
      </w:r>
    </w:p>
    <w:p>
      <w:pPr>
        <w:spacing w:after="0" w:line="3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U.S. Generally Accepted Accounting Principles ("GAAP").</w:t>
      </w:r>
    </w:p>
    <w:p>
      <w:pPr>
        <w:spacing w:after="0" w:line="6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consolidated balance sheet as of December 31, 2024 was derived from the Company’s audited financial statements but does not include all disclosures required by GAAP. The accompanying unaudited condensed consolidated financial statements as of June 30, 2025 and for the three and six months ended June 30,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2024 included in the Company’s Annual Report on Form 10-K filed with the SEC on March 24, 2025.</w:t>
      </w:r>
    </w:p>
    <w:p>
      <w:pPr>
        <w:spacing w:after="0" w:line="8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the opinion of management, all adjustments, consisting only of normal recurring adjustments necessary for a fair statement of the Company’s condensed consolidated financial position as of June 30, 2025, condensed consolidated results of operations for the three and six months ended June 30, 2025 and condensed consolidated statement of cash flows for the six months ended June 30, 2025 have been made. The results of operations for the three and six months ended June 30, 2025 are not necessarily indicative of the results of operations that may be expected for the year ending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$55.5 million and $36.3 million for the six months ended June 30, 2025 and 2024, respectively. In addition, as of June 30, 2025, the Company had an accumulated deficit of $324.6 million. The Company expects to continue to generate operating losses for the foreseeable future. As of June 30, 2025, the Company had approximately $138.5 million of cash, cash equivalents and marketable securities available for use to fund its operations and capital requirements.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June 30, 2025, the Company completed an underwritten public offering of common stock raising net proceeds of approximately $65.1 million.</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combined with the net proceeds of approximately $65.1 million from the Company's July 2025 public offering will be sufficient to fund its forecasted operating expenses and capital expenditure requirements for at least twelve months from the date these financial statements are issued, into the fourth quarter of 2026. If the timing of the Company's clinical assumptions are delayed or if there are other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forecasted assumption changes that negatively impact its operating plan, the Company would reduce expenditures in order to further extend cash resources.</w:t>
      </w:r>
    </w:p>
    <w:p>
      <w:pPr>
        <w:spacing w:after="0" w:line="11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commercialization efforts and/or commercial operations, which could adversely affect its business prospects, or the Company may be unable to continue operations.</w:t>
      </w:r>
    </w:p>
    <w:p>
      <w:pPr>
        <w:spacing w:after="0" w:line="6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based on an evaluation of the progress to completion of specific tasks using information provided to the Company by its key service providers.</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9,593,248 and 6,900,232 common stock equivalents outstanding as of June 30, 2025 and 2024, respectively, from the computation of diluted net loss per share for the three and six months 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because they had an anti-dilutive impact due to the net loss incurred for the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spacing w:after="0" w:line="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financial information, including consolidated net loss, to evaluate performance, forecast future period financial results, allocate resources for the company by, among other things, comparing budgeted to actual results.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three and six months ended June 30,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5"/>
                <w:szCs w:val="15"/>
                <w:color w:val="auto"/>
              </w:rPr>
            </w:pPr>
          </w:p>
        </w:tc>
        <w:tc>
          <w:tcPr>
            <w:tcW w:w="30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Technical operations</w:t>
            </w:r>
          </w:p>
        </w:tc>
        <w:tc>
          <w:tcPr>
            <w:tcW w:w="20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2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Development </w:t>
            </w:r>
            <w:r>
              <w:rPr>
                <w:rFonts w:ascii="Times New Roman" w:cs="Times New Roman" w:eastAsia="Times New Roman" w:hAnsi="Times New Roman"/>
                <w:sz w:val="24"/>
                <w:szCs w:val="24"/>
                <w:color w:val="auto"/>
                <w:vertAlign w:val="superscript"/>
              </w:rPr>
              <w:t>(a)(b)</w:t>
            </w:r>
          </w:p>
        </w:tc>
        <w:tc>
          <w:tcPr>
            <w:tcW w:w="1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Nomlabofusp support</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(c)(d)</w:t>
            </w:r>
          </w:p>
        </w:tc>
        <w:tc>
          <w:tcPr>
            <w:tcW w:w="1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w:t>
            </w: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(5,052)</w:t>
            </w:r>
          </w:p>
        </w:tc>
      </w:tr>
      <w:tr>
        <w:trPr>
          <w:trHeight w:val="20"/>
        </w:trPr>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(26,182)</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(21,627)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(55,463)</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60" w:right="20" w:hanging="3"/>
        <w:spacing w:after="0" w:line="282" w:lineRule="auto"/>
        <w:tabs>
          <w:tab w:leader="none" w:pos="10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include research and development related stock compensation expense of approximately $0.9 million and $1.0 million for the three months ended June 30, 2025 and 2024, respectively.</w:t>
      </w:r>
    </w:p>
    <w:p>
      <w:pPr>
        <w:spacing w:after="0" w:line="53" w:lineRule="exact"/>
        <w:rPr>
          <w:rFonts w:ascii="Times New Roman" w:cs="Times New Roman" w:eastAsia="Times New Roman" w:hAnsi="Times New Roman"/>
          <w:sz w:val="18"/>
          <w:szCs w:val="18"/>
          <w:color w:val="auto"/>
        </w:rPr>
      </w:pPr>
    </w:p>
    <w:p>
      <w:pPr>
        <w:ind w:left="760" w:hanging="3"/>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include research and development related stock compensation expense of approximately $1.8 million and $1.9 million for the six months ended June 30, 2025 and 2024, respectively.</w:t>
      </w:r>
    </w:p>
    <w:p>
      <w:pPr>
        <w:spacing w:after="0" w:line="53" w:lineRule="exact"/>
        <w:rPr>
          <w:rFonts w:ascii="Times New Roman" w:cs="Times New Roman" w:eastAsia="Times New Roman" w:hAnsi="Times New Roman"/>
          <w:sz w:val="18"/>
          <w:szCs w:val="18"/>
          <w:color w:val="auto"/>
        </w:rPr>
      </w:pPr>
    </w:p>
    <w:p>
      <w:pPr>
        <w:ind w:left="760" w:right="240" w:hanging="3"/>
        <w:spacing w:after="0" w:line="282" w:lineRule="auto"/>
        <w:tabs>
          <w:tab w:leader="none" w:pos="10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general and administrative related stock compensation expense of approximately $0.9 million and $1.3 million for the three months ended June 30, 2025 and 2024, respectively.</w:t>
      </w:r>
    </w:p>
    <w:p>
      <w:pPr>
        <w:spacing w:after="0" w:line="53" w:lineRule="exact"/>
        <w:rPr>
          <w:rFonts w:ascii="Times New Roman" w:cs="Times New Roman" w:eastAsia="Times New Roman" w:hAnsi="Times New Roman"/>
          <w:sz w:val="18"/>
          <w:szCs w:val="18"/>
          <w:color w:val="auto"/>
        </w:rPr>
      </w:pPr>
    </w:p>
    <w:p>
      <w:pPr>
        <w:ind w:left="760" w:right="220" w:hanging="3"/>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general and administrative related stock compensation expense of approximately $1.8 million and $2.5 million for the six months ended June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date. We have assessed the recently issued guidance that is not yet effective and believe the new guidance will not have a material impact on the condensed consolidated results of operations, cash flows or financial position.</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2, Segment Information, for disclosures related to the adoption of ASU 2023-07.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which requires entities to disclose in their rate reconciliation table additional categories of information about federal, state and foreign income taxes as well as additional information about reconciling items if certain 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ASU is effective for fiscal years beginning after December 15, 2024, with early adoption permitted. The Company will adopt ASU-203-09 beginning with our annual reporting period ending December 31, 2025, the adoption of which is not expected to have a material impact on the Company’s consolidated results of operations or cash flows.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 During the three and six months ended June 30, 2025 and June 30, 2024, the Company recorded no income tax benefits for the net operating losses incurred in each period due to the uncertainty of realizing a benefit from those items</w:t>
      </w:r>
    </w:p>
    <w:p>
      <w:pPr>
        <w:spacing w:after="0" w:line="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July 4, 2025, Public Law 119-21 ("The Law") became effective. The Law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Law's impact on its consolidated financial statements; however, it does not expect The Law to have a material impact on its estimated annual effective tax rate or cash flows in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as of June 30, 2025 and December 31, 2024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29" w:lineRule="exact"/>
        <w:rPr>
          <w:sz w:val="20"/>
          <w:szCs w:val="20"/>
          <w:color w:val="auto"/>
        </w:rPr>
      </w:pPr>
    </w:p>
    <w:p>
      <w:pPr>
        <w:sectPr>
          <w:pgSz w:w="11900" w:h="16838" w:orient="portrait"/>
          <w:cols w:equalWidth="0" w:num="2">
            <w:col w:w="680" w:space="640"/>
            <w:col w:w="9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sectPr>
          <w:pgSz w:w="11900" w:h="16838" w:orient="portrait"/>
          <w:cols w:equalWidth="0" w:num="2">
            <w:col w:w="680" w:space="640"/>
            <w:col w:w="9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17" w:lineRule="exact"/>
        <w:rPr>
          <w:sz w:val="20"/>
          <w:szCs w:val="20"/>
          <w:color w:val="auto"/>
        </w:rPr>
      </w:pPr>
    </w:p>
    <w:p>
      <w:pPr>
        <w:sectPr>
          <w:pgSz w:w="11900" w:h="16838" w:orient="portrait"/>
          <w:cols w:equalWidth="0" w:num="2">
            <w:col w:w="680" w:space="640"/>
            <w:col w:w="9920"/>
          </w:cols>
          <w:pgMar w:left="320" w:top="1440" w:right="339" w:bottom="1440" w:gutter="0" w:footer="0" w:header="0"/>
          <w:type w:val="continuous"/>
        </w:sect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June 30, 2025 and December 31, 2024 were considered representative of their fair values due to their short term to maturity.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June 30, 2025 and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4"/>
          </w:tcPr>
          <w:p>
            <w:pPr>
              <w:jc w:val="center"/>
              <w:ind w:right="815"/>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38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9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Bills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3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106,533</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380" w:type="dxa"/>
            <w:vAlign w:val="bottom"/>
            <w:gridSpan w:val="3"/>
            <w:shd w:val="clear" w:color="auto" w:fill="CFF0FC"/>
          </w:tcPr>
          <w:p>
            <w:pPr>
              <w:jc w:val="center"/>
              <w:ind w:lef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9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Bills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38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-3646805</wp:posOffset>
            </wp:positionV>
            <wp:extent cx="939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-3646805</wp:posOffset>
            </wp:positionV>
            <wp:extent cx="939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-3646805</wp:posOffset>
            </wp:positionV>
            <wp:extent cx="939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-3646805</wp:posOffset>
            </wp:positionV>
            <wp:extent cx="10287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-2943860</wp:posOffset>
            </wp:positionV>
            <wp:extent cx="9398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-2943860</wp:posOffset>
            </wp:positionV>
            <wp:extent cx="939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-2943860</wp:posOffset>
            </wp:positionV>
            <wp:extent cx="939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-2943860</wp:posOffset>
            </wp:positionV>
            <wp:extent cx="10287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-2077720</wp:posOffset>
            </wp:positionV>
            <wp:extent cx="939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-2077720</wp:posOffset>
            </wp:positionV>
            <wp:extent cx="939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-2077720</wp:posOffset>
            </wp:positionV>
            <wp:extent cx="939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-2077720</wp:posOffset>
            </wp:positionV>
            <wp:extent cx="10287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-1216660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-1216660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8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$1.0 million and $1.1 million as of June 30, 2025 and December 31, 2024, respectively, and is included in prepaid expenses and other current assets on the condensed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June 30, 2025 and December 31, 2024, no allowances for credit losses for the Company’s investments were recorded. During the three and six months ended June 30, 2025 and 2024, the Company did not recognize any impairment losses related to investments.</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June 30, 2025 and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117,945</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150,088</w:t>
            </w:r>
          </w:p>
        </w:tc>
        <w:tc>
          <w:tcPr>
            <w:tcW w:w="2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-882015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-882015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-864870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-1028065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-1028065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June 30, 2025 and December 31, 2024, the Company held no investments that have been in a continuous loss position for 12 months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360" w:type="dxa"/>
            <w:vAlign w:val="bottom"/>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r>
      <w:tr>
        <w:trPr>
          <w:trHeight w:val="229"/>
        </w:trPr>
        <w:tc>
          <w:tcPr>
            <w:tcW w:w="546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shd w:val="clear" w:color="auto" w:fill="CFF0FC"/>
          </w:tcPr>
          <w:p>
            <w:pPr>
              <w:spacing w:after="0"/>
              <w:rPr>
                <w:sz w:val="19"/>
                <w:szCs w:val="19"/>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60" w:type="dxa"/>
            <w:vAlign w:val="bottom"/>
          </w:tcPr>
          <w:p>
            <w:pPr>
              <w:spacing w:after="0"/>
              <w:rPr>
                <w:sz w:val="15"/>
                <w:szCs w:val="15"/>
                <w:color w:val="auto"/>
              </w:rPr>
            </w:pP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7 years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rPr>
              <w:t>lease term</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w:t>
            </w:r>
          </w:p>
        </w:tc>
      </w:tr>
      <w:tr>
        <w:trPr>
          <w:trHeight w:val="250"/>
        </w:trPr>
        <w:tc>
          <w:tcPr>
            <w:tcW w:w="4660" w:type="dxa"/>
            <w:vAlign w:val="bottom"/>
            <w:tcBorders>
              <w:bottom w:val="single" w:sz="8" w:color="CFF0FC"/>
            </w:tcBorders>
            <w:shd w:val="clear" w:color="auto" w:fill="CFF0FC"/>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$0.1 million and $0.2 million for the three and six months ended June 30, 2025, respectively. Depreciation expense was $0.1 million for the three and six months ended June 30, 2024. In addition, for the three and six months ended June 30, 2025 and 2024, there was less than $0.1 million of depreciation related to sublet assets recorded as other expense.</w:t>
      </w:r>
    </w:p>
    <w:p>
      <w:pPr>
        <w:spacing w:after="0" w:line="6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18,538</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21,351</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86" w:lineRule="exact"/>
        <w:rPr>
          <w:sz w:val="20"/>
          <w:szCs w:val="20"/>
          <w:color w:val="auto"/>
        </w:rPr>
      </w:pPr>
    </w:p>
    <w:p>
      <w:pPr>
        <w:ind w:right="500" w:firstLine="45"/>
        <w:spacing w:after="0" w:line="282" w:lineRule="auto"/>
        <w:rPr>
          <w:sz w:val="20"/>
          <w:szCs w:val="20"/>
          <w:color w:val="auto"/>
        </w:rPr>
      </w:pPr>
      <w:r>
        <w:rPr>
          <w:rFonts w:ascii="Times New Roman" w:cs="Times New Roman" w:eastAsia="Times New Roman" w:hAnsi="Times New Roman"/>
          <w:sz w:val="18"/>
          <w:szCs w:val="18"/>
          <w:color w:val="auto"/>
        </w:rPr>
        <w:t>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June 30, 2025, the Company’s Ninth Amended and Restated Certificate of Incorporation, as amended, authorized the Company to issue up to 115,000,000 shares of common stock, par value $0.001 per share, of which 64,027,892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July 2025, the Company completed an underwritten public offering in which the Company issued and sold 21,562,500 shares of its common stock including the exercise in full of the underwriters’ option to purchase additional shares of common stock, at a public offering price of $3.20 per share. The Company received net proceeds of approximately $65.1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Guggenheim Securities, LLC in connection with the establishment of an “at-the-market” offering program under which the Company could sell up to an aggregate of $50.0 million of shares of common stock (the “ATM Shares”) from time to time.</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February 2024, in connection with the underwritten public offering described above, the Company terminated the 2022 ATM Agreement. No ATM Shares were ever sold pursuant to the 2022 ATM Agreement.</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"2024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the 2024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2,552,603 and 1,756,363 shares available for grant to the 2020 Plan on January 1, 2025 and January 1, 2024, respectively. As of June 30, 2025, 508,844 shares of common stock were available for grant under the 2020 Plan.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twelve months ended December 31, 2024, options to purchase 333 and 1,242 shares, respectively, issued under the Prior Plans were cancelled and became available for grant under the 2020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 during the six months ended June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1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91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4.45%</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2025 (amounts in millions, except for share, contractual term, and per share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6,436,387</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7.78</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3.32</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(197,067)</w:t>
            </w:r>
          </w:p>
        </w:tc>
        <w:tc>
          <w:tcPr>
            <w:tcW w:w="10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6.10</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June 30, 2025</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8,583,457</w:t>
            </w:r>
          </w:p>
        </w:tc>
        <w:tc>
          <w:tcPr>
            <w:tcW w:w="16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gridSpan w:val="2"/>
          </w:tcPr>
          <w:p>
            <w:pPr>
              <w:jc w:val="right"/>
              <w:ind w:right="7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6.60</w:t>
            </w:r>
          </w:p>
        </w:tc>
        <w:tc>
          <w:tcPr>
            <w:tcW w:w="22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7.7</w:t>
            </w:r>
          </w:p>
        </w:tc>
        <w:tc>
          <w:tcPr>
            <w:tcW w:w="36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as of June 30, 2025</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4,096,695</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gridSpan w:val="2"/>
            <w:shd w:val="clear" w:color="auto" w:fill="CFF0FC"/>
          </w:tcPr>
          <w:p>
            <w:pPr>
              <w:jc w:val="right"/>
              <w:ind w:right="7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9.16</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6.3</w:t>
            </w:r>
          </w:p>
        </w:tc>
        <w:tc>
          <w:tcPr>
            <w:tcW w:w="36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expected to vest as of June 30, 2025</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8,583,457</w:t>
            </w:r>
          </w:p>
        </w:tc>
        <w:tc>
          <w:tcPr>
            <w:tcW w:w="160" w:type="dxa"/>
            <w:vAlign w:val="bottom"/>
          </w:tcPr>
          <w:p>
            <w:pPr>
              <w:spacing w:after="0"/>
              <w:rPr>
                <w:sz w:val="17"/>
                <w:szCs w:val="17"/>
                <w:color w:val="auto"/>
              </w:rPr>
            </w:pPr>
          </w:p>
        </w:tc>
        <w:tc>
          <w:tcPr>
            <w:tcW w:w="980" w:type="dxa"/>
            <w:vAlign w:val="bottom"/>
            <w:gridSpan w:val="2"/>
          </w:tcPr>
          <w:p>
            <w:pPr>
              <w:jc w:val="right"/>
              <w:ind w:right="7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6.60</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7.7</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-513715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-496570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1260" w:right="140" w:hanging="503"/>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June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options to purchase 2,344,137 shares of common stock to employees and directors under the 2020 Plan. The options have an exercise price equal to the closing stock price as of the grant date. Of the 2,344,137 options granted, 2,249,137 were granted to employees and vest over four years, with 25% vesting on the first anniversary of the grant and the remainder vesting in equal monthly installments thereafter. The remaining 95,000 options were annual grants to the Company's directors and vest on the earlier of (i) one year from the grant date or (ii) the date of the Company's next annual meeting of stockholders. The options have an exercise price equal to the closing stock price as of the grant date. The weighted-average grant date fair value of options granted under the 2020 Plan during the six months ended June 30, 2025 was $2.63.</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unvested stock options granted under the 2020 Plan was $13.3 million, which is expected to be recognized over a weighted average period of 2.72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six months ended June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unvested inducement options granted was $0.6 million, which is expected to be recognized over a weighted average period of 1.79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Grants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2025, RSUs were granted under the 2020 Plan to certain of the Company's employees in order to maintain retention of key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an RSU award is based on the Company's stock price on the date of grant. The shares underlying the RSUs are not issued until the RSUs vest.</w:t>
      </w:r>
    </w:p>
    <w:p>
      <w:pPr>
        <w:spacing w:after="0" w:line="9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and performance-based RSUs during the six months ended June 30, 2025 was as follows (in millions, except share, contractual term,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(212,827)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June 30, 2025</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1,009,791</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17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Unvested and expected to vest as of June 30, 2025</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1,009,791</w:t>
            </w:r>
          </w:p>
        </w:tc>
        <w:tc>
          <w:tcPr>
            <w:tcW w:w="140" w:type="dxa"/>
            <w:vAlign w:val="bottom"/>
          </w:tcPr>
          <w:p>
            <w:pPr>
              <w:spacing w:after="0"/>
              <w:rPr>
                <w:sz w:val="17"/>
                <w:szCs w:val="17"/>
                <w:color w:val="auto"/>
              </w:rPr>
            </w:pP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1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-187960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544,988 shares of RSUs to employees under the 2020 Plan. The RSUs vest annually over four years and have a weighted-average grant date fair value of $3.46 per unit.</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for RSUs was $2.8 million, which is expected to be recognized over a weighted average period of 2.53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Grants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January 2025, the Company granted performance-based RSUs (the "January 2025 PSU Awards") to each of the executive officers of the Company under the 2020 Plan. Each award was expressed as a target number of RSUs. With respect to the January 2025 PSU Awards, the Board established specified regulatory-related performance criteria and a corresponding performance period over which such performance criteria must be achieved, the satisfaction of which are conditions to earning the January 2025 PSU Awards and vesting of the underlying RSUs. As of June 30, 2025, the January 2025 PSU Awards were outstanding covering 200,000 common stock underlying RSUs.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performance-based RSUs was $3.46 per unit based on the grant date closing price per share. As of June 30, 2025, the underlying performance criteria of the January 2025 PSU Awards were determined to be not probable of achievement, and no stock-based compensation expense was recognized for the three and six months ended June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52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374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tcPr>
          <w:p>
            <w:pPr>
              <w:spacing w:after="0"/>
              <w:rPr>
                <w:sz w:val="18"/>
                <w:szCs w:val="18"/>
                <w:color w:val="auto"/>
              </w:rPr>
            </w:pPr>
          </w:p>
        </w:tc>
      </w:tr>
      <w:tr>
        <w:trPr>
          <w:trHeight w:val="250"/>
        </w:trPr>
        <w:tc>
          <w:tcPr>
            <w:tcW w:w="374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1,828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44"/>
        </w:trPr>
        <w:tc>
          <w:tcPr>
            <w:tcW w:w="3740" w:type="dxa"/>
            <w:vAlign w:val="bottom"/>
          </w:tcPr>
          <w:p>
            <w:pPr>
              <w:spacing w:after="0"/>
              <w:rPr>
                <w:sz w:val="24"/>
                <w:szCs w:val="24"/>
                <w:color w:val="auto"/>
              </w:rPr>
            </w:pPr>
          </w:p>
        </w:tc>
        <w:tc>
          <w:tcPr>
            <w:tcW w:w="2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68" w:lineRule="exact"/>
        <w:rPr>
          <w:sz w:val="20"/>
          <w:szCs w:val="20"/>
          <w:color w:val="auto"/>
        </w:rPr>
      </w:pPr>
    </w:p>
    <w:p>
      <w:pPr>
        <w:ind w:right="66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both these leases are reflected in the financial statements for six months ended June 30, 2025 as are the right of use asset and lease liability of the Company's Boston office space discussed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right="240" w:firstLine="509"/>
        <w:spacing w:after="0" w:line="273" w:lineRule="auto"/>
        <w:rPr>
          <w:sz w:val="20"/>
          <w:szCs w:val="20"/>
          <w:color w:val="auto"/>
        </w:rPr>
      </w:pPr>
      <w:r>
        <w:rPr>
          <w:rFonts w:ascii="Times New Roman" w:cs="Times New Roman" w:eastAsia="Times New Roman" w:hAnsi="Times New Roman"/>
          <w:sz w:val="17"/>
          <w:szCs w:val="17"/>
          <w:color w:val="auto"/>
        </w:rPr>
        <w:t>In connection with the Company's 2020 merger with Zafgen,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6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Expense arising from operating leases was $0.1 million and $0.3 million during the three and six months ended June 30, 2025, respectively. Expense arising from operating leases was $0.1 million and $0.3 million during the three and six months ended June 30, 2024, respectively. For operating leases, the weighted-average remaining lease term for leases at June 30, 2025 and December 31, 2024 was 4.0 and 4.5 years, respectively. For operating leases, the weighted average discount rate for leases at June 30, 2025 and December 31, 2024 was 11.0%. The Company has not entered into any financing leases.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June 30,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Six months ending December 31, 2025</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3"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24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During the twelve months ended December 31, 2024, the Company incurred $0.9 million of costs related to the Track-FA program and will fund future costs going forward. One of the Company’s Directors is also a director of FARA. During the six months ended June 30, 2025, the Company incurred less than $0.1 million of costs related to the Track-FA program.</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Additionally, during the twelve months ended December 31, 2024, the Company sponsored patient and caregiver awareness events held by FARA for a cumulative $0.1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2024 included in our Annual Report on Form 10-K filed with the Securities and Exchange Commission (“SEC”) on March 24, 2025 (the "2024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2024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7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initiated human clinical studies of nomlabofusp in 2019. Since then, we have completed two Phase 1 clinical studies, a Phase 2 dose exploration study and a PK run-in study in adolescents (12-17 years old).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2024, we initiated our open label extension study in patients with FA. The open label extension study's eligibility criteria only allowed patients who previously participated in our prior nomlabofusp Phase 1 or Phase 2 studies. In 2025, we changed the name of the open label extension study to the open label study, due to the inclusion of patients who had not participated in prior nomlabofusp clinical studies. Our ongoing open label study is currently screening and enrolling eligible adolescents that completed dosing in the recently completed PK run-in study into the open label study. In addition, we are also screening and enrolling patients with FA who have not participated in prior nomlabofusp clinical studies. We are also planning to enroll children (2-11 years of age) directly into the open label study.</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engaged in multiple discussions and interactions with the U.S. Food and Drug Administration (“FDA”) in connection with our clinical development of nomlabofusp. Communications remain ongoing. We currently participate in the FDA’s Center for Drug Evaluation and Research (“CDER”) Support for Clinical Trials Advancing Rare Disease Therapeutics (“START”) pilot program. The objective of this program is to accelerate the development of drugs for rare diseases that lead to significant disability or death by facilitating frequent advice and regular communication with the FDA staff to expedite the review process.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have also had numerous interactions with the European Medicines Agency ("EMA") and the United Kingdom’s Medicines and Healthcare Regulatory Agency (“MHRA”) regarding the clinical development of nomlabofusp.</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received Orphan Drug Designation and Fast Track Designation from the FDA. We have been granted orphan drug designation in the European Union (the ”EU”) and access to the EU’s Priority Medicines Program (“PRIME”) Scheme. We have also received access to the EMA’s Innovative Licensing and Access Pathway (“ILAP”). All these programs are designed to facilitate drug development of therapeutics for rare and/or orphan indications.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significant developments are as follows:</w:t>
      </w:r>
    </w:p>
    <w:p>
      <w:pPr>
        <w:spacing w:after="0" w:line="117" w:lineRule="exact"/>
        <w:rPr>
          <w:sz w:val="20"/>
          <w:szCs w:val="20"/>
          <w:color w:val="auto"/>
        </w:rPr>
      </w:pPr>
    </w:p>
    <w:p>
      <w:pPr>
        <w:ind w:left="1020" w:hanging="503"/>
        <w:spacing w:after="0" w:line="25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reported positive initial data from our ongoing open label study. This data included safety, FXN levels, clinical and pharmacokinetic data. Also in December 2024, we announced that we were increasing the dose in the open label study to 50 mg of nomlabofusp daily for then currently enrolled participants. All newly enrolled participants will start dosing at 50 mg of nomlabofusp daily. In March 2025, we announced that our Safety Monitoring Team has deemed anaphylaxis as an adverse drug reaction likely associated with nomlabofusp and therefore, we expect to see additional reactions. To reduce the risk of allergic reactions, including anaphylaxis, we amended the open label study protocol to administer premedication with antihistamines for the first month of dosing.</w:t>
      </w:r>
    </w:p>
    <w:p>
      <w:pPr>
        <w:spacing w:after="0" w:line="7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initiated dosing of adolescents (12-17 years old) in our PK run-in study for patients with FA. Study participants were randomized 2:1 to receive either nomlabofusp at a weight-base dose expected to match the PK of adults receiving the 50 mg dose, or placebo, daily for seven days. We completed dosing of 14 adolescents in March 2025.</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FDA accepted the data supporting the comparability of the lyophilized drug product to the frozen solution and agreed with our plans to introduce the lyophilized product into our clinical development program. The frozen solution is the dosage form currently being used in the open label study. In May 2025, we began to introduce the lyophilized product formulation, which is intended for commercialization, into the open label study with new study participants.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that FDA stated as part of a START pilot program that it is open to considering the use of FXN concentration as a reasonably likely surrogate endpoint (“RLSE”) and the acceptability of FXN concentration as an RLSE to support accelerated approval will be a matter of review in a future marketing application. The FDA recommended focusing on assessments of skin FXN concentrations rather than buccal FXN concentrations due to more consistent sampling and less variability. FDA acknowledged that data we recently submitted appear to support a relationship between increased FXN concentrations in skin cells and relevant tissues such as the heart, dorsal root ganglion and skeletal muscle. FDA 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continue to interact with the FDA under the START pilot program.</w:t>
      </w:r>
    </w:p>
    <w:p>
      <w:pPr>
        <w:spacing w:after="0" w:line="80"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FDA provided safety database recommendations for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 In a prior communication received in March, FDA stated that it is open to the use of skin FXN concentrations as a RLSE and acknowledged the submitted data appear to support a relationship between increased skin FXN and relevant tissues such as the heart, dorsal root ganglion, and skeletal muscle. Acceptability of increases in skin FXN for accelerated approval will be decided during future BLA review.</w:t>
      </w:r>
    </w:p>
    <w:p>
      <w:pPr>
        <w:spacing w:after="0" w:line="8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publication of nonclinical data evaluating the mechanism of action, pharmacodynamics and pharmacology of nomlabofusp as a novel FXN protein replacement therapy designed to address the underlying cause of FA in two peer-reviewed articles. These data were included in the briefing package reviewed by the U.S. FDA in support of using skin FXN concentrations as a RLSE for our registrational program seeking accelerated approval for nomlabofusp.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Nomlabofusp plans and milestones include the following:</w:t>
      </w:r>
    </w:p>
    <w:p>
      <w:pPr>
        <w:spacing w:after="0" w:line="117" w:lineRule="exact"/>
        <w:rPr>
          <w:sz w:val="20"/>
          <w:szCs w:val="20"/>
          <w:color w:val="auto"/>
        </w:rPr>
      </w:pPr>
    </w:p>
    <w:p>
      <w:pPr>
        <w:ind w:left="1020" w:right="2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open label study continues to enroll, and active study participants are currently receiving the 50 mg dose of nomlabofusp. We plan to provide an update in September 2025 on open label data on at least 30 to 40 study participants who received at least one dose of nomlabofusp. Safety and PK data from the recently completed adolescent PK run-in study are also expected as part of the September 2025 update.</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Adolescent participants from the PK run-in study are currently screening and enrolling in the open label study. We are also screening and enrolling into the open label study patients with FA who have not participated in prior nomlabofusp clinical studies. In addition, we plan to enroll children (2 to 11 years of age) directly into the open label study.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we plan to submit a BLA seeking accelerated approval.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feedback from FDA and EMA on the study protocol, global Phase 3 study sites in the U.S., European Union, U.K., Canada, and Australia were identified and are currently being qualified and initiated. We expect to begin patient recruitment later this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(the "2024 ATM Agreement") with Guggenheim Securities, LLC in connection with the establishment of an “at-the-market” offering program providing for the sale of up to an aggregate of $100 million of shares of our common stock from time to time. To date, we have made no sales under the 2024 ATM agreement.</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Subsequent to June 30, 2025, we completed an underwritten public offering in which we issued and sold 21,562,500 shares of our common stock, including the exercise in full of the underwriters' option to purchase additional shares, at a public offering price of $3.20 per share. We received net proceeds of approximately $65.1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and/or any other product candidates we develop.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 2023, we began blending our historical data starting in June 2020 (following our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January, 2025, our Board of Directors ("Board") approved the issuance of an aggregate of 200,000 performance-based restricted stock units ("RSUs") to certain of our executive officers (the "January 2025 PSU Awards"). The Board established specified performance criteria and a corresponding performance period over which such performance criteria must be achieved, the satisfaction of which are conditions to earning the January 2025 PSU Awards and vesting of the underlying RSUs. As of June 30, 2025, the underlying performance criteria of the January 2025 PSU Awards were determined to be not probable of achievement, and no stock-based compensation expense was recognized for the three months ended June 30, 2025.</w:t>
      </w:r>
    </w:p>
    <w:p>
      <w:pPr>
        <w:spacing w:after="0" w:line="75"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900" w:right="180" w:hanging="51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900" w:right="40" w:hanging="518"/>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(24,599)</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-454025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-454025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increased $3.7 million compared to the three months ended June 30, 2024. The increase in research and development expenses was primarily attributable to an increase of $2.4 million in professional consulting fees associated with ongoing clinical studies and worldwide regulatory activities, an increase of $1.3 million in personnel costs associated with increased headcount, an increase of $0.6 million in clinical costs primarily associated with the start of an anticipated confirmatory study that would be required as part of an accelerated approval of our planned BLA submission expected in the second quarter of 2026, partially offset by a decrease of $0.8 million in costs incurred under related to the Friedreich’s Ataxia Research Alliance (FARA) TRACK-FA program (a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2025 decreased $0.5 million compared to the three months ended June 30, 2024. The decrease in general and administrative expenses was primarily due to a decrease of $0.4 million in stock compensation costs related to the full vesting of stock options granted at higher value stock options and a decrease of $0.3 million in professional service expenses primarily related to legal services performed, partially offset by an increase of $0.1 million of personnel costs associated with increased headcount.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$1.6 million income in the three months ended June 30, 2025 compared to $3.0 million income in the three months ended June 30, 2024. The decrease relates to a lower levels of investable cash, cash equivalents and marketable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32,621</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(58,979)</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(41,333)</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-453390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-453390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2025 increased $17.3 million compared to the six months ended June 30, 2024. The increase in research and development expenses was primarily attributable to an increase of $7.1 million in nomlabofusp manufacturing costs, an increase of $3.5 million in professional consulting fees associated with increasing clinical, regulatory and quality operations, an increase of $3.4 million in clinical costs primarily associated with the start of an anticipated confirmatory study that would be required as part of an accelerated approval of our planned BLA submission expected in the second quarter of 2026, an increase of $2.9 million in personnel costs, an increase of $0.8 million in nonclinical costs related to assay development, and partially offset by a decrease of $0.8 million in costs incurred under the TRACK-FA program discussed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2025 increased $0.3 million compared to the six months ended June 30, 2024. The increase in general and administrative expenses was primarily due to an increase of $0.8 million in personnel costs and an increase of $0.3 million in professional services primarily related to consulting fees associated with ongoing pre-commercial pre-launch activities, partially offset by a decrease of $0.7 million in stock compensation costs related to the full vesting of stock options granted at higher value stock options higher value stock options than those that have recently been granted.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$3.5 million income in the six months ended June 30, 2025 compared to $5.1 million income in the six months ended June 30, 2024. The decrease primarily relates to a lower levels of investable cash, cash equivalents and marketable securities.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16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9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97"/>
              </w:rPr>
              <w:t>(45,921)</w:t>
            </w: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(24,399)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33,290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(131,856)</w:t>
            </w:r>
          </w:p>
        </w:tc>
      </w:tr>
      <w:tr>
        <w:trPr>
          <w:trHeight w:val="216"/>
        </w:trPr>
        <w:tc>
          <w:tcPr>
            <w:tcW w:w="6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161,817</w:t>
            </w:r>
          </w:p>
        </w:tc>
      </w:tr>
      <w:tr>
        <w:trPr>
          <w:trHeight w:val="20"/>
        </w:trPr>
        <w:tc>
          <w:tcPr>
            <w:tcW w:w="694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(12,631)</w:t>
            </w: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r>
      <w:tr>
        <w:trPr>
          <w:trHeight w:val="20"/>
        </w:trPr>
        <w:tc>
          <w:tcPr>
            <w:tcW w:w="6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2025, operating activities used $45.9 million of cash, resulting from our net loss of $55.5 million, adjusted for noncash expenses of $2.5 million and changes in our operating assets and liabilities resulting in a source of cash of $7.1 million. Our net loss was primarily attributed to research and development activities related to our nomlabofusp program and our general and administrative expenses as described above.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Noncash expenses primarily relate to stock-based compensation expenses. The change in operating assets and liabilities was primarily due to a increases in prepaid expenses, accounts payable and accrued expenses.</w:t>
      </w:r>
    </w:p>
    <w:p>
      <w:pPr>
        <w:spacing w:after="0" w:line="73"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$24.4 million of cash, resulting from our net loss of $36.3 million, adjusted for noncash expenses of $2.1 million and changes in our operating assets and liabilities resulting in a source of cash of $9.7 million. Our net loss was primarily attributed to research and development activities related to our nomlabofusp program and our general and administrative expenses as described above.</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Noncash expenses are primarily stock-based compensation expenses. The change in operating assets and liabilities was primarily due to an increase in accrued expenses and accounts payable partially offset by a decrease in prepaid expense.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investing activities provided $33.3 million. This source of cash resulted from the maturities of $113.5 million of marketable securities partially offset by purchases of $80.1 million of marketable securities.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used $131.9 million of cash. This net use of cash was due to the purchase of $166.6 million of marketable securities, partially offset by $35.0 million of cash provided by maturities of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2025, there were no financing activities.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financing activities provided $161.8 million of cash flows primarily from an offering of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$55.5 million and $36.3 million for the six months ended June 30, 2025 and 2024, respectively. As of June 30, 2025, we had an accumulated deficit of $324.6 million and cash cash equivalents and marketable securities of $138.5 million, excluding restricted cash of $0.6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anticipate that current cash, cash equivalents and marketable securities as of June 30, 2025,combined with the net proceeds of $65.1 million from our July, 2025 underwritten public offering, will fund operations into the fourth quarter of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including regional conflicts around the world, adverse macroeconomic events, including those due to inflationary pressures, rising interest rates, banking instability, monetary policy changes, changes in trade policies, including tariffs (including tariffs and trade protection measures that have been or may in the future be imposed by the U.S. or other countries), new laws and regulations, including, but not limited to the recently enacted Public Law 119-21,economic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 which may reduce our ability to access capital, which could negatively affect our liquidity and ability to continue as a going concern.</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Any additional fundraising efforts may divert our management from their day-to-day activities, which may adversely affect our ability to develop and commercialize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quarter ended June 30, 2025,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June 30, 2025 which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six months ended June 30, 2025,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2024 Annual Report under the caption “Item 1A. Risk Factors.” The risks described in our 2024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(as defined in Rule 16a-1(f) under the Exchange Act) adopted, modified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62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 embedded</w:t>
            </w: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25" w:lineRule="exact"/>
        <w:rPr>
          <w:sz w:val="20"/>
          <w:szCs w:val="20"/>
          <w:color w:val="auto"/>
        </w:rPr>
      </w:pPr>
    </w:p>
    <w:p>
      <w:pPr>
        <w:ind w:left="1300" w:hanging="1292"/>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14, 2025</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14, 2025</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89"/>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520" w:type="dxa"/>
            <w:vAlign w:val="bottom"/>
          </w:tcPr>
          <w:p>
            <w:pPr>
              <w:spacing w:after="0"/>
              <w:rPr>
                <w:sz w:val="24"/>
                <w:szCs w:val="24"/>
                <w:color w:val="auto"/>
              </w:rPr>
            </w:pPr>
          </w:p>
        </w:tc>
        <w:tc>
          <w:tcPr>
            <w:tcW w:w="2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528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520" w:hanging="743"/>
        <w:spacing w:after="0" w:line="282"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2025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9"/>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4"/>
    </w:lvl>
  </w:abstractNum>
  <w:abstractNum w:abstractNumId="12">
    <w:nsid w:val="436C6125"/>
    <w:multiLevelType w:val="hybridMultilevel"/>
    <w:lvl w:ilvl="0">
      <w:lvlJc w:val="left"/>
      <w:lvlText w:val="%1."/>
      <w:numFmt w:val="decimal"/>
      <w:start w:val="5"/>
    </w:lvl>
  </w:abstractNum>
  <w:abstractNum w:abstractNumId="13">
    <w:nsid w:val="628C895D"/>
    <w:multiLevelType w:val="hybridMultilevel"/>
    <w:lvl w:ilvl="0">
      <w:lvlJc w:val="left"/>
      <w:lvlText w:val="%1."/>
      <w:numFmt w:val="decimal"/>
      <w:start w:val="6"/>
    </w:lvl>
  </w:abstractNum>
  <w:abstractNum w:abstractNumId="14">
    <w:nsid w:val="333AB105"/>
    <w:multiLevelType w:val="hybridMultilevel"/>
    <w:lvl w:ilvl="0">
      <w:lvlJc w:val="left"/>
      <w:lvlText w:val="%1."/>
      <w:numFmt w:val="decimal"/>
      <w:start w:val="7"/>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8"/>
    </w:lvl>
  </w:abstractNum>
  <w:abstractNum w:abstractNumId="17">
    <w:nsid w:val="2D1D5AE9"/>
    <w:multiLevelType w:val="hybridMultilevel"/>
    <w:lvl w:ilvl="0">
      <w:lvlJc w:val="left"/>
      <w:lvlText w:val="%1."/>
      <w:numFmt w:val="decimal"/>
      <w:start w:val="9"/>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
      <w:numFmt w:val="bullet"/>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decimal"/>
      <w:start w:val="1"/>
    </w:lvl>
  </w:abstractNum>
  <w:abstractNum w:abstractNumId="26">
    <w:nsid w:val="71F32454"/>
    <w:multiLevelType w:val="hybridMultilevel"/>
    <w:lvl w:ilvl="0">
      <w:lvlJc w:val="left"/>
      <w:lvlText w:val="%1."/>
      <w:numFmt w:val="decimal"/>
      <w:start w:val="1"/>
    </w:lvl>
    <w:lvl w:ilvl="1">
      <w:lvlJc w:val="left"/>
      <w:lvlText w:val="%2."/>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2025-08-14T14:39:22Z</dcterms:created>
  <dcterms:modified xsi:type="dcterms:W3CDTF">2025-08-14T14:39:22Z</dcterms:modified>
</cp:coreProperties>
</file>