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BEN-MAIMON CAROLE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01/22/2025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01/22/2025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91,000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387,208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the Irrevocable Deed of Trust of Carole S. Ben-Maimon for the Benefit of Meadow Lainey Ben-Maimon ("Meadow Trust"), of which the Reporting Person serves as trustee. The Reporting Person disclaims Section 16 beneficial ownership of the shares held by the Meadow Trust except to the extent of her pecuniary interest therein, if any, and this report shall not be deemed to be an admission that she has beneficial ownership of such shares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the Irrevocable Deed of Trust of Carole S. Ben-Maimon for the Benefit of Olivia Liat Stein ("Olivia Trust"), of which the Reporting Person serves as trustee. The Reporting Person disclaims Section 16 beneficial ownership of the shares held by the Olivia Trust except to the extent of her pecuniary interest therein, if any, and this report shall not be deemed to be an admission that she has beneficial ownership of such shares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the Irrevocable Deed of Trust of Carole S. Ben-Maimon for the Benefit of Ella Bar Stein ("Ella Trust"), of which the Reporting Person serves as trustee. The Reporting Person disclaims Section 16 beneficial ownership of the shares held by the Ella Trust except to the extent of her pecuniary interest therein, if any, and this report shall not be deemed to be an admission that she has beneficial ownership of such shares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vests 25% on January 22, 2026, with the remaining 75% vesting in equal monthly installments on the last day of each of the 36 calendar months immediately following such date, subject to the Reporting Person's continued service with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611" TargetMode="External"/><Relationship Id="rId5" Type="http://schemas.openxmlformats.org/officeDocument/2006/relationships/hyperlink" Target="http://www.sec.gov/cgi-bin/browse-edgar?action=getcompany&amp;CIK=0001374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929</Words>
  <Characters>4891</Characters>
  <CharactersWithSpaces>5738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