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87630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2019</w:t>
      </w:r>
    </w:p>
    <w:p>
      <w:pPr>
        <w:spacing w:after="0" w:line="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520" w:right="320" w:hanging="512"/>
        <w:spacing w:after="0" w:line="260"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3460" w:type="dxa"/>
        <w:tblCellMar>
          <w:top w:w="0" w:type="dxa"/>
          <w:left w:w="0" w:type="dxa"/>
          <w:bottom w:w="0" w:type="dxa"/>
          <w:right w:w="0" w:type="dxa"/>
        </w:tblCellMar>
      </w:tblPr>
      <w:tr>
        <w:trPr>
          <w:trHeight w:val="199"/>
        </w:trPr>
        <w:tc>
          <w:tcPr>
            <w:tcW w:w="238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345"/>
        </w:trPr>
        <w:tc>
          <w:tcPr>
            <w:tcW w:w="442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Commission File Number 001-36510</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68580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ZAFGEN,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64770</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ectPr>
          <w:pgSz w:w="11900" w:h="16838" w:orient="portrait"/>
          <w:cols w:equalWidth="0" w:num="1">
            <w:col w:w="11360"/>
          </w:cols>
          <w:pgMar w:left="240" w:top="403" w:right="299" w:bottom="1440" w:gutter="0" w:footer="0" w:header="0"/>
        </w:sectPr>
      </w:pPr>
    </w:p>
    <w:p>
      <w:pPr>
        <w:spacing w:after="0" w:line="21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2">
            <w:col w:w="7600" w:space="720"/>
            <w:col w:w="3040"/>
          </w:cols>
          <w:pgMar w:left="240" w:top="403" w:right="299" w:bottom="1440" w:gutter="0" w:footer="0" w:header="0"/>
          <w:type w:val="continuous"/>
        </w:sectPr>
      </w:pPr>
    </w:p>
    <w:p>
      <w:pPr>
        <w:ind w:left="2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460" w:space="720"/>
            <w:col w:w="3180"/>
          </w:cols>
          <w:pgMar w:left="240" w:top="403" w:right="2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 Center Plaza, Suite 610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360"/>
          </w:cols>
          <w:pgMar w:left="240" w:top="403" w:right="299" w:bottom="1440" w:gutter="0" w:footer="0" w:header="0"/>
          <w:type w:val="continuous"/>
        </w:sectPr>
      </w:pPr>
    </w:p>
    <w:p>
      <w:pPr>
        <w:spacing w:after="0" w:line="8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80010</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710" w:type="dxa"/>
        <w:tblCellMar>
          <w:top w:w="0" w:type="dxa"/>
          <w:left w:w="0" w:type="dxa"/>
          <w:bottom w:w="0" w:type="dxa"/>
          <w:right w:w="0" w:type="dxa"/>
        </w:tblCellMar>
      </w:tblPr>
      <w:tr>
        <w:trPr>
          <w:trHeight w:val="253"/>
        </w:trPr>
        <w:tc>
          <w:tcPr>
            <w:tcW w:w="2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04"/>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ZFGN</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94" w:lineRule="exact"/>
        <w:rPr>
          <w:sz w:val="24"/>
          <w:szCs w:val="24"/>
          <w:color w:val="auto"/>
        </w:rPr>
      </w:pPr>
    </w:p>
    <w:p>
      <w:pPr>
        <w:ind w:right="28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360" w:firstLine="51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1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177" w:lineRule="exact"/>
        <w:rPr>
          <w:sz w:val="24"/>
          <w:szCs w:val="24"/>
          <w:color w:val="auto"/>
        </w:rPr>
      </w:pPr>
    </w:p>
    <w:p>
      <w:pPr>
        <w:ind w:right="18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26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31, 2019, there were 37,374,118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309245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03" w:right="29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80" w:lineRule="exact"/>
        <w:rPr>
          <w:sz w:val="20"/>
          <w:szCs w:val="20"/>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cash forecasts and capital requirements;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 strategic alternative transaction, if any, and the timing of any such strategic alternative;</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political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when needed;</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our executive, financial and strategic alternatives teams;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de-listing from the NASDAQ Global Market; and</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w:t>
      </w:r>
    </w:p>
    <w:p>
      <w:pPr>
        <w:spacing w:after="0" w:line="117"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40" w:type="dxa"/>
            <w:vAlign w:val="bottom"/>
            <w:gridSpan w:val="13"/>
          </w:tcPr>
          <w:p>
            <w:pPr>
              <w:jc w:val="center"/>
              <w:ind w:right="2620"/>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PART I – FINANCIAL INFORMATION</w:t>
              </w:r>
            </w:hyperlink>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 (unaudited)</w:t>
              </w:r>
            </w:hyperlink>
          </w:p>
        </w:tc>
        <w:tc>
          <w:tcPr>
            <w:tcW w:w="480" w:type="dxa"/>
            <w:vAlign w:val="bottom"/>
          </w:tcPr>
          <w:p>
            <w:pPr>
              <w:spacing w:after="0"/>
              <w:rPr>
                <w:sz w:val="24"/>
                <w:szCs w:val="24"/>
                <w:color w:val="auto"/>
              </w:rPr>
            </w:pPr>
          </w:p>
        </w:tc>
        <w:tc>
          <w:tcPr>
            <w:tcW w:w="3160" w:type="dxa"/>
            <w:vAlign w:val="bottom"/>
            <w:tcBorders>
              <w:top w:val="single" w:sz="8" w:color="0000EE"/>
            </w:tcBorders>
            <w:gridSpan w:val="6"/>
          </w:tcPr>
          <w:p>
            <w:pPr>
              <w:spacing w:after="0"/>
              <w:rPr>
                <w:sz w:val="24"/>
                <w:szCs w:val="24"/>
                <w:color w:val="auto"/>
              </w:rPr>
            </w:pPr>
          </w:p>
        </w:tc>
        <w:tc>
          <w:tcPr>
            <w:tcW w:w="3100" w:type="dxa"/>
            <w:vAlign w:val="bottom"/>
            <w:gridSpan w:val="6"/>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September 30, 2019 and December 31, 2018</w:t>
              </w:r>
            </w:hyperlink>
          </w:p>
        </w:tc>
        <w:tc>
          <w:tcPr>
            <w:tcW w:w="2540" w:type="dxa"/>
            <w:vAlign w:val="bottom"/>
            <w:gridSpan w:val="4"/>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and Comprehensive Loss for the Three and Nine Months Ended</w:t>
              </w:r>
            </w:hyperlink>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September 30, 2019 and 2018</w:t>
              </w:r>
            </w:hyperlink>
          </w:p>
        </w:tc>
        <w:tc>
          <w:tcPr>
            <w:tcW w:w="6140" w:type="dxa"/>
            <w:vAlign w:val="bottom"/>
            <w:tcBorders>
              <w:top w:val="single" w:sz="8" w:color="0000EE"/>
            </w:tcBorders>
            <w:gridSpan w:val="13"/>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Changes in Stockholders’ Equity for the Three and Nine Months Ended</w:t>
              </w:r>
            </w:hyperlink>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September 30, 2019 and 2018</w:t>
              </w:r>
            </w:hyperlink>
          </w:p>
        </w:tc>
        <w:tc>
          <w:tcPr>
            <w:tcW w:w="5860" w:type="dxa"/>
            <w:vAlign w:val="bottom"/>
            <w:tcBorders>
              <w:top w:val="single" w:sz="8" w:color="0000EE"/>
            </w:tcBorders>
            <w:gridSpan w:val="12"/>
          </w:tcPr>
          <w:p>
            <w:pPr>
              <w:spacing w:after="0"/>
              <w:rPr>
                <w:sz w:val="17"/>
                <w:szCs w:val="17"/>
                <w:color w:val="auto"/>
              </w:rPr>
            </w:pPr>
          </w:p>
        </w:tc>
        <w:tc>
          <w:tcPr>
            <w:tcW w:w="110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2019 and 2018</w:t>
              </w:r>
            </w:hyperlink>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920" w:type="dxa"/>
            <w:vAlign w:val="bottom"/>
            <w:tcBorders>
              <w:top w:val="single" w:sz="8" w:color="0000EE"/>
            </w:tcBorders>
            <w:gridSpan w:val="7"/>
          </w:tcPr>
          <w:p>
            <w:pPr>
              <w:spacing w:after="0"/>
              <w:rPr>
                <w:sz w:val="24"/>
                <w:szCs w:val="24"/>
                <w:color w:val="auto"/>
              </w:rPr>
            </w:pPr>
          </w:p>
        </w:tc>
        <w:tc>
          <w:tcPr>
            <w:tcW w:w="1200" w:type="dxa"/>
            <w:vAlign w:val="bottom"/>
            <w:gridSpan w:val="3"/>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60" w:type="dxa"/>
            <w:vAlign w:val="bottom"/>
            <w:gridSpan w:val="5"/>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Quantitative and Qualitative Disclosures About Market Risk</w:t>
              </w:r>
            </w:hyperlink>
          </w:p>
        </w:tc>
        <w:tc>
          <w:tcPr>
            <w:tcW w:w="4760" w:type="dxa"/>
            <w:vAlign w:val="bottom"/>
            <w:gridSpan w:val="9"/>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50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Management’s Evaluation of our Disclosure Controls and Procedures</w:t>
              </w:r>
            </w:hyperlink>
          </w:p>
        </w:tc>
        <w:tc>
          <w:tcPr>
            <w:tcW w:w="4120" w:type="dxa"/>
            <w:vAlign w:val="bottom"/>
            <w:gridSpan w:val="8"/>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1"/>
          </w:tcPr>
          <w:p>
            <w:pPr>
              <w:jc w:val="center"/>
              <w:ind w:right="3260"/>
              <w:spacing w:after="0"/>
              <w:rPr>
                <w:rFonts w:ascii="Times New Roman" w:cs="Times New Roman" w:eastAsia="Times New Roman" w:hAnsi="Times New Roman"/>
                <w:sz w:val="18"/>
                <w:szCs w:val="18"/>
                <w:b w:val="1"/>
                <w:bCs w:val="1"/>
                <w:color w:val="0000EE"/>
                <w:w w:val="98"/>
              </w:rPr>
            </w:pPr>
            <w:hyperlink w:anchor="page32">
              <w:r>
                <w:rPr>
                  <w:rFonts w:ascii="Times New Roman" w:cs="Times New Roman" w:eastAsia="Times New Roman" w:hAnsi="Times New Roman"/>
                  <w:sz w:val="18"/>
                  <w:szCs w:val="18"/>
                  <w:b w:val="1"/>
                  <w:bCs w:val="1"/>
                  <w:color w:val="0000EE"/>
                  <w:w w:val="98"/>
                </w:rPr>
                <w:t>PART II – OTHER INFORMATION</w:t>
              </w:r>
            </w:hyperlink>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Legal Proceedings</w:t>
              </w:r>
            </w:hyperlink>
          </w:p>
        </w:tc>
        <w:tc>
          <w:tcPr>
            <w:tcW w:w="1660" w:type="dxa"/>
            <w:vAlign w:val="bottom"/>
            <w:gridSpan w:val="4"/>
          </w:tcPr>
          <w:p>
            <w:pPr>
              <w:spacing w:after="0"/>
              <w:rPr>
                <w:sz w:val="24"/>
                <w:szCs w:val="24"/>
                <w:color w:val="auto"/>
              </w:rPr>
            </w:pPr>
          </w:p>
        </w:tc>
        <w:tc>
          <w:tcPr>
            <w:tcW w:w="2860" w:type="dxa"/>
            <w:vAlign w:val="bottom"/>
            <w:tcBorders>
              <w:top w:val="single" w:sz="8" w:color="0000EE"/>
            </w:tcBorders>
            <w:gridSpan w:val="4"/>
          </w:tcPr>
          <w:p>
            <w:pPr>
              <w:spacing w:after="0"/>
              <w:rPr>
                <w:sz w:val="24"/>
                <w:szCs w:val="24"/>
                <w:color w:val="auto"/>
              </w:rPr>
            </w:pPr>
          </w:p>
        </w:tc>
        <w:tc>
          <w:tcPr>
            <w:tcW w:w="3260" w:type="dxa"/>
            <w:vAlign w:val="bottom"/>
            <w:gridSpan w:val="7"/>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18"/>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w:t>
              </w:r>
            </w:hyperlink>
          </w:p>
        </w:tc>
        <w:tc>
          <w:tcPr>
            <w:tcW w:w="8220" w:type="dxa"/>
            <w:vAlign w:val="bottom"/>
            <w:gridSpan w:val="16"/>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318"/>
        </w:trPr>
        <w:tc>
          <w:tcPr>
            <w:tcW w:w="1280" w:type="dxa"/>
            <w:vAlign w:val="bottom"/>
            <w:gridSpan w:val="2"/>
          </w:tcPr>
          <w:p>
            <w:pPr>
              <w:spacing w:after="0"/>
              <w:rPr>
                <w:rFonts w:ascii="Times New Roman" w:cs="Times New Roman" w:eastAsia="Times New Roman" w:hAnsi="Times New Roman"/>
                <w:sz w:val="18"/>
                <w:szCs w:val="18"/>
                <w:b w:val="1"/>
                <w:bCs w:val="1"/>
                <w:color w:val="0000EE"/>
              </w:rPr>
            </w:pPr>
            <w:hyperlink w:anchor="page57">
              <w:r>
                <w:rPr>
                  <w:rFonts w:ascii="Times New Roman" w:cs="Times New Roman" w:eastAsia="Times New Roman" w:hAnsi="Times New Roman"/>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898"/>
        </w:trPr>
        <w:tc>
          <w:tcPr>
            <w:tcW w:w="8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10"/>
          </w:tcPr>
          <w:p>
            <w:pPr>
              <w:jc w:val="center"/>
              <w:ind w:left="37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71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incentive receivable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121,330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r>
      <w:tr>
        <w:trPr>
          <w:trHeight w:val="263"/>
        </w:trPr>
        <w:tc>
          <w:tcPr>
            <w:tcW w:w="71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121,762</w:t>
            </w:r>
          </w:p>
        </w:tc>
        <w:tc>
          <w:tcPr>
            <w:tcW w:w="120" w:type="dxa"/>
            <w:vAlign w:val="bottom"/>
            <w:tcBorders>
              <w:bottom w:val="single" w:sz="8" w:color="CFF0FC"/>
            </w:tcBorders>
          </w:tcPr>
          <w:p>
            <w:pPr>
              <w:spacing w:after="0"/>
              <w:rPr>
                <w:sz w:val="22"/>
                <w:szCs w:val="22"/>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Notes payable, current</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Notes payable, long-term</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 as of</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September 30, 2019 and December 31, 2018; no shares issued and outstanding as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September 30, 2019 and December 31, 2018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per share; 115,000,000 shares authorized as of</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September 30, 2019 and December 31, 2018; 37,370,301 and 37,287,221 shares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issued and outstanding as of September 30, 2019 and December 31, 2018,</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1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20"/>
                <w:szCs w:val="20"/>
                <w:color w:val="auto"/>
              </w:rPr>
            </w:pP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444,212</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(389,100)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(350,945)</w:t>
            </w:r>
          </w:p>
        </w:tc>
      </w:tr>
      <w:tr>
        <w:trPr>
          <w:trHeight w:val="230"/>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1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121,762</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 losses, net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37,369,829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36,619,575</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37,337,081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30,608,664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(12,914)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(15,067)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(38,155)</w:t>
            </w:r>
          </w:p>
        </w:tc>
        <w:tc>
          <w:tcPr>
            <w:tcW w:w="4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(46,798)</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 (loss) on marketable debt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Balances as of December 31, 2017</w:t>
      </w:r>
    </w:p>
    <w:p>
      <w:pPr>
        <w:spacing w:after="0" w:line="15" w:lineRule="exact"/>
        <w:rPr>
          <w:sz w:val="20"/>
          <w:szCs w:val="20"/>
          <w:color w:val="auto"/>
        </w:rPr>
      </w:pPr>
    </w:p>
    <w:p>
      <w:pPr>
        <w:ind w:left="100" w:right="720" w:hanging="94"/>
        <w:spacing w:after="0" w:line="238" w:lineRule="auto"/>
        <w:rPr>
          <w:sz w:val="20"/>
          <w:szCs w:val="20"/>
          <w:color w:val="auto"/>
        </w:rPr>
      </w:pPr>
      <w:r>
        <w:rPr>
          <w:rFonts w:ascii="Times New Roman" w:cs="Times New Roman" w:eastAsia="Times New Roman" w:hAnsi="Times New Roman"/>
          <w:sz w:val="12"/>
          <w:szCs w:val="12"/>
          <w:color w:val="auto"/>
        </w:rPr>
        <w:t>Issuance of common stock upon exercise of stock options and employee stock purchase plan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36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tcPr>
          <w:p>
            <w:pPr>
              <w:spacing w:after="0"/>
              <w:rPr>
                <w:sz w:val="12"/>
                <w:szCs w:val="12"/>
                <w:color w:val="auto"/>
              </w:rPr>
            </w:pP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36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55"/>
        </w:trPr>
        <w:tc>
          <w:tcPr>
            <w:tcW w:w="210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300" w:type="dxa"/>
            <w:vAlign w:val="bottom"/>
            <w:gridSpan w:val="3"/>
          </w:tcPr>
          <w:p>
            <w:pPr>
              <w:jc w:val="center"/>
              <w:ind w:right="36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42"/>
        </w:trPr>
        <w:tc>
          <w:tcPr>
            <w:tcW w:w="1040" w:type="dxa"/>
            <w:vAlign w:val="bottom"/>
          </w:tcPr>
          <w:p>
            <w:pPr>
              <w:jc w:val="right"/>
              <w:ind w:right="277"/>
              <w:spacing w:after="0" w:line="143"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840" w:type="dxa"/>
            <w:vAlign w:val="bottom"/>
          </w:tcPr>
          <w:p>
            <w:pPr>
              <w:jc w:val="right"/>
              <w:ind w:right="2"/>
              <w:spacing w:after="0" w:line="143"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57"/>
              <w:spacing w:after="0" w:line="143"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2"/>
                <w:szCs w:val="12"/>
                <w:color w:val="auto"/>
              </w:rPr>
            </w:pPr>
          </w:p>
        </w:tc>
        <w:tc>
          <w:tcPr>
            <w:tcW w:w="1300" w:type="dxa"/>
            <w:vAlign w:val="bottom"/>
            <w:gridSpan w:val="3"/>
          </w:tcPr>
          <w:p>
            <w:pPr>
              <w:jc w:val="center"/>
              <w:ind w:right="367"/>
              <w:spacing w:after="0" w:line="143"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960" w:type="dxa"/>
            <w:vAlign w:val="bottom"/>
          </w:tcPr>
          <w:p>
            <w:pPr>
              <w:jc w:val="center"/>
              <w:ind w:right="77"/>
              <w:spacing w:after="0" w:line="143"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58"/>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27,489,457</w:t>
            </w:r>
          </w:p>
        </w:tc>
        <w:tc>
          <w:tcPr>
            <w:tcW w:w="220" w:type="dxa"/>
            <w:vAlign w:val="bottom"/>
          </w:tcPr>
          <w:p>
            <w:pPr>
              <w:spacing w:after="0"/>
              <w:rPr>
                <w:sz w:val="13"/>
                <w:szCs w:val="13"/>
                <w:color w:val="auto"/>
              </w:rPr>
            </w:pPr>
          </w:p>
        </w:tc>
        <w:tc>
          <w:tcPr>
            <w:tcW w:w="840" w:type="dxa"/>
            <w:vAlign w:val="bottom"/>
            <w:tcBorders>
              <w:top w:val="single" w:sz="8" w:color="auto"/>
            </w:tcBorders>
          </w:tcPr>
          <w:p>
            <w:pPr>
              <w:jc w:val="right"/>
              <w:ind w:right="722"/>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367,825</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(289,577)</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78,217</w:t>
            </w:r>
          </w:p>
        </w:tc>
      </w:tr>
      <w:tr>
        <w:trPr>
          <w:trHeight w:val="211"/>
        </w:trPr>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63,893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300" w:type="dxa"/>
            <w:vAlign w:val="bottom"/>
            <w:gridSpan w:val="3"/>
          </w:tcPr>
          <w:p>
            <w:pPr>
              <w:jc w:val="right"/>
              <w:ind w:right="28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-246380</wp:posOffset>
            </wp:positionV>
            <wp:extent cx="72466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3220" w:space="720"/>
            <w:col w:w="748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5,533</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(15,956)</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(15,956)</w:t>
            </w:r>
          </w:p>
        </w:tc>
        <w:tc>
          <w:tcPr>
            <w:tcW w:w="0" w:type="dxa"/>
            <w:vAlign w:val="bottom"/>
          </w:tcPr>
          <w:p>
            <w:pPr>
              <w:spacing w:after="0"/>
              <w:rPr>
                <w:sz w:val="1"/>
                <w:szCs w:val="1"/>
                <w:color w:val="auto"/>
              </w:rPr>
            </w:pPr>
          </w:p>
        </w:tc>
      </w:tr>
      <w:tr>
        <w:trPr>
          <w:trHeight w:val="142"/>
        </w:trPr>
        <w:tc>
          <w:tcPr>
            <w:tcW w:w="39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as of March 31, 2018</w:t>
            </w: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27,558,883</w:t>
            </w: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370,551</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(305,533)</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(49)</w:t>
            </w: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64,997</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15,643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9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9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(15,775)</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(15,775)</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as of June 30, 2018</w:t>
            </w: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continue"/>
            <w:shd w:val="clear" w:color="auto" w:fill="CFF0FC"/>
          </w:tcPr>
          <w:p>
            <w:pPr>
              <w:spacing w:after="0"/>
              <w:rPr>
                <w:sz w:val="12"/>
                <w:szCs w:val="12"/>
                <w:color w:val="auto"/>
              </w:rPr>
            </w:pPr>
          </w:p>
        </w:tc>
        <w:tc>
          <w:tcPr>
            <w:tcW w:w="10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27,578,989</w:t>
            </w:r>
          </w:p>
        </w:tc>
        <w:tc>
          <w:tcPr>
            <w:tcW w:w="220" w:type="dxa"/>
            <w:vAlign w:val="bottom"/>
            <w:vMerge w:val="continue"/>
            <w:shd w:val="clear" w:color="auto" w:fill="CFF0FC"/>
          </w:tcPr>
          <w:p>
            <w:pPr>
              <w:spacing w:after="0"/>
              <w:rPr>
                <w:sz w:val="12"/>
                <w:szCs w:val="12"/>
                <w:color w:val="auto"/>
              </w:rPr>
            </w:pPr>
          </w:p>
        </w:tc>
        <w:tc>
          <w:tcPr>
            <w:tcW w:w="480" w:type="dxa"/>
            <w:vAlign w:val="bottom"/>
            <w:shd w:val="clear" w:color="auto" w:fill="CFF0FC"/>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373,308</w:t>
            </w:r>
          </w:p>
        </w:tc>
        <w:tc>
          <w:tcPr>
            <w:tcW w:w="220" w:type="dxa"/>
            <w:vAlign w:val="bottom"/>
            <w:vMerge w:val="continue"/>
            <w:shd w:val="clear" w:color="auto" w:fill="CFF0FC"/>
          </w:tcPr>
          <w:p>
            <w:pPr>
              <w:spacing w:after="0"/>
              <w:rPr>
                <w:sz w:val="12"/>
                <w:szCs w:val="12"/>
                <w:color w:val="auto"/>
              </w:rPr>
            </w:pPr>
          </w:p>
        </w:tc>
        <w:tc>
          <w:tcPr>
            <w:tcW w:w="34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(321,308)</w:t>
            </w:r>
          </w:p>
        </w:tc>
        <w:tc>
          <w:tcPr>
            <w:tcW w:w="220" w:type="dxa"/>
            <w:vAlign w:val="bottom"/>
            <w:vMerge w:val="continue"/>
            <w:shd w:val="clear" w:color="auto" w:fill="CFF0FC"/>
          </w:tcPr>
          <w:p>
            <w:pPr>
              <w:spacing w:after="0"/>
              <w:rPr>
                <w:sz w:val="12"/>
                <w:szCs w:val="12"/>
                <w:color w:val="auto"/>
              </w:rPr>
            </w:pPr>
          </w:p>
        </w:tc>
        <w:tc>
          <w:tcPr>
            <w:tcW w:w="460" w:type="dxa"/>
            <w:vAlign w:val="bottom"/>
            <w:shd w:val="clear" w:color="auto" w:fill="CFF0FC"/>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right w:val="single" w:sz="8" w:color="CFF0FC"/>
            </w:tcBorders>
            <w:gridSpan w:val="2"/>
            <w:shd w:val="clear" w:color="auto" w:fill="CFF0FC"/>
          </w:tcPr>
          <w:p>
            <w:pPr>
              <w:jc w:val="right"/>
              <w:ind w:right="180"/>
              <w:spacing w:after="0" w:line="143" w:lineRule="exact"/>
              <w:rPr>
                <w:sz w:val="20"/>
                <w:szCs w:val="20"/>
                <w:color w:val="auto"/>
              </w:rPr>
            </w:pPr>
            <w:r>
              <w:rPr>
                <w:rFonts w:ascii="Times New Roman" w:cs="Times New Roman" w:eastAsia="Times New Roman" w:hAnsi="Times New Roman"/>
                <w:sz w:val="13"/>
                <w:szCs w:val="13"/>
                <w:color w:val="auto"/>
              </w:rPr>
              <w:t>(6)</w:t>
            </w:r>
          </w:p>
        </w:tc>
        <w:tc>
          <w:tcPr>
            <w:tcW w:w="3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52,022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Issuance of common stock, net of issuance costs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vMerge w:val="continue"/>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9,200,000</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64,551</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64,560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94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82,365</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40" w:type="dxa"/>
            <w:vAlign w:val="bottom"/>
            <w:tcBorders>
              <w:bottom w:val="single" w:sz="8" w:color="CFF0FC"/>
            </w:tcBorders>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options and employee stock purchase plan</w:t>
            </w:r>
          </w:p>
        </w:tc>
        <w:tc>
          <w:tcPr>
            <w:tcW w:w="10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vMerge w:val="continue"/>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4,463</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(22)</w:t>
            </w:r>
          </w:p>
        </w:tc>
        <w:tc>
          <w:tcPr>
            <w:tcW w:w="3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(15,067)</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(15,067)</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as of September 30, 2018</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36,865,817</w:t>
            </w:r>
          </w:p>
        </w:tc>
        <w:tc>
          <w:tcPr>
            <w:tcW w:w="220" w:type="dxa"/>
            <w:vAlign w:val="bottom"/>
            <w:tcBorders>
              <w:bottom w:val="single" w:sz="8" w:color="CFF0FC"/>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w:t>
            </w:r>
          </w:p>
        </w:tc>
        <w:tc>
          <w:tcPr>
            <w:tcW w:w="22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440,303</w:t>
            </w:r>
          </w:p>
        </w:tc>
        <w:tc>
          <w:tcPr>
            <w:tcW w:w="22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(336,375)</w:t>
            </w:r>
          </w:p>
        </w:tc>
        <w:tc>
          <w:tcPr>
            <w:tcW w:w="22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(28)</w:t>
            </w:r>
          </w:p>
        </w:tc>
        <w:tc>
          <w:tcPr>
            <w:tcW w:w="24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103,937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Balances as of December 31, 2018</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37,287,221</w:t>
            </w:r>
          </w:p>
        </w:tc>
        <w:tc>
          <w:tcPr>
            <w:tcW w:w="220" w:type="dxa"/>
            <w:vAlign w:val="bottom"/>
            <w:shd w:val="clear" w:color="auto" w:fill="CFF0FC"/>
          </w:tcPr>
          <w:p>
            <w:pPr>
              <w:spacing w:after="0"/>
              <w:rPr>
                <w:sz w:val="11"/>
                <w:szCs w:val="11"/>
                <w:color w:val="auto"/>
              </w:rPr>
            </w:pPr>
          </w:p>
        </w:tc>
        <w:tc>
          <w:tcPr>
            <w:tcW w:w="480" w:type="dxa"/>
            <w:vAlign w:val="bottom"/>
            <w:shd w:val="clear" w:color="auto" w:fill="CFF0FC"/>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444,212</w:t>
            </w:r>
          </w:p>
        </w:tc>
        <w:tc>
          <w:tcPr>
            <w:tcW w:w="2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(350,945)</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(33)</w:t>
            </w:r>
          </w:p>
        </w:tc>
        <w:tc>
          <w:tcPr>
            <w:tcW w:w="240" w:type="dxa"/>
            <w:vAlign w:val="bottom"/>
            <w:tcBorders>
              <w:right w:val="single" w:sz="8" w:color="CFF0FC"/>
            </w:tcBorders>
            <w:shd w:val="clear" w:color="auto" w:fill="CFF0FC"/>
          </w:tcPr>
          <w:p>
            <w:pPr>
              <w:spacing w:after="0"/>
              <w:rPr>
                <w:sz w:val="11"/>
                <w:szCs w:val="11"/>
                <w:color w:val="auto"/>
              </w:rPr>
            </w:pPr>
          </w:p>
        </w:tc>
        <w:tc>
          <w:tcPr>
            <w:tcW w:w="3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93,271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31,391</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9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0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94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4,467</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(13,112)</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(13,112)</w:t>
            </w:r>
          </w:p>
        </w:tc>
        <w:tc>
          <w:tcPr>
            <w:tcW w:w="0" w:type="dxa"/>
            <w:vAlign w:val="bottom"/>
          </w:tcPr>
          <w:p>
            <w:pPr>
              <w:spacing w:after="0"/>
              <w:rPr>
                <w:sz w:val="1"/>
                <w:szCs w:val="1"/>
                <w:color w:val="auto"/>
              </w:rPr>
            </w:pPr>
          </w:p>
        </w:tc>
      </w:tr>
      <w:tr>
        <w:trPr>
          <w:trHeight w:val="142"/>
        </w:trPr>
        <w:tc>
          <w:tcPr>
            <w:tcW w:w="3940" w:type="dxa"/>
            <w:vAlign w:val="bottom"/>
            <w:tcBorders>
              <w:top w:val="single" w:sz="8" w:color="CFF0FC"/>
            </w:tcBorders>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as of March 31, 2019</w:t>
            </w:r>
          </w:p>
        </w:tc>
        <w:tc>
          <w:tcPr>
            <w:tcW w:w="104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37,323,079</w:t>
            </w: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37</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446,383</w:t>
            </w:r>
          </w:p>
        </w:tc>
        <w:tc>
          <w:tcPr>
            <w:tcW w:w="2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(364,057)</w:t>
            </w:r>
          </w:p>
        </w:tc>
        <w:tc>
          <w:tcPr>
            <w:tcW w:w="22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top w:val="single" w:sz="8" w:color="CFF0FC"/>
              <w:right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82,364</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3,816</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(12,129)</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(12,129)</w:t>
            </w: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as of June 30, 2019</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37,326,895</w:t>
            </w:r>
          </w:p>
        </w:tc>
        <w:tc>
          <w:tcPr>
            <w:tcW w:w="220" w:type="dxa"/>
            <w:vAlign w:val="bottom"/>
            <w:tcBorders>
              <w:bottom w:val="single" w:sz="8" w:color="CFF0FC"/>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w:t>
            </w:r>
          </w:p>
        </w:tc>
        <w:tc>
          <w:tcPr>
            <w:tcW w:w="22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448,258</w:t>
            </w:r>
          </w:p>
        </w:tc>
        <w:tc>
          <w:tcPr>
            <w:tcW w:w="22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(376,186)</w:t>
            </w:r>
          </w:p>
        </w:tc>
        <w:tc>
          <w:tcPr>
            <w:tcW w:w="22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30</w:t>
            </w:r>
          </w:p>
        </w:tc>
        <w:tc>
          <w:tcPr>
            <w:tcW w:w="24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72,139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3940" w:type="dxa"/>
            <w:vAlign w:val="bottom"/>
            <w:shd w:val="clear" w:color="auto" w:fill="CFF0FC"/>
          </w:tcPr>
          <w:p>
            <w:pPr>
              <w:spacing w:after="0" w:line="111"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39,589</w:t>
            </w:r>
          </w:p>
        </w:tc>
        <w:tc>
          <w:tcPr>
            <w:tcW w:w="2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9"/>
                <w:szCs w:val="9"/>
                <w:color w:val="auto"/>
              </w:rPr>
            </w:pPr>
          </w:p>
        </w:tc>
        <w:tc>
          <w:tcPr>
            <w:tcW w:w="820" w:type="dxa"/>
            <w:vAlign w:val="bottom"/>
            <w:tcBorders>
              <w:right w:val="single" w:sz="8" w:color="CFF0FC"/>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940" w:type="dxa"/>
            <w:vAlign w:val="bottom"/>
            <w:tcBorders>
              <w:bottom w:val="single" w:sz="8" w:color="CFF0FC"/>
            </w:tcBorders>
            <w:shd w:val="clear" w:color="auto" w:fill="CFF0FC"/>
          </w:tcPr>
          <w:p>
            <w:pPr>
              <w:ind w:left="100"/>
              <w:spacing w:after="0" w:line="133" w:lineRule="exact"/>
              <w:rPr>
                <w:sz w:val="20"/>
                <w:szCs w:val="20"/>
                <w:color w:val="auto"/>
              </w:rPr>
            </w:pPr>
            <w:r>
              <w:rPr>
                <w:rFonts w:ascii="Times New Roman" w:cs="Times New Roman" w:eastAsia="Times New Roman" w:hAnsi="Times New Roman"/>
                <w:sz w:val="13"/>
                <w:szCs w:val="13"/>
                <w:color w:val="auto"/>
              </w:rPr>
              <w:t>options and employee stock purchase plan</w:t>
            </w:r>
          </w:p>
        </w:tc>
        <w:tc>
          <w:tcPr>
            <w:tcW w:w="104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48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gridSpan w:val="2"/>
            <w:vMerge w:val="continue"/>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right w:val="single" w:sz="8" w:color="CFF0FC"/>
            </w:tcBorders>
            <w:gridSpan w:val="2"/>
            <w:vMerge w:val="continue"/>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(12,914)</w:t>
            </w:r>
          </w:p>
        </w:tc>
        <w:tc>
          <w:tcPr>
            <w:tcW w:w="460" w:type="dxa"/>
            <w:vAlign w:val="bottom"/>
            <w:shd w:val="clear" w:color="auto" w:fill="CFF0FC"/>
          </w:tcPr>
          <w:p>
            <w:pPr>
              <w:spacing w:after="0"/>
              <w:rPr>
                <w:sz w:val="12"/>
                <w:szCs w:val="12"/>
                <w:color w:val="auto"/>
              </w:rPr>
            </w:pPr>
          </w:p>
        </w:tc>
        <w:tc>
          <w:tcPr>
            <w:tcW w:w="8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(12,914)</w:t>
            </w:r>
          </w:p>
        </w:tc>
        <w:tc>
          <w:tcPr>
            <w:tcW w:w="0" w:type="dxa"/>
            <w:vAlign w:val="bottom"/>
          </w:tcPr>
          <w:p>
            <w:pPr>
              <w:spacing w:after="0"/>
              <w:rPr>
                <w:sz w:val="1"/>
                <w:szCs w:val="1"/>
                <w:color w:val="auto"/>
              </w:rPr>
            </w:pPr>
          </w:p>
        </w:tc>
      </w:tr>
      <w:tr>
        <w:trPr>
          <w:trHeight w:val="142"/>
        </w:trPr>
        <w:tc>
          <w:tcPr>
            <w:tcW w:w="394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as of September 30, 2019</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37,370,301</w:t>
            </w: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37</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448,902</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(389,100)</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59,880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6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10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(38,155)</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(46,798)</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of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Unrealized foreign currency transaction losses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Premium on marketable securities, net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discount on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Tax incentive receivable</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(30,977)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sales and maturities of marketable securities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(71,035)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(105,976)</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for leasehold improvements on right-of-use assets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public offering, net of issuance costs</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 of common stock options and employee stock purchase plan</w:t>
            </w:r>
          </w:p>
        </w:tc>
        <w:tc>
          <w:tcPr>
            <w:tcW w:w="7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7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172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172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22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Zafgen, Inc., or the Company, was incorporated on November 22, 2005 under the laws of the State of Delaware. The Company is a biopharmaceutical company that has leveraged its proprietary knowledge of the methionine aminopeptidase 2 (“MetAP2”) pathway to pioneer the study of MetAP2 inhibitors in both common and rare metabolic disorders.</w:t>
      </w:r>
    </w:p>
    <w:p>
      <w:pPr>
        <w:spacing w:after="0" w:line="68"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The Company’s prior lead product candidate, ZGN-1061, is a MetAP2 inhibitor that was in Phase 2 clinical development for the treatment of type 2 diabetes and other related metabolic disorders. In November 2018, the Company received a letter from the U.S. Food and Drug Administration (“FDA”) placing a full clinical hold on the investigational new drug application (“IND”) for the first U.S. clinical trial of ZGN-1061. The FDA cited the possibility of cardiovascular (“CV”) safety risk based on the Company’s prior compound. In July 2019, the Company reached agreement with the FDA 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study design and protocol to establish relevant safety margins for ZGN-1061. The study was designed to translate the data from the Company’s newly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of human endothelial cells and assessment of tissue factor expression with endothelial cells, along with other supportive assays, as it worked toward resolving the full clinical hold. Based on the preliminary results from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on September 5, 2019, the Company announced that it believes there is a low probability of resolving the clinical hold in the near-term. Subsequently, all further development activities of MetAP2 inhibitors were halted and the Company withdrew the IND for ZGN-1061 in September 2019. Therefore, the Company has determined that it is in the best interest of shareholders to evaluate strategic alternatives. Potential strategic alternatives that may be evaluated include, but are not limited to, an acquisition, merger, business combination, in-licensing, or other strategic transaction involving the Company or its assets. There can be no assurance that the exploration of strategic alternatives will result in any transaction being entered into or consummated. In addition to evaluating strategic alternatives, in September 2019, the Company’s Board of Directors approved a restructuring plan to reduce operating costs and better align the Company’s workforce with its needs, which in combination with the July restructuring actions and other attrition in 2019, resulted in a 70% reduction in workforce and closure of its San Diego facility (See Note 10).</w:t>
      </w:r>
    </w:p>
    <w:p>
      <w:pPr>
        <w:spacing w:after="0" w:line="89"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The Company was also co-sponsoring a four-year natural history study which was designed to advance understanding of the medical history of and medical events in people with Prader-Willi syndrome in collaboration with the Foundation for Prader-Willi Research (“FPWR”). In October 2019, the Company transferred the study sponsorship and all of the associated rights to the study data to FPWR.</w:t>
      </w:r>
    </w:p>
    <w:p>
      <w:pPr>
        <w:spacing w:after="0" w:line="68" w:lineRule="exact"/>
        <w:rPr>
          <w:sz w:val="20"/>
          <w:szCs w:val="20"/>
          <w:color w:val="auto"/>
        </w:rPr>
      </w:pPr>
    </w:p>
    <w:p>
      <w:pPr>
        <w:ind w:right="360" w:firstLine="518"/>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Future product candidates will require significant additional research and development efforts, including extensive nonclinical and clinical testing and regulatory approval, prior to commercialization. These efforts require significant amounts of additional capital, adequate personnel infrastructure, and extensive compliance-reporting capabilities.</w:t>
      </w:r>
    </w:p>
    <w:p>
      <w:pPr>
        <w:spacing w:after="0" w:line="76" w:lineRule="exact"/>
        <w:rPr>
          <w:sz w:val="20"/>
          <w:szCs w:val="20"/>
          <w:color w:val="auto"/>
        </w:rPr>
      </w:pPr>
    </w:p>
    <w:p>
      <w:pPr>
        <w:ind w:right="260" w:firstLine="518"/>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future product candidates’ research and development, if any,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As of September 30, 2019, the Company had an accumulated deficit of $389.1 million. From its inception through September 30, 2019,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5 to the condensed consolidated financial statements, the Company has a term loan with an aggregate principal balance of $16.4 million as of September 30, 2019. The loan agreement requires that the Company maintain certain minimum liquidity at all times, which as of September 30, 2019, was approximately $17.2 million. If the minimum liquidity covenant is not met, the Company may be required to repay the loan prior to scheduled maturity dates. The Term Loan also includes events of default, the occurrence and continuation of any of which provides the lenders the right to exercise remedies against the Company and the collateral securing the amounts due under the Term Loan.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 The Company has estimated that the risk of subjective acceleration under the material adverse events clause is reasonably possible,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ind w:right="280"/>
        <w:spacing w:after="0" w:line="258" w:lineRule="auto"/>
        <w:rPr>
          <w:sz w:val="20"/>
          <w:szCs w:val="20"/>
          <w:color w:val="auto"/>
        </w:rPr>
      </w:pPr>
      <w:r>
        <w:rPr>
          <w:rFonts w:ascii="Times New Roman" w:cs="Times New Roman" w:eastAsia="Times New Roman" w:hAnsi="Times New Roman"/>
          <w:sz w:val="18"/>
          <w:szCs w:val="18"/>
          <w:color w:val="auto"/>
        </w:rPr>
        <w:t>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the Company’s related assessment could change in the future, which in turn would impact the classification of the debt balances. Until such time, if ever, as the Company can generate substantial product revenue, the Company expects to finance its cash needs through a combination of equity offerings, debt financings, collaborations, strategic alliances, licensing arrangements and other sources of funding.</w:t>
      </w:r>
    </w:p>
    <w:p>
      <w:pPr>
        <w:spacing w:after="0" w:line="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On September 17, 2019, the Company received a deficiency letter from the Listing Qualifications Department of the Nasdaq Stock Market notifying it that, for the last 30 consecutive business days, the bid price for the Company’s common stock had closed below the minimum $1.00 per share requirement for continued inclusion on the Nasdaq Global Market, referred to as the minimum bid price rule. In accordance with Nasdaq Listing Rules, the Company has an initial period of 180 calendar days, or until March 16, 2020, to regain compliance with the minimum bid price rule. The Company is actively monitoring its stock price and will consider any and all options available to the Company to maintain compliance. The alternatives to trading on the Nasdaq Capital Market or another national securities exchange are generally considered to be less efficient and less broad-based than the national securities exchanges and the liquidity of the Company’s common stock will likely be reduced if we fail to regain compliance with the minimum bid price rule.</w:t>
      </w:r>
    </w:p>
    <w:p>
      <w:pPr>
        <w:spacing w:after="0" w:line="8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Based on its current operating plans, the Company believes its cash, cash equivalents and marketable securities of $82.0 million as of September 30, 2019 will be sufficient to fund its anticipated level of operations, capital expenditures and satisfy debt repayments for a period of at least 12 months from the issuance date of this Quarterly Report. The Company expects to generate operating losses for the foreseeable future. If the Company is unable to raise additional funds through equity or debt financings, the Company may be required to delay, limit, reduce or terminate future product development or future commercialization efforts or grant rights to develop and market products or product candidates that the Company would otherwise prefer to develop and market itself.</w:t>
      </w:r>
    </w:p>
    <w:p>
      <w:pPr>
        <w:spacing w:after="0" w:line="80" w:lineRule="exact"/>
        <w:rPr>
          <w:sz w:val="20"/>
          <w:szCs w:val="20"/>
          <w:color w:val="auto"/>
        </w:rPr>
      </w:pPr>
    </w:p>
    <w:p>
      <w:pPr>
        <w:ind w:right="860" w:firstLine="51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2018 was derived from the Company’s audited financial statements, but does not include all disclosures required by accounting principles generally accepted in the United States of America (“GAAP”). The accompanying unaudited condensed consolidated financial statements as of September 30, 2019 and for the three and nine months ended September 30, 2019 and 2018,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on file with the SEC. In the opinion of management, all adjustments, consisting only of normal recurring adjustments necessary for a fair statement of the Company’s condensed consolidated financial position as of September 30, 2019 and condensed consolidated results of operations and cash flows for the three and nine months ended September 30, 2019 and 2018 have been made. The results of operations for the three and nine months ended September 30, 2019 are not necessarily indicative of the results of operations that may be expected for the year ending December 31, 2019.</w:t>
      </w:r>
    </w:p>
    <w:p>
      <w:pPr>
        <w:spacing w:after="0" w:line="295" w:lineRule="exact"/>
        <w:rPr>
          <w:sz w:val="20"/>
          <w:szCs w:val="20"/>
          <w:color w:val="auto"/>
        </w:rPr>
      </w:pPr>
    </w:p>
    <w:p>
      <w:pPr>
        <w:ind w:right="7860" w:firstLine="8"/>
        <w:spacing w:after="0" w:line="37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investments with original maturities greater than ninety days. The Company has classified its investments with maturities beyond one year as short term, based on their highly liquid nature and because such marketable securities represent the investment of cash that is available for current operations. The Company classifies its marketable debt securities as available-for-sale. Accordingly, these investments are recorded at fair value, which is based on quoted market prices. Unrealized gains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ind w:right="120"/>
        <w:spacing w:after="0" w:line="258" w:lineRule="auto"/>
        <w:rPr>
          <w:sz w:val="20"/>
          <w:szCs w:val="20"/>
          <w:color w:val="auto"/>
        </w:rPr>
      </w:pPr>
      <w:r>
        <w:rPr>
          <w:rFonts w:ascii="Times New Roman" w:cs="Times New Roman" w:eastAsia="Times New Roman" w:hAnsi="Times New Roman"/>
          <w:sz w:val="18"/>
          <w:szCs w:val="18"/>
          <w:color w:val="auto"/>
        </w:rPr>
        <w:t>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8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excluded the following common stock equivalents, outstanding as of September 30, 2019 and 2018, from the computation of diluted net loss per share for the three and nine months ended September 30, 2019 and 2018 because they had an anti-dilutive impact due to the net loss incurred for the periods:</w:t>
      </w:r>
    </w:p>
    <w:p>
      <w:pPr>
        <w:spacing w:after="0" w:line="27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4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5,118,280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5,676,861</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56,770</w:t>
            </w:r>
          </w:p>
        </w:tc>
        <w:tc>
          <w:tcPr>
            <w:tcW w:w="2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8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5,175,050</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5,681,326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in July 2018, the FASB issued ASU No. 2018-11, Leases (Topic 842):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The new leasing 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7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adopted the new leasing standards using the modified retrospective transition approach, as of January 1, 2019, with no restatement of prior periods or cumulative adjustment to retained earnings.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Upon adoption of the new leasing standards we recognized an operating lease asset of approximately $1.0 million and a corresponding operating lease liability of approximately $1.0 million, which are included in our condensed consolidated balance sheet. The adoption of the new leasing standards did not have an impact on our condensed consolidated statements of income or cash flows.</w:t>
      </w:r>
    </w:p>
    <w:p>
      <w:pPr>
        <w:spacing w:after="0" w:line="8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8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condensed consolidated balance sheets.</w:t>
      </w:r>
    </w:p>
    <w:p>
      <w:pPr>
        <w:spacing w:after="0" w:line="5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Our operating leases are reflected in operating lease right-of-use assets, accrued expenses and in long-term operating lease liabilities in our condensed consolidated balance sheets. Lease expense for minimum lease payments is recognized on a straight-line basis over the lease term.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ind w:right="420" w:firstLine="51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the adoption of the new leasing standards, please read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these condensed consolidated financial statements.</w:t>
      </w:r>
    </w:p>
    <w:p>
      <w:pPr>
        <w:spacing w:after="0" w:line="50"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This ASU is intended to simplify aspects of share-based compensation issued to non-employees by making the guidance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employee share-based compensation. This standard was effective for the Company in 2019. The adoption of this guidance had an immaterial impact on the Company’s consolidated financial statements as of and for the three and nine months ended September 30, 2019.</w:t>
      </w:r>
    </w:p>
    <w:p>
      <w:pPr>
        <w:spacing w:after="0" w:line="286" w:lineRule="exact"/>
        <w:rPr>
          <w:sz w:val="20"/>
          <w:szCs w:val="20"/>
          <w:color w:val="auto"/>
        </w:rPr>
      </w:pPr>
    </w:p>
    <w:p>
      <w:pPr>
        <w:ind w:right="720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 Fair Value Measurements</w:t>
      </w: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that have been measured at fair value as of September 30, 2019 and December 31, 2018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three and nine months ended September 30, 2019 and the year ended December 31, 2018, there were no transfers between Level 1 and Level 2 financial assets.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September 30,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4"/>
          </w:tcPr>
          <w:p>
            <w:pPr>
              <w:jc w:val="right"/>
              <w:ind w:right="63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34,044</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vMerge w:val="restart"/>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bonds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0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72,713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7" w:right="21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Quoted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Prices 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right"/>
              <w:ind w:right="69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8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45,210</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U.S. Government securities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tcPr>
          <w:p>
            <w:pPr>
              <w:ind w:left="6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tax incentive receivable, accounts payable, and accrued expenses and other approximate fair value due to their short-term maturities. The carrying value of the Company’s outstanding notes payable approximates fair value (a Level 2 fair value measurement), reflecting interest rates currently available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 as of September 30, 2019 and December 31, 2018:</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 (due within 1 year)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bonds (due within 1 year)</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securities (due within 1 year)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20" w:type="dxa"/>
            <w:vAlign w:val="bottom"/>
            <w:tcBorders>
              <w:top w:val="single" w:sz="8" w:color="auto"/>
            </w:tcBorders>
            <w:gridSpan w:val="5"/>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 (due within 1 year)</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bonds (due within 1 year)</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securities (due within 1 year)</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4" w:right="2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consisted of the following as of September 30, 2019 and December 31, 2018:</w:t>
      </w:r>
    </w:p>
    <w:p>
      <w:pPr>
        <w:spacing w:after="0" w:line="3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r>
      <w:tr>
        <w:trPr>
          <w:trHeight w:val="156"/>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jc w:val="right"/>
              <w:ind w:right="7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Notes Payable</w:t>
      </w:r>
    </w:p>
    <w:p>
      <w:pPr>
        <w:spacing w:after="0" w:line="121" w:lineRule="exact"/>
        <w:rPr>
          <w:sz w:val="20"/>
          <w:szCs w:val="20"/>
          <w:color w:val="auto"/>
        </w:rPr>
      </w:pPr>
    </w:p>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50"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Upon entering into the Term Loan, the Company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September 30, 2019 was 5.0%.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80"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Additionally, the Company, as borrower, is required to maintain a minimum cash, cash equivalents and marketable securities balance at Silicon Valley Bank of no less than 105% of the total outstanding principal balance of the Term Loan, which was $17.2 million and $21.0 million as of September 30, 2019 and December 31, 2018, respectively.</w:t>
      </w:r>
    </w:p>
    <w:p>
      <w:pPr>
        <w:spacing w:after="0" w:line="6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Further, from 45 days after the Term Loan was entered in, the Company has met its obligation to maintain a balance of unrestricted cash, cash equivalents and marketable securities at Silicon Valley Bank in an amount not less than the greater of (i) $55.0 million and (ii) sixty-five percent (65%) of all the Company’s cash, cash equivalents and marketable securities. If the Company does not meet this requirement it will not be considered an event of default provided it immediately secures 87.5% of the principal balance in a restricted cash account.</w:t>
      </w:r>
    </w:p>
    <w:p>
      <w:pPr>
        <w:spacing w:after="0" w:line="7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limiting the aggregate value of cash maintained by its Australian subsidiary not to exceed $4.0 million and certain other business transactions.</w:t>
      </w:r>
    </w:p>
    <w:p>
      <w:pPr>
        <w:spacing w:after="0" w:line="6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 The Company has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the Company’s related assessment could change in the future, which in turn would impact the classification of the debt balances.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As of September 30, 2019 and December 31, 2018, notes payable consist of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2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(7,273)</w:t>
            </w:r>
          </w:p>
        </w:tc>
        <w:tc>
          <w:tcPr>
            <w:tcW w:w="2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0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9,091</w:t>
            </w:r>
          </w:p>
        </w:tc>
        <w:tc>
          <w:tcPr>
            <w:tcW w:w="3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Accretion related to final payment</w:t>
            </w:r>
          </w:p>
        </w:tc>
        <w:tc>
          <w:tcPr>
            <w:tcW w:w="10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long term</w:t>
            </w:r>
          </w:p>
        </w:tc>
        <w:tc>
          <w:tcPr>
            <w:tcW w:w="10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2019, the estimated future principal payments due are as follows: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(October - December)</w:t>
            </w:r>
          </w:p>
        </w:tc>
        <w:tc>
          <w:tcPr>
            <w:tcW w:w="380" w:type="dxa"/>
            <w:vAlign w:val="bottom"/>
            <w:gridSpan w:val="2"/>
            <w:shd w:val="clear" w:color="auto" w:fill="CFF0FC"/>
          </w:tcPr>
          <w:p>
            <w:pPr>
              <w:jc w:val="right"/>
              <w:ind w:right="24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7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shd w:val="clear" w:color="auto" w:fill="CFF0FC"/>
          </w:tcPr>
          <w:p>
            <w:pPr>
              <w:spacing w:after="0"/>
              <w:rPr>
                <w:sz w:val="19"/>
                <w:szCs w:val="19"/>
                <w:color w:val="auto"/>
              </w:rPr>
            </w:pPr>
          </w:p>
        </w:tc>
        <w:tc>
          <w:tcPr>
            <w:tcW w:w="3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recognized $0.4 million and $1.4 million, respectively, of interest expense related to the Term Loan. During the three and nine months ended September 30, 2018, the Company recognized $0.5 million and $1.4 million, respectively, of interest expense related to the Term Loan. The effective annual interest rate as of September 30, 2019 on the outstanding debt under the Term Loan was approximately 9.4%.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Awards</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has outstanding stock-based awards under its Amended and Restated 2006 Stock Option Plan but is no longer granting awards under this plan. The Company also issues common stock under its 2014 Employee Stock Purchase Plan (the “ESPP”). As of September 30, 2019, 4,197,460 shares are available for grant under the 2014 Plan, including 1,491,488 shares automatically added to the 2014 Plan on January 1, 2019, and 69,531 shares are available for issuance to participating employees under the ESPP.</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stock option activity since December 31, 2018 and through September 30,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Issuable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4"/>
              </w:rPr>
              <w:t>(in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5,024,371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2,276,197</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22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(10,667)</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(2,171,621)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2019</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5,118,280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Options exercisable as of September 30, 2019</w:t>
            </w:r>
          </w:p>
        </w:tc>
        <w:tc>
          <w:tcPr>
            <w:tcW w:w="2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2,701,812</w:t>
            </w:r>
          </w:p>
        </w:tc>
        <w:tc>
          <w:tcPr>
            <w:tcW w:w="1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4" w:name="page15"/>
    <w:bookmarkEnd w:id="14"/>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restricted common stock and the ESPP in the following expense categories within its condensed consolidated statements of operations for the three and nine months ended September 30, 2019 and 2018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80" w:type="dxa"/>
            <w:vAlign w:val="bottom"/>
            <w:gridSpan w:val="6"/>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3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gridSpan w:val="2"/>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2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60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shd w:val="clear" w:color="auto" w:fill="CFF0FC"/>
          </w:tcPr>
          <w:p>
            <w:pPr>
              <w:spacing w:after="0"/>
              <w:rPr>
                <w:sz w:val="19"/>
                <w:szCs w:val="19"/>
                <w:color w:val="auto"/>
              </w:rPr>
            </w:pPr>
          </w:p>
        </w:tc>
      </w:tr>
      <w:tr>
        <w:trPr>
          <w:trHeight w:val="230"/>
        </w:trPr>
        <w:tc>
          <w:tcPr>
            <w:tcW w:w="3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FF0FC"/>
            </w:tcBorders>
          </w:tcPr>
          <w:p>
            <w:pPr>
              <w:spacing w:after="0"/>
              <w:rPr>
                <w:sz w:val="19"/>
                <w:szCs w:val="19"/>
                <w:color w:val="auto"/>
              </w:rPr>
            </w:pPr>
          </w:p>
        </w:tc>
      </w:tr>
      <w:tr>
        <w:trPr>
          <w:trHeight w:val="223"/>
        </w:trPr>
        <w:tc>
          <w:tcPr>
            <w:tcW w:w="30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700" w:firstLine="8"/>
        <w:spacing w:after="0" w:line="378"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Leases</w:t>
      </w: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On February 12, 2019, the Company entered into a lease with Shigo Center Plaza Owners, LLC, for approximately 17,705 square feet of office space for a new headquarters located at 3 Center Plaza, Boston, Massachusetts. The lease has a term of 124 months with an option to extend the lease for 60 additional months. As part of the agreement the Company is required to maintain a letter of credit, which upon signing was $1.3 million and is classified as restricted cash within the condensed consolidated financial statements. Under the lease agreement, the Company will pay monthly rent beginning four months after the lease commencement, which was June 21, 2019, with total lease payments over the initial term of $10.7 million.</w:t>
      </w:r>
    </w:p>
    <w:p>
      <w:pPr>
        <w:spacing w:after="0" w:line="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Company also had a lease for office space in Boston, Massachusetts, effective as of July 28, 2014, with a term expiring July 31, 2020. On June 28, 2019, the Company amended the lease to terminate the lease effective as of June 30, 2019.</w:t>
      </w:r>
    </w:p>
    <w:p>
      <w:pPr>
        <w:spacing w:after="0" w:line="5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March 2015, the Company entered into an operating lease for additional office space in Boston, Massachusetts, effective as of April 15, 2015, with a term expiring on July 31, 2020, and an option to extend this lease for three additional years. In addition, with the landlord’s consent, the Company has subleased 2,976 square feet of office space in Boston, Massachusetts to an unrelated third party beginning on January 1, 2017 and expiring on June 30, 2020, and the Company expects to receive approximately $0.1 million in sublease rental income from October 1, 2019 through the end of the sublease term.</w:t>
      </w:r>
    </w:p>
    <w:p>
      <w:pPr>
        <w:spacing w:after="0" w:line="72"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In October 2015, the Company entered into an operating lease for office space in San Diego, California, effective as of October 1, 2015, with a term extended to expire on December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for the next five years and thereafter as of September 30, 2019,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6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Leases</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(October - December)</w:t>
            </w:r>
          </w:p>
        </w:tc>
        <w:tc>
          <w:tcPr>
            <w:tcW w:w="2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9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Under the prior lease guidance minimum rental commitments under non-cancelable leases for each of the next five years and thereafter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were as follows:</w:t>
      </w:r>
    </w:p>
    <w:p>
      <w:pPr>
        <w:spacing w:after="0" w:line="213"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56"/>
        </w:trPr>
        <w:tc>
          <w:tcPr>
            <w:tcW w:w="16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9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471"/>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2019 we incurred $0.2 million of lease expense associated with research and development and $0.2 million of lease expense associated with general and administrative activities. During the nine months ended September 30, 2019 we incurred $0.5 million of lease expense associated with research and development and $0.2 million of lease expense associated with general and administrative activities. The components of lease expense are as follows:</w:t>
      </w:r>
    </w:p>
    <w:p>
      <w:pPr>
        <w:spacing w:after="0" w:line="282"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5"/>
                <w:szCs w:val="15"/>
                <w:color w:val="auto"/>
              </w:rPr>
            </w:pPr>
          </w:p>
        </w:tc>
      </w:tr>
      <w:tr>
        <w:trPr>
          <w:trHeight w:val="156"/>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5"/>
          </w:tcPr>
          <w:p>
            <w:pPr>
              <w:jc w:val="right"/>
              <w:ind w:right="73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2018 the Company recognized $0.1million and $0.3 million of rental expense related to office space,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presentation in our condensed consolidated balance sheet information related to our operating leases:</w:t>
      </w:r>
    </w:p>
    <w:p>
      <w:pPr>
        <w:spacing w:after="0" w:line="327"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73"/>
        </w:trPr>
        <w:tc>
          <w:tcPr>
            <w:tcW w:w="5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r>
      <w:tr>
        <w:trPr>
          <w:trHeight w:val="156"/>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our operating leases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300" w:type="dxa"/>
            <w:vAlign w:val="bottom"/>
          </w:tcPr>
          <w:p>
            <w:pPr>
              <w:spacing w:after="0"/>
              <w:rPr>
                <w:sz w:val="14"/>
                <w:szCs w:val="14"/>
                <w:color w:val="auto"/>
              </w:rPr>
            </w:pPr>
          </w:p>
        </w:tc>
      </w:tr>
      <w:tr>
        <w:trPr>
          <w:trHeight w:val="173"/>
        </w:trPr>
        <w:tc>
          <w:tcPr>
            <w:tcW w:w="2300" w:type="dxa"/>
            <w:vAlign w:val="bottom"/>
          </w:tcPr>
          <w:p>
            <w:pPr>
              <w:spacing w:after="0"/>
              <w:rPr>
                <w:sz w:val="15"/>
                <w:szCs w:val="15"/>
                <w:color w:val="auto"/>
              </w:rPr>
            </w:pPr>
          </w:p>
        </w:tc>
        <w:tc>
          <w:tcPr>
            <w:tcW w:w="5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300" w:type="dxa"/>
            <w:vAlign w:val="bottom"/>
          </w:tcPr>
          <w:p>
            <w:pPr>
              <w:spacing w:after="0"/>
              <w:rPr>
                <w:sz w:val="15"/>
                <w:szCs w:val="15"/>
                <w:color w:val="auto"/>
              </w:rPr>
            </w:pPr>
          </w:p>
        </w:tc>
      </w:tr>
      <w:tr>
        <w:trPr>
          <w:trHeight w:val="223"/>
        </w:trPr>
        <w:tc>
          <w:tcPr>
            <w:tcW w:w="230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5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9.73</w:t>
            </w:r>
          </w:p>
        </w:tc>
        <w:tc>
          <w:tcPr>
            <w:tcW w:w="2300" w:type="dxa"/>
            <w:vAlign w:val="bottom"/>
          </w:tcPr>
          <w:p>
            <w:pPr>
              <w:spacing w:after="0"/>
              <w:rPr>
                <w:sz w:val="19"/>
                <w:szCs w:val="19"/>
                <w:color w:val="auto"/>
              </w:rPr>
            </w:pPr>
          </w:p>
        </w:tc>
      </w:tr>
      <w:tr>
        <w:trPr>
          <w:trHeight w:val="234"/>
        </w:trPr>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11.1%</w:t>
            </w:r>
          </w:p>
        </w:tc>
        <w:tc>
          <w:tcPr>
            <w:tcW w:w="2300" w:type="dxa"/>
            <w:vAlign w:val="bottom"/>
          </w:tcPr>
          <w:p>
            <w:pPr>
              <w:spacing w:after="0"/>
              <w:rPr>
                <w:sz w:val="20"/>
                <w:szCs w:val="20"/>
                <w:color w:val="auto"/>
              </w:rPr>
            </w:pPr>
          </w:p>
        </w:tc>
      </w:tr>
      <w:tr>
        <w:trPr>
          <w:trHeight w:val="427"/>
        </w:trPr>
        <w:tc>
          <w:tcPr>
            <w:tcW w:w="758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15</w:t>
            </w: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40" w:type="dxa"/>
            <w:vAlign w:val="bottom"/>
          </w:tcPr>
          <w:p>
            <w:pPr>
              <w:spacing w:after="0"/>
              <w:rPr>
                <w:sz w:val="14"/>
                <w:szCs w:val="14"/>
                <w:color w:val="auto"/>
              </w:rPr>
            </w:pPr>
          </w:p>
        </w:tc>
        <w:tc>
          <w:tcPr>
            <w:tcW w:w="126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cash flows from operating leases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287</w:t>
            </w: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6,817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Licenses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68"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of September 30, 2019, the Company is obligated to make additional milestone payments of up to $12.3 million upon reaching certain pre-commercialization milestones, such as clinical trials and government approvals (including the FDA approval of a New Drug application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 and is also obligated to pay to the licensors a percentage of fees received if and when the Company sublicenses the technology.</w:t>
      </w:r>
    </w:p>
    <w:p>
      <w:pPr>
        <w:spacing w:after="0" w:line="80"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There were no milestones achieved during the three and nine months ended September 30, 2019 and 2018 and the development related to this technology is no longer active. As of September 30, 2019, the Company has not yet developed a commercial product using the licensed technologies and it has not entered into any sublicense agreements for the technologies.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consolidated financial statements as of September 30, 2019 or December 31, 2018.</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8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September 30,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Retirement Plan</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w:t>
      </w:r>
    </w:p>
    <w:p>
      <w:pPr>
        <w:spacing w:after="0" w:line="54"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2019 and 2018, the Company recognized less than $0.1 million and $0.2 million, respectively, of expense related to its contributions to the 401(k)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Australia Research and Development Tax Incentive</w:t>
      </w:r>
    </w:p>
    <w:p>
      <w:pPr>
        <w:spacing w:after="0" w:line="12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The Company’s wholly owned subsidiary, Zafgen Australia Pty Limited, which conducts core research and development activities on behalf of the Company, is eligible to receive a 43.5% refundable tax incentive for qualified research and development activities through December 31, 2018 and 41% beginning January 1, 2019. For the three months ended September 30, 2019 and 2018, less than $0.1 million and $0.3 million, respectively, were recorded as a reduction to research and development expenses in the condensed consolidated statements of operations. For the nine months ended September 30, 2019 and 2018, $0.2 million and $1.3 million, respectively, were recorded as a reduction to research and development expenses in the condensed consolidated statements of operations. These amounts represented 41% and 43.5%, respectively, of the Company’s qualified research and development spending in Australia. The refund is denominated in Australian dollars and, therefore, the related receivable is re-measured into U.S. dollars as of each reporting date. For the three months ended September 30, 2019 and 2018, the Company recorded in its condensed consolidated statements of operations unrealized foreign currency exchange losses of less than $0.1 million related to this tax incentive receivable. For the nine months ended September 30, 2019 and 2018, the Company recorded in its condensed consolidated statements of operations unrealized foreign currency exchange losses of less than $0.1 million and $0.1 million, respectively, related to this tax incentive receivable. As of September 30, 2019 and December 31, 2018, the Company’s tax incentive receivable from the Australian government was $0.2 million and $1.5 million,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In September 2019, the Company’s Board of Directors approved a restructuring plan to reduce operating costs and better align the Company’s workforce with the needs of its business following the Company’s September 5, 2019 announcement regarding the low probability of resolving the clinical hold of ZGN-1061 in the near-term and that the Company will be seeking strategic alternatives.</w:t>
      </w:r>
    </w:p>
    <w:p>
      <w:pPr>
        <w:spacing w:after="0" w:line="6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the restructuring plan and a previously announced July 2019 restructuring, the Company reduced its workforce by 20 employees (approximately 63% of total employees) and closed its office in San Diego, California. Affected employees are eligible to receive severance payments and outplacement services in connection with the reduction. In the three months ended September 30, 2019, the Company recorded aggregate restructuring charges of approximately $4.0 million related to contract termination, closing of its office in San Diego, severance payments and other employee-related costs. The Company does not expect to incur any additional significant costs associated with this restructuring. During the three months ended September 30, 2019, $0.3 million of the estimated restructuring charges were paid. The Company expects the remaining accrued restructuring costs of $3.6 million will be paid in the next 12 months.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total amount expected to be incurred and the liability related to the 2019 restructuring as of 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One-Time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costs beginning balance</w:t>
            </w:r>
          </w:p>
        </w:tc>
        <w:tc>
          <w:tcPr>
            <w:tcW w:w="164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580" w:type="dxa"/>
            <w:vAlign w:val="bottom"/>
          </w:tcPr>
          <w:p>
            <w:pPr>
              <w:spacing w:after="0"/>
              <w:rPr>
                <w:sz w:val="19"/>
                <w:szCs w:val="19"/>
                <w:color w:val="auto"/>
              </w:rPr>
            </w:pPr>
          </w:p>
        </w:tc>
      </w:tr>
      <w:tr>
        <w:trPr>
          <w:trHeight w:val="223"/>
        </w:trPr>
        <w:tc>
          <w:tcPr>
            <w:tcW w:w="4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restructuring costs as of September 30, 2019</w:t>
            </w:r>
          </w:p>
        </w:tc>
        <w:tc>
          <w:tcPr>
            <w:tcW w:w="4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100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4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by category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Cash</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FF0FC"/>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580" w:type="dxa"/>
            <w:vAlign w:val="bottom"/>
            <w:gridSpan w:val="2"/>
            <w:shd w:val="clear" w:color="auto" w:fill="CFF0FC"/>
          </w:tcPr>
          <w:p>
            <w:pPr>
              <w:jc w:val="right"/>
              <w:ind w:right="116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0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6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80" w:type="dxa"/>
            <w:vAlign w:val="bottom"/>
            <w:gridSpan w:val="2"/>
          </w:tcPr>
          <w:p>
            <w:pPr>
              <w:jc w:val="right"/>
              <w:ind w:right="582"/>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9" w:name="page20"/>
    <w:bookmarkEnd w:id="19"/>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2018 included in our Annual Report on Form 10-K for the year ended December 31, 2018,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85"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83" w:lineRule="exact"/>
        <w:rPr>
          <w:sz w:val="20"/>
          <w:szCs w:val="20"/>
          <w:color w:val="auto"/>
        </w:rPr>
      </w:pPr>
    </w:p>
    <w:p>
      <w:pPr>
        <w:ind w:right="1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5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that has leveraged our proprietary methionine aminopeptidase 2, or MetAP2, biology platform to pioneer the study of MetAP2 inhibitors in both common and rare metabolic disorders.</w:t>
      </w:r>
    </w:p>
    <w:p>
      <w:pPr>
        <w:spacing w:after="0" w:line="162"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 xml:space="preserve">Our prior lead product candidate, ZGN-1061, is a MetAP2 inhibitor that was in Phase 2 clinical development for the treatment of type 2 diabetes and other related metabolic disorders. In November 2018, we received a letter from the U.S. Food and Drug Administration, or FDA, placing a full clinical hold on the investigational new drug application, or IND. for the first U.S. clinical trial of ZGN-1061. The FDA cited the possibility of cardiovascular, or CV, safety risk based on our prior compound. In July 2019, we reached agreement with the FDA 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study design and protocol to establish relevant safety margins for ZGN-1061. The study was designed to translate the data from our newly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on September 5, 2019, we announced that we believe there is a low probability of resolving the clinical hold in the near-term. Subsequently, all further development activities of MetAP2 inhibitors were halted and we withdrew the IND for ZGN-1061 in September 2019. Therefore, we have determined that it is in the best interest of shareholders to evaluate strategic alternatives. Potential strategic alternatives that may be evaluated include, but are not limited to, an acquisition, merger, business combination, in-licensing, or other strategic transaction involving us or our assets. There can be no assurance that the exploration of strategic alternatives will result in any transaction being entered into or consummated. In addition to evaluating strategic alternatives, in September 2019, our Board of Directors approved a restructuring plan to reduce operating costs and better align our workforce with its needs. The reduction in workforce includes reducing employees by approximately 48%, and when combined with the reduction in workforce announced on July 24, 2019 and other attrition in 2019, results in a total reduction of employees of approximately 70%. Annual personnel cost savings from the restructuring activities is expected to be approximately $5.6 million.</w:t>
      </w:r>
    </w:p>
    <w:p>
      <w:pPr>
        <w:spacing w:after="0" w:line="197"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We were also co-sponsoring a four-year natural history study which was designed to advance understanding of the medical history of and medical events in people with Prader-Willi syndrome, or PWS, in collaboration with the Foundation for Prader-Willi Research, or FPWR. In October 2019, we transferred the study sponsorship and all of the associated rights to the study data to FPWR.</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Since our inception in November 2005, we have devoted substantially all of our resources to developing ZGN-1061, ZGN-1258, ZGN-1345, beloranib, ZGN-839 and additional MetAP2 inhibitors, building our intellectual property portfolio, developing manufacturing capabilities, business planning, raising capital, and providing general and administrative support for such operations. From our inception through our initial public offering, or IPO, in June 2014, we received gross proceeds of $104.0 million from sales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of redeemable convertible preferred stock and, to a lesser extent, through the issuances of convertible promissory notes. In June 2014, we completed our IPO with net proceeds of $102.7 million after deducting underwriting discounts and commissions paid by us. In January 2015, we completed a follow-on offering of our common stock, with net proceeds of $130.0 million after deducting underwriting discounts and commissions paid by us.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84" w:lineRule="exact"/>
        <w:rPr>
          <w:sz w:val="20"/>
          <w:szCs w:val="20"/>
          <w:color w:val="auto"/>
        </w:rPr>
      </w:pPr>
    </w:p>
    <w:p>
      <w:pPr>
        <w:ind w:firstLine="518"/>
        <w:spacing w:after="0" w:line="281" w:lineRule="auto"/>
        <w:rPr>
          <w:sz w:val="20"/>
          <w:szCs w:val="20"/>
          <w:color w:val="auto"/>
        </w:rPr>
      </w:pPr>
      <w:r>
        <w:rPr>
          <w:rFonts w:ascii="Times New Roman" w:cs="Times New Roman" w:eastAsia="Times New Roman" w:hAnsi="Times New Roman"/>
          <w:sz w:val="17"/>
          <w:szCs w:val="17"/>
          <w:color w:val="auto"/>
        </w:rPr>
        <w:t>We have never generated any revenue and have incurred net losses in each year since our inception. We have an accumulated deficit of $389.1 million as of September 30, 2019. Our net loss was $38.2 million for the nine months ended September 30, 2019 and $61.4 million for the year ended December 31, 2018. These losses have resulted principally from costs incurred in connection with in-licensing of technology, research and development activities and general and administrative costs associated with our operations. We expect to incur significant expenses and operating losses for the foreseeable future.</w:t>
      </w:r>
    </w:p>
    <w:p>
      <w:pPr>
        <w:spacing w:after="0" w:line="16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September 2019, we announced plans to explore strategic options to maximize shareholder value and these efforts are ongoing. The potential strategic alternatives that may be evaluated include, but are not limited to, an acquisition, merger, business combination, in-licensing, or other strategic transaction involving our assets. As a result, we will need additional financing to support our continuing operations. Until such time that we can generate significant revenue from product sales, if ever, we expect to finance our operations through a combination of public equity,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future product candidates, if any,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6"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as of September 30, 2019 will enable us to fund our operating expenses, capital expenditure requirements and minimum liquidity requirements associated with our debt facility for a period of at least one year from the issuance date of this Quarterly Report. See “—Liquidity and Capital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000" w:firstLine="518"/>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1020" w:right="860" w:hanging="377"/>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1" w:name="page22"/>
    <w:bookmarkEnd w:id="21"/>
    <w:p>
      <w:pPr>
        <w:ind w:left="1020" w:hanging="37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5" w:lineRule="exact"/>
        <w:rPr>
          <w:sz w:val="20"/>
          <w:szCs w:val="20"/>
          <w:color w:val="auto"/>
        </w:rPr>
      </w:pPr>
    </w:p>
    <w:p>
      <w:pPr>
        <w:ind w:right="20" w:firstLine="647"/>
        <w:spacing w:after="0" w:line="267" w:lineRule="auto"/>
        <w:rPr>
          <w:sz w:val="20"/>
          <w:szCs w:val="20"/>
          <w:color w:val="auto"/>
        </w:rPr>
      </w:pPr>
      <w:r>
        <w:rPr>
          <w:rFonts w:ascii="Times New Roman" w:cs="Times New Roman" w:eastAsia="Times New Roman" w:hAnsi="Times New Roman"/>
          <w:sz w:val="18"/>
          <w:szCs w:val="18"/>
          <w:color w:val="auto"/>
        </w:rPr>
        <w:t xml:space="preserve">Based on the preliminary results from the ZGN-1061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we announced that we believe there is a low probability of resolving the clinical hold on ZGN-1061 in the near-term. Therefore, we have determined that it is in the best interest of stockholders to expand our internal corporate development efforts and formally evaluate strategic alternatives.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1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corporate development costs for strategic alternatives and legal services, including legal expenses to pursue patent protection of our intellectual property.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interest earned on our cash equivalents and marketable securities. Our interest income has not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due to low interest earned on invested balances. Our interest income increased following the July 2, 2018 public offering of our common stock and we anticipate that it will subsequently decrease as we continue to incur operating losses.</w:t>
      </w:r>
    </w:p>
    <w:p>
      <w:pPr>
        <w:spacing w:after="0" w:line="17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during the three and nine months ended September 30, 2019 and 2018 relates to the loan and security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Silicon Valley Bank, or the Term Loan, of $20.0 million, which closed on December 29, 2017. The Term Loan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losses, net. </w:t>
      </w:r>
      <w:r>
        <w:rPr>
          <w:rFonts w:ascii="Times New Roman" w:cs="Times New Roman" w:eastAsia="Times New Roman" w:hAnsi="Times New Roman"/>
          <w:sz w:val="18"/>
          <w:szCs w:val="18"/>
          <w:color w:val="auto"/>
        </w:rPr>
        <w:t>Foreign currency transaction losses, net, consists of the realized and unrealized gains and losses 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2019 and 2018:</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9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(6,570)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Other income (expense):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losses, net</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9"/>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4"/>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4"/>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MetAP2 inhibitors</w:t>
            </w: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(3,648)</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Consultants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2019 decreased $6.6 million compared to the three months ended September 30, 2018. The decrease was primarily due to decreased costs of $3.6 million associated with our MetAP2 inhibitors and $2.9 million associated with our unallocated expenses. Costs associated with MetAP2 inhibitors decreased as a result of lower spend to resolve the FDA clinical hold. In addition, during 2019 we were not conducting a clinical trial; whereas, in 2018 we were conducting a Phase 2 clinical trial of ZGN-1061 in Australia and New Zealand.</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Unallocated expenses decreased to $1.5 million for the three months ended September 30, 2019 compared to $4.4 million for the same period of 2018 primarily due to a decrease of $1.4 million in non-cash stock-based compensation. Non-cash stock-based compensation has decreased for the three months ended September 30, 2019 primarily due to turnover and restructuring activities, which also resulted in the reversal of the expenses incurred on unvested stock options and restricted stock units. Additionally, there was a decrease of $1.2 million in personnel related costs primarily due to the reduction in the number of employees as a result of the restructuring activities and turnover in the third quarter of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4"/>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5"/>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2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2019 increased $0.3 million compared to the three months ended September 30, 2018. The increase was primarily due to an increase in professional fees of $0.3 million associated with fees related to strategic alternative activities and legal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Restructuring charges were approximately $4.0 million for the three months ended September 30, 2019. We did not have any restructuring charges during the prior year. During the three months ended September 30, 2019, we commenced a restructuring plan that consisted of a workforce reduction of 20 positions and the termination of ongoing research, in order to conserve cash while we continue to evaluate strategic alternatives.</w:t>
      </w:r>
    </w:p>
    <w:p>
      <w:pPr>
        <w:spacing w:after="0" w:line="68"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Restructuring charges for the three months ended September 30, 2019, in connection with the workforce reduction, comprised principally of bi-monthly severance payments, one-time severance payments and benefits continuation costs, were approximately $2.5 million of which approximately $0.2 million was paid during the three months ended September 30, 2019.</w:t>
      </w:r>
    </w:p>
    <w:p>
      <w:pPr>
        <w:spacing w:after="0" w:line="68"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Restructuring charges for the three months ended September 30, 2019, in connection with contract termination costs, comprised principally of the termination of research and development contracts that no longer provided value to us. These terminations costs were approximately $1.4 million of which approximately $0.1 million was paid during the three months ended September 30, 2019.</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three months ended September 30, 2019 and 2018 was $0.4 million and $0.5 million, respectively.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for the three months ended September 30, 2019 and 2018 is primarily related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80"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of $0.5 million and $0.6 million for the three months ended September 30, 2019 and 2018, respectively, was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earned on our marketable securities balances.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Foreign currency transaction losses, net. </w:t>
      </w:r>
      <w:r>
        <w:rPr>
          <w:rFonts w:ascii="Times New Roman" w:cs="Times New Roman" w:eastAsia="Times New Roman" w:hAnsi="Times New Roman"/>
          <w:sz w:val="18"/>
          <w:szCs w:val="18"/>
          <w:color w:val="auto"/>
        </w:rPr>
        <w:t>We had foreign currency transaction losses of less than $0.1 million for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and 2018. Foreign currency transaction gains and losses consisted of the realized and unrealized gains and losses from foreign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denominated cash balances, vendor payables and tax-related receivables from the Australian government, generally reflecting the fluctuation of the Australian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relative to the U.S. dollar.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2019 and 2018</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2019 and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1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Loss from operations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losses, net</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1" w:right="2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4"/>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4"/>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MetAP2 inhibitors</w:t>
            </w: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(8,862)</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related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(2,926)</w:t>
            </w:r>
          </w:p>
        </w:tc>
      </w:tr>
      <w:tr>
        <w:trPr>
          <w:trHeight w:val="230"/>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Consultants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2019 decreased $13.0 million compared to the nine months ended September 30, 2018. The decrease was primarily due to decreased costs of $8.9 million associated with our MetAP2 inhibitors program, and a decrease in our unallocated expenses of $4.1 million.</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Costs associated with our MetAP2 inhibitors program decreased to $13.3 million for the nine months ended September 30, 2019, compared to $22.2 million for the same period of 2018. Costs associated with MetAP2 inhibitors decreased as a result of lower spend to resolve the FDA clinical hold. In addition, we were not conducting any clinical trials during this period; whereas, in 2018 we were conducting a Phase 2 clinical trial of ZGN-1061 in Australia and New Zealand.</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Unallocated expenses decreased to $10.1 million for the nine months ended September 30, 2019 compared to $14.3 million for the same period of 2018 primarily due to a decrease of $2.9 million in non-cash stock-based compensation. Non-cash stock-based compensation has decreased for the nine months ended September 30, 2019 primarily due to turnover and restructuring activities at the Company. Additionally, there was a decrease of $1.2 million in personnel related costs primarily due to the reduction in the number of employees as a result of restructuring activities and turnover during 2019.</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4"/>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56"/>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related</w:t>
            </w:r>
          </w:p>
        </w:tc>
        <w:tc>
          <w:tcPr>
            <w:tcW w:w="124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2019 increased $0.9 million compared to the nine months ended September 30, 2018. The increase was due to an increase in personnel related costs of $0.5 million, non-cash stock-based compensation of $0.1 million, professional fees of $0.1 million and other costs of $0.2 million. Personnel related costs increased as a result of new hires during 2018. Non-cash stock-based compensation increased by $0.1 million as a result of new hires in late 2018. Professional fees increased as a result of strategic alternatives activities and legal fees. Personnel related costs primarily increased due to restructuring activities. Other expenses increased due to facility related costs associated with our lease at 3 Center Plaza.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for the nine months ended September 30, 2019 and 2018 was $1.4 million. Interest expense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and 2018 is primarily due to the Term Loan,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6" w:name="page27"/>
    <w:bookmarkEnd w:id="26"/>
    <w:p>
      <w:pPr>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of $1.7 million and $1.2 million for the nine months ended September 30, 2019 and 2018, respectively, was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earned on our marketable securities balances.</w:t>
      </w:r>
    </w:p>
    <w:p>
      <w:pPr>
        <w:spacing w:after="0" w:line="158"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losses, net. </w:t>
      </w:r>
      <w:r>
        <w:rPr>
          <w:rFonts w:ascii="Times New Roman" w:cs="Times New Roman" w:eastAsia="Times New Roman" w:hAnsi="Times New Roman"/>
          <w:sz w:val="18"/>
          <w:szCs w:val="18"/>
          <w:color w:val="auto"/>
        </w:rPr>
        <w:t>We had foreign currency transaction losses, net, of less than $0.1 million and $0.2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and 2018,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As of September 30, 2019, we had cash, cash equivalents and marketable securities totaling $82.0 million and outstanding principle balance on the Term Loan of $16.4 million. We invest our cash in money market funds, commercial paper, corporate bonds and U.S. government securities, with the primary objectives to preserve principal, provide liquidity and maximize income without significantly increasing risk.</w:t>
      </w:r>
    </w:p>
    <w:p>
      <w:pPr>
        <w:spacing w:after="0" w:line="17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Since our inception in November 2005, we have not generated any revenue and have incurred recurring net losses. As of September 30, 2019, we had an accumulated deficit of $389.1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9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December 29, 2017, we entered into the Term Loan, which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w:t>
      </w:r>
    </w:p>
    <w:p>
      <w:pPr>
        <w:spacing w:after="0" w:line="176"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Upon entering into this Term Loan, we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5.0% as of September 30, 2019.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88"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Additionally, we, as the borrower, are required to maintain a minimum unrestricted cash, cash equivalents and marketable securities balance at Silicon Valley Bank of no less than 105% of the total outstanding principal balance of the Term Loan, which as of September 30, 2019 and December 31, 2018 was $17.4 million and $21.0 million, respectively.</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Further, as of 45 days after the Term Loan was entered in, we met the obligation to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w:t>
      </w:r>
    </w:p>
    <w:p>
      <w:pPr>
        <w:spacing w:after="0" w:line="18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limiting the aggregate value of cash maintained by our Australian subsidiary not to exceed $4.0 million and certain other business transactions.</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27" w:name="page28"/>
    <w:bookmarkEnd w:id="27"/>
    <w:p>
      <w:pPr>
        <w:ind w:right="80"/>
        <w:spacing w:after="0" w:line="266" w:lineRule="auto"/>
        <w:rPr>
          <w:sz w:val="20"/>
          <w:szCs w:val="20"/>
          <w:color w:val="auto"/>
        </w:rPr>
      </w:pPr>
      <w:r>
        <w:rPr>
          <w:rFonts w:ascii="Times New Roman" w:cs="Times New Roman" w:eastAsia="Times New Roman" w:hAnsi="Times New Roman"/>
          <w:sz w:val="18"/>
          <w:szCs w:val="18"/>
          <w:color w:val="auto"/>
        </w:rPr>
        <w:t>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(30,977)</w:t>
            </w:r>
          </w:p>
        </w:tc>
        <w:tc>
          <w:tcPr>
            <w:tcW w:w="4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(39,653)</w:t>
            </w: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(21,134)</w:t>
            </w: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2019, operating activities used $31.0 million of cash, resulting from our net loss of $38.2 million, partially offset by changes in our operating assets and liabilities of $3.1 million and by non-cash charges of $4.1 million. Our net loss was primarily attributed to research and development activities related to our ZGN-1061 program, our MetAP2 programs, restructuring charges and our general and administrative expenses. Net cash used in changes in our operating assets and liabilities during the nine months ended September 30, 2019, consisted primarily of a $3.6 million increase in accrued restructuring costs, a decrease in our tax incentive receivable of $1.3 million and $0.5 million decrease in prepaid expenses and other current assets, which were partially offset by a decrease in our accrued expenses and other of $1.8 million and $0.6 million decrease in accounts payable. Our net non-cash charges during the nine months ended September 30, 2019, consisted primarily of stock-based compensation expense of $4.6 million and depreciation of $0.2 million, which was partially offset by amortization of discount on marketable securities of $0.7 million.</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2018, operating activities used $39.7 million of cash, resulting from our net loss of $46.8 million, partially offset by non-cash charges of $7.2 million and changes in our operating assets and liabilities of $(0.1) million. Our net loss was primarily attributed to research and development activities related to our MetAP2 programs and our general and administrative expenses. Our net non-cash charges during the nine months ended September 30, 2018, consisted primarily of stock-based compensation expense of $7.3 million. Net cash used in changes in our operating assets and liabilities during the nine months ended September 30, 2018, consisted primarily of a $0.5 million increase in prepaid expenses and other current assets, $0.4 million decrease in accounts payable and $0.3 million increase in tax incentive receivable, partially offset by a $1.1 million increase in accrued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investing activities provided $29.8 million of cash resulting from the proceeds from sales and maturities of marketable securities of $101.9 million, offset by the purchases of marketable securities of $71.0 million, purchases of property and equipment of $0.5 million and purchases of right-of-use assets of $0.6 million associated with our build out of 3 Center Plaza.</w:t>
      </w:r>
    </w:p>
    <w:p>
      <w:pPr>
        <w:spacing w:after="0" w:line="176"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2018, investing activities used $21.1 million of cash resulting from the purchases of marketable securities of $106.0 million, offset by the proceeds from sales and maturities of marketable securities of $84.9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21"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we used $3.6 million in financing activities for payments related to our notes payable, partially offset by $0.1 million received from proceeds from the exercise of common stock options and common stock purchased under our 2014 Employee Stock Purchase Plan.</w:t>
      </w:r>
    </w:p>
    <w:p>
      <w:pPr>
        <w:spacing w:after="0" w:line="176"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2018, net cash provided by financing activities of $65.2 million was the result of net proceeds of $64.6 million from our July 2, 2018 public offering of common stock and $0.6 million relating to the exercise of common stock options and common stock purchased under our 2014 Employee Stock Purchase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 and Liquidity</w:t>
      </w:r>
    </w:p>
    <w:p>
      <w:pPr>
        <w:spacing w:after="0" w:line="121"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not generated product revenue or achieved profitability since our inception and we expect to continue to incur net losses for the foreseeable future. We expect that our existing cash, cash equivalents and marketable securities as of September 30, 2019, will enable us to fund our operating expenses and capital expenditure requirements for a period of at least one year from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8" w:name="page29"/>
    <w:bookmarkEnd w:id="28"/>
    <w:p>
      <w:pPr>
        <w:ind w:right="100"/>
        <w:spacing w:after="0" w:line="253" w:lineRule="auto"/>
        <w:rPr>
          <w:sz w:val="20"/>
          <w:szCs w:val="20"/>
          <w:color w:val="auto"/>
        </w:rPr>
      </w:pPr>
      <w:r>
        <w:rPr>
          <w:rFonts w:ascii="Times New Roman" w:cs="Times New Roman" w:eastAsia="Times New Roman" w:hAnsi="Times New Roman"/>
          <w:sz w:val="18"/>
          <w:szCs w:val="18"/>
          <w:color w:val="auto"/>
        </w:rPr>
        <w:t>issuance date of this Quarterly Report. We have based this estimate on assumptions that may prove to be wrong, and we may use our available capital resources sooner than we currently expect. 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future product development or future commercialization efforts or grant rights to develop and market our product candidates that we would otherwise prefer to develop and market ourselves. Our future capital requirements will depend on many factors, including:</w:t>
      </w:r>
    </w:p>
    <w:p>
      <w:pPr>
        <w:spacing w:after="0" w:line="83" w:lineRule="exact"/>
        <w:rPr>
          <w:sz w:val="20"/>
          <w:szCs w:val="20"/>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 strategic alternative transaction, if any, and the timing of any such strategic alternative;</w:t>
      </w:r>
    </w:p>
    <w:p>
      <w:pPr>
        <w:spacing w:after="0" w:line="117" w:lineRule="exact"/>
        <w:rPr>
          <w:rFonts w:ascii="Times New Roman" w:cs="Times New Roman" w:eastAsia="Times New Roman" w:hAnsi="Times New Roman"/>
          <w:sz w:val="18"/>
          <w:szCs w:val="18"/>
          <w:color w:val="auto"/>
        </w:rPr>
      </w:pPr>
    </w:p>
    <w:p>
      <w:pPr>
        <w:ind w:left="1020" w:right="400" w:hanging="377"/>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resolve the deficiencies and regain compliance with the minimum bid price requirements of our common stock as set forth in Nasdaq Listing Rule 5550(a)(2) for continued listing on Nasdaq;</w:t>
      </w:r>
    </w:p>
    <w:p>
      <w:pPr>
        <w:spacing w:after="0" w:line="5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future product candidates we develop or may acquire;</w:t>
      </w:r>
    </w:p>
    <w:p>
      <w:pPr>
        <w:spacing w:after="0" w:line="117" w:lineRule="exact"/>
        <w:rPr>
          <w:rFonts w:ascii="Times New Roman" w:cs="Times New Roman" w:eastAsia="Times New Roman" w:hAnsi="Times New Roman"/>
          <w:sz w:val="18"/>
          <w:szCs w:val="18"/>
          <w:color w:val="auto"/>
        </w:rPr>
      </w:pPr>
    </w:p>
    <w:p>
      <w:pPr>
        <w:ind w:left="1020" w:right="440" w:hanging="377"/>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any future product candidates, and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future product candidate;</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any future product candidates and any products that may achieve regulatory approval;</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future product candidates are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 and</w:t>
      </w:r>
    </w:p>
    <w:p>
      <w:pPr>
        <w:spacing w:after="0" w:line="117" w:lineRule="exact"/>
        <w:rPr>
          <w:rFonts w:ascii="Times New Roman" w:cs="Times New Roman" w:eastAsia="Times New Roman" w:hAnsi="Times New Roman"/>
          <w:sz w:val="18"/>
          <w:szCs w:val="18"/>
          <w:color w:val="auto"/>
        </w:rPr>
      </w:pPr>
    </w:p>
    <w:p>
      <w:pPr>
        <w:ind w:left="1020" w:right="520" w:hanging="377"/>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162"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had net operating loss carryforwards that were generated after December 31, 2017, of $9.5 million that do not expire. As of December 31, 2018, we also had available tax credit carryforwards for federal and state income tax purposes of $16.6 million and $3.4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 for the year ended December 31, 2018, except as noted below:</w:t>
      </w:r>
    </w:p>
    <w:p>
      <w:pPr>
        <w:spacing w:after="0" w:line="68" w:lineRule="exact"/>
        <w:rPr>
          <w:sz w:val="20"/>
          <w:szCs w:val="20"/>
          <w:color w:val="auto"/>
        </w:rPr>
      </w:pPr>
    </w:p>
    <w:p>
      <w:pPr>
        <w:ind w:left="1020" w:hanging="377"/>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2019, we entered into a lease with Shigo Center Plaza Owners, LLC, for approximately 17,705 square feet of office space for a new headquarters located at 3 Center Plaza, Boston, Massachusetts. The lease has a term of 124 months with an option to extend the lease for 60 additional months. Under the lease agreement, we will pay monthly rent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9" w:name="page30"/>
    <w:bookmarkEnd w:id="29"/>
    <w:p>
      <w:pPr>
        <w:ind w:left="1020" w:right="220"/>
        <w:spacing w:after="0" w:line="282" w:lineRule="auto"/>
        <w:rPr>
          <w:sz w:val="20"/>
          <w:szCs w:val="20"/>
          <w:color w:val="auto"/>
        </w:rPr>
      </w:pPr>
      <w:r>
        <w:rPr>
          <w:rFonts w:ascii="Times New Roman" w:cs="Times New Roman" w:eastAsia="Times New Roman" w:hAnsi="Times New Roman"/>
          <w:sz w:val="18"/>
          <w:szCs w:val="18"/>
          <w:color w:val="auto"/>
        </w:rPr>
        <w:t>beginning four months after an agreed upon commencement date, which was June 21, 2019, with total lease payments over the initial term of $10.7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Sated,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76" w:lineRule="exact"/>
        <w:rPr>
          <w:sz w:val="20"/>
          <w:szCs w:val="20"/>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research and development costs; and</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 Notice</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On September 17, 2019, we received written notice, or the Notice, from the Listing Qualifications Department of Nasdaq notifying us that we are not in compliance with the minimum bid price requirements set forth in Nasdaq Listing Rule 5550(a)(2) for continued listing on Nasdaq. Nasdaq Listing Rule 5550(a)(2) requires listed securities to maintain a minimum bid price of $1.00 per share, and Nasdaq Listing Rule 5810(c)(3)(A) provides that a failure to meet the minimum bid price requirement exists if the deficiency continues for a period of thirty (30) consecutive business days.</w:t>
      </w:r>
    </w:p>
    <w:p>
      <w:pPr>
        <w:spacing w:after="0" w:line="7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have 180 calendar days, or until March 16, 2020, to regain compliance with Nasdaq Listing Rule 5550(a)(2). To regain compliance, the bid price of our common stock must have a closing bid price of at least $1.00 per share for a minimum of ten (10) consecutive business days. If we do not regain compliance with Nasdaq Listing Rule 5550(a)(2) by March 16, 2020,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deficiency during the second compliance period, by effecting a reverse stock split, if necessary. However, if it appears to the staff of Nasdaq, or the Staff, that we will not be able to cure the deficiency, or if we are otherwise not eligible, Nasdaq would notify us that our securities would be subject to delisting. In the event of such a notification, we may appeal the Staff’s determination to delist our securities, but there can be no assurance the Staff would grant our request for continued listing.</w:t>
      </w:r>
    </w:p>
    <w:p>
      <w:pPr>
        <w:spacing w:after="0" w:line="81" w:lineRule="exact"/>
        <w:rPr>
          <w:sz w:val="20"/>
          <w:szCs w:val="20"/>
          <w:color w:val="auto"/>
        </w:rPr>
      </w:pPr>
    </w:p>
    <w:p>
      <w:pPr>
        <w:ind w:right="860" w:firstLine="518"/>
        <w:spacing w:after="0" w:line="282"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may, if appropriate, consider implementing available options to regain compliance with the minimum bid price requirement under the Nasdaq Listing Rules.</w:t>
      </w:r>
    </w:p>
    <w:p>
      <w:pPr>
        <w:spacing w:after="0" w:line="5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of our customers, collaborators, vendors, suppliers and employees, which could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right="400"/>
        <w:spacing w:after="0" w:line="282" w:lineRule="auto"/>
        <w:rPr>
          <w:sz w:val="20"/>
          <w:szCs w:val="20"/>
          <w:color w:val="auto"/>
        </w:rPr>
      </w:pPr>
      <w:r>
        <w:rPr>
          <w:rFonts w:ascii="Times New Roman" w:cs="Times New Roman" w:eastAsia="Times New Roman" w:hAnsi="Times New Roman"/>
          <w:sz w:val="18"/>
          <w:szCs w:val="18"/>
          <w:color w:val="auto"/>
        </w:rPr>
        <w:t>harm our business and future prospects. We will consider available options to resolve the deficiencies and regain compliance with all applicable Nasdaq Listing Rules.</w:t>
      </w:r>
    </w:p>
    <w:p>
      <w:pPr>
        <w:spacing w:after="0" w:line="200" w:lineRule="exact"/>
        <w:rPr>
          <w:sz w:val="20"/>
          <w:szCs w:val="20"/>
          <w:color w:val="auto"/>
        </w:rPr>
      </w:pPr>
    </w:p>
    <w:p>
      <w:pPr>
        <w:spacing w:after="0" w:line="377" w:lineRule="exact"/>
        <w:rPr>
          <w:sz w:val="20"/>
          <w:szCs w:val="20"/>
          <w:color w:val="auto"/>
        </w:rPr>
      </w:pPr>
    </w:p>
    <w:p>
      <w:pPr>
        <w:ind w:right="55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Interest Rate Fluctuation Risk</w:t>
      </w:r>
    </w:p>
    <w:p>
      <w:pPr>
        <w:spacing w:after="0" w:line="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Our cash, cash equivalents, and marketable securities as of September 30, 2019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September 30, 2019, the net fair value of our interest-sensitive financial instruments would have resulted in a hypothetical decline of $0.1 million.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31"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losses of less than $0.1 million were recorded for the three months ended September 30, 2019 and 2018. Net foreign currency transaction losses of less than $0.1 million and $0.2 million were recorded for the nine months ended September 30, 2019 and 2018, respectively.</w:t>
      </w:r>
    </w:p>
    <w:p>
      <w:pPr>
        <w:spacing w:after="0" w:line="177"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Currently, our largest foreign currency exposures are those with respect to the Australian dollar. Relative to foreign currency exposures existing as of September 30, 2019, a 10% unfavorable movement in foreign currency exchange rates would expose us to an increased net loss. For the nine months ended September 30, 2019, we estimated that a 10% unfavorable movement in foreign currency exchange rates would have increased our net loss by $0.2 million. This amount is based on a sensitivity analysis performed on our financial position as of September 30, 2019.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7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Management’s Evaluation of our Disclosure Controls and Procedures</w:t>
      </w:r>
    </w:p>
    <w:p>
      <w:pPr>
        <w:spacing w:after="0" w:line="31" w:lineRule="exact"/>
        <w:rPr>
          <w:sz w:val="20"/>
          <w:szCs w:val="20"/>
          <w:color w:val="auto"/>
        </w:rPr>
      </w:pPr>
    </w:p>
    <w:p>
      <w:pPr>
        <w:ind w:right="100" w:firstLine="518"/>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w:t>
      </w:r>
    </w:p>
    <w:p>
      <w:pPr>
        <w:ind w:right="80" w:firstLine="8"/>
        <w:spacing w:after="0" w:line="255"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73"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2019, our disclosure controls and procedures were effective at the reasonable assurance level.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1" w:lineRule="exact"/>
        <w:rPr>
          <w:sz w:val="20"/>
          <w:szCs w:val="20"/>
          <w:color w:val="auto"/>
        </w:rPr>
      </w:pPr>
    </w:p>
    <w:p>
      <w:pPr>
        <w:ind w:right="280" w:firstLine="518"/>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2019,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material litigation or other material legal proceedings. In the future, we may become party to legal matters or claims arising in the ordinary course of business, the resolution of which we do not anticipate would have a material adverse impact on our financial position, results of operations or cash flows.</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Company-Related Risks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reviewing strategic alternatives and there can be no assurance that we will be successful in identifying or completing any strategic transactions, that any such strategic transaction will result in additional value for our stockholders or that the process will not have an adverse impact on our business.</w:t>
      </w:r>
    </w:p>
    <w:p>
      <w:pPr>
        <w:spacing w:after="0" w:line="5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have engaged an investment bank to conduct a review of strategic alternatives in an effort to maximize stockholder value. We have not set a timetable for completion of this exploratory process and cannot provide any assurances that the process will result in the consummation of a strategic transaction of any kind, or that we will not abandon the process. We do not intend to discuss or disclose further developments during this process unless and until our board of directors has approved a specific action or we otherwise determine that further disclosure is appropriate. The process of reviewing strategic alternatives may be time-consuming and disruptive to our business operations and, if we are unable to effectively manage the process, our business, financial condition and results of operations could be adversely affected. We could incur substantial expenses associated with identifying, evaluating and negotiating potential strategic alternatives. There can be no assurance that any potential transaction or other strategic alternative, if consummated, will provide greater value to our stockholders than that reflected in the current price of our common stock. Until the review process is concluded,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2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consummate a strategic transaction of any kind, depends on our ability to retain our employees required to explore and consummate a strategic transaction as previously announced.</w:t>
      </w:r>
    </w:p>
    <w:p>
      <w:pPr>
        <w:spacing w:after="0" w:line="5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our employees required to explore and consummate a strategic transaction, the loss of whose services may adversely impact the exploratory process and the ability to consummate a strategic transaction. On September 10, 2019, we announced a reduction in workforce that includes reducing employees by approximately 48%, and when combined with the reduction in workforce announced on July 24, 2019 and other attrition in 2019, resulted in a total reduction of employees of approximately 70%.</w:t>
      </w:r>
    </w:p>
    <w:p>
      <w:pPr>
        <w:spacing w:after="0" w:line="72" w:lineRule="exact"/>
        <w:rPr>
          <w:sz w:val="20"/>
          <w:szCs w:val="20"/>
          <w:color w:val="auto"/>
        </w:rPr>
      </w:pPr>
    </w:p>
    <w:p>
      <w:pPr>
        <w:ind w:right="140" w:firstLine="518"/>
        <w:spacing w:after="0" w:line="289" w:lineRule="auto"/>
        <w:rPr>
          <w:sz w:val="20"/>
          <w:szCs w:val="20"/>
          <w:color w:val="auto"/>
        </w:rPr>
      </w:pPr>
      <w:r>
        <w:rPr>
          <w:rFonts w:ascii="Times New Roman" w:cs="Times New Roman" w:eastAsia="Times New Roman" w:hAnsi="Times New Roman"/>
          <w:sz w:val="17"/>
          <w:szCs w:val="17"/>
          <w:color w:val="auto"/>
        </w:rPr>
        <w:t>On September 10, 2019, we also announced a retention plan for the remaining executive officers and implemented retention plans for the other remaining employees that is designed to retain the employees required to explore and consummate a strategic transaction. We have entered into amendments to severance and change in control agreements with certain of our executive officers, but they may terminate their employment with us at any time.</w:t>
      </w:r>
    </w:p>
    <w:p>
      <w:pPr>
        <w:spacing w:after="0" w:line="50" w:lineRule="exact"/>
        <w:rPr>
          <w:sz w:val="20"/>
          <w:szCs w:val="20"/>
          <w:color w:val="auto"/>
        </w:rPr>
      </w:pPr>
    </w:p>
    <w:p>
      <w:pPr>
        <w:ind w:right="1040" w:firstLine="518"/>
        <w:spacing w:after="0" w:line="282" w:lineRule="auto"/>
        <w:rPr>
          <w:sz w:val="20"/>
          <w:szCs w:val="20"/>
          <w:color w:val="auto"/>
        </w:rPr>
      </w:pPr>
      <w:r>
        <w:rPr>
          <w:rFonts w:ascii="Times New Roman" w:cs="Times New Roman" w:eastAsia="Times New Roman" w:hAnsi="Times New Roman"/>
          <w:sz w:val="18"/>
          <w:szCs w:val="18"/>
          <w:color w:val="auto"/>
        </w:rPr>
        <w:t>With any change in leadership, there is also a risk to retention of employees, as well as the potential for disruption to our exploration and consummation of a strategic alternative as well as business operations, initiatives, plans and strategies.</w:t>
      </w:r>
    </w:p>
    <w:p>
      <w:pPr>
        <w:spacing w:after="0" w:line="266"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51"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2" w:name="page33"/>
    <w:bookmarkEnd w:id="32"/>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contract research organizations or other contractors or consultants, may fail or suffer security breaches, which could result in a material disruption of our future product candidates.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contract research organizations, or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nonclinical or clinical trial data for our future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future product candidates could be delayed.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The use of any future product candidates in clinical trials, if any, and the sale of any future product candidates, if developed and approved, exposes us to the risk of product liability claims. Product liability claims might be brought against us by patients, healthcare providers or others selling or otherwise who have come into contact with our future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7"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future product candidates following marketing approval, if obtained;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 Food and Drug Administration, or FDA, warnings on product labels;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our future product candidates, if approved.</w:t>
      </w:r>
    </w:p>
    <w:p>
      <w:pPr>
        <w:spacing w:after="0" w:line="225"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our future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Our net deferred tax assets and liabilities were revalued at the newly enacted U.S. corporate rate.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tax credit carryforwards may be subject to limitation.</w:t>
      </w:r>
    </w:p>
    <w:p>
      <w:pPr>
        <w:spacing w:after="0" w:line="12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2018, we had net operating loss carryforwards for federal and state income tax purposes of $55.7 million and $48.0 million, respectively, which begin to expire in 2026 and 2030, respectively. As of December 31, 2018, we also had available tax credit carryforwards for federal and state income tax purposes of $16.6 million and $3.4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t>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2018, we had net operating loss carryforwards that were generated after December 31, 2017, of $9.5 million that do not expire.</w:t>
      </w:r>
    </w:p>
    <w:p>
      <w:pPr>
        <w:spacing w:after="0" w:line="28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5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62" w:lineRule="exact"/>
        <w:rPr>
          <w:sz w:val="20"/>
          <w:szCs w:val="20"/>
          <w:color w:val="auto"/>
        </w:rPr>
      </w:pPr>
    </w:p>
    <w:p>
      <w:pPr>
        <w:ind w:right="80" w:firstLine="518"/>
        <w:spacing w:after="0" w:line="289" w:lineRule="auto"/>
        <w:rPr>
          <w:sz w:val="20"/>
          <w:szCs w:val="20"/>
          <w:color w:val="auto"/>
        </w:rPr>
      </w:pPr>
      <w:r>
        <w:rPr>
          <w:rFonts w:ascii="Times New Roman" w:cs="Times New Roman" w:eastAsia="Times New Roman" w:hAnsi="Times New Roman"/>
          <w:sz w:val="17"/>
          <w:szCs w:val="17"/>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6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5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Our future drug development programs and the potential commercialization of our future product candidates, if any, will require substantial additional cash to fund expenses. For our future product candidates, if any, we may decide to collaborate with pharmaceutical and biotechnology companies for the development and potential commercialization of those product candidates in some or all markets.</w:t>
      </w:r>
    </w:p>
    <w:p>
      <w:pPr>
        <w:spacing w:after="0" w:line="17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for any future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5" w:name="page36"/>
    <w:bookmarkEnd w:id="35"/>
    <w:p>
      <w:pPr>
        <w:ind w:right="600" w:firstLine="518"/>
        <w:spacing w:after="0" w:line="266" w:lineRule="auto"/>
        <w:rPr>
          <w:sz w:val="20"/>
          <w:szCs w:val="20"/>
          <w:color w:val="auto"/>
        </w:rPr>
      </w:pPr>
      <w:r>
        <w:rPr>
          <w:rFonts w:ascii="Times New Roman" w:cs="Times New Roman" w:eastAsia="Times New Roman" w:hAnsi="Times New Roman"/>
          <w:sz w:val="18"/>
          <w:szCs w:val="18"/>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or unwilling to do so, we may have to curtail the development of our future product candidates for which we are seeking to collaborate, reduce or delay its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200" w:lineRule="exact"/>
        <w:rPr>
          <w:sz w:val="20"/>
          <w:szCs w:val="20"/>
          <w:color w:val="auto"/>
        </w:rPr>
      </w:pPr>
    </w:p>
    <w:p>
      <w:pPr>
        <w:spacing w:after="0" w:line="20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for our future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all applicable listing requirements or standards of the NASDAQ Global Market and Nasdaq could delist our common stock.</w:t>
      </w:r>
    </w:p>
    <w:p>
      <w:pPr>
        <w:spacing w:after="0" w:line="5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In order to maintain that listing, we must satisfy minimum financial and other continued listing requirements and standards. One such requirement is that we maintain a minimum bid price of at least $1.00 per share for our common stock. For example, in September 2019, we received a letter from the Listing Qualifications Department of the NASDAQ Global Market (“Nasdaq”) advising us that for 30 consecutive trading days preceding the date of the Notice, the bid price of our common stock had closed below the $1.00 per share minimum required for continued listing on Nasdaq pursuant to Nasdaq Listing Rule 5450(a)(1) (the “Minimum Bid Price Requirement”).</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Under Nasdaq Listing Rule 5810(c)(3)(A), if during the 180 calendar day period following the date of the Notice, which for us is March 16, 2020, the closing bid price of our common stock is at or above $1.00 for a minimum of 10 consecutive business days, we will regain compliance with the Minimum Bid Price Requirement and its common stock will continue to be eligible for listing on Nasdaq, absent noncompliance with any other requirement for continued listing.</w:t>
      </w:r>
    </w:p>
    <w:p>
      <w:pPr>
        <w:spacing w:after="0" w:line="180"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If we do not regain compliance with the Minimum Bid Price Requirement within an allotted grace period, then under Nasdaq Listing Rule 5810(c)(3) (A)(i) we may transfer to The Nasdaq Capital Market, provided that we meet the applicable market value of the publicly held shares requirement for continued listing as well as all other standards for initial listing of our common stock on The Nasdaq Capital Market and we notify Nasdaq of our intention to cure the deficiency during a second grace period. Following a transfer to The Nasdaq Capital Market, we may be afforded an additional 180-days to regain compliance with the Minimum Bid Price Requirement. If we do not regain our compliance with the Minimum Bid Price Requirement within the allotted grace period, our shares of common stock would be subject to delisting. 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our stock price will continue to fluctuate significantly.</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common stock, similar to the market price of shares of common stock of other biopharmaceutical companies, is subject to wide fluctuations. From January 1, 2019 to September 30, 2019 the daily closing price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on the NASDAQ Global Market ranged from a high of $5.30 to a low of $0.66 and will continue to be subject to wide fluctuations in response to many risk factors listed in this section, and others beyond our control, including:</w:t>
      </w:r>
    </w:p>
    <w:p>
      <w:pPr>
        <w:spacing w:after="0" w:line="54"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studies and clinical trials of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to permit an investigational new drug application, or IND, to go into effect for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the European Medicines Agency, or EMA, to approve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adequate safety margin and profile for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future product candidates, if successfully developed and approved, to achieve commercial success;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exercise significant control over our company.</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As of October 31, 2019, the existing holdings of our executive officers, directors, principal stockholders and their affiliates, including investment funds affiliated with Atlas Ventures, EcoR1 Capital, LLC, 683 Capital Management, LLC, AIGH Capital Management, LLC, Armistice Capital, LLC, and Great Point Partners, LLC, represent beneficial ownership, in the aggregate, of approximately 50.3%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1"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12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have availed ourselves of reduced disclosure requirements applicable to emerging growth companies and smaller reporting companies, which could make our common stock less attractive to investors.</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w:t>
      </w:r>
    </w:p>
    <w:p>
      <w:pPr>
        <w:spacing w:after="0" w:line="1" w:lineRule="exact"/>
        <w:rPr>
          <w:sz w:val="20"/>
          <w:szCs w:val="20"/>
          <w:color w:val="auto"/>
        </w:rPr>
      </w:pPr>
    </w:p>
    <w:p>
      <w:pPr>
        <w:ind w:right="160" w:firstLine="8"/>
        <w:spacing w:after="0" w:line="261"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2019; (iii) the date on which we have issued more than $1 billion in nonconvertible debt during the previous three years; and (iv) the date on which we are deemed to be a large accelerated filer under the rules of the SEC.</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and we will remain a smaller reporting company as long as our voting and non-voting common shares held by non-affiliates is less than $250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8"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for emerging growth companies and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51" w:lineRule="exact"/>
        <w:rPr>
          <w:sz w:val="20"/>
          <w:szCs w:val="20"/>
          <w:color w:val="auto"/>
        </w:rPr>
      </w:pPr>
    </w:p>
    <w:p>
      <w:pPr>
        <w:ind w:right="480" w:firstLine="518"/>
        <w:spacing w:after="0" w:line="261" w:lineRule="auto"/>
        <w:rPr>
          <w:sz w:val="20"/>
          <w:szCs w:val="20"/>
          <w:color w:val="auto"/>
        </w:rPr>
      </w:pPr>
      <w:r>
        <w:rPr>
          <w:rFonts w:ascii="Times New Roman" w:cs="Times New Roman" w:eastAsia="Times New Roman" w:hAnsi="Times New Roman"/>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8" w:name="page39"/>
    <w:bookmarkEnd w:id="38"/>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5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5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68"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ind w:left="1040" w:right="42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117" w:lineRule="exact"/>
        <w:rPr>
          <w:rFonts w:ascii="Times New Roman" w:cs="Times New Roman" w:eastAsia="Times New Roman" w:hAnsi="Times New Roman"/>
          <w:sz w:val="18"/>
          <w:szCs w:val="18"/>
          <w:color w:val="auto"/>
        </w:rPr>
      </w:pPr>
    </w:p>
    <w:p>
      <w:pPr>
        <w:ind w:left="1040" w:right="66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 and</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our board of directors with the express power to postpone previously scheduled annual meetings and to cancel previously scheduled special meetings.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76"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 and Commercialization</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be able to successfully complete clinical trials for our product candidates, if any, obtain regulatory approval for any product candidates or successfully commercialize any product candidates, if approved.</w:t>
      </w:r>
    </w:p>
    <w:p>
      <w:pPr>
        <w:spacing w:after="0" w:line="5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Before our product candidates can be marketed, our IND application or other comparable regulatory approvals must go into effect permitting the conduct of clinical trials, and we must then successfully complete human testing. The FDA and other comparable foreign regulatory agencies must approve our New Drug Application, or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It is possible that the FDA or other regulatory agencies will not approve any application that we may submit. It is possible that our product candidates may not obtain appropriate regulatory approvals necessary for us to commence clinical trials for our product candidates, if any.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Favorable results from nonclinical studies and clinical trials to date are not necessarily predictive of the results of additional nonclinical studies or later-stage clinical trials of our future product candidates, if any.</w:t>
      </w:r>
    </w:p>
    <w:p>
      <w:pPr>
        <w:spacing w:after="0" w:line="51" w:lineRule="exact"/>
        <w:rPr>
          <w:sz w:val="20"/>
          <w:szCs w:val="20"/>
          <w:color w:val="auto"/>
        </w:rPr>
      </w:pPr>
    </w:p>
    <w:p>
      <w:pPr>
        <w:ind w:right="980" w:firstLine="518"/>
        <w:spacing w:after="0" w:line="282" w:lineRule="auto"/>
        <w:rPr>
          <w:sz w:val="20"/>
          <w:szCs w:val="20"/>
          <w:color w:val="auto"/>
        </w:rPr>
      </w:pPr>
      <w:r>
        <w:rPr>
          <w:rFonts w:ascii="Times New Roman" w:cs="Times New Roman" w:eastAsia="Times New Roman" w:hAnsi="Times New Roman"/>
          <w:sz w:val="18"/>
          <w:szCs w:val="18"/>
          <w:color w:val="auto"/>
        </w:rPr>
        <w:t>Favorable results from our nonclinical studies may not necessarily be predictive of the results from clinical trials. Many companies in the pharmaceutical and biotechnology industries have suffered significant setbacks in clinical trials after achieving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39" w:name="page40"/>
    <w:bookmarkEnd w:id="39"/>
    <w:p>
      <w:pPr>
        <w:ind w:right="60"/>
        <w:spacing w:after="0" w:line="254" w:lineRule="auto"/>
        <w:rPr>
          <w:sz w:val="20"/>
          <w:szCs w:val="20"/>
          <w:color w:val="auto"/>
        </w:rPr>
      </w:pPr>
      <w:r>
        <w:rPr>
          <w:rFonts w:ascii="Times New Roman" w:cs="Times New Roman" w:eastAsia="Times New Roman" w:hAnsi="Times New Roman"/>
          <w:sz w:val="18"/>
          <w:szCs w:val="18"/>
          <w:color w:val="auto"/>
        </w:rPr>
        <w:t>positive results in nonclinical and early-stage clinical development. In particular, we have suffered significant setbacks in later-stage clinical trials of our former lead product candidates, beloranib and ZGN-1061, after achieving positive results in nonclinical and clinical development, and we cannot be certain that we will not face similar setbacks in our development of our future product candidates, if any.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any future product candidates, the development timeline and regulatory approval and commercialization prospects for any future product candidates, and, correspondingly, our business and financial prospects, would be materially adversely affected.</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product candidates, if any, may cause undesirable side effects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our future product candidates, if any, could cause us or regulatory authorities such as the FDA to interrupt, delay or halt clinical trials and could result in a more restrictive label or the delay or denial of regulatory approval by the FDA or other regulatory authorities.</w:t>
      </w:r>
    </w:p>
    <w:p>
      <w:pPr>
        <w:spacing w:after="0" w:line="162"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Further, if any future product candidates receive marketing approval and we or others identify undesirable side effects caused by the product (or any other similar product) after the approval, a number of potentially significant negative consequences could result, including:</w:t>
      </w:r>
    </w:p>
    <w:p>
      <w:pPr>
        <w:spacing w:after="0" w:line="54" w:lineRule="exact"/>
        <w:rPr>
          <w:sz w:val="20"/>
          <w:szCs w:val="20"/>
          <w:color w:val="auto"/>
        </w:rPr>
      </w:pPr>
    </w:p>
    <w:p>
      <w:pPr>
        <w:ind w:left="1040" w:right="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their approval of the product through labeling or other means;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or a precaution;</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marketplace;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clinical trials of our future product candidates could result in increased costs to us and could delay, prevent or limit our ability to generate revenue and continue our business.</w:t>
      </w:r>
    </w:p>
    <w:p>
      <w:pPr>
        <w:spacing w:after="0" w:line="5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Despite the guidance we may receive from the FDA, the EMA, or other applicable regulatory authorities,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 Marketing Authorization Application, or MAA, to the EMA and, consequently, the ultimate approval and commercial marketing of our future product candidates. We do not know whether any clinical trials for our future product candidates will begin or be completed on schedule, if at all, as the commencement and completion of clinical trials can be delayed or prevented for a number of reasons, including, among others:</w:t>
      </w:r>
    </w:p>
    <w:p>
      <w:pPr>
        <w:spacing w:after="0" w:line="80"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governing, may deny permission to begin or continue clinical trials, including for certain indications, we want to conduct;</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filings or receiving regulatory authorizations of IND applications, or clinical trial authorization applications, or CTAs, that may be required;</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from our nonclinical studies, thus the FDA, or other applicable regulatory authorities, may require additional nonclinical studies;</w:t>
      </w:r>
    </w:p>
    <w:p>
      <w:pPr>
        <w:spacing w:after="0" w:line="53"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40" w:name="page41"/>
    <w:bookmarkEnd w:id="40"/>
    <w:p>
      <w:pPr>
        <w:ind w:left="1040" w:right="8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53"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Institutional Review Board, or IRB, and/or ethics committee approval to conduct a clinical trial at a prospective site or sites in the United States, or other country;</w:t>
      </w:r>
    </w:p>
    <w:p>
      <w:pPr>
        <w:spacing w:after="0" w:line="53" w:lineRule="exact"/>
        <w:rPr>
          <w:rFonts w:ascii="Times New Roman" w:cs="Times New Roman" w:eastAsia="Times New Roman" w:hAnsi="Times New Roman"/>
          <w:sz w:val="18"/>
          <w:szCs w:val="18"/>
          <w:color w:val="auto"/>
        </w:rPr>
      </w:pPr>
    </w:p>
    <w:p>
      <w:pPr>
        <w:ind w:left="1040" w:right="440" w:hanging="519"/>
        <w:spacing w:after="0" w:line="26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or recruiting clinical investigators and/or patients in our ongoing or future clinical trials;</w:t>
      </w:r>
    </w:p>
    <w:p>
      <w:pPr>
        <w:spacing w:after="0" w:line="117"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patients in a clinical trial;</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regulatory authorities, may disagree with our clinical trial designs, our interpretation of data from clinical trials, or may change the requirements for approval even after it has reviewed and commented on the design for our clinical trials;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72"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applicable regulatory authorities, that reveals deficiencies or violations that require us to undertake corrective action, including the imposition of a partial clinical hold or a full clinical hold;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any that could be identified in our nonclinical studies, adverse side effects or lack of effectiveness;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32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FDA guidance or guidance from other regulatory agencies or unanticipated events during our clinical trials of our future product candidates, may occur, which may result in changes to clinical trial protocols or additional clinical trial requirements, which could result in increased costs to us and could delay our development timeline.</w:t>
      </w:r>
    </w:p>
    <w:p>
      <w:pPr>
        <w:spacing w:after="0" w:line="67"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Changes in regulatory requirements, FDA guidance or guidance from EMA or unanticipated events during our clinical trials may force us to adjust our clinical program. The FDA, the EMA, or the applicable regulatory authorities may impose additional clinical trial and/or nonclinical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CV risk of new therapies for the treatment of type 2 diabetes. Amendments to our clinical trial protocols would require resubmission to the FDA or other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our future product candidates may be harmed and our ability to generate product revenue will be delayed.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any future clinical trials for our future product candidates. If these third parties do not successfully carry out their contractual duties or meet expected deadlines, we may not be able to develop and obtain regulatory approval for or commercialize any future product candidates, and our business could be substantially harmed.</w:t>
      </w:r>
    </w:p>
    <w:p>
      <w:pPr>
        <w:spacing w:after="0" w:line="6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entered into agreements with third-party CROs to provide monitors for and to manage data for our prior clinical trials. We relied heavily on these parties for execution of past clinical trials and may continue to rely on these parties for clinical trials for our future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6"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in the future, if any,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future clinical trials, if any,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comply with GCPs. In addition, our future clinical trials, if any,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9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design our clinical trials, in the past, investigators and CROs have conducted all of our clinical trials. As a result, many important aspects of our drug development programs have been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our future product candidates may be delayed or our development program materially and irreversibly harmed. We cannot control the amount and timing of resources these investigators or CROs will devote to our future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future product candidates. As a result, our financial results and the commercial prospects for our future product candidates in the subject indications would be harmed, our costs could increase and our ability to generate revenue could be delayed.</w:t>
      </w:r>
    </w:p>
    <w:p>
      <w:pPr>
        <w:spacing w:after="0" w:line="184"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on a large clinical or commercial scale and have no manufacturing facility. As a result, we are dependent on third-party manufacturers, as well as on third parties for our supply</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2" w:name="page43"/>
    <w:bookmarkEnd w:id="42"/>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chain, and if we experience problems with any third parties, or the actual demand for our future product candidates exceed our forecasts, the manufacture of adequate supplies of our future product candidates or products could be delayed.</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do not own or operate facilities for the manufacture of our product candidates. We currently have no plans to build our own manufacturing facilities for clinical or commercial operations. We have in the past relied on contract manufacturing organizations, or CMOs, for the chemical manufacture of active pharmaceutical ingredient and for the production of final product formulation and packaging for clinical trials, and expect to rely on CMOs for any future product candidate we are able to advance into clinical development. Although alternative third party suppliers with the necessary manufacturing and regulatory expertise and facilities exist, it could be expensive and take a significant amount of time to arrange for alternative suppliers should we commence clinical development of any future product candidate. We may encounter technical difficulties or delays in the transfer of manufacturing on a commercial scale to third party manufacturers. We may be unable to enter into agreements for commercial supply with third party manufacturers, or may be unable to do so on acceptable terms. If we are unable to arrange for alternative third-party manufacturing sources, or to do so on commercially reasonable terms or in a timely manner, we may not be able to complete development of any product candidates, or market or distribute them.</w:t>
      </w:r>
    </w:p>
    <w:p>
      <w:pPr>
        <w:spacing w:after="0" w:line="189"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Reliance on third party manufacturers entails risks to which we would not be subject if we manufactured product candidates or products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 and could cause us to incur higher costs and prevent us from commercializing our product candidates successfully. In addition,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products, refusal to permit the import or export of products, injunction, or imposing civil and criminal penalties.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Any significant disruption in our supplier relationships could harm our business. Any significant delay in the supply of a product candidate or its key materials for an ongoing clinical trial could considerably delay completion of our clinical trials, product testing and potential regulatory approval of our future product candidates. If our manufacturers or we are unable to purchase these key materials after regulatory approval has been obtained for our product candidates, the commercial launch of our product candidates would be delayed or there would be a shortage in supply, which would impair our ability to generate revenues from the sale of our product candidates. If our CMOs cannot manufacture sufficient quantity to meet the demand for our product candidates after regulatory approval, there would be a shortage in supply which would negatively impact our revenue from the sale of our product candidates. It may take several years to establish an alternative source of supply for our product candidates and to have any such new source approved by the FDA.</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5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may pursue marketing approval for certain of our future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3" w:name="page44"/>
    <w:bookmarkEnd w:id="43"/>
    <w:p>
      <w:pPr>
        <w:ind w:right="180"/>
        <w:spacing w:after="0" w:line="282" w:lineRule="auto"/>
        <w:rPr>
          <w:sz w:val="20"/>
          <w:szCs w:val="20"/>
          <w:color w:val="auto"/>
        </w:rPr>
      </w:pPr>
      <w:r>
        <w:rPr>
          <w:rFonts w:ascii="Times New Roman" w:cs="Times New Roman" w:eastAsia="Times New Roman" w:hAnsi="Times New Roman"/>
          <w:sz w:val="18"/>
          <w:szCs w:val="18"/>
          <w:color w:val="auto"/>
        </w:rPr>
        <w:t>Any such impairment would reduce the size of our potential market, which could have a material adverse impact on our business, results of operations and prospects.</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51"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The commercial success of a product candidate, if developed and approved for marketing by the FDA or EMA or other applicable regulatory authorities, will depend upon the awareness and acceptance of our future product candidates, if any, among the medical community, including physicians, patients, advocacy groups and healthcare payors. Market acceptance of a product candidate, if approved, will depend on a number of factors, including, among others:</w:t>
      </w:r>
    </w:p>
    <w:p>
      <w:pPr>
        <w:spacing w:after="0" w:line="72"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a product candidate;</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a product candidate by the FDA, EMA, or other regulatory authorities, such as a “black box” warning;</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a product candidate through marketing efforts;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 party coverage or reimbursement;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 party coverage; and</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FDA may require development of a Risk Evaluation and Mitigation Strategies, or REMS, as a condition of approval or post-approval or may not agree with our proposed REMS or may impose additional requirements that limit the promotion, advertising, distribution or sales of our product candidates.</w:t>
      </w:r>
    </w:p>
    <w:p>
      <w:pPr>
        <w:spacing w:after="0" w:line="17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5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do not currently have an established infrastructure for the sales, marketing and distribution of pharmaceutical products. In order to market any future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any future product candidate, we may still face future development and regulatory difficulties.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Even if we receive marketing approval for a future product candidate, if any, regulatory authorities may still impose significant restrictions on the indicated uses or marketing of our product candidates, or may impose ongoing requirements for potentially costly post-approval studies. A product candidate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post-approval regulatory requirements and potential requirements or restrictions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44" w:name="page45"/>
    <w:bookmarkEnd w:id="44"/>
    <w:p>
      <w:pPr>
        <w:ind w:right="480"/>
        <w:spacing w:after="0" w:line="282" w:lineRule="auto"/>
        <w:rPr>
          <w:sz w:val="20"/>
          <w:szCs w:val="20"/>
          <w:color w:val="auto"/>
        </w:rPr>
      </w:pPr>
      <w:r>
        <w:rPr>
          <w:rFonts w:ascii="Times New Roman" w:cs="Times New Roman" w:eastAsia="Times New Roman" w:hAnsi="Times New Roman"/>
          <w:sz w:val="18"/>
          <w:szCs w:val="18"/>
          <w:color w:val="auto"/>
        </w:rPr>
        <w:t>on the sale of approved products, all of which could lead to lower sales volume and revenue. Additionally, the FDA may require post-marketing studies and/or post-marketing requirements that could represent and result in additional restrictions and/or limitations for the product.</w:t>
      </w:r>
    </w:p>
    <w:p>
      <w:pPr>
        <w:spacing w:after="0" w:line="16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any future product candidate, such as adverse events of unanticipated severity or frequency, or problems with the facility where any future product candidate is manufactured, a regulatory agency may impose restrictions on a product candidate, the manufacturer or us, including requiring withdrawal of any future product candidate from the market or suspension of manufacturing. If we or the manufacturing facilities for a product candidate fail to comply with applicable regulatory requirements, a regulatory agency may, among other things:</w:t>
      </w:r>
    </w:p>
    <w:p>
      <w:pPr>
        <w:spacing w:after="0" w:line="80"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request that we initiate a product recall.</w:t>
      </w:r>
    </w:p>
    <w:p>
      <w:pPr>
        <w:spacing w:after="0" w:line="22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51" w:lineRule="exact"/>
        <w:rPr>
          <w:sz w:val="20"/>
          <w:szCs w:val="20"/>
          <w:color w:val="auto"/>
        </w:rPr>
      </w:pPr>
    </w:p>
    <w:p>
      <w:pPr>
        <w:ind w:right="500" w:firstLine="518"/>
        <w:spacing w:after="0" w:line="266" w:lineRule="auto"/>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68"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a product candidate in foreign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Foreign sales of a product candidate could also be adversely affected by the imposition of governmental controls, political and economic instability, trade restrictions and changes in tariffs.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5" w:name="page46"/>
    <w:bookmarkEnd w:id="4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5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any future product candidates, if approved. Our future arrangements with third party payors will expose us to broadly applicable fraud and abuse and other healthcare laws and regulations that may constrain the business or financial arrangements and relationships through which we market, sell and distribute our future product candidates, if any, and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76" w:lineRule="exact"/>
        <w:rPr>
          <w:sz w:val="20"/>
          <w:szCs w:val="20"/>
          <w:color w:val="auto"/>
        </w:rPr>
      </w:pPr>
    </w:p>
    <w:p>
      <w:pPr>
        <w:ind w:left="1040" w:right="100" w:hanging="519"/>
        <w:spacing w:after="0" w:line="289" w:lineRule="auto"/>
        <w:tabs>
          <w:tab w:leader="none" w:pos="10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50" w:lineRule="exact"/>
        <w:rPr>
          <w:rFonts w:ascii="Times New Roman" w:cs="Times New Roman" w:eastAsia="Times New Roman" w:hAnsi="Times New Roman"/>
          <w:sz w:val="17"/>
          <w:szCs w:val="17"/>
          <w:color w:val="auto"/>
        </w:rPr>
      </w:pPr>
    </w:p>
    <w:p>
      <w:pPr>
        <w:ind w:left="1040" w:right="60" w:hanging="519"/>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40" w:right="220" w:hanging="519"/>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40" w:right="58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68" w:lineRule="exact"/>
        <w:rPr>
          <w:rFonts w:ascii="Times New Roman" w:cs="Times New Roman" w:eastAsia="Times New Roman" w:hAnsi="Times New Roman"/>
          <w:sz w:val="18"/>
          <w:szCs w:val="18"/>
          <w:color w:val="auto"/>
        </w:rPr>
      </w:pPr>
    </w:p>
    <w:p>
      <w:pPr>
        <w:ind w:left="1040" w:right="100" w:hanging="519"/>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40" w:right="4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58"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46" w:name="page47"/>
    <w:bookmarkEnd w:id="46"/>
    <w:p>
      <w:pPr>
        <w:ind w:right="40"/>
        <w:spacing w:after="0" w:line="256" w:lineRule="auto"/>
        <w:rPr>
          <w:sz w:val="20"/>
          <w:szCs w:val="20"/>
          <w:color w:val="auto"/>
        </w:rPr>
      </w:pPr>
      <w:r>
        <w:rPr>
          <w:rFonts w:ascii="Times New Roman" w:cs="Times New Roman" w:eastAsia="Times New Roman" w:hAnsi="Times New Roman"/>
          <w:sz w:val="18"/>
          <w:szCs w:val="18"/>
          <w:color w:val="auto"/>
        </w:rPr>
        <w:t>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If we receive marketing approval for our future product candidates physicians may prescribe our product candidates, if any,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our future product candidates, if approved, we could become subject to significant liability, which would materially adversely affect our business and financial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approved, reimbursement policies could limit our ability to sell product candidates, if any, that we elect to sell on our own.</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If approved by regulatory authorities, market acceptance and sales of product candidates, if any, that we elect to sell on our own will depend on reimbursement policies and may be affected by healthcare reform measures. Government authorities and third 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 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if any, that we elect to sell on our own. If reimbursement is not available or is available only at limited levels, we may not be able to successfully commercialize product candidates that we elect to sell on our own.</w:t>
      </w:r>
    </w:p>
    <w:p>
      <w:pPr>
        <w:spacing w:after="0" w:line="18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regulatory approval of and commercialize our future drug candidates, if any, and affect the prices we may obtain.</w:t>
      </w:r>
    </w:p>
    <w:p>
      <w:pPr>
        <w:spacing w:after="0" w:line="51"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ind w:right="700"/>
        <w:spacing w:after="0" w:line="282" w:lineRule="auto"/>
        <w:rPr>
          <w:sz w:val="20"/>
          <w:szCs w:val="20"/>
          <w:color w:val="auto"/>
        </w:rPr>
      </w:pPr>
      <w:r>
        <w:rPr>
          <w:rFonts w:ascii="Times New Roman" w:cs="Times New Roman" w:eastAsia="Times New Roman" w:hAnsi="Times New Roman"/>
          <w:sz w:val="18"/>
          <w:szCs w:val="18"/>
          <w:color w:val="auto"/>
        </w:rPr>
        <w:t>requirements or on our future business. Changes to the ACA or other existing health care regulations could significantly impact our business and the pharmaceutical industry.</w:t>
      </w:r>
    </w:p>
    <w:p>
      <w:pPr>
        <w:spacing w:after="0" w:line="26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Facilitated regulatory pathways, such as but not limited to Breakthrough Therapy Designation, Fast Track Designation, Regenerative Medicine Advanced Therapy Designation, Priority Review, Accelerated Approval, PRIME, or regulatory incentives, such as but not limited to orphan drug designation, even if granted for any of our future product candidates, are pathways and incentives that may not be accepted/granted, may not lead to a faster development period, regulatory review or approval process, does not increase the likelihood that any of our future product candidates will receive marketing approval, and does not increase the likelihood of receiving benefits or exclusivities associated with any of these designations or pathways.</w:t>
      </w:r>
    </w:p>
    <w:p>
      <w:pPr>
        <w:spacing w:after="0" w:line="7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may seek one or more facilitated regulatory pathways in the US, EU or other countries for some of our future product candidates. None of these pathways change the standards for product approval in any country. These facilitated regulatory pathways allow for increased interaction and communication between the health authorities (e.g., FDA and EMA) and the sponsor of clinical trials, can help to identify the most efficient path for clinical development while minimizing the number of patients placed in ineffective control regimens, and can allow for priority review and accelerated approval. Health authorities may not grant the requested designations, expedited pathways or other regulatory incentives. Even if granted, the receipt of the designations or the health authority support for expedited pathways or incentives may not result in a faster development process, review or approval compared to therapies considered for approval under conventional health authority procedures and does not guarantee approval in any country nor does it guarantee granting of any associated exclusivities or other benefits. In addition, even if one or more of our future product candidates qualify for any facilitated regulatory pathways or regulatory incentives, the health authority may later decide that such product candidates no longer meet the conditions for qualification, may decide that the time period for review or approval will not be shortened or may decide that the criteria for receiving exclusivity or other benefits were not adequately met.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programs for our future product candidates, if any, may require substantial financial resources and may ultimately be unsuccessful.</w:t>
      </w:r>
    </w:p>
    <w:p>
      <w:pPr>
        <w:spacing w:after="0" w:line="12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Satisfaction of FDA and certain European regulatory requirements will entail substantial time, effort and financial resources. We may never satisfy these requirements. We believe that our cash, cash equivalents and marketable securities will be sufficient to fund operations for a period of at least one year from the issuance date of this Quarterly Report, but we will need to raise more funds to continue development and commercialization of our future product candidates, if any, which may not be easily available. Furthermore, we may never commence clinical trials of such development programs despite expending significant resources in pursuit of their development. If we do commence clinical trials of any future potential product candidates, such product candidates may never be approved by the FDA or other regulatory authorities.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1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5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180"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and until July 2016, we focused substantially all of our efforts and financial resources on developing beloranib, which was in Phase 3 clinical development for our lead indication of the treatment of hyperphagia and obesity in patients with PWS and Phase 2 clinical development for the treatment of obesity in patients with hypothalamic injury-associated obesity, or HIAO.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July 2019, we reached agreement with the FDA on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study design and protocol to establish relevant safety margins for ZGN-1061. The study was designed to translate the data from the our newly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we believe there is a low probability of resolving the clinical hold in the near-term. Subsequently, all further development activities of MetAP2 inhibitors were halted. Therefore, we have determined that it is in the best interest of stockholders to expand our internal corporate development efforts and formally evaluate strategic alternatives. Potential strategic alternatives that may be evaluated include, but are not limited to, an acquisition, merger, business combination, in-licensing, or other strategic transaction involving us or our assets.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8" w:name="page49"/>
    <w:bookmarkEnd w:id="48"/>
    <w:p>
      <w:pPr>
        <w:ind w:left="520"/>
        <w:spacing w:after="0"/>
        <w:rPr>
          <w:sz w:val="20"/>
          <w:szCs w:val="20"/>
          <w:color w:val="auto"/>
        </w:rPr>
      </w:pPr>
      <w:r>
        <w:rPr>
          <w:rFonts w:ascii="Times New Roman" w:cs="Times New Roman" w:eastAsia="Times New Roman" w:hAnsi="Times New Roman"/>
          <w:sz w:val="18"/>
          <w:szCs w:val="18"/>
          <w:color w:val="auto"/>
        </w:rPr>
        <w:t>We have funded our operations to date through proceeds from sales of redeemable convertible preferred stock, convertible debt and proceeds from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 and follow-on public offerings, and have incurred losses in each year since our inception. In July 2018, we sold 9,200,000 shares of our common stock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of $7.50 per share. Our net losses were $38.2 million for the nine months ended September 30, 2019 and $61.4 million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As of September 30, 2019, we had an accumulated deficit of $389.1 million. Substantially all of our operating losses resulted from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in connection with our development programs for ZGN-1061, ZGN-1258, ZGN-1345, beloranib, ZGN-839, early research activities, licensing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fees and from general and administrative costs associated with our operations. We expect to incur increasing levels of operating losses over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years and for the foreseeable future. Our prior losses, combined with expected future losses, have had and will continue to have an adverse effect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equity and working capital. We expect our research and development expenses will increase over time in connection with the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future product candidates. In addition, if and when we obtain marketing approval for a future product candidate, we will incur significant sales,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outsourced manufacturing expenses. We will continue to incur additional costs associated with operating as a public company. As a result, we expect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incur significant operating losses that would increase over time for the foreseeable future. Because of the numerous risks and uncertainties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developing pharmaceutical products, we are unable to predict the extent of any future losses or when we will become profitable, if at all. Even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do become profitable, we may not be able to sustain or increase our profitability on a quarterly or annual basis.</w:t>
      </w:r>
    </w:p>
    <w:p>
      <w:pPr>
        <w:spacing w:after="0" w:line="207"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2"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submit IND applications that go into effect with the FDA to initiate clinical trials for our future product candidates;</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future product candidates in the indications we are pursuing;</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product candidates, if developed and approved, by developing a sales force or entering into collaborations with third parties;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420" w:firstLine="518"/>
        <w:spacing w:after="0" w:line="258" w:lineRule="auto"/>
        <w:rPr>
          <w:sz w:val="20"/>
          <w:szCs w:val="20"/>
          <w:color w:val="auto"/>
        </w:rPr>
      </w:pPr>
      <w:r>
        <w:rPr>
          <w:rFonts w:ascii="Times New Roman" w:cs="Times New Roman" w:eastAsia="Times New Roman" w:hAnsi="Times New Roman"/>
          <w:sz w:val="18"/>
          <w:szCs w:val="18"/>
          <w:color w:val="auto"/>
        </w:rPr>
        <w:t>Absent our entering into a collaboration or partnership agreement, we expect to incur significant sales and marketing costs when we prepare to commercialize our product candidates. Even if we initiate and successfully complete our clinical trials of our future product candidates, if any, and any product candidates are approved for commercial sale our product candidates, if any, may not be commercially successful drugs. Despite expending these costs. We may not achieve profitability soon after generating product sales, if ever. If we are unable to generate sufficient product revenue, we will not become profitable and may be unable to continue operations without continued funding.</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right="620" w:firstLine="518"/>
        <w:spacing w:after="0" w:line="261" w:lineRule="auto"/>
        <w:rPr>
          <w:sz w:val="20"/>
          <w:szCs w:val="20"/>
          <w:color w:val="auto"/>
        </w:rPr>
      </w:pPr>
      <w:r>
        <w:rPr>
          <w:rFonts w:ascii="Times New Roman" w:cs="Times New Roman" w:eastAsia="Times New Roman" w:hAnsi="Times New Roman"/>
          <w:sz w:val="18"/>
          <w:szCs w:val="18"/>
          <w:color w:val="auto"/>
        </w:rPr>
        <w:t>Developing drugs is expensive. Depending on the status of regulatory approval or, if approved, commercialization of any of our future product candidates, as well as the progress we make in selling any of our future product candidates, we will require additional capital to fund operating needs thereafter. We may also need to raise additional funds sooner if we choose to pursue additional indications and/or geographies for our future product candidates or otherwise expand more rapidly than we presently anticipate.</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As of September 30, 2019, our cash, cash equivalents and marketable securities were $82.0 million and we have a Term Loan with an outstanding principal balance of $16.4 million. The Term Loan is collateralized by substantially all of our personal property, other than our intellectual property. Additionally, we, as the borrower, are required to maintain a minimum unrestricted cash, cash equivalents and marketable securities balance at Silicon Valley Bank of no less than 105% of the total outstanding principal balance of the Term Loan, which as of September 30, 2019 and December 31, 2018 was $17.2 million and $21.0 million, respectively.</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Further, as part of the requirements of the Term Loan, we must maintain a balance of unrestricted cash, cash equivalents and marketable securities at Silicon Valley Bank in an amount not less than the greater of (i) $55.0 million and (ii) sixty-five percent (65%) of all of our cash, cash equivalents and marketable securities. If we do not meet this requirement it will not be considered an event of default provided we immediately secure 87.5% of the principal balance in a restricted cash account. There are negative covenants restricting our activities, including limitations on dispositions, mergers or acquisitions, encumbering or granting a security interest in our intellectual property, incurring indebtedness or liens, paying dividends, making certain investments, limiting the aggregate value of cash maintained by our Australian subsidiary not to exceed $4.0 million and certain other business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ind w:right="60"/>
        <w:spacing w:after="0" w:line="255" w:lineRule="auto"/>
        <w:rPr>
          <w:sz w:val="20"/>
          <w:szCs w:val="20"/>
          <w:color w:val="auto"/>
        </w:rPr>
      </w:pPr>
      <w:r>
        <w:rPr>
          <w:rFonts w:ascii="Times New Roman" w:cs="Times New Roman" w:eastAsia="Times New Roman" w:hAnsi="Times New Roman"/>
          <w:sz w:val="18"/>
          <w:szCs w:val="18"/>
          <w:color w:val="auto"/>
        </w:rPr>
        <w:t>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8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future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future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8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21"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its sales agent. Through September 30, 2019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rights to our future product candidates, our intellectual property, future revenue streams or grant licenses on terms that are not favorable to us.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which are sufficient to protect our future product candidates, if any, others could compete against us more directly, which would have a material adverse impact on our business, results of operations, financial condition and prospects.</w:t>
      </w:r>
    </w:p>
    <w:p>
      <w:pPr>
        <w:spacing w:after="0" w:line="67"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2019, we own thirty-eight issued U.S. patents, all of which relate to our internal efforts to discover and discover MetAP2 inhibitors.</w:t>
      </w:r>
    </w:p>
    <w:p>
      <w:pPr>
        <w:spacing w:after="0" w:line="225"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future product candidates.</w:t>
      </w:r>
    </w:p>
    <w:p>
      <w:pPr>
        <w:spacing w:after="0" w:line="18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future product candidates, are invalidated or found unenforceable, our financial position and results of operations would be materially and adversely impacted. In addition, if a court found that valid, enforceable patents held by third parties covered our future product candidates, our financial position and results of operations would also be materially and adversely impacted.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include claims having a scope sufficient to protect our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develop and commercialize any future product candidates, if approved, before our relevant patents expire;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commercial activities or products, if any, will not infringe upon the patents of others.</w:t>
      </w:r>
    </w:p>
    <w:p>
      <w:pPr>
        <w:spacing w:after="0" w:line="22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any future product candidates, if approved.</w:t>
      </w:r>
    </w:p>
    <w:p>
      <w:pPr>
        <w:spacing w:after="0" w:line="5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our future product candidates, if any,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future product candidates, if any.</w:t>
      </w:r>
    </w:p>
    <w:p>
      <w:pPr>
        <w:spacing w:after="0" w:line="185"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76"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future product candidates,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preparations or developing of any future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ind w:left="520"/>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8"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8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8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and perhaps all, of the patent protection on our product candidates. Such a loss of patent protection would have a material adverse impact on our business.</w:t>
      </w:r>
    </w:p>
    <w:p>
      <w:pPr>
        <w:spacing w:after="0" w:line="329"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5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have an exclusive license with Children’s Medical Center Corporation,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9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registered trademarks for a commercial trade name for our future product candidates and failure to secure such registrations could adversely affect our business.</w:t>
      </w:r>
    </w:p>
    <w:p>
      <w:pPr>
        <w:spacing w:after="0" w:line="51"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We have not yet registered trademarks for a commercial trade name for our future product candidates, if any.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data exclusivity for our future product candidates, our business may be materially harmed.</w:t>
      </w:r>
    </w:p>
    <w:p>
      <w:pPr>
        <w:spacing w:after="0" w:line="5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Depending upon the timing, duration and specifics of development and FDA marketing approval of our future product candidates, if any, one or more of our U.S. patents may be eligible for limited patent term restoration under the Drug Price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4" w:name="page55"/>
    <w:bookmarkEnd w:id="54"/>
    <w:p>
      <w:pPr>
        <w:ind w:right="160"/>
        <w:spacing w:after="0" w:line="256" w:lineRule="auto"/>
        <w:rPr>
          <w:sz w:val="20"/>
          <w:szCs w:val="20"/>
          <w:color w:val="auto"/>
        </w:rPr>
      </w:pPr>
      <w:r>
        <w:rPr>
          <w:rFonts w:ascii="Times New Roman" w:cs="Times New Roman" w:eastAsia="Times New Roman" w:hAnsi="Times New Roman"/>
          <w:sz w:val="18"/>
          <w:szCs w:val="18"/>
          <w:color w:val="auto"/>
        </w:rPr>
        <w:t>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2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9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5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Our employees have been previously employed, and may be employed in the future,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our future product candidates, which would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5" w:name="page56"/>
    <w:bookmarkEnd w:id="5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4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7"/>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3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Ninth Amended and Restated Certificate of Incorporation of the Registrant, as currently in effect (incorporated by reference to Exhibit 3.1</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of the Registrant’s Form 8-K filed on June 24, 2014)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9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Amended and Restated By-laws of the Registrant, as currently in effect (incorporated by reference to Exhibit 3.2 of the Registrant’s Form</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8-K filed on June 24, 2014)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Certification of Principal Executive Officer pursuant to Rule 13a-14(a) or Rule 15d-14(a) of the Securities Exchange Act of 1934, as</w:t>
              </w:r>
            </w:hyperlink>
          </w:p>
        </w:tc>
        <w:tc>
          <w:tcPr>
            <w:tcW w:w="5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100" w:type="dxa"/>
            <w:vAlign w:val="bottom"/>
            <w:gridSpan w:val="10"/>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adopted pursuant to Section 302 of the Sarbanes-Oxley Act of 2002.</w:t>
              </w:r>
            </w:hyperlink>
          </w:p>
        </w:tc>
        <w:tc>
          <w:tcPr>
            <w:tcW w:w="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7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Certification of Principal Executive Officer and Principal Financial Officer pursuant to 18 U.S.C. Section 1350, as adopted pursuant to</w:t>
              </w:r>
            </w:hyperlink>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Section 906 of the Sarbanes-Oxley Act of 2002.</w:t>
              </w:r>
            </w:hyperlink>
          </w:p>
        </w:tc>
        <w:tc>
          <w:tcPr>
            <w:tcW w:w="66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ZAFGEN,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Jeffrey Hatfield</w:t>
            </w:r>
          </w:p>
        </w:tc>
      </w:tr>
      <w:tr>
        <w:trPr>
          <w:trHeight w:val="189"/>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Jeffrey Hatfield</w:t>
            </w: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24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Patricia L. Allen</w:t>
            </w:r>
          </w:p>
        </w:tc>
      </w:tr>
      <w:tr>
        <w:trPr>
          <w:trHeight w:val="211"/>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Patricia L. Allen</w:t>
            </w:r>
          </w:p>
        </w:tc>
      </w:tr>
    </w:tbl>
    <w:p>
      <w:pPr>
        <w:ind w:left="6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Hatfield,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Zafgen,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00" w:firstLine="606"/>
        <w:spacing w:after="0" w:line="266" w:lineRule="auto"/>
        <w:tabs>
          <w:tab w:leader="none" w:pos="84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606"/>
        <w:spacing w:after="0" w:line="266" w:lineRule="auto"/>
        <w:tabs>
          <w:tab w:leader="none" w:pos="8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900" w:firstLine="606"/>
        <w:spacing w:after="0" w:line="282" w:lineRule="auto"/>
        <w:tabs>
          <w:tab w:leader="none" w:pos="84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40" w:firstLine="606"/>
        <w:spacing w:after="0" w:line="266" w:lineRule="auto"/>
        <w:tabs>
          <w:tab w:leader="none" w:pos="8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00" w:firstLine="606"/>
        <w:spacing w:after="0" w:line="282" w:lineRule="auto"/>
        <w:tabs>
          <w:tab w:leader="none" w:pos="84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606"/>
        <w:spacing w:after="0" w:line="282" w:lineRule="auto"/>
        <w:tabs>
          <w:tab w:leader="none" w:pos="85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Hatfield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2019 of Zafgen, Inc.;</w:t>
      </w:r>
    </w:p>
    <w:p>
      <w:pPr>
        <w:spacing w:after="0" w:line="117"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400" w:firstLine="606"/>
        <w:spacing w:after="0" w:line="266" w:lineRule="auto"/>
        <w:tabs>
          <w:tab w:leader="none" w:pos="8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606"/>
        <w:spacing w:after="0" w:line="266" w:lineRule="auto"/>
        <w:tabs>
          <w:tab w:leader="none" w:pos="8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900" w:firstLine="606"/>
        <w:spacing w:after="0" w:line="282" w:lineRule="auto"/>
        <w:tabs>
          <w:tab w:leader="none" w:pos="8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40" w:firstLine="606"/>
        <w:spacing w:after="0" w:line="266" w:lineRule="auto"/>
        <w:tabs>
          <w:tab w:leader="none" w:pos="8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300" w:firstLine="606"/>
        <w:spacing w:after="0" w:line="282" w:lineRule="auto"/>
        <w:tabs>
          <w:tab w:leader="none" w:pos="8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60" w:firstLine="606"/>
        <w:spacing w:after="0" w:line="282" w:lineRule="auto"/>
        <w:tabs>
          <w:tab w:leader="none" w:pos="8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Allen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Zafgen, Inc. (the “Company”) for the period ended September 30, 2019, as filed with the Securities and Exchange Commission on the date hereof (the “Report”), each of the undersigned officers hereby certify, pursuant to Section 906 of the Sarbanes-Oxley Act of 2002, 18 U.S.C. Section 1350, that to his or her knowledge:</w:t>
      </w:r>
    </w:p>
    <w:p>
      <w:pPr>
        <w:spacing w:after="0" w:line="68" w:lineRule="exact"/>
        <w:rPr>
          <w:sz w:val="20"/>
          <w:szCs w:val="20"/>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2019</w:t>
            </w:r>
          </w:p>
        </w:tc>
        <w:tc>
          <w:tcPr>
            <w:tcW w:w="5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Jeffrey Hatfield</w:t>
            </w:r>
          </w:p>
        </w:tc>
      </w:tr>
      <w:tr>
        <w:trPr>
          <w:trHeight w:val="189"/>
        </w:trPr>
        <w:tc>
          <w:tcPr>
            <w:tcW w:w="6240" w:type="dxa"/>
            <w:vAlign w:val="bottom"/>
          </w:tcPr>
          <w:p>
            <w:pPr>
              <w:spacing w:after="0"/>
              <w:rPr>
                <w:sz w:val="16"/>
                <w:szCs w:val="16"/>
                <w:color w:val="auto"/>
              </w:rPr>
            </w:pPr>
          </w:p>
        </w:tc>
        <w:tc>
          <w:tcPr>
            <w:tcW w:w="51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Jeffrey Hatfield</w:t>
            </w:r>
          </w:p>
        </w:tc>
      </w:tr>
      <w:tr>
        <w:trPr>
          <w:trHeight w:val="218"/>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6, 2019</w:t>
            </w:r>
          </w:p>
        </w:tc>
        <w:tc>
          <w:tcPr>
            <w:tcW w:w="5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Patricia Allen</w:t>
            </w:r>
          </w:p>
        </w:tc>
      </w:tr>
      <w:tr>
        <w:trPr>
          <w:trHeight w:val="189"/>
        </w:trPr>
        <w:tc>
          <w:tcPr>
            <w:tcW w:w="6240" w:type="dxa"/>
            <w:vAlign w:val="bottom"/>
          </w:tcPr>
          <w:p>
            <w:pPr>
              <w:spacing w:after="0"/>
              <w:rPr>
                <w:sz w:val="16"/>
                <w:szCs w:val="16"/>
                <w:color w:val="auto"/>
              </w:rPr>
            </w:pPr>
          </w:p>
        </w:tc>
        <w:tc>
          <w:tcPr>
            <w:tcW w:w="51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Patricia Allen</w:t>
            </w:r>
          </w:p>
        </w:tc>
      </w:tr>
      <w:tr>
        <w:trPr>
          <w:trHeight w:val="218"/>
        </w:trPr>
        <w:tc>
          <w:tcPr>
            <w:tcW w:w="62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4"/>
        </w:trPr>
        <w:tc>
          <w:tcPr>
            <w:tcW w:w="6240" w:type="dxa"/>
            <w:vAlign w:val="bottom"/>
          </w:tcPr>
          <w:p>
            <w:pPr>
              <w:spacing w:after="0"/>
              <w:rPr>
                <w:sz w:val="20"/>
                <w:szCs w:val="20"/>
                <w:color w:val="auto"/>
              </w:rPr>
            </w:pPr>
          </w:p>
        </w:tc>
        <w:tc>
          <w:tcPr>
            <w:tcW w:w="5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7"/>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3" Type="http://schemas.openxmlformats.org/officeDocument/2006/relationships/hyperlink" Target="http://www.sec.gov/Archives/edgar/data/0001374690/000119312514247362/d747935dex31.htm" TargetMode="External"/><Relationship Id="rId84" Type="http://schemas.openxmlformats.org/officeDocument/2006/relationships/hyperlink" Target="http://www.sec.gov/Archives/edgar/data/0001374690/000119312514247362/d74793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2019-12-28T02:20:55Z</dcterms:created>
  <dcterms:modified xsi:type="dcterms:W3CDTF">2019-12-28T02:20:55Z</dcterms:modified>
</cp:coreProperties>
</file>