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880" w:right="1560" w:hanging="3863"/>
        <w:spacing w:after="0" w:line="303" w:lineRule="auto"/>
        <w:tabs>
          <w:tab w:leader="none" w:pos="5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000" w:right="1560" w:hanging="3983"/>
        <w:spacing w:after="0" w:line="344"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____</w:t>
      </w: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001-36510</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96"/>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250"/>
        </w:trPr>
        <w:tc>
          <w:tcPr>
            <w:tcW w:w="4060" w:type="dxa"/>
            <w:vAlign w:val="bottom"/>
          </w:tcPr>
          <w:p>
            <w:pPr>
              <w:spacing w:after="0"/>
              <w:rPr>
                <w:sz w:val="21"/>
                <w:szCs w:val="21"/>
                <w:color w:val="auto"/>
              </w:rPr>
            </w:pPr>
          </w:p>
        </w:tc>
        <w:tc>
          <w:tcPr>
            <w:tcW w:w="34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60" w:type="dxa"/>
            <w:vAlign w:val="bottom"/>
          </w:tcPr>
          <w:p>
            <w:pPr>
              <w:spacing w:after="0"/>
              <w:rPr>
                <w:sz w:val="21"/>
                <w:szCs w:val="21"/>
                <w:color w:val="auto"/>
              </w:rPr>
            </w:pPr>
          </w:p>
        </w:tc>
      </w:tr>
      <w:tr>
        <w:trPr>
          <w:trHeight w:val="147"/>
        </w:trPr>
        <w:tc>
          <w:tcPr>
            <w:tcW w:w="4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6, 2024, there were 63,806,628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("EMA") and/or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spacing w:after="0" w:line="7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(“OLE”), including the timing of site initiations and rate of patient enrollment, and our ability to pursue dose escalation;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recent and future financings,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71"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6" w:lineRule="exact"/>
        <w:rPr>
          <w:sz w:val="20"/>
          <w:szCs w:val="20"/>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75"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2024 and our Quarterly Report on Form 10-Q filed on May [9], 2024.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20" w:type="dxa"/>
            <w:vAlign w:val="bottom"/>
            <w:tcBorders>
              <w:top w:val="single" w:sz="8" w:color="0000FF"/>
            </w:tcBorders>
            <w:gridSpan w:val="5"/>
          </w:tcPr>
          <w:p>
            <w:pPr>
              <w:spacing w:after="0"/>
              <w:rPr>
                <w:sz w:val="24"/>
                <w:szCs w:val="24"/>
                <w:color w:val="auto"/>
              </w:rPr>
            </w:pPr>
          </w:p>
        </w:tc>
        <w:tc>
          <w:tcPr>
            <w:tcW w:w="35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 and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885"/>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gridSpan w:val="11"/>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237,162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June 30, 2024 and December 31, 2023; no shares issued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as of June 30, 2024 and December 31, 2023;</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63,802,517 and 43,909,069 shares issued and outstanding as of</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(224,835 )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(188,554 )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211,404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-4345305</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-3402330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-3385820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5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tcPr>
          <w:p>
            <w:pPr>
              <w:spacing w:after="0"/>
              <w:rPr>
                <w:sz w:val="20"/>
                <w:szCs w:val="20"/>
                <w:color w:val="auto"/>
              </w:rPr>
            </w:pPr>
          </w:p>
        </w:tc>
      </w:tr>
      <w:tr>
        <w:trPr>
          <w:trHeight w:val="243"/>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Pr>
          <w:p>
            <w:pPr>
              <w:spacing w:after="0"/>
              <w:rPr>
                <w:sz w:val="20"/>
                <w:szCs w:val="20"/>
                <w:color w:val="auto"/>
              </w:rPr>
            </w:pPr>
          </w:p>
        </w:tc>
      </w:tr>
      <w:tr>
        <w:trPr>
          <w:trHeight w:val="241"/>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(24,599 )</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(9,620 )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(41,333 )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(17,257 )</w:t>
            </w: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5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(21,627 )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(8,366 )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(36,281 )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(14,892 )</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63,801,792</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43,897,603</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58,677,749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43,897,603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(21,627 )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(8,366 )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(36,281 )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(14,892 )</w:t>
            </w: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(231 )</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(21,752 )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(36,512 )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(14,849 )</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-1996440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-1996440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-1996440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-1353820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-1336675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-1353820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-1336675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-1353820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-1336675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-993775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-976630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-993775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-976630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-993775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-976630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-351155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-351155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-351155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100" w:type="dxa"/>
            <w:vAlign w:val="bottom"/>
            <w:gridSpan w:val="3"/>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104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(188,554 )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(14,654 )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63,800,017</w:t>
            </w:r>
          </w:p>
        </w:tc>
        <w:tc>
          <w:tcPr>
            <w:tcW w:w="24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(203,208 )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(21,627 )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(21,627 )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63,802,517</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(224,835 )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211,404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0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100" w:type="dxa"/>
            <w:vAlign w:val="bottom"/>
            <w:gridSpan w:val="3"/>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104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(151,605 )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(6,526 )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264,329</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(158,131 )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(8,366 )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(166,497 )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-3136900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-3136900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-3136900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-3136900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-3136900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-2167890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-2150745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-2167890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-2150745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-2167890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-2150745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-2167890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-2150745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-2167890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-2150745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-676275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-659130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-676275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-659130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-676275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-659130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-676275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-659130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-676275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-659130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3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(36,281 )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(14,892 )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(2,361 )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(645 )</w:t>
            </w:r>
          </w:p>
        </w:tc>
      </w:tr>
      <w:tr>
        <w:trPr>
          <w:trHeight w:val="241"/>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(1,681 )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(4,043 )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8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(24,399 )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(14,916 )</w:t>
            </w:r>
          </w:p>
        </w:tc>
      </w:tr>
      <w:tr>
        <w:trPr>
          <w:trHeight w:val="2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(166,582 )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(9,847 )</w:t>
            </w: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(131,856 )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100" w:type="dxa"/>
            <w:vAlign w:val="bottom"/>
          </w:tcPr>
          <w:p>
            <w:pPr>
              <w:spacing w:after="0"/>
              <w:rPr>
                <w:sz w:val="20"/>
                <w:szCs w:val="20"/>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67,496</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tcPr>
          <w:p>
            <w:pPr>
              <w:spacing w:after="0"/>
              <w:rPr>
                <w:sz w:val="20"/>
                <w:szCs w:val="20"/>
                <w:color w:val="auto"/>
              </w:rPr>
            </w:pPr>
          </w:p>
        </w:tc>
      </w:tr>
      <w:tr>
        <w:trPr>
          <w:trHeight w:val="237"/>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accrued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-2528570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-1902460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-1268095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-624840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6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completed two phase 1 studies of nomlabofusp, a Phase 2 dose exploration study, and initiated an open label extension study (“OLE”) in patients with FA in January, 2024.</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2021, after reporting positive top-line data from the Company’s Phase 1 FA program, the U.S. Food and Drug Administration (“FDA”) placed a clinical hold on the Company’s nomlabofusp clinical program after the Company notified the FDA of mortalities at the highest dose levels of a 26-week non-human primate toxicology study that was designed to support extended dosing of patients with nomlabofusp. In September 2022, the FDA lifted its full clinical hold on the nomlabofusp program and imposed a partial clinical hold.</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met with the FDA. Following that meeting, the Company submitted a complete response to the FDA’s partial clinical hold that included unblinded safety, PK and frataxin data from the Phase 2 trial’s completed 25 mg cohort.</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July 2023, following the FDA’s review of the Company's complete response to the partial clinical hold, the FDA cleared initiation of a second cohort at 50 mg of our four-week, placebo-controlled, Phase 2 dose exploration trial and initiation of an OLE study with daily dosing of 25 mg.</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February 2024, the Company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In May 2024 the FDA removed the partial clinical hold on the development of nomlabofusp</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2024, the Company dosed the first patient in the OLE trial, discussed above, evaluating daily subcutaneous injections of 25 mg of nomlabofusp self-administered or administered by a caregiver,This study is ongoing with all seven sites activated and additional patients continue to be enrolled and dosed.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clinical assessments collected during the study will be compared to data from a matched control arm derived from participants in the Friedreich’s Ataxia Clinical Outcome Measures Study (FACOMS) database. Dose escalation to the 50 mg dose in the OLE study is currently planned following further characterization of the frataxin pharmacodynamics (PD) at the 25 mg dose. Interim data is expected in the fourth quarter of 2024.</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had separate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The Company intends to pursue an accelerated approval using FXN levels, supportive PD and clinical information, and safety data from the OLE study, along with additional non-clinical pharmacology information needed to support the novel surrogate endpoint approach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plans to expand the nomlabofusp clinical program into adolescent (12-17 years old) and pediatric (2-11 years old) patients with FA. The Company expects to initiate a pharmacokinetics (PK) run-in study in adolescents by the end of this year and expects to transition these study participants into the ongoing OLE study upon completion of the PK study. The run-in-study will enroll 12-15 adolescent patients who will be randomized 2:1 to receive either nomlabofusp or placebo daily. The Company is also planning the initiation of a global confirmatory study by mid-2025 with potential sites in the U.S., Europe, the U.K., Canada and Australia. The Biologics License Application (BLA) filing is targeted in the second half of 2025 to support accelerated approval.</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May 30, 2024, the Company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advise and regular communication with the FDA staff to expedite the review process of biologics and drugs.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spacing w:after="0" w:line="68"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2023 was derived from the Company’s audited financial statements but does not include all disclosures required by GAAP. The accompanying unaudited condensed consolidated financial statements as of June 30, 2024 and for the three and six months ended June 30,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2023 included in the Company’s Annual Report on Form 10-K filed with the SEC on March 14, 2024 and the Company's Quarterly Report on Form 10-Q filed with the SEC on May 9, 2024.</w:t>
      </w:r>
    </w:p>
    <w:p>
      <w:pPr>
        <w:spacing w:after="0" w:line="6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In the opinion of management, all adjustments, consisting only of normal recurring adjustments necessary for a fair statement of the Company’s condensed consolidated financial position as of June 30, 2024, condensed consolidated results of operations for the three and six months ended June 30, 2024 and condensed consolidated statement of cash flows for the six months ended June 30, 2024 have been made. The results of operations for the three and six months ended June 30, 2024 are not necessarily indicative of the results of operations that may be expected for the year ending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$36.3 million and $14.9 million for the six months ended June 30, 2024 and 2023, respectively. In addition, as of June 30, 2024, the Company had an accumulated deficit of $224.8 million. The Company expects to continue to generate operating losses for the foreseeable future. As of June 30, 2024, the Company had approximately $226.1 million of cash, cash equivalents and marketable securities available for use to fund its operations and capital requirements.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into 2026. If the timing of the Company's clinical assumptions are delayed, or if there are other forecasted assumption changes that negatively impact its operating plan, the Company could reduce expenditures in order to further extend cash resources.</w:t>
      </w:r>
    </w:p>
    <w:p>
      <w:pPr>
        <w:spacing w:after="0" w:line="8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banking instability, monetary policy changes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7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 Company excluded 6,900,232 and 5,129,327 common stock equivalents outstanding as of June 30, 2024 and 2023, respectively, from the computation of diluted net loss per share for the three and six months ended June 30, 2024 and 2023 because they had an anti-dilutive impact due to the net loss incurred for the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6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as of June 30, 2024 and December 31, 2023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56"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81"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142"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June 30, 2024 and December 31, 2023 were considered representative of their fair values due to their short term to maturity.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June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27,476</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221,229</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-3063875</wp:posOffset>
            </wp:positionV>
            <wp:extent cx="102235"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-3063875</wp:posOffset>
            </wp:positionV>
            <wp:extent cx="9398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-3063875</wp:posOffset>
            </wp:positionV>
            <wp:extent cx="9398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-3063875</wp:posOffset>
            </wp:positionV>
            <wp:extent cx="9398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-2275205</wp:posOffset>
            </wp:positionV>
            <wp:extent cx="102235"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-2275205</wp:posOffset>
            </wp:positionV>
            <wp:extent cx="9398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-2275205</wp:posOffset>
            </wp:positionV>
            <wp:extent cx="9398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-2275205</wp:posOffset>
            </wp:positionV>
            <wp:extent cx="9398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-1306830</wp:posOffset>
            </wp:positionV>
            <wp:extent cx="102235"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-1306830</wp:posOffset>
            </wp:positionV>
            <wp:extent cx="93980"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-1306830</wp:posOffset>
            </wp:positionV>
            <wp:extent cx="93980"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-1306830</wp:posOffset>
            </wp:positionV>
            <wp:extent cx="93980"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-350520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$0.8 million and $0.3 million as of June 30, 2024 and December 31, 2023, respectively, and is included in prepaid expenses and other current assets on the condensed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June 30, 2024 and December 31, 2023, no allowances for credit losses for the Company’s investments were recorded. During the three and six months ended June 30, 2024 and 2023, the Company did not recognize any impairment losses related to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June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34,588</w:t>
            </w:r>
          </w:p>
        </w:tc>
        <w:tc>
          <w:tcPr>
            <w:tcW w:w="1180" w:type="dxa"/>
            <w:vAlign w:val="bottom"/>
            <w:gridSpan w:val="3"/>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193,903</w:t>
            </w:r>
          </w:p>
        </w:tc>
        <w:tc>
          <w:tcPr>
            <w:tcW w:w="260" w:type="dxa"/>
            <w:vAlign w:val="bottom"/>
            <w:tcBorders>
              <w:top w:val="single" w:sz="8" w:color="CFF0FC"/>
              <w:bottom w:val="single" w:sz="8" w:color="CFF0FC"/>
            </w:tcBorders>
            <w:gridSpan w:val="2"/>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180" w:type="dxa"/>
            <w:vAlign w:val="bottom"/>
            <w:gridSpan w:val="3"/>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1180" w:type="dxa"/>
            <w:vAlign w:val="bottom"/>
            <w:gridSpan w:val="3"/>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-1139190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-1122045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-1302385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-1122045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-1302385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-1139190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-1122045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-1302385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marketable securities held as of June 30, 2024 or December 31, 2023, had remaining maturities greater than two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2024 and December 31, 2023, the Company held no investments that have been in a continuous loss position for 12 months or longer.</w:t>
      </w:r>
    </w:p>
    <w:p>
      <w:pPr>
        <w:spacing w:after="0" w:line="138"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6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660" w:type="dxa"/>
            <w:vAlign w:val="bottom"/>
          </w:tcPr>
          <w:p>
            <w:pPr>
              <w:spacing w:after="0"/>
              <w:rPr>
                <w:sz w:val="16"/>
                <w:szCs w:val="16"/>
                <w:color w:val="auto"/>
              </w:rPr>
            </w:pP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1734"/>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1734"/>
              <w:spacing w:after="0"/>
              <w:rPr>
                <w:sz w:val="20"/>
                <w:szCs w:val="20"/>
                <w:color w:val="auto"/>
              </w:rPr>
            </w:pPr>
            <w:r>
              <w:rPr>
                <w:rFonts w:ascii="Times New Roman" w:cs="Times New Roman" w:eastAsia="Times New Roman" w:hAnsi="Times New Roman"/>
                <w:sz w:val="18"/>
                <w:szCs w:val="18"/>
                <w:color w:val="auto"/>
              </w:rPr>
              <w:t>7 years</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w w:val="97"/>
              </w:rPr>
              <w:t>lease term</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r>
        <w:trPr>
          <w:trHeight w:val="236"/>
        </w:trPr>
        <w:tc>
          <w:tcPr>
            <w:tcW w:w="4660" w:type="dxa"/>
            <w:vAlign w:val="bottom"/>
            <w:shd w:val="clear" w:color="auto" w:fill="CFF0FC"/>
          </w:tcPr>
          <w:p>
            <w:pPr>
              <w:spacing w:after="0"/>
              <w:rPr>
                <w:sz w:val="20"/>
                <w:szCs w:val="20"/>
                <w:color w:val="auto"/>
              </w:rPr>
            </w:pPr>
          </w:p>
        </w:tc>
        <w:tc>
          <w:tcPr>
            <w:tcW w:w="3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(1,225 )</w:t>
            </w:r>
          </w:p>
        </w:tc>
      </w:tr>
      <w:tr>
        <w:trPr>
          <w:trHeight w:val="277"/>
        </w:trPr>
        <w:tc>
          <w:tcPr>
            <w:tcW w:w="4660" w:type="dxa"/>
            <w:vAlign w:val="bottom"/>
            <w:tcBorders>
              <w:bottom w:val="single" w:sz="8" w:color="CFF0FC"/>
            </w:tcBorders>
            <w:shd w:val="clear" w:color="auto" w:fill="CFF0FC"/>
          </w:tcPr>
          <w:p>
            <w:pPr>
              <w:spacing w:after="0"/>
              <w:rPr>
                <w:sz w:val="24"/>
                <w:szCs w:val="24"/>
                <w:color w:val="auto"/>
              </w:rPr>
            </w:pPr>
          </w:p>
        </w:tc>
        <w:tc>
          <w:tcPr>
            <w:tcW w:w="35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the three and six months ended June 30, 2024 and 2023, respectively. In addition, for the three and six months ended June 30, 2024 and 2023, there was less than $0.1 million of depreciation related to sublet assets recorded as other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6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14,629</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17,246</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June 30, 2024,the Company’s Ninth Amended and Restated Certificate of Incorporation, as amended, authorized the Company to issue up to 115,000,000 shares of common stock, par value $0.001 per share, of which 63,802,517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Guggenheim Securities, LLC as a sales agent in connection with the establishment of an “at-the-market” offering program under which the Company could sell up to an aggregate of $50.0 million of shares of common stock (the “2022 ATM Shares”) from time to time. In February 2024, in connection with the underwritten public offering described above, the Company terminated the 2022 ATM Agreement. No ATM Shares were ever sold pursuant to the 2022 ATM Agreement.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"ATM Agreement") with Guggenheim Securities, LLC in connection with the establishment of an “at-the-market” offering program under which the Company could sell up to an aggregate of $100.0 million of shares of common stock (the “ATM Shares”) from time to time.To date, no sales of common stock have been made under this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1,756,363 and 1,730,768 shares available for grant to the 2020 Plan on January 1, 2024 and January 1, 2023, respectively. As of June 30, 2024, 874,632 shares of common stock were available for grant under the 2020 Plan.</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options to purchase 224,437 shares issued under the Prior Plans were cancelled and became available for grant under the 2020 Plan. No such options were cancelled in the six months ended June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40" w:type="dxa"/>
            <w:vAlign w:val="bottom"/>
          </w:tcPr>
          <w:p>
            <w:pPr>
              <w:spacing w:after="0"/>
              <w:rPr>
                <w:sz w:val="15"/>
                <w:szCs w:val="15"/>
                <w:color w:val="auto"/>
              </w:rPr>
            </w:pPr>
          </w:p>
        </w:tc>
        <w:tc>
          <w:tcPr>
            <w:tcW w:w="20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4.15%</w:t>
            </w: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96%</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2024 (amounts in millions, except for share, contractual term, and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4,273,502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(2,856 )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(33,150 )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June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6,199,973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June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2,691,015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as of June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6,199,973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1260" w:right="14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options to purchase 1,962,477 shares of common stock to employees and directors under the 2020 Plan. The options have an exercise price equal to the closing stock price as of the grant date. Of the 1,962,477 options granted, 1,867,477 were granted to employees and vest over four years, with 25% vesting on the first anniversary of the grant and the remainder vesting in equal monthly installments thereafter. The remaining 95,000 options were annual grants to the Company's directors and vest one year from the grant date. The weighted-average grant date fair value of options granted under the 2020 Plan during the six months ended June 30, 2024 was $4.01.</w:t>
      </w:r>
    </w:p>
    <w:p>
      <w:pPr>
        <w:spacing w:after="0" w:line="7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unvested stock options granted under the 2020 Plan was $12.8 million, which is expected to be recognized over a weighted average period of 2.62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six months ended June 30, 2024.</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unvested inducement options granted was $0.9 million, which is expected to be recognized over a weighted average period of 2.78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RSUs were granted under the 2020 Plan to certain of the Company's employees in order to maintain retention of key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an RSU award is based on the Company's stock price on the date of grant. The shares underlying the RSUs are not issued until the RSUs vest.</w:t>
      </w:r>
    </w:p>
    <w:p>
      <w:pPr>
        <w:spacing w:after="0" w:line="9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during the six months ended June 30, 2024 was as follows (in millions, except share, contractual term,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(153,750 )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(6,363 )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June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700,259</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expected to vest as of June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700,259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245,372 shares of RSUs to employees under the 2020 Plan. The RSUs vest annually over four years and have a weighted-average grant date fair value of $4.21 per unit.</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for RSUs was $2.9 million, which is expected to be recognized over a weighted-average period of 2.9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6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r>
      <w:tr>
        <w:trPr>
          <w:trHeight w:val="187"/>
        </w:trPr>
        <w:tc>
          <w:tcPr>
            <w:tcW w:w="37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FF0FC"/>
          </w:tcPr>
          <w:p>
            <w:pPr>
              <w:spacing w:after="0"/>
              <w:rPr>
                <w:sz w:val="20"/>
                <w:szCs w:val="20"/>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20"/>
                <w:szCs w:val="20"/>
                <w:color w:val="auto"/>
              </w:rPr>
            </w:pPr>
          </w:p>
        </w:tc>
      </w:tr>
      <w:tr>
        <w:trPr>
          <w:trHeight w:val="277"/>
        </w:trPr>
        <w:tc>
          <w:tcPr>
            <w:tcW w:w="3760" w:type="dxa"/>
            <w:vAlign w:val="bottom"/>
            <w:tcBorders>
              <w:bottom w:val="single" w:sz="8" w:color="CFF0FC"/>
            </w:tcBorders>
            <w:shd w:val="clear" w:color="auto" w:fill="CFF0FC"/>
          </w:tcPr>
          <w:p>
            <w:pPr>
              <w:spacing w:after="0"/>
              <w:rPr>
                <w:sz w:val="24"/>
                <w:szCs w:val="24"/>
                <w:color w:val="auto"/>
              </w:rPr>
            </w:pPr>
          </w:p>
        </w:tc>
        <w:tc>
          <w:tcPr>
            <w:tcW w:w="20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2,301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9"/>
        </w:trPr>
        <w:tc>
          <w:tcPr>
            <w:tcW w:w="3760" w:type="dxa"/>
            <w:vAlign w:val="bottom"/>
          </w:tcPr>
          <w:p>
            <w:pPr>
              <w:spacing w:after="0"/>
              <w:rPr>
                <w:sz w:val="24"/>
                <w:szCs w:val="24"/>
                <w:color w:val="auto"/>
              </w:rPr>
            </w:pPr>
          </w:p>
        </w:tc>
        <w:tc>
          <w:tcPr>
            <w:tcW w:w="2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-1070610</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-1053465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68" w:lineRule="exact"/>
        <w:rPr>
          <w:sz w:val="20"/>
          <w:szCs w:val="20"/>
          <w:color w:val="auto"/>
        </w:rPr>
      </w:pPr>
    </w:p>
    <w:p>
      <w:pPr>
        <w:ind w:right="66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both these leases are reflected in the financial statements for six months ended June 30, 2024 as are the right of use asset and lease liability of the Company's Boston office space discussed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executed extended this lease for an additional year with the option to terminate with four months notice, On March 28, 2024, the Company gave the requisite notice and vacated the property in May 2024.</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Expense arising from operating leases was $0.1 million and $0.3 million during the three and six months ended June 30, 2024, respectively. Expense arising from operating leases was $0.1 million and $0.2 million during the three and six months ended June 30, 2023, respectively. For operating leases, the weighted-average remaining lease term for leases at June 30, 2024 and December 31, 2023 was 4.9 and 5.5 years, respectively. For operating leases, the weighted average discount rate for leases at June 30, 2024 and December 31, 2023 was 11.0%. The Company has not entered into any financing leases.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June 30,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Six months ending December 31, 2024</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r>
      <w:tr>
        <w:trPr>
          <w:trHeight w:val="241"/>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(1,597 )</w:t>
            </w:r>
          </w:p>
        </w:tc>
      </w:tr>
      <w:tr>
        <w:trPr>
          <w:trHeight w:val="277"/>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35"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The Company incurred $0.8M of costs related to the Track-FA program in the second quarter of 2024 and will fund future costs going forward. One of the Company’s Directors is also a director of FARA.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2023 included in our Annual Report on Form 10-K filed with the Securities and Exchange Commission (“SEC”) on March 14, 2024 (the "2023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2023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7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 Phase 2 dose exploration trial, and recently initiated an open label extension study (“OLE”) in patients with FA.</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2021, after reporting positive top-line data from our Phase 1 FA program, the U.S. Food and Drug Administration (“FDA”) placed a clinical hold on the our nomlabofusp clinical program after we notified the FDA of mortalities at the highest dose levels of a 26-week non-human primate toxicology study that was designed to support extended dosing of patients with nomlabofusp. In September 2022, the FDA lifted its full clinical hold on the nomlabofusp program and imposed a partial clinical hold.</w:t>
      </w:r>
    </w:p>
    <w:p>
      <w:pPr>
        <w:spacing w:after="0" w:line="72"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In May 2023, we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June 2023, we met with the FDA. Following that meeting, we submitted a complete response to the FDA’s partial clinical hold that included unblinded safety, PK and frataxin data from the Phase 2 trial’s completed 25 mg cohort.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July 2023, following the FDA’s review of our complete response to the partial clinical hold, the FDA cleared initiation of a second cohort at 50 mg of our four-week, placebo-controlled, Phase 2 dose exploration trial and initiation of an OLE study with daily dosing of 25 mg. In May 2024 the FDA removed the partial clinical hold.</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In May 2024 the FDA removed the partial clinical hold on the development of nomlabofusp.</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2024, the first patient was dosed in the OLE trial, discussed above, evaluating daily subcutaneous injections of 25 mg of nomlabofusp self-administered or administered by a caregiver. This study is ongoing with all 7 sites activated and additional patients continue to be enrolled.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clinical assessments collected during the study will be compared to data from a matched control arm derived from participants in the Friedreich’s Ataxia Clinical Outcome Measures Study (FACOMS) database. Dose escalation to the 50 mg dose in the OLE study is currently planned following further characterization of the frataxin pharmacodynamics (PD) at the 25 mg dose. Interim data is expected in the fourth quarter of 2024.</w:t>
      </w:r>
    </w:p>
    <w:p>
      <w:pPr>
        <w:spacing w:after="0" w:line="8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also had separate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plan to expand the nomlabofusp clinical program into adolescent (12-17 years old) and pediatric (2-11 years old) patients with FA. The Company expects to initiate a pharmacokinetics (PK)run-in study in adolescents by the end of this year and expects to transition these study participants into the ongoing OLE study upon completion of the PK study. The run-in-study will enroll 12-15 adolescent patients who will be randomized 2:1 to receive either nomlabofusp or placebo daily. The Company is also planning the initiation of a global confirmatory study by mid-2025 with potential sites in the U.S., Europe, the U.K., Canada and Australia. The Biologics License Application (BLA) filing is targeted in the second half of 2025 to support accelerated approval.</w:t>
      </w:r>
    </w:p>
    <w:p>
      <w:pPr>
        <w:spacing w:after="0" w:line="7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START Pilot Program is to accelerate the development of drugs for rare diseases that lead to significant disability or death by facilitating frequent advise and regular communication with the FDA staff to expedite the review process for biologics and drugs.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Nomlabofusp has been granted Orphan Drug (U.S. and Europe), Rare Pediatric Disease (U.S.), Fast Track (U.S.), and PRIME (Europe) designations for FA. We have also begun to engage with regulators and investigators outside the U.S. as we prepare to expand our clinical program to additional geographies. With approximately 75% of individuals with FA living outside the U.S., establishing global clinical trial capabilities is important for addressing the pressing unmet needs of the FA community.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(the "ATM Agreement") with Guggenheim Securities, LLC in connection with the establishment of an “at-the-market” offering program providing for the sale of up to an aggregate of $100.0 million of shares of our common stock from time to time. To date, we have made no sales under this ATM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increase in the foreseeable future as we pursue clinical development of nomlabofusp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1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(24,599 )</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(9,620 )</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(14,979 )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(13,261 )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-504825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-504825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2024 increased $13.8 million compared to the three months ended June 30, 2023. The increase in research and development expenses was primarily driven by an increase of $10.6 million in nomlabofusp manufacturing costs, an increase of $2.1 million in clinical costs primarily associated with the OLE study which began dosing patients in the first quarter of 2024 and initial costs related to the Company's participation in the Friedreich's Ataxia Research Alliances (FARA) Track-FA program, an increase of $1.1 million in personnel expense due to increased headcount.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2024 increased $1.2 million compared to the three months ended June 30, 2023. The increase in general and administrative expenses was primarily driven by an increase of $0.6 million in professional fees primarily related to legal fees, consulting costs and other public company related expenses, an increase of $0.4 million in personnel expense and an increase of $0.1 million in higher stock compensation expense associated with grants made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$3.0 million income in the three months ended June 30, 2024 compared to $1.3 million income in the three months ended June 30, 2023. The increase primarily relates to interest income earned on a higher investment base and with higher interest rates on that base.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5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0"/>
                <w:szCs w:val="20"/>
                <w:color w:val="auto"/>
              </w:rPr>
            </w:pPr>
          </w:p>
        </w:tc>
      </w:tr>
      <w:tr>
        <w:trPr>
          <w:trHeight w:val="23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(41,333 )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(17,257 )</w:t>
            </w:r>
          </w:p>
        </w:tc>
        <w:tc>
          <w:tcPr>
            <w:tcW w:w="1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(24,076 )</w:t>
            </w:r>
          </w:p>
        </w:tc>
      </w:tr>
      <w:tr>
        <w:trPr>
          <w:trHeight w:val="243"/>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(36,281 )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(14,892 )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(21,389 )</w:t>
            </w:r>
          </w:p>
        </w:tc>
      </w:tr>
      <w:tr>
        <w:trPr>
          <w:trHeight w:val="20"/>
        </w:trPr>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-505460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2024 increased $22.2 million compared to the six months ended June 30, 2023. The increase in research and development expenses was primarily driven by an increase of $16.3 million in nomlabofusp manufacturing costs, an increase of $3.1 million in clinical costs primarily associated with the OLE study which began dosing patients in the first quarter of 2024 and the Track FA program discussed above, an increase of $2.0 million in personnel expense due to increased headcount, an increase of $0.3 million of internal laboratory costs and an increase of $0.3 million in stock compensation expense associated with grants made in the first quarter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2024 increased $1.9 million compared to the six months ended June 30, 2023. The increase in general and administrative expenses was primarily driven by an increase of $0.8 million in professional fees primarily related to legal fees, consulting costs and other public company related expenses, an increase of $0.6 million in personnel expense, an increase of $0.3 million in stock compensation expense associated with grants made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$5.1 million income in the six months ended June 30, 2024 compared to $2.4 million income in the six months ended June 30, 2023. The increase primarily relates to interest income earned on a higher investment base and with higher interest rates on that base.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(24,399 )</w:t>
            </w: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(14,916 )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(131,856 )</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161,817</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Pr>
          <w:p>
            <w:pPr>
              <w:spacing w:after="0"/>
              <w:rPr>
                <w:sz w:val="20"/>
                <w:szCs w:val="20"/>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8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-1233805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$24.4 million of cash, resulting from our net loss of $36.3 million, adjusted for noncash expenses of $2.1 million and changes in our operating assets and liabilities resulting in a source of cash of $9.7 million. Our net loss was primarily attributed to research and development activities related to our nomlabofusp program and our general and administrative expenses as described above.</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Noncash expenses primarily relate to stock-based compensation expenses. The change in operating assets and liabilities was primarily due to an increase in accrued expenses and accounts payable driven primarily by the increase in R&amp;D activities discussed as well as an increase in prepaid expense.</w:t>
      </w:r>
    </w:p>
    <w:p>
      <w:pPr>
        <w:spacing w:after="0" w:line="73"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$14.9 million of cash, resulting from our net loss of $14.9 million, adjusted for noncash expenses of $3.3 million and changes in our operating assets and liabilities resulting in a source of cash of $3.4 million. Our net loss was primarily attributed to research and development activities related to our nomlabofusp program and our general and administrative expenses as described above.</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Noncash expenses primarily relate to stock-based compensation expenses. The change in operating assets and liabilities was primarily due to a decrease in accrued expenses and offset by an increase in accounts payable.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used $131.9 million of cash to purchase $166.6 million of marketable securities, partially offset by $35 million of cash provided by maturities of marketable securities.</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investing activities provided $82.4 million of cash, including $92.3 million from maturities of marketable securities and partially offset by $9.8 million in purchases of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financing activities provided $161.8 million of cash flows primarily from an offering of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2023, there were no financing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$36.3 million and $14.9 million for the six months ended June 30, 2024 and 2023, respectively. As of June 30, 2024, we had an accumulated deficit of $224.8 million and cash and cash equivalents of $226.1 million, excluding restricted cash of $1.3 million.</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and received net proceeds of approximately $161.8 million after deducting underwriting discounts, commissions and other offering expenses. We anticipate that our current cash, cash equivalents and marketable securities will fund operations into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banking instability, monetary policy changes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quarter ended June 30, 2024,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June 30, 2024 which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six months ended June 30, 2024,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2023 Annual Report under the caption “Item 1A. Risk Factors.” The risks described in our 2023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7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selected for participation in the START Pilot Program, however this may not lead to a faster development or regulatory review or approval process and does not increase the likelihood that we will receive marketing approval.</w:t>
      </w:r>
    </w:p>
    <w:p>
      <w:pPr>
        <w:spacing w:after="0" w:line="1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we announced that the FDA’s CDER had selected nomlabofusp as one of a few programs for participation in the START Pilot Program. The objective of the START Pilot Program is to accelerate the development of drugs for rare diseases that lead to significant disability or death by facilitating frequent advice and regular communication with the FDA staff to expedite the review process for biologics and drugs. As a pilot program, this expanded communication process will test if reducing wait times associated with the formal FDA meeting process accelerates the pace of development for products intended to address unmet medical needs. Because the START Pilot Program is newly launched by the FDA, its potential advantages are uncertain. While we anticipate that participation in this START Pilot Program may assist us in completing our BLA submission and approval timelines, there can be no assurance that the START Pilot Program will accelerate our development timelines or likelihood of approval for nomlabofusp. In addition, the FDA could withdraw our selection for participation in the START Pilot Program at any time.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46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0"/>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8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Certificate of Amendment of Ninth Amended and Restated Certificate of Incorporation of Larimar Therapeutics, Inc.</w:t>
            </w:r>
          </w:p>
        </w:tc>
        <w:tc>
          <w:tcPr>
            <w:tcW w:w="20" w:type="dxa"/>
            <w:vAlign w:val="bottom"/>
            <w:tcBorders>
              <w:bottom w:val="single" w:sz="8" w:color="0000EE"/>
            </w:tcBorders>
          </w:tcPr>
          <w:p>
            <w:pPr>
              <w:spacing w:after="0"/>
              <w:rPr>
                <w:sz w:val="24"/>
                <w:szCs w:val="24"/>
                <w:color w:val="auto"/>
              </w:rPr>
            </w:pPr>
          </w:p>
        </w:tc>
        <w:tc>
          <w:tcPr>
            <w:tcW w:w="1480" w:type="dxa"/>
            <w:vAlign w:val="bottom"/>
            <w:gridSpan w:val="5"/>
          </w:tcPr>
          <w:p>
            <w:pPr>
              <w:spacing w:after="0"/>
              <w:rPr>
                <w:sz w:val="24"/>
                <w:szCs w:val="24"/>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9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Sales Agreement, dated as of May 9, 2024, by and between the Company and Guggenheim Securities, LLC (incorporated by reference to</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Exhibit 10.1 to the Company's Quarterly Report on Form 10-Q filed on May 9, 2024).</w:t>
              </w:r>
            </w:hyperlink>
          </w:p>
        </w:tc>
        <w:tc>
          <w:tcPr>
            <w:tcW w:w="20" w:type="dxa"/>
            <w:vAlign w:val="bottom"/>
            <w:tcBorders>
              <w:bottom w:val="single" w:sz="8" w:color="0000EE"/>
            </w:tcBorders>
          </w:tcPr>
          <w:p>
            <w:pPr>
              <w:spacing w:after="0"/>
              <w:rPr>
                <w:sz w:val="17"/>
                <w:szCs w:val="17"/>
                <w:color w:val="auto"/>
              </w:rPr>
            </w:pPr>
          </w:p>
        </w:tc>
        <w:tc>
          <w:tcPr>
            <w:tcW w:w="3720" w:type="dxa"/>
            <w:vAlign w:val="bottom"/>
            <w:gridSpan w:val="7"/>
          </w:tcPr>
          <w:p>
            <w:pPr>
              <w:spacing w:after="0"/>
              <w:rPr>
                <w:sz w:val="17"/>
                <w:szCs w:val="17"/>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3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4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r>
      <w:tr>
        <w:trPr>
          <w:trHeight w:val="39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 embedded</w:t>
            </w:r>
          </w:p>
        </w:tc>
      </w:tr>
      <w:tr>
        <w:trPr>
          <w:trHeight w:val="234"/>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79" w:lineRule="exact"/>
        <w:rPr>
          <w:sz w:val="20"/>
          <w:szCs w:val="20"/>
          <w:color w:val="auto"/>
        </w:rPr>
      </w:pPr>
    </w:p>
    <w:p>
      <w:pPr>
        <w:ind w:left="1300" w:hanging="1279"/>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211"/>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Michael Celano</w:t>
            </w:r>
          </w:p>
        </w:tc>
      </w:tr>
    </w:tbl>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Larimar Therapeutics, Inc., a Delaware corporation (the “Corporation”), hereby certifies as follows:</w:t>
      </w:r>
    </w:p>
    <w:p>
      <w:pPr>
        <w:spacing w:after="0" w:line="117" w:lineRule="exact"/>
        <w:rPr>
          <w:sz w:val="20"/>
          <w:szCs w:val="20"/>
          <w:color w:val="auto"/>
        </w:rPr>
      </w:pPr>
    </w:p>
    <w:p>
      <w:pPr>
        <w:ind w:right="140" w:firstLine="517"/>
        <w:spacing w:after="0" w:line="312" w:lineRule="auto"/>
        <w:tabs>
          <w:tab w:leader="none" w:pos="6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duly adopted resolutions declaring advisable the amendment of the Ninth Amended and Restated Certificate of Incorporation, as amended, of the Corporation (the “Certificate of Incorporation”) set forth in paragraph 3 of this Certificate of Amendment.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set forth in paragraph 3 of this Certificate of Amendment was duly adopted in accordance with the provisions of Section 242 of the General Corporation Law of the State of Delaware (the “DGCL”).</w:t>
      </w:r>
    </w:p>
    <w:p>
      <w:pPr>
        <w:spacing w:after="0" w:line="53"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is hereby amended by adding Article XI – Officer Limitation of Liability, which shall read in its entirety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 LIMITATION OF LIABILITY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this 31st day of May, 2024.</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83" w:lineRule="exact"/>
        <w:rPr>
          <w:sz w:val="20"/>
          <w:szCs w:val="20"/>
          <w:color w:val="auto"/>
        </w:rPr>
      </w:pPr>
    </w:p>
    <w:p>
      <w:pPr>
        <w:ind w:left="67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520" w:hanging="743"/>
        <w:spacing w:after="0" w:line="282"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2024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Celano</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9"/>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decimal"/>
      <w:start w:val="1"/>
    </w:lvl>
  </w:abstractNum>
  <w:abstractNum w:abstractNumId="21">
    <w:nsid w:val="2443A858"/>
    <w:multiLevelType w:val="hybridMultilevel"/>
    <w:lvl w:ilvl="0">
      <w:lvlJc w:val="left"/>
      <w:lvlText w:val="%1."/>
      <w:numFmt w:val="decimal"/>
      <w:start w:val="1"/>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14" Type="http://schemas.openxmlformats.org/officeDocument/2006/relationships/hyperlink" Target="https://www.sec.gov/Archives/edgar/data/1374690/000095017024056965/lrm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2024-08-08T13:43:52Z</dcterms:created>
  <dcterms:modified xsi:type="dcterms:W3CDTF">2024-08-08T13:43:52Z</dcterms:modified>
</cp:coreProperties>
</file>