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60" w:right="1440" w:hanging="3642"/>
        <w:spacing w:after="0" w:line="303" w:lineRule="auto"/>
        <w:tabs>
          <w:tab w:leader="none" w:pos="52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360" w:right="1420" w:hanging="4342"/>
        <w:spacing w:after="0" w:line="344" w:lineRule="auto"/>
        <w:tabs>
          <w:tab w:leader="none" w:pos="51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001-36510</w:t>
      </w:r>
    </w:p>
    <w:p>
      <w:pPr>
        <w:spacing w:after="0" w:line="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1880" w:type="dxa"/>
        <w:tblCellMar>
          <w:top w:w="0" w:type="dxa"/>
          <w:left w:w="0" w:type="dxa"/>
          <w:bottom w:w="0" w:type="dxa"/>
          <w:right w:w="0" w:type="dxa"/>
        </w:tblCellMar>
      </w:tblPr>
      <w:tr>
        <w:trPr>
          <w:trHeight w:val="214"/>
        </w:trPr>
        <w:tc>
          <w:tcPr>
            <w:tcW w:w="394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w w:val="98"/>
              </w:rPr>
              <w:t>20-3857670</w:t>
            </w:r>
          </w:p>
        </w:tc>
      </w:tr>
      <w:tr>
        <w:trPr>
          <w:trHeight w:val="149"/>
        </w:trPr>
        <w:tc>
          <w:tcPr>
            <w:tcW w:w="3940" w:type="dxa"/>
            <w:vAlign w:val="bottom"/>
          </w:tcPr>
          <w:p>
            <w:pPr>
              <w:jc w:val="center"/>
              <w:ind w:right="19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19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Bala Cynwyd, PA 19004</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1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18" w:lineRule="exact"/>
        <w:rPr>
          <w:sz w:val="24"/>
          <w:szCs w:val="24"/>
          <w:color w:val="auto"/>
        </w:rPr>
      </w:pPr>
    </w:p>
    <w:tbl>
      <w:tblPr>
        <w:tblLayout w:type="fixed"/>
        <w:tblInd w:w="1000" w:type="dxa"/>
        <w:tblCellMar>
          <w:top w:w="0" w:type="dxa"/>
          <w:left w:w="0" w:type="dxa"/>
          <w:bottom w:w="0" w:type="dxa"/>
          <w:right w:w="0" w:type="dxa"/>
        </w:tblCellMar>
      </w:tblPr>
      <w:tr>
        <w:trPr>
          <w:trHeight w:val="162"/>
        </w:trPr>
        <w:tc>
          <w:tcPr>
            <w:tcW w:w="3280" w:type="dxa"/>
            <w:vAlign w:val="bottom"/>
          </w:tcPr>
          <w:p>
            <w:pPr>
              <w:jc w:val="center"/>
              <w:ind w:right="688"/>
              <w:spacing w:after="0"/>
              <w:rPr>
                <w:sz w:val="20"/>
                <w:szCs w:val="20"/>
                <w:color w:val="auto"/>
              </w:rPr>
            </w:pPr>
            <w:r>
              <w:rPr>
                <w:rFonts w:ascii="Times New Roman" w:cs="Times New Roman" w:eastAsia="Times New Roman" w:hAnsi="Times New Roman"/>
                <w:sz w:val="14"/>
                <w:szCs w:val="14"/>
                <w:color w:val="auto"/>
              </w:rPr>
              <w:t>Title of each class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8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LRMR</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1" w:lineRule="exact"/>
        <w:rPr>
          <w:sz w:val="24"/>
          <w:szCs w:val="24"/>
          <w:color w:val="auto"/>
        </w:rPr>
      </w:pPr>
    </w:p>
    <w:p>
      <w:pPr>
        <w:ind w:right="30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9"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83" w:lineRule="exact"/>
        <w:rPr>
          <w:sz w:val="24"/>
          <w:szCs w:val="24"/>
          <w:color w:val="auto"/>
        </w:rPr>
      </w:pPr>
    </w:p>
    <w:p>
      <w:pPr>
        <w:ind w:right="46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7" w:lineRule="exact"/>
        <w:rPr>
          <w:sz w:val="24"/>
          <w:szCs w:val="24"/>
          <w:color w:val="auto"/>
        </w:rPr>
      </w:pPr>
    </w:p>
    <w:p>
      <w:pPr>
        <w:ind w:right="3160"/>
        <w:spacing w:after="0" w:line="25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October 31, 2020, there were 15,356,206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200" w:right="47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within the meaning of Section 27A of the Securities Act of 1933, as amended (the “Securities Act”), and Section 21E of the Securities Exchange Act of 1934, as amended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but are not limited to, statements concerning:</w:t>
      </w:r>
    </w:p>
    <w:p>
      <w:pPr>
        <w:spacing w:after="0" w:line="81" w:lineRule="exact"/>
        <w:rPr>
          <w:sz w:val="20"/>
          <w:szCs w:val="20"/>
          <w:color w:val="auto"/>
        </w:rPr>
      </w:pPr>
    </w:p>
    <w:p>
      <w:pPr>
        <w:ind w:left="1160" w:right="20" w:hanging="572"/>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debt securities;</w:t>
      </w:r>
    </w:p>
    <w:p>
      <w:pPr>
        <w:spacing w:after="0" w:line="117"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53" w:lineRule="exact"/>
        <w:rPr>
          <w:rFonts w:ascii="Times New Roman" w:cs="Times New Roman" w:eastAsia="Times New Roman" w:hAnsi="Times New Roman"/>
          <w:sz w:val="18"/>
          <w:szCs w:val="18"/>
          <w:color w:val="auto"/>
        </w:rPr>
      </w:pPr>
    </w:p>
    <w:p>
      <w:pPr>
        <w:ind w:left="1160" w:right="80" w:hanging="572"/>
        <w:spacing w:after="0" w:line="266"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products will not achieve broad market acceptance;</w:t>
      </w:r>
    </w:p>
    <w:p>
      <w:pPr>
        <w:spacing w:after="0" w:line="67" w:lineRule="exact"/>
        <w:rPr>
          <w:rFonts w:ascii="Times New Roman" w:cs="Times New Roman" w:eastAsia="Times New Roman" w:hAnsi="Times New Roman"/>
          <w:sz w:val="18"/>
          <w:szCs w:val="18"/>
          <w:color w:val="auto"/>
        </w:rPr>
      </w:pPr>
    </w:p>
    <w:p>
      <w:pPr>
        <w:ind w:left="1160" w:right="560" w:hanging="572"/>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changes in our anticipated clinical timelines, including as a result of patient recruitment, changes in clinical protocols and milestones for CTI-1601, including those associated with COVID-19;</w:t>
      </w:r>
    </w:p>
    <w:p>
      <w:pPr>
        <w:spacing w:after="0" w:line="53"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clinical results for CTI-1601 or any other product candidate that we may develop in the future and unexpected costs that may result therefrom;</w:t>
      </w:r>
    </w:p>
    <w:p>
      <w:pPr>
        <w:spacing w:after="0" w:line="53" w:lineRule="exact"/>
        <w:rPr>
          <w:rFonts w:ascii="Times New Roman" w:cs="Times New Roman" w:eastAsia="Times New Roman" w:hAnsi="Times New Roman"/>
          <w:sz w:val="18"/>
          <w:szCs w:val="18"/>
          <w:color w:val="auto"/>
        </w:rPr>
      </w:pPr>
    </w:p>
    <w:p>
      <w:pPr>
        <w:ind w:left="1160" w:right="140" w:hanging="572"/>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foreign countries;</w:t>
      </w:r>
    </w:p>
    <w:p>
      <w:pPr>
        <w:spacing w:after="0" w:line="53"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24" w:lineRule="exact"/>
        <w:rPr>
          <w:rFonts w:ascii="Times New Roman" w:cs="Times New Roman" w:eastAsia="Times New Roman" w:hAnsi="Times New Roman"/>
          <w:sz w:val="18"/>
          <w:szCs w:val="18"/>
          <w:color w:val="auto"/>
        </w:rPr>
      </w:pPr>
    </w:p>
    <w:p>
      <w:pPr>
        <w:ind w:left="1160" w:right="160" w:hanging="572"/>
        <w:spacing w:after="0" w:line="239" w:lineRule="exact"/>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CTI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1601 or any other product candidate we may develop in the future, and the indication and labeling under any such approval;</w:t>
      </w:r>
    </w:p>
    <w:p>
      <w:pPr>
        <w:spacing w:after="0" w:line="90" w:lineRule="exact"/>
        <w:rPr>
          <w:rFonts w:ascii="Times New Roman" w:cs="Times New Roman" w:eastAsia="Times New Roman" w:hAnsi="Times New Roman"/>
          <w:sz w:val="18"/>
          <w:szCs w:val="18"/>
          <w:color w:val="auto"/>
        </w:rPr>
      </w:pPr>
    </w:p>
    <w:p>
      <w:pPr>
        <w:jc w:val="both"/>
        <w:ind w:left="1160" w:right="180" w:hanging="572"/>
        <w:spacing w:after="0" w:line="266"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and products that are or become available;</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17" w:lineRule="exact"/>
        <w:rPr>
          <w:rFonts w:ascii="Times New Roman" w:cs="Times New Roman" w:eastAsia="Times New Roman" w:hAnsi="Times New Roman"/>
          <w:sz w:val="18"/>
          <w:szCs w:val="18"/>
          <w:color w:val="auto"/>
        </w:rPr>
      </w:pPr>
    </w:p>
    <w:p>
      <w:pPr>
        <w:ind w:left="1160" w:right="260" w:hanging="572"/>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third-parties upon which we depend, including third-party contract research organizations, or CROs, and third-party suppliers, manufacturers, group purchasing organizations, distributors, and logistics providers;</w:t>
      </w:r>
    </w:p>
    <w:p>
      <w:pPr>
        <w:spacing w:after="0" w:line="5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vendors and commercial partners;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or retain key scientific, technical, commercial, and management personnel or to retain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ind w:left="1160" w:right="40" w:hanging="572"/>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stringent U.S. and foreign government regulations in the manufacturing of CTI-1601 or other product candidates we develop, including good manufacturing practice compliance and other relevant regulatory authorities;</w:t>
      </w:r>
    </w:p>
    <w:p>
      <w:pPr>
        <w:spacing w:after="0" w:line="53" w:lineRule="exact"/>
        <w:rPr>
          <w:rFonts w:ascii="Times New Roman" w:cs="Times New Roman" w:eastAsia="Times New Roman" w:hAnsi="Times New Roman"/>
          <w:sz w:val="18"/>
          <w:szCs w:val="18"/>
          <w:color w:val="auto"/>
        </w:rPr>
      </w:pPr>
    </w:p>
    <w:p>
      <w:pPr>
        <w:ind w:left="1160" w:right="420" w:hanging="572"/>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53" w:lineRule="exact"/>
        <w:rPr>
          <w:rFonts w:ascii="Times New Roman" w:cs="Times New Roman" w:eastAsia="Times New Roman" w:hAnsi="Times New Roman"/>
          <w:sz w:val="18"/>
          <w:szCs w:val="18"/>
          <w:color w:val="auto"/>
        </w:rPr>
      </w:pPr>
    </w:p>
    <w:p>
      <w:pPr>
        <w:jc w:val="both"/>
        <w:ind w:left="1160" w:right="100" w:hanging="572"/>
        <w:spacing w:after="0" w:line="266"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including the recent outbreak COVID-19, disrupt our operations, the operations of third parties on which we rely or the operations of regulatory agencies we interact with in the development of CTI-1601.</w:t>
      </w:r>
    </w:p>
    <w:p>
      <w:pPr>
        <w:spacing w:after="0" w:line="68"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report is accurate as its date only. 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 factors that could cause or contribute to such differences include, but are not limited to, those discussed in our Current Report on Form 8-K/A filed on June 26, 2020,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after the date of this report for any reason, even if new information becomes available in the future.</w:t>
      </w:r>
    </w:p>
    <w:p>
      <w:pPr>
        <w:spacing w:after="0" w:line="80"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20" w:type="dxa"/>
            <w:vAlign w:val="bottom"/>
            <w:gridSpan w:val="3"/>
          </w:tcPr>
          <w:p>
            <w:pPr>
              <w:ind w:left="80"/>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PART I - FINANCIAL INFORMATION</w:t>
              </w:r>
            </w:hyperlink>
          </w:p>
        </w:tc>
        <w:tc>
          <w:tcPr>
            <w:tcW w:w="100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Financial Statements (unaudited)</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1240" w:type="dxa"/>
            <w:vAlign w:val="bottom"/>
          </w:tcPr>
          <w:p>
            <w:pPr>
              <w:spacing w:after="0"/>
              <w:rPr>
                <w:sz w:val="24"/>
                <w:szCs w:val="24"/>
                <w:color w:val="auto"/>
              </w:rPr>
            </w:pP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92"/>
        </w:trPr>
        <w:tc>
          <w:tcPr>
            <w:tcW w:w="1240" w:type="dxa"/>
            <w:vAlign w:val="bottom"/>
          </w:tcPr>
          <w:p>
            <w:pPr>
              <w:spacing w:after="0"/>
              <w:rPr>
                <w:sz w:val="24"/>
                <w:szCs w:val="24"/>
                <w:color w:val="auto"/>
              </w:rPr>
            </w:pPr>
          </w:p>
        </w:tc>
        <w:tc>
          <w:tcPr>
            <w:tcW w:w="8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and Comprehensive Loss for the Three and Nine Months Ended</w:t>
              </w:r>
            </w:hyperlink>
          </w:p>
        </w:tc>
        <w:tc>
          <w:tcPr>
            <w:tcW w:w="66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1240" w:type="dxa"/>
            <w:vAlign w:val="bottom"/>
          </w:tcPr>
          <w:p>
            <w:pPr>
              <w:spacing w:after="0"/>
              <w:rPr>
                <w:sz w:val="17"/>
                <w:szCs w:val="17"/>
                <w:color w:val="auto"/>
              </w:rPr>
            </w:pPr>
          </w:p>
        </w:tc>
        <w:tc>
          <w:tcPr>
            <w:tcW w:w="8980" w:type="dxa"/>
            <w:vAlign w:val="bottom"/>
            <w:gridSpan w:val="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September 30, 2020 and 2019</w:t>
              </w:r>
            </w:hyperlink>
          </w:p>
        </w:tc>
        <w:tc>
          <w:tcPr>
            <w:tcW w:w="1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86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Changes in Stockholders Equity (Deficit) for the Three and Nine Months Ended</w:t>
              </w:r>
            </w:hyperlink>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1240" w:type="dxa"/>
            <w:vAlign w:val="bottom"/>
          </w:tcPr>
          <w:p>
            <w:pPr>
              <w:spacing w:after="0"/>
              <w:rPr>
                <w:sz w:val="17"/>
                <w:szCs w:val="17"/>
                <w:color w:val="auto"/>
              </w:rPr>
            </w:pPr>
          </w:p>
        </w:tc>
        <w:tc>
          <w:tcPr>
            <w:tcW w:w="8980" w:type="dxa"/>
            <w:vAlign w:val="bottom"/>
            <w:gridSpan w:val="4"/>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September 30, 2020 and 2019</w:t>
              </w:r>
            </w:hyperlink>
          </w:p>
        </w:tc>
        <w:tc>
          <w:tcPr>
            <w:tcW w:w="1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1240" w:type="dxa"/>
            <w:vAlign w:val="bottom"/>
          </w:tcPr>
          <w:p>
            <w:pPr>
              <w:spacing w:after="0"/>
              <w:rPr>
                <w:sz w:val="24"/>
                <w:szCs w:val="24"/>
                <w:color w:val="auto"/>
              </w:rPr>
            </w:pP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Condensed Consolidated Statements of Cash Flows for the Nine Months Ended September 30, 2020 and 2019</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240" w:type="dxa"/>
            <w:vAlign w:val="bottom"/>
          </w:tcPr>
          <w:p>
            <w:pPr>
              <w:spacing w:after="0"/>
              <w:rPr>
                <w:sz w:val="24"/>
                <w:szCs w:val="24"/>
                <w:color w:val="auto"/>
              </w:rPr>
            </w:pP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Condensed Consolidated Financial Statements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Management’s Evaluation of our Disclosure Controls and Procedures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1"/>
        </w:trPr>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20" w:type="dxa"/>
            <w:vAlign w:val="bottom"/>
            <w:gridSpan w:val="3"/>
          </w:tcPr>
          <w:p>
            <w:pPr>
              <w:ind w:left="800"/>
              <w:spacing w:after="0"/>
              <w:rPr>
                <w:rFonts w:ascii="Times New Roman" w:cs="Times New Roman" w:eastAsia="Times New Roman" w:hAnsi="Times New Roman"/>
                <w:sz w:val="18"/>
                <w:szCs w:val="18"/>
                <w:b w:val="1"/>
                <w:bCs w:val="1"/>
                <w:u w:val="single" w:color="auto"/>
                <w:color w:val="0000EE"/>
              </w:rPr>
            </w:pPr>
            <w:hyperlink w:anchor="page36">
              <w:r>
                <w:rPr>
                  <w:rFonts w:ascii="Times New Roman" w:cs="Times New Roman" w:eastAsia="Times New Roman" w:hAnsi="Times New Roman"/>
                  <w:sz w:val="18"/>
                  <w:szCs w:val="18"/>
                  <w:b w:val="1"/>
                  <w:bCs w:val="1"/>
                  <w:u w:val="single" w:color="auto"/>
                  <w:color w:val="0000EE"/>
                </w:rPr>
                <w:t>PART II - OTHER INFORMATION</w:t>
              </w:r>
            </w:hyperlink>
          </w:p>
        </w:tc>
        <w:tc>
          <w:tcPr>
            <w:tcW w:w="100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Legal Proceedings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4"/>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Exhibits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0"/>
        </w:trPr>
        <w:tc>
          <w:tcPr>
            <w:tcW w:w="12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8">
              <w:r>
                <w:rPr>
                  <w:rFonts w:ascii="Times New Roman" w:cs="Times New Roman" w:eastAsia="Times New Roman" w:hAnsi="Times New Roman"/>
                  <w:sz w:val="18"/>
                  <w:szCs w:val="18"/>
                  <w:b w:val="1"/>
                  <w:bCs w:val="1"/>
                  <w:u w:val="single" w:color="auto"/>
                  <w:color w:val="0000EE"/>
                </w:rPr>
                <w:t>Signatures</w:t>
              </w:r>
            </w:hyperlink>
          </w:p>
        </w:tc>
        <w:tc>
          <w:tcPr>
            <w:tcW w:w="2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 May 28, 2020, Larimar Therapeutics, Inc. (formerly known as Zafgen, Inc.) (“Larimar”), completed its reverse merger with Chondrial</w:t>
      </w:r>
    </w:p>
    <w:p>
      <w:pPr>
        <w:spacing w:after="0" w:line="29"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Therapeutics, Inc. (“Chondrial”), in accordance with the terms of the Agreement and Plan of Merger, dated as of December 17, 2019, as amended, by and among Larimar, Chondrial, a wholly-owned subsidiary of Larimar, Zordich Merger Sub, Inc. (“Merger Sub”) and Chondrial Holdings, LLC (“Holdings”), the sole stockholder of Chondrial ( the “Merger Agreement”), pursuant to which Merger Sub merged with and into Chondrial, with Chondrial surviving as a wholly owned subsidiary of Larimar (the “Merger”).</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For accounting purposes, the Merger is treated as a “reverse asset acquisition” under generally acceptable accounting principles in the United States (“U.S. GAAP”) and Chondrial is considered the accounting acquirer. Accordingly, Chondrial’s historical results of operations replace Larimar’s historical results of operations for all periods prior to the Merger and, for all periods following the Merger, the results of operations of the combined company are included in the Company’s financial statements.</w:t>
      </w:r>
    </w:p>
    <w:p>
      <w:pPr>
        <w:spacing w:after="0" w:line="20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the “combined company” “we,” “our” or “us” in this report refer to Larimar Therapeutics, Inc. and its subsidiaries, references to “Larimar” refer to the Company following the completion of the Merger, and references to “Zafgen” refer to the Company prior to the completion of the Merger.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101,308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9)</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of September 30, 2020 and December 31, 2019; no shares issued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September 30, 2020 and December 31, 2019</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as of September 30, 2020 and December 31, 2019;</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15,356,206 and 6,091,250 shares issued and outstanding as of</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(51,410)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(23,132)</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102,641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113,957</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15,984,609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10,505,826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(10,274)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(8,628)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(28,278)</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(17,056)</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debt securities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110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780" w:type="dxa"/>
            <w:vAlign w:val="bottom"/>
          </w:tcPr>
          <w:p>
            <w:pPr>
              <w:jc w:val="right"/>
              <w:ind w:right="71"/>
              <w:spacing w:after="0" w:line="155" w:lineRule="exact"/>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8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3"/>
                <w:szCs w:val="13"/>
                <w:color w:val="auto"/>
              </w:rPr>
            </w:pPr>
          </w:p>
        </w:tc>
        <w:tc>
          <w:tcPr>
            <w:tcW w:w="9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from related party</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(6,674)</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(6,674)</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Capital contributions from related party</w:t>
            </w: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with Zafgen Inc.</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3,124,337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of common shares and pre-funded warrants,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6,140,619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of transaction costs</w:t>
            </w: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(11,330)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(11,330)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2020</w:t>
            </w: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vMerge w:val="continue"/>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15,356,206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2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(10,274)</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September 30, 2020</w:t>
            </w: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15,356,206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154,038</w:t>
            </w: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(51,410</w:t>
            </w:r>
          </w:p>
        </w:tc>
        <w:tc>
          <w:tcPr>
            <w:tcW w:w="200" w:type="dxa"/>
            <w:vAlign w:val="bottom"/>
            <w:vMerge w:val="continue"/>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1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080" w:type="dxa"/>
            <w:vAlign w:val="bottom"/>
            <w:tcBorders>
              <w:top w:val="single" w:sz="8" w:color="auto"/>
            </w:tcBorders>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8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3"/>
                <w:szCs w:val="13"/>
                <w:color w:val="auto"/>
              </w:rPr>
            </w:pPr>
          </w:p>
        </w:tc>
        <w:tc>
          <w:tcPr>
            <w:tcW w:w="78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2018</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from related party</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(4,724)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(4,724)</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2019</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Capital contributions from related party</w:t>
            </w: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(3,704)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2019</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Capital contributions from related party</w:t>
            </w: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(8,628)</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September 30, 2019</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83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(28,278)</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(17,056)</w:t>
            </w:r>
          </w:p>
        </w:tc>
      </w:tr>
      <w:tr>
        <w:trPr>
          <w:trHeight w:val="22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(1,656)</w:t>
            </w:r>
          </w:p>
        </w:tc>
      </w:tr>
      <w:tr>
        <w:trPr>
          <w:trHeight w:val="230"/>
        </w:trPr>
        <w:tc>
          <w:tcPr>
            <w:tcW w:w="8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r>
      <w:tr>
        <w:trPr>
          <w:trHeight w:val="229"/>
        </w:trPr>
        <w:tc>
          <w:tcPr>
            <w:tcW w:w="8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3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100" w:type="dxa"/>
            <w:vAlign w:val="bottom"/>
            <w:tcBorders>
              <w:bottom w:val="single" w:sz="8" w:color="CFF0FC"/>
            </w:tcBorders>
          </w:tcPr>
          <w:p>
            <w:pPr>
              <w:spacing w:after="0"/>
              <w:rPr>
                <w:sz w:val="19"/>
                <w:szCs w:val="19"/>
                <w:color w:val="auto"/>
              </w:rPr>
            </w:pPr>
          </w:p>
        </w:tc>
      </w:tr>
      <w:tr>
        <w:trPr>
          <w:trHeight w:val="22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acquired in connection with the Merger</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Merger transaction costs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contribution from related party</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and prefunded warrants, net of issuance costs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FF0FC"/>
          </w:tcPr>
          <w:p>
            <w:pPr>
              <w:spacing w:after="0"/>
              <w:rPr>
                <w:sz w:val="19"/>
                <w:szCs w:val="19"/>
                <w:color w:val="auto"/>
              </w:rPr>
            </w:pPr>
          </w:p>
        </w:tc>
      </w:tr>
      <w:tr>
        <w:trPr>
          <w:trHeight w:val="263"/>
        </w:trPr>
        <w:tc>
          <w:tcPr>
            <w:tcW w:w="8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Borders>
              <w:bottom w:val="single" w:sz="8" w:color="CFF0FC"/>
            </w:tcBorders>
          </w:tcPr>
          <w:p>
            <w:pPr>
              <w:spacing w:after="0"/>
              <w:rPr>
                <w:sz w:val="22"/>
                <w:szCs w:val="22"/>
                <w:color w:val="auto"/>
              </w:rPr>
            </w:pPr>
          </w:p>
        </w:tc>
      </w:tr>
      <w:tr>
        <w:trPr>
          <w:trHeight w:val="21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net assets acquired in the Merger, including $1.0 million of marketable debt securities and excluding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(4,815)</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Nature of the Business, COVID-19 Risk and Basis of Presentation</w:t>
      </w:r>
    </w:p>
    <w:p>
      <w:pPr>
        <w:spacing w:after="0" w:line="121"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Larimar Therapeutics, Inc., together with its subsidiaries (the “Company” or “Larimar”), is a clinical stage biopharmaceutical company leveraging its proprietary knowledge to develop a therapeutic treatment for mitochondrial disorders which currently have no cure. The Company has focused on Friedreich’s Ataxia, which is a progressive disease that affects multiple body systems, particularly the brain and heart. CTI-1601, the Company’s lead product candidate in Phase 1 clinical development, utilizes a cell penetrant peptide to deliver frataxin, the protein deficient in Friedreich’s Ataxia, to the mitochondria where it is believed to be processed into mature frataxin and becomes active in mitochondrial metabolism.</w:t>
      </w:r>
    </w:p>
    <w:p>
      <w:pPr>
        <w:spacing w:after="0" w:line="75"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pre-commercialization companies in the biotechnology industry, including, but not limited to, development by competitors of new technological innovations, dependence on key personnel, protection of proprietary technology, compliance with governmental regulations, failure to secure regulatory approval for CTI-1601 or any other product candidates and the ability to secure additional capital to fund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spacing w:after="0" w:line="81"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remains uncontained, it could have a material adverse effect on the Company’s business, results of operations, financial condition and cash flows. The financial statements do not reflect any adjustments as a result of the pandemic.</w:t>
      </w:r>
    </w:p>
    <w:p>
      <w:pPr>
        <w:spacing w:after="0" w:line="79"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The pandemic resulted in the temporary stoppage of the Company’s Phase 1 clinical trials studying CTI-1601 in patients with Friedreich’s Ataxia after the completion of two cohorts. In July 2020, the Company resumed its Phase 1 clinical trials of CTI-1601. The Company is conducting these clinical trials at one clinical trial site. Because Friedreich’s Ataxia is a rare disease, there are a limited number of patients in close proximity to the clinical trial site and clinical trial patients travel from throughout the United States to the clinical trial site to participate. After dosing, patients remain in isolation in the clinical research unit for a period of time. The travel advisories and risk of infection related to COVID-19 have presented increased risks to patients traveling to the Company’s clinical trial site for dosing and the Company expects to incur additional clinical trial costs to safely transport and isolate patients participating in the trial. While top line results from the ongoing Phase 1 clinical trials were originally expected by the end of 2020, the delay in the clinical trial timeline caused by the ongoing impact of COVID-19 resulted in top line results now being expected in the first half of 2021. The Company may experience additional delays in clinical trial timelines as a result of additional travel and hospital restrictions related to the COVID-19 pandemic which may be imposed, including as a result of resurgences of COVID-19 cases in certain geographic areas.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Zafgen</w:t>
      </w:r>
    </w:p>
    <w:p>
      <w:pPr>
        <w:spacing w:after="0" w:line="121" w:lineRule="exact"/>
        <w:rPr>
          <w:sz w:val="20"/>
          <w:szCs w:val="20"/>
          <w:color w:val="auto"/>
        </w:rPr>
      </w:pPr>
    </w:p>
    <w:p>
      <w:pPr>
        <w:ind w:right="160" w:firstLine="589"/>
        <w:spacing w:after="0" w:line="261" w:lineRule="auto"/>
        <w:rPr>
          <w:sz w:val="20"/>
          <w:szCs w:val="20"/>
          <w:color w:val="auto"/>
        </w:rPr>
      </w:pPr>
      <w:r>
        <w:rPr>
          <w:rFonts w:ascii="Times New Roman" w:cs="Times New Roman" w:eastAsia="Times New Roman" w:hAnsi="Times New Roman"/>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w:t>
      </w:r>
    </w:p>
    <w:p>
      <w:pPr>
        <w:spacing w:after="0" w:line="72" w:lineRule="exact"/>
        <w:rPr>
          <w:sz w:val="20"/>
          <w:szCs w:val="20"/>
          <w:color w:val="auto"/>
        </w:rPr>
      </w:pPr>
    </w:p>
    <w:p>
      <w:pPr>
        <w:ind w:right="420" w:firstLine="589"/>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as a reverse acquisition in accordance with accounting principles generally accepted in the United States of America ("GAAP"). Under this method of accounting, Chondrial was deemed to be the accounting acquirer for financial reporting purposes. This determination was primarily based on the facts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line="255" w:lineRule="auto"/>
        <w:rPr>
          <w:sz w:val="20"/>
          <w:szCs w:val="20"/>
          <w:color w:val="auto"/>
        </w:rPr>
      </w:pPr>
      <w:r>
        <w:rPr>
          <w:rFonts w:ascii="Times New Roman" w:cs="Times New Roman" w:eastAsia="Times New Roman" w:hAnsi="Times New Roman"/>
          <w:sz w:val="18"/>
          <w:szCs w:val="18"/>
          <w:color w:val="auto"/>
        </w:rPr>
        <w:t xml:space="preserve">immediately following the Merger: (1) former shareholders of Chondrial own a substantial majority of the voting rights of the combined company; (2) the majority of the board of directors of the combined company is composed of directors designated by Chondrial under the terms of the merger agreement; and (3) existing members of Chondrial management constitute the management of the combined company. Because Chondrial has been determined to be the accounting acquirer in the Merger, but not the legal acquirer, the Merger is deemed a reverse acquisition under the guidance of the Financial Accounting Standards Board (“FASB”)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a result, the historical financial statements of Chondrial are the historical financial statements of the combined company. As the Merger has been accounted for as an asset acquisition, goodwill has not been recorded within the condensed combined balance sheet.</w:t>
      </w:r>
    </w:p>
    <w:p>
      <w:pPr>
        <w:spacing w:after="0" w:line="8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Common Stock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w:t>
      </w:r>
    </w:p>
    <w:p>
      <w:pPr>
        <w:spacing w:after="0" w:line="84"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In addition, all outstanding options exercisable for common units of Holdings became options exercisable for the shares of common stock of Zafgen based on the conversion factor discussed within the Merger Agreement. In connection with the Merger, Zafgen changed its name to Larimar Therapeutics, Inc. Following the closing of the Merger, Chondrial Therapeutics, Inc. became a wholly-owned subsidiary of the Company. As used herein, the words “the Company” refers to, for periods following the Merger, Larimar, together with its subsidiaries, and for periods prior to the Merger, Chondrial Therapeutics Inc., and its direct and indirect subsidiaries, as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300" w:firstLine="589"/>
        <w:spacing w:after="0" w:line="289"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Larimar and its wholly owned subsidiaries. All intercompany balances and transactions have been eliminated. The accompanying condensed consolidated financial statements have been prepared in conformity with GAAP. Unless otherwise noted, all references to common stock share and per share amounts have also been adjusted to reflect the Exchange Ratio.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320" w:firstLine="589"/>
        <w:spacing w:after="0" w:line="261" w:lineRule="auto"/>
        <w:rPr>
          <w:sz w:val="20"/>
          <w:szCs w:val="20"/>
          <w:color w:val="auto"/>
        </w:rPr>
      </w:pPr>
      <w:r>
        <w:rPr>
          <w:rFonts w:ascii="Times New Roman" w:cs="Times New Roman" w:eastAsia="Times New Roman" w:hAnsi="Times New Roman"/>
          <w:sz w:val="18"/>
          <w:szCs w:val="18"/>
          <w:color w:val="auto"/>
        </w:rPr>
        <w:t>On May 28, 2020, immediately prior to the closing of the Merger, Zafgen effected the Reverse Stock Split. Accordingly, all share and per share amounts for all periods presented in the accompanying consolidated financial statements and notes thereto have been adjusted retroactively, where applicable, to reflect the Reverse Stock Split. No fractional shares were issued in connection with the Reverse Stock Split. Unless otherwise noted, all references to common stock share and per share amounts have also been adjusted to reflect the Exchange Ratio.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Assessment</w:t>
      </w:r>
    </w:p>
    <w:p>
      <w:pPr>
        <w:spacing w:after="0" w:line="119" w:lineRule="exact"/>
        <w:rPr>
          <w:sz w:val="20"/>
          <w:szCs w:val="20"/>
          <w:color w:val="auto"/>
        </w:rPr>
      </w:pPr>
    </w:p>
    <w:p>
      <w:pPr>
        <w:ind w:right="80" w:firstLine="589"/>
        <w:spacing w:after="0" w:line="277" w:lineRule="auto"/>
        <w:rPr>
          <w:sz w:val="20"/>
          <w:szCs w:val="20"/>
          <w:color w:val="auto"/>
        </w:rPr>
      </w:pPr>
      <w:r>
        <w:rPr>
          <w:rFonts w:ascii="Times New Roman" w:cs="Times New Roman" w:eastAsia="Times New Roman" w:hAnsi="Times New Roman"/>
          <w:sz w:val="17"/>
          <w:szCs w:val="17"/>
          <w:color w:val="auto"/>
        </w:rPr>
        <w:t xml:space="preserve">In accordance with Accounting Standards Update (“ASU”) No. 2014-15, </w:t>
      </w:r>
      <w:r>
        <w:rPr>
          <w:rFonts w:ascii="Times New Roman" w:cs="Times New Roman" w:eastAsia="Times New Roman" w:hAnsi="Times New Roman"/>
          <w:sz w:val="17"/>
          <w:szCs w:val="17"/>
          <w:i w:val="1"/>
          <w:iCs w:val="1"/>
          <w:color w:val="auto"/>
        </w:rPr>
        <w:t>Disclosure of Uncertainties about an Entity’s Ability to Continue as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Going Concern</w:t>
      </w:r>
      <w:r>
        <w:rPr>
          <w:rFonts w:ascii="Times New Roman" w:cs="Times New Roman" w:eastAsia="Times New Roman" w:hAnsi="Times New Roman"/>
          <w:sz w:val="17"/>
          <w:szCs w:val="17"/>
          <w:color w:val="auto"/>
        </w:rPr>
        <w:t>, the Company has evaluated whether there are certain conditions and events, considered in the aggregate, that raise substantial doubt about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ability to continue as a going concern within one year after the date that the consolidated financial statements are issued. As of the issuance date of these condensed consolidated financial statements, the Company expects that its cash and cash equivalents will be sufficient to fund its forecasted operating expenses and capital expenditure requirements for at least the next twelve months from the issuance date of these financial statements.</w:t>
      </w:r>
    </w:p>
    <w:p>
      <w:pPr>
        <w:spacing w:after="0" w:line="62"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Since its inception, the Company has incurred significant operating losses and negative cash flows from operations. 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will need additional capital to fund its future operations, which it may raise through a combination of equity offerings, debt financings,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other third-party funding, marketing and distribution arrangements, other collaborations, strategic alliances and licensing arrangements.</w:t>
      </w:r>
    </w:p>
    <w:p>
      <w:pPr>
        <w:spacing w:after="0" w:line="117" w:lineRule="exact"/>
        <w:rPr>
          <w:sz w:val="20"/>
          <w:szCs w:val="20"/>
          <w:color w:val="auto"/>
        </w:rPr>
      </w:pPr>
    </w:p>
    <w:p>
      <w:pPr>
        <w:ind w:right="280" w:firstLine="589"/>
        <w:spacing w:after="0" w:line="253"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prefunded warrants for the purchase of common stock and contributions from Holdings. In 2020, the Company completed the Merger and acquired $42.9 million of cash, cash equivalents, restricted cash and marketable debt securities that were held by Zafgen immediately prior to the Merger. The Company also raised $75.4 million, net of offering costs, through a private offering of common stock and prefunded warrants to purchase shares of common stock in connection with and immediately after the closing of the Merger. In addition, in 2020, prior to the Merger, the Company received $18.0 million in capital contributions from Holdings. In August 2020, the Company entered</w:t>
      </w:r>
    </w:p>
    <w:p>
      <w:pPr>
        <w:spacing w:after="0" w:line="5" w:lineRule="exact"/>
        <w:rPr>
          <w:sz w:val="20"/>
          <w:szCs w:val="20"/>
          <w:color w:val="auto"/>
        </w:rPr>
      </w:pPr>
    </w:p>
    <w:p>
      <w:pPr>
        <w:ind w:right="2880"/>
        <w:spacing w:after="0" w:line="265" w:lineRule="auto"/>
        <w:rPr>
          <w:sz w:val="20"/>
          <w:szCs w:val="20"/>
          <w:color w:val="auto"/>
        </w:rPr>
      </w:pPr>
      <w:r>
        <w:rPr>
          <w:rFonts w:ascii="Times New Roman" w:cs="Times New Roman" w:eastAsia="Times New Roman" w:hAnsi="Times New Roman"/>
          <w:sz w:val="17"/>
          <w:szCs w:val="17"/>
          <w:color w:val="auto"/>
        </w:rPr>
        <w:t>into an Equity Distribution Agreement (the “ATM Agreement”) with Piper Sandler &amp; Co. (“Piper Sandler”), in connection with the establishment of an “at-the-market” offering program under which the Company may sell up to</w:t>
      </w:r>
    </w:p>
    <w:p>
      <w:pPr>
        <w:ind w:right="20"/>
        <w:spacing w:after="0" w:line="260" w:lineRule="auto"/>
        <w:rPr>
          <w:sz w:val="20"/>
          <w:szCs w:val="20"/>
          <w:color w:val="auto"/>
        </w:rPr>
      </w:pPr>
      <w:r>
        <w:rPr>
          <w:rFonts w:ascii="Times New Roman" w:cs="Times New Roman" w:eastAsia="Times New Roman" w:hAnsi="Times New Roman"/>
          <w:sz w:val="18"/>
          <w:szCs w:val="18"/>
          <w:color w:val="auto"/>
        </w:rPr>
        <w:t>an aggregate of $50,000,000 of shares of its common stock from time to time through Piper Sandler, as sales agent. As of September 30, 2020, no shares of common stock have been sold under the Agreement.</w:t>
      </w:r>
    </w:p>
    <w:p>
      <w:pPr>
        <w:spacing w:after="0" w:line="73" w:lineRule="exact"/>
        <w:rPr>
          <w:sz w:val="20"/>
          <w:szCs w:val="20"/>
          <w:color w:val="auto"/>
        </w:rPr>
      </w:pPr>
    </w:p>
    <w:p>
      <w:pPr>
        <w:ind w:right="120" w:firstLine="589"/>
        <w:spacing w:after="0" w:line="220" w:lineRule="exact"/>
        <w:rPr>
          <w:sz w:val="20"/>
          <w:szCs w:val="20"/>
          <w:color w:val="auto"/>
        </w:rPr>
      </w:pPr>
      <w:r>
        <w:rPr>
          <w:rFonts w:ascii="Times New Roman" w:cs="Times New Roman" w:eastAsia="Times New Roman" w:hAnsi="Times New Roman"/>
          <w:sz w:val="18"/>
          <w:szCs w:val="18"/>
          <w:color w:val="auto"/>
        </w:rPr>
        <w:t>If the Company is unable to obtain future funding when needed, the Company may be forced to delay, reduce or eliminate some or all of its research and development programs, product portfolio expansion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commercialization efforts, which could adversely affect its business prospects, or the Company may be unable to continue operations. There is no assurance that the Company will be successful in obtaining sufficient funding on terms acceptable to the Company to fund continuing operations, if at all.</w:t>
      </w:r>
    </w:p>
    <w:p>
      <w:pPr>
        <w:spacing w:after="0" w:line="196"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2019 was derived from the Company’s audited financial statements, but does not include all disclosures required by GAAP. The accompanying unaudited condensed consolidated financial statements as of September 30, 2020 and for the three and nine months ended September 30, 2020 and 2019,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2019 included in the Company’s Current Report on Form 8-K/A filed on June 26, 2020. In the opinion of management, all adjustments, consisting only of normal recurring adjustments necessary for a fair statement of the Company’s condensed consolidated financial position as of September 30, 2020 and condensed consolidated results of operations and cash flows for the three and nine months ended September 30, 2020 and 2019 have been made. The results of operations for the three and nine months ended September 30, 2020 are not necessarily indicative of the results of operations that may be expected for the year ending December 31, 2020.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generally maintains cash balances in various operating accounts at financial institutions that management believes to be of high credit quality in amounts that may exceed federally insured limits. The Company has not experienced losses related to its cash and cash equivalents.</w:t>
      </w:r>
    </w:p>
    <w:p>
      <w:pPr>
        <w:spacing w:after="0" w:line="68" w:lineRule="exact"/>
        <w:rPr>
          <w:sz w:val="20"/>
          <w:szCs w:val="20"/>
          <w:color w:val="auto"/>
        </w:rPr>
      </w:pPr>
    </w:p>
    <w:p>
      <w:pPr>
        <w:ind w:right="280" w:firstLine="589"/>
        <w:spacing w:after="0" w:line="282" w:lineRule="auto"/>
        <w:rPr>
          <w:sz w:val="20"/>
          <w:szCs w:val="20"/>
          <w:color w:val="auto"/>
        </w:rPr>
      </w:pPr>
      <w:r>
        <w:rPr>
          <w:rFonts w:ascii="Times New Roman" w:cs="Times New Roman" w:eastAsia="Times New Roman" w:hAnsi="Times New Roman"/>
          <w:sz w:val="18"/>
          <w:szCs w:val="18"/>
          <w:color w:val="auto"/>
        </w:rPr>
        <w:t>The Company is highly dependent on third-party manufacturers to supply products for research and development activities in its programs. The Company relies and expects to continue to rely on a small number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 w:name="page13"/>
    <w:bookmarkEnd w:id="12"/>
    <w:p>
      <w:pPr>
        <w:ind w:right="120"/>
        <w:spacing w:after="0" w:line="266" w:lineRule="auto"/>
        <w:rPr>
          <w:sz w:val="20"/>
          <w:szCs w:val="20"/>
          <w:color w:val="auto"/>
        </w:rPr>
      </w:pPr>
      <w:r>
        <w:rPr>
          <w:rFonts w:ascii="Times New Roman" w:cs="Times New Roman" w:eastAsia="Times New Roman" w:hAnsi="Times New Roman"/>
          <w:sz w:val="18"/>
          <w:szCs w:val="18"/>
          <w:color w:val="auto"/>
        </w:rPr>
        <w:t>manufacturers to supply it with its requirements for the active pharmaceutical ingredients and formulated drugs related to these programs. These programs could be adversely affected by a significant interruption in these manufacturing services or in the supply of active pharmaceutical ingredients and formulated drugs.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40" w:firstLine="58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 Cash equivalents consisted of money market funds as of September 30, 2020. As of December 31, 2019, the Company did not have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Marketable debt securities consist of debt investments with original maturities greater than ninety days.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80" w:firstLine="589"/>
        <w:spacing w:after="0" w:line="256"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79"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180" w:firstLine="58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180" w:firstLine="58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4" w:lineRule="exact"/>
        <w:rPr>
          <w:sz w:val="20"/>
          <w:szCs w:val="20"/>
          <w:color w:val="auto"/>
        </w:rPr>
      </w:pPr>
    </w:p>
    <w:p>
      <w:pPr>
        <w:ind w:right="360" w:firstLine="58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and nine months ended September 30, 2020 includes the weighted average effect of 628,403 prefunded warrants for the purchase of shares of common stock, which were issued in June 2020, and for which the remaining unfunded exercise price is $0.01 per share.</w:t>
      </w:r>
    </w:p>
    <w:p>
      <w:pPr>
        <w:spacing w:after="0" w:line="75"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The Company excluded the following common stock equivalents, outstanding as of September 30, 2020 and 2019, from the computation of diluted net loss per share for the three and nine months ended September 30, 2020 and 2019 because they had an anti-dilutive impact due to the net loss incurred for the periods: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1,954,802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1,957,584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Prior to the Merger the Company did not have options to purchase common stock or unvested restricted common stock to exclude from the calculation of earnings per share as all outstanding options were for common units of Holdings that upon the Merger converted into options exercisable for the shares of common stock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19"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FASB subsequently issued amendments to ASU 2016-13. This standard requires entities to estimate an expected lifetime credit 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condensed consolidated financial statements and related disclosures.</w:t>
      </w:r>
    </w:p>
    <w:p>
      <w:pPr>
        <w:spacing w:after="0" w:line="77" w:lineRule="exact"/>
        <w:rPr>
          <w:sz w:val="20"/>
          <w:szCs w:val="20"/>
          <w:color w:val="auto"/>
        </w:rPr>
      </w:pPr>
    </w:p>
    <w:p>
      <w:pPr>
        <w:ind w:right="320" w:firstLine="589"/>
        <w:spacing w:after="0" w:line="290"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2018-13, </w:t>
      </w:r>
      <w:r>
        <w:rPr>
          <w:rFonts w:ascii="Times New Roman" w:cs="Times New Roman" w:eastAsia="Times New Roman" w:hAnsi="Times New Roman"/>
          <w:sz w:val="17"/>
          <w:szCs w:val="17"/>
          <w:i w:val="1"/>
          <w:iCs w:val="1"/>
          <w:color w:val="auto"/>
        </w:rPr>
        <w:t>Fair Value Measurement (Topic 820): Disclosure Framework—Changes to the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Requirements for Fair Value Measurement</w:t>
      </w:r>
      <w:r>
        <w:rPr>
          <w:rFonts w:ascii="Times New Roman" w:cs="Times New Roman" w:eastAsia="Times New Roman" w:hAnsi="Times New Roman"/>
          <w:sz w:val="17"/>
          <w:szCs w:val="17"/>
          <w:color w:val="auto"/>
        </w:rPr>
        <w:t>. This standard modifies certain disclosure requirements on fair value measurements. This standard became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for the Company on January 1, 2020. The adoption of this standard did not have a material impact on the Company’s disclosures.</w:t>
      </w:r>
    </w:p>
    <w:p>
      <w:pPr>
        <w:spacing w:after="0" w:line="16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Accounting</w:t>
      </w:r>
    </w:p>
    <w:p>
      <w:pPr>
        <w:spacing w:after="0" w:line="121"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On May 28, 2020, the Company completed its merger with Zafgen. Based on the Exchange Ratio,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Holdings, the former Chondrial stockholder,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79"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In addition, pursuant to the terms of the Merger Agreement, the Company assumed all outstanding stock options to purchase shares of Zafgen common stock at the closing of the Merger. At the closing of the Merger, such stock options became options to purchase an aggregate of 328,770 shares of the Company’s common stock after giving effect to the Reverse Stock Split.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firstLine="589"/>
        <w:spacing w:after="0" w:line="281" w:lineRule="auto"/>
        <w:rPr>
          <w:sz w:val="20"/>
          <w:szCs w:val="20"/>
          <w:color w:val="auto"/>
        </w:rPr>
      </w:pPr>
      <w:r>
        <w:rPr>
          <w:rFonts w:ascii="Times New Roman" w:cs="Times New Roman" w:eastAsia="Times New Roman" w:hAnsi="Times New Roman"/>
          <w:sz w:val="18"/>
          <w:szCs w:val="18"/>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of the combined organization owned by Zafgen stockholders</w:t>
            </w:r>
            <w:r>
              <w:rPr>
                <w:rFonts w:ascii="Times New Roman" w:cs="Times New Roman" w:eastAsia="Times New Roman" w:hAnsi="Times New Roman"/>
                <w:sz w:val="15"/>
                <w:szCs w:val="15"/>
                <w:color w:val="auto"/>
              </w:rPr>
              <w:t>(1)</w:t>
            </w:r>
          </w:p>
        </w:tc>
        <w:tc>
          <w:tcPr>
            <w:tcW w:w="6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3,124,337</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Zafgen common stock</w:t>
            </w:r>
            <w:r>
              <w:rPr>
                <w:rFonts w:ascii="Times New Roman" w:cs="Times New Roman" w:eastAsia="Times New Roman" w:hAnsi="Times New Roman"/>
                <w:sz w:val="15"/>
                <w:szCs w:val="15"/>
                <w:color w:val="auto"/>
              </w:rPr>
              <w:t>(2)</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consideration issued in effect of the Merger</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7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1160" w:right="180" w:hanging="572"/>
        <w:spacing w:after="0" w:line="261" w:lineRule="auto"/>
        <w:tabs>
          <w:tab w:leader="none" w:pos="11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number of shares of 3,124,337 represents the historical 37,492,044 shares of Zafgen common stock outstanding immediately prior to the closing of the Merger, adjusted for the Reverse Stock Split.</w:t>
      </w:r>
    </w:p>
    <w:p>
      <w:pPr>
        <w:ind w:left="1160" w:right="500" w:hanging="572"/>
        <w:spacing w:after="0" w:line="260" w:lineRule="auto"/>
        <w:tabs>
          <w:tab w:leader="none" w:pos="11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the last reported sale price of Zafgen common stock on the Nasdaq Global Market on May 28, 2020, the closing date of the Merger, and after giving effect to the Reverse Stock Split.</w:t>
      </w:r>
    </w:p>
    <w:p>
      <w:pPr>
        <w:spacing w:after="0" w:line="73"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The following summarizes the allocation of the purchase price to the net tangible and intangible assets acquired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4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w:t>
            </w:r>
          </w:p>
        </w:tc>
      </w:tr>
      <w:tr>
        <w:trPr>
          <w:trHeight w:val="223"/>
        </w:trPr>
        <w:tc>
          <w:tcPr>
            <w:tcW w:w="5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price</w:t>
            </w: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and liabilities that are measured at fair value on a recurring basis as of September 30, 2020 and December 31, 2019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40"/>
          </w:cols>
          <w:pgMar w:left="320" w:top="445"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29" w:lineRule="exact"/>
        <w:rPr>
          <w:sz w:val="20"/>
          <w:szCs w:val="20"/>
          <w:color w:val="auto"/>
        </w:rPr>
      </w:pPr>
    </w:p>
    <w:p>
      <w:pPr>
        <w:sectPr>
          <w:pgSz w:w="11900" w:h="16838" w:orient="portrait"/>
          <w:cols w:equalWidth="0" w:num="2">
            <w:col w:w="680" w:space="640"/>
            <w:col w:w="9920"/>
          </w:cols>
          <w:pgMar w:left="320" w:top="44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6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54" w:lineRule="exact"/>
        <w:rPr>
          <w:sz w:val="20"/>
          <w:szCs w:val="20"/>
          <w:color w:val="auto"/>
        </w:rPr>
      </w:pPr>
    </w:p>
    <w:p>
      <w:pPr>
        <w:sectPr>
          <w:pgSz w:w="11900" w:h="16838" w:orient="portrait"/>
          <w:cols w:equalWidth="0" w:num="2">
            <w:col w:w="680" w:space="640"/>
            <w:col w:w="9920"/>
          </w:cols>
          <w:pgMar w:left="320" w:top="44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117" w:lineRule="exact"/>
        <w:rPr>
          <w:sz w:val="20"/>
          <w:szCs w:val="20"/>
          <w:color w:val="auto"/>
        </w:rPr>
      </w:pPr>
    </w:p>
    <w:p>
      <w:pPr>
        <w:sectPr>
          <w:pgSz w:w="11900" w:h="16838" w:orient="portrait"/>
          <w:cols w:equalWidth="0" w:num="2">
            <w:col w:w="680" w:space="640"/>
            <w:col w:w="9920"/>
          </w:cols>
          <w:pgMar w:left="320" w:top="445" w:right="339" w:bottom="1440" w:gutter="0" w:footer="0" w:header="0"/>
          <w:type w:val="continuous"/>
        </w:sect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payable and accrued liabilities. For accounts payable and accrued liabilities, the carrying amounts of these financial instruments as of September 30, 2020 and December 31, 2019 were considered representative of their fair values due to their short term to maturity.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6" w:name="page17"/>
    <w:bookmarkEnd w:id="16"/>
    <w:p>
      <w:pPr>
        <w:ind w:right="36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debt securities as of September 30, 2020. There were no cash equivalents and marketable debt securities as of December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ind w:left="206"/>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0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06"/>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2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6"/>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80" w:type="dxa"/>
            <w:vAlign w:val="bottom"/>
            <w:gridSpan w:val="2"/>
          </w:tcPr>
          <w:p>
            <w:pPr>
              <w:jc w:val="right"/>
              <w:ind w:right="68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913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cash equivalents</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913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marketable debt securities</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1,001</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1,914</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913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jc w:val="both"/>
        <w:ind w:right="14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marketable debt securities as of September 30, 2020. There were no marketable debt securities as of December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5"/>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 (due within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did not have an allowance for credit losses. All investments with unrealized losses at September 30, 2020 have been in a loss position for less than twelve months or the loss is not material and were temporary in nature. The Company does not intend to sell the investments that are in an unrealized loss position before recovery of their amortized cost basis.</w:t>
      </w:r>
    </w:p>
    <w:p>
      <w:pPr>
        <w:spacing w:after="0" w:line="172"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56"/>
        </w:trPr>
        <w:tc>
          <w:tcPr>
            <w:tcW w:w="7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Payroll tax receivable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 sale receivable</w:t>
            </w:r>
          </w:p>
        </w:tc>
        <w:tc>
          <w:tcPr>
            <w:tcW w:w="20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Capitalized transaction costs as of December 31, 2019 consists of capitalized legal and proxy fees incurred by the Company, related to the Merger.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were included in the purchase price allocation when accounting for the Merger.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ind w:left="580" w:hanging="572"/>
        <w:spacing w:after="0"/>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80" w:type="dxa"/>
            <w:vAlign w:val="bottom"/>
          </w:tcPr>
          <w:p>
            <w:pPr>
              <w:spacing w:after="0"/>
              <w:rPr>
                <w:sz w:val="15"/>
                <w:szCs w:val="15"/>
                <w:color w:val="auto"/>
              </w:rPr>
            </w:pPr>
          </w:p>
        </w:tc>
        <w:tc>
          <w:tcPr>
            <w:tcW w:w="3280" w:type="dxa"/>
            <w:vAlign w:val="bottom"/>
          </w:tcPr>
          <w:p>
            <w:pPr>
              <w:jc w:val="center"/>
              <w:ind w:left="199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4"/>
          </w:tcPr>
          <w:p>
            <w:pPr>
              <w:jc w:val="right"/>
              <w:ind w:right="93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80" w:type="dxa"/>
            <w:vAlign w:val="bottom"/>
            <w:shd w:val="clear" w:color="auto" w:fill="CFF0FC"/>
          </w:tcPr>
          <w:p>
            <w:pPr>
              <w:jc w:val="center"/>
              <w:ind w:left="1995"/>
              <w:spacing w:after="0"/>
              <w:rPr>
                <w:sz w:val="20"/>
                <w:szCs w:val="20"/>
                <w:color w:val="auto"/>
              </w:rPr>
            </w:pPr>
            <w:r>
              <w:rPr>
                <w:rFonts w:ascii="Times New Roman" w:cs="Times New Roman" w:eastAsia="Times New Roman" w:hAnsi="Times New Roman"/>
                <w:sz w:val="18"/>
                <w:szCs w:val="18"/>
                <w:color w:val="auto"/>
              </w:rPr>
              <w:t>5 years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280" w:type="dxa"/>
            <w:vAlign w:val="bottom"/>
          </w:tcPr>
          <w:p>
            <w:pPr>
              <w:jc w:val="center"/>
              <w:ind w:left="1995"/>
              <w:spacing w:after="0"/>
              <w:rPr>
                <w:sz w:val="20"/>
                <w:szCs w:val="20"/>
                <w:color w:val="auto"/>
              </w:rPr>
            </w:pPr>
            <w:r>
              <w:rPr>
                <w:rFonts w:ascii="Times New Roman" w:cs="Times New Roman" w:eastAsia="Times New Roman" w:hAnsi="Times New Roman"/>
                <w:sz w:val="18"/>
                <w:szCs w:val="18"/>
                <w:color w:val="auto"/>
              </w:rPr>
              <w:t>5 years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80" w:type="dxa"/>
            <w:vAlign w:val="bottom"/>
            <w:shd w:val="clear" w:color="auto" w:fill="CFF0FC"/>
          </w:tcPr>
          <w:p>
            <w:pPr>
              <w:jc w:val="center"/>
              <w:ind w:left="1995"/>
              <w:spacing w:after="0"/>
              <w:rPr>
                <w:sz w:val="20"/>
                <w:szCs w:val="20"/>
                <w:color w:val="auto"/>
              </w:rPr>
            </w:pPr>
            <w:r>
              <w:rPr>
                <w:rFonts w:ascii="Times New Roman" w:cs="Times New Roman" w:eastAsia="Times New Roman" w:hAnsi="Times New Roman"/>
                <w:sz w:val="18"/>
                <w:szCs w:val="18"/>
                <w:color w:val="auto"/>
              </w:rPr>
              <w:t>7 years</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4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 during the three and nine months ended September 30, 2020 was less than $0.1 million and $0.1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during the three and nine months ended September 30, 2019 was less than $0.1 million.</w:t>
      </w:r>
    </w:p>
    <w:p>
      <w:pPr>
        <w:spacing w:after="0" w:line="203"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19"/>
                <w:szCs w:val="19"/>
                <w:color w:val="auto"/>
              </w:rPr>
            </w:pPr>
          </w:p>
        </w:tc>
        <w:tc>
          <w:tcPr>
            <w:tcW w:w="3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34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8" w:name="page19"/>
    <w:bookmarkEnd w:id="18"/>
    <w:p>
      <w:pPr>
        <w:ind w:left="580" w:hanging="572"/>
        <w:spacing w:after="0"/>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Company’s Certificate of Incorporation, as amended and restated, authorized the Company to issue 115,000,000 of $0.001 par value common stock and 5,000,000 of $0.001 par value preferred stock.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75" w:lineRule="exact"/>
        <w:rPr>
          <w:sz w:val="20"/>
          <w:szCs w:val="20"/>
          <w:color w:val="auto"/>
        </w:rPr>
      </w:pPr>
    </w:p>
    <w:p>
      <w:pPr>
        <w:ind w:firstLine="589"/>
        <w:spacing w:after="0" w:line="257"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we issued MTS Health Partners 35,260 shares of common stock.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On August 14, 2020, the Company entered into an Equity Distribution Agreement (the “Agreement”) with Piper Sandler &amp; Co. (“Piper Sandler”), in connection with the establishment of an “at-the-market” offering program under which the Company may sell up to an aggregate of $50,000,000 of shares of common stock (the “ATM Shares”) from time to time through Piper Sandler, as sales agent (the “Offering”).</w:t>
      </w:r>
    </w:p>
    <w:p>
      <w:pPr>
        <w:spacing w:after="0" w:line="68"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Under the Agreement, the Company will set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Agreement may be made in transactions that are deemed to be “at-the-market offerings” as defined in Rule 415 under the Securities Act. The Company will pay Piper Sandler a commission equal to 3.0% of the gross proceeds of any ATM Shares sold through Piper Sandler under the Agreement and will reimburse the Piper Sandler for certain specified expenses. The Agreement contains customary representations, warranties and agreements by the Compnay, indemnification obligations of the Company and Piper Sandler, other customary obligations of the parties and termination provisions. The Company has no obligation to sell any of the ATM Shares and may at any time suspend offers under the Agreement. As of September 30, 2020, no ATM Shares have been sold under the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Plans</w:t>
      </w:r>
    </w:p>
    <w:p>
      <w:pPr>
        <w:spacing w:after="0" w:line="121"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Upon completion of the Merger with Zafgen, Zafgen’s 2014 Stock Option and Incentive Plan (the “2014 Plan”) and Zafgen’s 2006 Stock Option Plan (the “2006 Plan” and together with the 2014 Plan the “Prior Plans”) were assumed by the Company. As described below, the Company adopted a new equity incentive plan in July 2020 that was approved by the stockholders in September 2020. These three plans are administered by the Board or, at the discretion of the Board, by a committee of the Board.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160" w:firstLine="1237"/>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the 2020 Equity Incentive Plan (the 2020 Plan) on July 16, 2020 and the stockholders of the Company approved the 2020 Plan on September 29, 2020. The 2020 Plan replaces the 2014 Plan. Option outstanding under the Prior Plans will remain outstanding, unchanged and subject to the terms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9" w:name="page20"/>
    <w:bookmarkEnd w:id="1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of the 2014 Plan and the respective award agreements, and no further awards will be made under the 2014 Plan.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176"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 stock appreciation rights, restricted stock awards, restricted stock unit awards, and cash or other stock 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180"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(collectively, the “Plan Limit”). The maximum aggregate number of shares that may be issued under the 2020 Plan in respect of incentive stock options is 8,000,000 over the ten-year term of the 2020 Plan. As of September 30, 2020, 947,800 shares of common stock were available for grant under the 2020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Stock Option and Incentive Plan and 2006 Stock Option Plan</w:t>
      </w:r>
    </w:p>
    <w:p>
      <w:pPr>
        <w:spacing w:after="0" w:line="121"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In 2014, the Board and stockholders of Zafgen adopted the 2014 Plan. The 2014 Plan provided for the grant of stock options, stock appreciation rights, restricted stock awards, restricted stock units, unrestricted stock awards, performance-share awards, cash-based awards and dividend equivalent rights to employees, members of the Board and consultants of the Company. The number of shares initially reserved for issuance under the 2014 Plan was 180,685 shares of common stock. As the 2020 Plan was adopted by the Company and approved by the Company’s stockholders, no further awards will be made under the Prior Plans.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Equity and Incentive Plan</w:t>
      </w:r>
    </w:p>
    <w:p>
      <w:pPr>
        <w:spacing w:after="0" w:line="121"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Under the 2016 Equity Plan adopted by Holdings on November 30, 2016, (the “2016 Equity Incentive Plan”), the Board of Managers of Holdings (the “Board of Managers”) or a committee thereof was authorized to issue 122,133 Common Units of Holdings or combination of Common Units, Common Unit options or profit interest units. On March 23, 2018, the Board of Managers increased the number of Common Units reserved for grant and issuance pursuant to the 2016 Plan from 122,133 to 138,133 and on April 29, 2019 increased the number of Common Units reserved for grant and issuance pursuant to the 2016 Plan by an additional 101,500 to 239,633. The Company has recorded costs incurred as stock-based compensation with a corresponding capital contribution from Holdings.</w:t>
      </w:r>
    </w:p>
    <w:p>
      <w:pPr>
        <w:spacing w:after="0" w:line="79" w:lineRule="exact"/>
        <w:rPr>
          <w:sz w:val="20"/>
          <w:szCs w:val="20"/>
          <w:color w:val="auto"/>
        </w:rPr>
      </w:pPr>
    </w:p>
    <w:p>
      <w:pPr>
        <w:ind w:right="240" w:firstLine="589"/>
        <w:spacing w:after="0" w:line="282" w:lineRule="auto"/>
        <w:rPr>
          <w:sz w:val="20"/>
          <w:szCs w:val="20"/>
          <w:color w:val="auto"/>
        </w:rPr>
      </w:pPr>
      <w:r>
        <w:rPr>
          <w:rFonts w:ascii="Times New Roman" w:cs="Times New Roman" w:eastAsia="Times New Roman" w:hAnsi="Times New Roman"/>
          <w:sz w:val="18"/>
          <w:szCs w:val="18"/>
          <w:color w:val="auto"/>
        </w:rPr>
        <w:t>From January 1, 2020 through the Merger date Holdings did not issue options to purchase Common Units to employees of the Company. During the three and nine months ended September 30, 2019 Holdings issued 59,236 options to purchase Common Units to employees of the Company.</w:t>
      </w:r>
    </w:p>
    <w:p>
      <w:pPr>
        <w:spacing w:after="0" w:line="54"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The Company assumed all of the outstanding and unexercised options to purchase units of Holdings upon consummation of the Merger. Pursuant to the terms of the Merger Agreement, options to purchase 330,818 shares of the Company’s common stock at a weighted average exercise price was $12.14 per share were substituted for the 202,392 options to purchase Common Units, with a weighted average exercise price of $10.36 per Common Unit, that were outstanding immediately prior to the Merger.</w:t>
      </w:r>
    </w:p>
    <w:p>
      <w:pPr>
        <w:spacing w:after="0" w:line="70"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 xml:space="preserve">The Company treated the conversion as a modification pursuant to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and calculated the pre and post-modification value of the options. The increase in fair value of the options was calculated to be $1.2 million. As $0.7 million related to vested options the expense was recognized immediately on the Merger date, and the remaining $0.5 million will be recognized over the remaining vesting term with the original grant date fair value remaining of $0.1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Valuation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jc w:val="both"/>
        <w:ind w:right="8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9"/>
                <w:szCs w:val="19"/>
                <w:color w:val="auto"/>
              </w:rPr>
            </w:pPr>
          </w:p>
        </w:tc>
        <w:tc>
          <w:tcPr>
            <w:tcW w:w="156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91%</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120" w:type="dxa"/>
            <w:vAlign w:val="bottom"/>
            <w:shd w:val="clear" w:color="auto" w:fill="CFF0FC"/>
          </w:tcPr>
          <w:p>
            <w:pPr>
              <w:spacing w:after="0"/>
              <w:rPr>
                <w:sz w:val="19"/>
                <w:szCs w:val="19"/>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20"/>
                <w:szCs w:val="20"/>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nine months ended September 30, 2020 (amounts in millions, except for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Assumed as part of the Merger with Zafgen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Modification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(77.63)</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Borders>
              <w:top w:val="single" w:sz="8" w:color="CFF0FC"/>
              <w:bottom w:val="single" w:sz="8" w:color="CFF0FC"/>
            </w:tcBorders>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1,954,802</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Exercisable as of September 30,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555,772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Borders>
              <w:bottom w:val="single" w:sz="8" w:color="CFF0FC"/>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as of September 30, 2020</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1,954,802</w:t>
            </w:r>
          </w:p>
        </w:tc>
        <w:tc>
          <w:tcPr>
            <w:tcW w:w="1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2020 Option Grants</w:t>
      </w:r>
    </w:p>
    <w:p>
      <w:pPr>
        <w:spacing w:after="0" w:line="121"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On July 16, 2020, the Company granted options to purchase 489,295 shares of common stock to employees under the 2014 Plan. The options have an exercise price equal to $11.90, which was the closing stock price as of the grant date, and vest over four years, with 25% vesting on the first anniversary of the grant and the remainder vesting in equal monthly installments thereafter.</w:t>
      </w:r>
    </w:p>
    <w:p>
      <w:pPr>
        <w:spacing w:after="0" w:line="68"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In addition, on July 16, 2020 the Company granted options to purchase 735,100 shares of common stock to employees and directors under the 2020 Plan. The options granted to employees have an exercise price equal to $11.90, which was the closing stock price as of the grant date, and vest over four years, with 25% vesting on the first anniversary of the grant and the remainder vesting in equal monthly installments thereafter. The options granted to directors have an exercise price equal to $11.90, which was the closing stock price as of the grant date, and vest monthly in equal installments over three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 with market-based vesting conditions</w:t>
      </w:r>
    </w:p>
    <w:p>
      <w:pPr>
        <w:spacing w:after="0" w:line="121" w:lineRule="exact"/>
        <w:rPr>
          <w:sz w:val="20"/>
          <w:szCs w:val="20"/>
          <w:color w:val="auto"/>
        </w:rPr>
      </w:pPr>
    </w:p>
    <w:p>
      <w:pPr>
        <w:ind w:right="220" w:firstLine="589"/>
        <w:spacing w:after="0" w:line="261" w:lineRule="auto"/>
        <w:rPr>
          <w:sz w:val="20"/>
          <w:szCs w:val="20"/>
          <w:color w:val="auto"/>
        </w:rPr>
      </w:pPr>
      <w:r>
        <w:rPr>
          <w:rFonts w:ascii="Times New Roman" w:cs="Times New Roman" w:eastAsia="Times New Roman" w:hAnsi="Times New Roman"/>
          <w:sz w:val="18"/>
          <w:szCs w:val="18"/>
          <w:color w:val="auto"/>
        </w:rPr>
        <w:t>In October 2017, Zafgen granted 45,833 common stock options that vest on the third anniversary of the grant date upon achievement by the Company of minimum common stock prices for 20 consecutive days during the period between the first anniversary of the grant date and the third anniversary of the grant date. As of the Effective Time the options had not achieved the minimum common stock prices and the options were forfeited in October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4"/>
                <w:szCs w:val="14"/>
                <w:color w:val="auto"/>
              </w:rPr>
            </w:pP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8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55"/>
        </w:trPr>
        <w:tc>
          <w:tcPr>
            <w:tcW w:w="5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73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As of September 30, 2020, total unrecognized compensation expense related to unvested stock options and restricted stock units was $13.6 million, which is expected to be recognized over a weighted average period of 3.66 years.</w:t>
      </w:r>
    </w:p>
    <w:p>
      <w:pPr>
        <w:spacing w:after="0" w:line="158"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Agreement (the “WFUHS License”), dated November 30, 2016 with Wake Forest University Health Sciences (“WFUHS”) and a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72"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$2.2 million in the aggregate upon the achievement of certain developmental milestones, commencing on the enrollment of the first patient in a Phase 1 clinical trial.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80"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During the three months and nine months ended September 30, 2020 and 2019, no milestones were achieved and no expense was recognized. Both agreements continue from their effective date through the last to expire of the licensed patents unless earlier terminated by either party.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possession of the leased property and the lease term commenced on February 15, 2020. In the quarter ended March 31, 2020, the Company recorded an operating lease right-of-use asset and operating lease liability of $0.4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2" w:name="page23"/>
    <w:bookmarkEnd w:id="22"/>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On May 28, 2020, as part of the Merger with Zafgen,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rent expense over the remaining lease term.</w:t>
      </w:r>
    </w:p>
    <w:p>
      <w:pPr>
        <w:spacing w:after="0" w:line="2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subleased the entire Premises to the Subtenant. The initial term of the Sublease commences on the date the Company receives consent to the Sublease from the landlord and shall continue until October 30, 2029. The Sublease provides for the first monthly installment of rent to be paid by the Subtenant on the date of the Sublease. After such first monthly payment, the sublease provides for rent abatement until April 1, 2021.</w:t>
      </w:r>
    </w:p>
    <w:p>
      <w:pPr>
        <w:spacing w:after="0" w:line="288" w:lineRule="exact"/>
        <w:rPr>
          <w:sz w:val="20"/>
          <w:szCs w:val="20"/>
          <w:color w:val="auto"/>
        </w:rPr>
      </w:pPr>
    </w:p>
    <w:p>
      <w:pPr>
        <w:jc w:val="both"/>
        <w:ind w:right="220" w:firstLine="589"/>
        <w:spacing w:after="0" w:line="266" w:lineRule="auto"/>
        <w:rPr>
          <w:sz w:val="20"/>
          <w:szCs w:val="20"/>
          <w:color w:val="auto"/>
        </w:rPr>
      </w:pPr>
      <w:r>
        <w:rPr>
          <w:rFonts w:ascii="Times New Roman" w:cs="Times New Roman" w:eastAsia="Times New Roman" w:hAnsi="Times New Roman"/>
          <w:sz w:val="18"/>
          <w:szCs w:val="18"/>
          <w:color w:val="auto"/>
        </w:rPr>
        <w:t>The Sublease provides for an initial annual base rent of $849,840, which increases annually up to a maximum annual base rent of $991,480.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w:t>
      </w:r>
    </w:p>
    <w:p>
      <w:pPr>
        <w:spacing w:after="0" w:line="200" w:lineRule="exact"/>
        <w:rPr>
          <w:sz w:val="20"/>
          <w:szCs w:val="20"/>
          <w:color w:val="auto"/>
        </w:rPr>
      </w:pPr>
    </w:p>
    <w:p>
      <w:pPr>
        <w:spacing w:after="0" w:line="219" w:lineRule="exact"/>
        <w:rPr>
          <w:sz w:val="20"/>
          <w:szCs w:val="20"/>
          <w:color w:val="auto"/>
        </w:rPr>
      </w:pPr>
    </w:p>
    <w:p>
      <w:pPr>
        <w:ind w:right="720" w:firstLine="589"/>
        <w:spacing w:after="0" w:line="282"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w:t>
      </w:r>
    </w:p>
    <w:p>
      <w:pPr>
        <w:spacing w:after="0" w:line="54"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Expense arising from operating leases was $0.3 million and $0.4 million during the three and nine months ended September 30, 2020, respectively, and less than $0.1 million during the three and nine months ended September 30, 2019. For operating leases, the weighted-average remaining lease term for leases at September 30, 2020 and December 31, 2019 was 8.8 and 3.3 years, respectively. For operating leases, the weighted average discount rate for leases at September 30, 2020 and December 31, 2019 was 11.0% and 12.0%, respectively. The Company has not entered into any financing leases.</w:t>
      </w:r>
    </w:p>
    <w:p>
      <w:pPr>
        <w:spacing w:after="0" w:line="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September 30, 2020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13"/>
                <w:szCs w:val="13"/>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56"/>
        </w:trPr>
        <w:tc>
          <w:tcPr>
            <w:tcW w:w="16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860"/>
              <w:spacing w:after="0" w:line="155" w:lineRule="exact"/>
              <w:rPr>
                <w:sz w:val="20"/>
                <w:szCs w:val="20"/>
                <w:color w:val="auto"/>
              </w:rPr>
            </w:pPr>
            <w:r>
              <w:rPr>
                <w:rFonts w:ascii="Times New Roman" w:cs="Times New Roman" w:eastAsia="Times New Roman" w:hAnsi="Times New Roman"/>
                <w:sz w:val="14"/>
                <w:szCs w:val="14"/>
                <w:b w:val="1"/>
                <w:bCs w:val="1"/>
                <w:color w:val="auto"/>
              </w:rPr>
              <w:t>Leases</w:t>
            </w:r>
          </w:p>
        </w:tc>
      </w:tr>
      <w:tr>
        <w:trPr>
          <w:trHeight w:val="229"/>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(October - December)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9"/>
                <w:szCs w:val="19"/>
                <w:color w:val="auto"/>
              </w:rPr>
            </w:pPr>
          </w:p>
        </w:tc>
      </w:tr>
      <w:tr>
        <w:trPr>
          <w:trHeight w:val="23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r>
      <w:tr>
        <w:trPr>
          <w:trHeight w:val="230"/>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7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FF0FC"/>
          </w:tcPr>
          <w:p>
            <w:pPr>
              <w:spacing w:after="0"/>
              <w:rPr>
                <w:sz w:val="19"/>
                <w:szCs w:val="19"/>
                <w:color w:val="auto"/>
              </w:rPr>
            </w:pPr>
          </w:p>
        </w:tc>
      </w:tr>
      <w:tr>
        <w:trPr>
          <w:trHeight w:val="23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r>
      <w:tr>
        <w:trPr>
          <w:trHeight w:val="229"/>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(3,639)</w:t>
            </w:r>
          </w:p>
        </w:tc>
      </w:tr>
      <w:tr>
        <w:trPr>
          <w:trHeight w:val="223"/>
        </w:trPr>
        <w:tc>
          <w:tcPr>
            <w:tcW w:w="92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Dr. Payne 123,853 restricted Common Units in Holdings. On November 30, 2016, 30% vested and was associated with Chondrial Therapeutics IP, LLC (“IP LLC”) becoming a subsidiary of Holdings, which subsequently contributed to the Company on December 31, 2018. The remaining 70% is associated with future services (see Note 8) vesting ratably over 48 months beginning 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right="60"/>
        <w:spacing w:after="0" w:line="266" w:lineRule="auto"/>
        <w:rPr>
          <w:sz w:val="20"/>
          <w:szCs w:val="20"/>
          <w:color w:val="auto"/>
        </w:rPr>
      </w:pPr>
      <w:r>
        <w:rPr>
          <w:rFonts w:ascii="Times New Roman" w:cs="Times New Roman" w:eastAsia="Times New Roman" w:hAnsi="Times New Roman"/>
          <w:sz w:val="18"/>
          <w:szCs w:val="18"/>
          <w:color w:val="auto"/>
        </w:rPr>
        <w:t>December 1, 2016. The consulting agreement has a four-year term, subject to earlier termination. During the three and nine months ended September 30, 2020 and 2019, the Company recognized less than $0.1 million, related to this consulting agreement, recorded as research and development expense in the Statement of Operations.</w:t>
      </w:r>
    </w:p>
    <w:p>
      <w:pPr>
        <w:spacing w:after="0" w:line="68"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The funding to the Company originated from Holdings’ sale of Series A Preferred Units and Series B convertible preferred units with Deerfield Private Design Fund IV, L.P., Deerfield Private Design Fund III, L.P. and Deerfield Health Innovations Fund, L.P. (together, the “Deerfield Funds”), and certain other purchasers, from inception through May 28, 2020 and the contribution of the proceeds received by Holdings on such sales to the Company in order to fund the Company’s operations.</w:t>
      </w:r>
    </w:p>
    <w:p>
      <w:pPr>
        <w:spacing w:after="0" w:line="72"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Under a November 30, 2016 Series A Preferred Unit Purchase Agreement, as amended on September 8, 2017, November 15, 2017, November 14, 2018 and April 29, 2019, Holdings sold Series A Preferred Units for gross proceeds of $35.6 million. The gross proceeds of $35.6 million were contributed to the Company.</w:t>
      </w:r>
    </w:p>
    <w:p>
      <w:pPr>
        <w:spacing w:after="0" w:line="68" w:lineRule="exact"/>
        <w:rPr>
          <w:sz w:val="20"/>
          <w:szCs w:val="20"/>
          <w:color w:val="auto"/>
        </w:rPr>
      </w:pPr>
    </w:p>
    <w:p>
      <w:pPr>
        <w:jc w:val="both"/>
        <w:ind w:right="40" w:firstLine="589"/>
        <w:spacing w:after="0" w:line="266" w:lineRule="auto"/>
        <w:rPr>
          <w:sz w:val="20"/>
          <w:szCs w:val="20"/>
          <w:color w:val="auto"/>
        </w:rPr>
      </w:pPr>
      <w:r>
        <w:rPr>
          <w:rFonts w:ascii="Times New Roman" w:cs="Times New Roman" w:eastAsia="Times New Roman" w:hAnsi="Times New Roman"/>
          <w:sz w:val="18"/>
          <w:szCs w:val="18"/>
          <w:color w:val="auto"/>
        </w:rPr>
        <w:t>On November 21, 2019 (as amended on December 20, 2019), Holdings entered into a Second Amended and Restated LLC Agreement and entered into a Series B Bridge Unit Purchase Agreement with the Deerfield Funds and certain other purchasers to sell Series B convertible preferred units (“Series B Bridge Units”) for gross proceeds of up to $10.0 million. The gross proceeds of $10.0 million were contributed to the Company.</w:t>
      </w:r>
    </w:p>
    <w:p>
      <w:pPr>
        <w:spacing w:after="0" w:line="68"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On January 16, 2020, Holdings entered into a Third Amended and Restated LLC Agreement and entered into a Second Series B Bridge Unit Purchase Agreement with the Deerfield Funds and certain other purchasers to sell Second Series B convertible preferred units (“Second Series B Bridge Units”) for gross proceeds of up to $15.0 million. The gross proceeds of $11.4 million were contributed to the Company.</w:t>
      </w:r>
    </w:p>
    <w:p>
      <w:pPr>
        <w:spacing w:after="0" w:line="68"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and the year December 31, 2019, Holdings provided the Company non-interest bearing, permanent funding from the above Series A and Series B preferred unit transactions, totaling $18.0 million and $19.4 million, respectively, which has been recorded as capital contributions with the balance of combined equity and additional paid in capital on the condensed consolidated balance sheets and condensed consolidated statements of changes in stockholders’ equity for each respective period. No contributions were made by Holdings subsequent to the Merger.</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4" w:name="page25"/>
    <w:bookmarkEnd w:id="24"/>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2019 included in our Current Report on Form 8-K filed with the Securities and Exchange Commission (“SEC”), on June 2, 2020, as amended on June 26, 2020.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Current Report on Form 8-K filed with the SEC on June 2, 2020, as amended on June 26, 2020, and the "Risk Factors" and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89"/>
        <w:spacing w:after="0" w:line="218"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We have received orphan drug status, fast track designation and rare pediatric disease designation, from the U.S. Food and Drug Administration (the “FDA”), for CTI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1601. In addition, we received orphan drug designation for CTI-1601 from the European Commission.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96" w:lineRule="exact"/>
        <w:rPr>
          <w:sz w:val="20"/>
          <w:szCs w:val="20"/>
          <w:color w:val="auto"/>
        </w:rPr>
      </w:pPr>
    </w:p>
    <w:p>
      <w:pPr>
        <w:jc w:val="both"/>
        <w:ind w:right="340" w:firstLine="589"/>
        <w:spacing w:after="0" w:line="266" w:lineRule="auto"/>
        <w:rPr>
          <w:sz w:val="20"/>
          <w:szCs w:val="20"/>
          <w:color w:val="auto"/>
        </w:rPr>
      </w:pPr>
      <w:r>
        <w:rPr>
          <w:rFonts w:ascii="Times New Roman" w:cs="Times New Roman" w:eastAsia="Times New Roman" w:hAnsi="Times New Roman"/>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54"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We have never generated any revenue and have, to date, incurred net losses. We incurred net losses of approximately $28.3 million and $17.1 million for the nine months ended September 30, 2020, and 2019, respectively. As of September 30, 2020, we had an accumulated deficit of $51.4 million and a cash, cash equivalents and marketable debt securities balance of $102.3 million. These losses have resulted principally from costs incurred in connection with research and development activities, in-licensing of technology and general and administrative costs associated with our operations. We expect to incur significant expenses and operating losses for the foreseeable future.</w:t>
      </w:r>
    </w:p>
    <w:p>
      <w:pPr>
        <w:spacing w:after="0" w:line="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expect to continue to incur expenses in connection with our ongoing activities, if and as we:</w:t>
      </w:r>
    </w:p>
    <w:p>
      <w:pPr>
        <w:spacing w:after="0" w:line="117" w:lineRule="exact"/>
        <w:rPr>
          <w:sz w:val="20"/>
          <w:szCs w:val="20"/>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CTI-1601 through additional clinical trials;</w:t>
      </w:r>
    </w:p>
    <w:p>
      <w:pPr>
        <w:spacing w:after="0" w:line="117"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 for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ind w:left="1160" w:hanging="572"/>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54"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its financial condition and ability to pursue our business strategy. We will need to generate significant revenue to achieve profitability, and may never do so.</w:t>
      </w:r>
    </w:p>
    <w:p>
      <w:pPr>
        <w:spacing w:after="0" w:line="84"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operating plan, our cash and cash equivalents as of the filing date will enable us to fund operations for at least twelve months from the issuance of our interim financial statements for the quarterly period ended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Zafgen</w:t>
      </w:r>
    </w:p>
    <w:p>
      <w:pPr>
        <w:spacing w:after="0" w:line="121"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On December 17, 2019, we entered into an Agreement and Plan of Merger (the “Merger Agreement”) with Zordich Merger Sub, Inc. (“Merger Sub”), our wholly-owned subsidiary, Chondrial Therapeutics Inc. (“Chondrial”), and Chondrial Holding, LLC (“Holdings”) pursuant to which the Merger Sub would merge with and into Chondrial, with Chondrial surviving the merger as our wholly owned subsidiary (the “Merger”). The Merger was completed on May 28, 2020 pursuant to the terms of the Merger Agreement.</w:t>
      </w:r>
    </w:p>
    <w:p>
      <w:pPr>
        <w:spacing w:after="0" w:line="72" w:lineRule="exact"/>
        <w:rPr>
          <w:sz w:val="20"/>
          <w:szCs w:val="20"/>
          <w:color w:val="auto"/>
        </w:rPr>
      </w:pPr>
    </w:p>
    <w:p>
      <w:pPr>
        <w:ind w:right="200" w:firstLine="589"/>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upon closing of the Merger, all of Chondrial’s outstanding common stock was exchanged for our common stock and all outstanding options exercisable for units of Holdings were exchanged for options to purchase our common stock. In addition, immediately prior to the closing of the Merger, we effected a 1 for 12 reverse stock split (the “Reverse Stock Split”) and changed our name from Zafgen, Inc. to Larimar Therapeutics, Inc. Following the Merger, the business conducted by Chondrial became our primary business.</w:t>
      </w:r>
    </w:p>
    <w:p>
      <w:pPr>
        <w:spacing w:after="0" w:line="72" w:lineRule="exact"/>
        <w:rPr>
          <w:sz w:val="20"/>
          <w:szCs w:val="20"/>
          <w:color w:val="auto"/>
        </w:rPr>
      </w:pPr>
    </w:p>
    <w:p>
      <w:pPr>
        <w:ind w:right="80" w:firstLine="589"/>
        <w:spacing w:after="0" w:line="257" w:lineRule="auto"/>
        <w:rPr>
          <w:sz w:val="20"/>
          <w:szCs w:val="20"/>
          <w:color w:val="auto"/>
        </w:rPr>
      </w:pPr>
      <w:r>
        <w:rPr>
          <w:rFonts w:ascii="Times New Roman" w:cs="Times New Roman" w:eastAsia="Times New Roman" w:hAnsi="Times New Roman"/>
          <w:sz w:val="18"/>
          <w:szCs w:val="18"/>
          <w:color w:val="auto"/>
        </w:rPr>
        <w:t>The business combination was accounted for as a reverse acquisition in accordance with U.S. generally accepted accounting principles (“GAAP”). Under this method of accounting, Chondrial was deemed to be the accounting acquirer for financial reporting purposes. This determination was primarily based on the facts that, immediately following the merger: (i) former Chondrial stockholders owned a substantial majority of the voting rights in the combined company, (ii) the majority of the board of directors of the combined company was composed of directors designated by Chondrial under the terms of the Merger Agreement and (iii) existing members of Chondrial management became the management of the combined company. Accordingly, for accounting purposes, the business combination was treated as the equivalent of Chondrial issuing stock to acquire Zafgen’s net assets. As a result, as of the closing date of the Merger, Zafgen’s net assets were recorded at their acquisition-date fair values, which were then adjusted for the difference between the purchase price and the fair value of the assets acquired, in the financial statements of Chondrial and the reported operating results prior to the business combination are those of Chondrial. As the Merger has been accounted for as an asset acquisition, goodwill has not been recorded within the condensed combined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right="280" w:firstLine="589"/>
        <w:spacing w:after="0" w:line="261" w:lineRule="auto"/>
        <w:rPr>
          <w:sz w:val="20"/>
          <w:szCs w:val="20"/>
          <w:color w:val="auto"/>
        </w:rPr>
      </w:pPr>
      <w:r>
        <w:rPr>
          <w:rFonts w:ascii="Times New Roman" w:cs="Times New Roman" w:eastAsia="Times New Roman" w:hAnsi="Times New Roman"/>
          <w:sz w:val="18"/>
          <w:szCs w:val="18"/>
          <w:color w:val="auto"/>
        </w:rPr>
        <w:t>On May 28, 2020, we entered into a Securities Purchase Agreement with certain accredited investors for the sale by us in a private placement of 6,105,359 shares of our common stock (the “Private Placement Shares”), and pre-funded warrants to purchase an aggregate of 628,403 shares of our common stock (the “Pre-funded Warrants”). The Pre-Funded Warrants are immediately exercisable at an exercise price for $0.01 and are exercisable indefinitely. We refer to this sale herein as the Private Placement.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firstLine="589"/>
        <w:spacing w:after="0" w:line="261" w:lineRule="auto"/>
        <w:rPr>
          <w:sz w:val="20"/>
          <w:szCs w:val="20"/>
          <w:color w:val="auto"/>
        </w:rPr>
      </w:pPr>
      <w:r>
        <w:rPr>
          <w:rFonts w:ascii="Times New Roman" w:cs="Times New Roman" w:eastAsia="Times New Roman" w:hAnsi="Times New Roman"/>
          <w:sz w:val="18"/>
          <w:szCs w:val="18"/>
          <w:color w:val="auto"/>
        </w:rPr>
        <w:t>The Private Placement closed on June 1, 2020. The aggregate gross proceeds for the issuance and sale of the Private Placement Shares and Pre-Funded common stock Warrants were $80.0 million and, after deducting certain of our expenses, the net proceeds we received in the Private Placement were $75.4 million. We intend to use the net proceeds from the Private Placement for research and development of our product candidates, working capital and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60" w:firstLine="58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740" w:firstLine="58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1160" w:right="160" w:hanging="572"/>
        <w:spacing w:after="0" w:line="282"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or any other product candidates we develop.</w:t>
      </w:r>
    </w:p>
    <w:p>
      <w:pPr>
        <w:spacing w:after="0" w:line="75" w:lineRule="exact"/>
        <w:rPr>
          <w:sz w:val="20"/>
          <w:szCs w:val="20"/>
          <w:color w:val="auto"/>
        </w:rPr>
      </w:pPr>
    </w:p>
    <w:p>
      <w:pPr>
        <w:ind w:right="300" w:firstLine="58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2" w:lineRule="exact"/>
        <w:rPr>
          <w:sz w:val="20"/>
          <w:szCs w:val="20"/>
          <w:color w:val="auto"/>
        </w:rPr>
      </w:pPr>
    </w:p>
    <w:p>
      <w:pPr>
        <w:ind w:left="1160" w:right="460" w:hanging="572"/>
        <w:spacing w:after="0" w:line="282"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 including the ongoing impact of COVID-19 on these activities;</w:t>
      </w:r>
    </w:p>
    <w:p>
      <w:pPr>
        <w:spacing w:after="0" w:line="5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other regulatory authority’s influence on clinical trial design;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27" w:name="page28"/>
    <w:bookmarkEnd w:id="27"/>
    <w:p>
      <w:pPr>
        <w:ind w:left="1160" w:right="340" w:hanging="572"/>
        <w:spacing w:after="0" w:line="266" w:lineRule="auto"/>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research and development personnel.</w:t>
      </w:r>
    </w:p>
    <w:p>
      <w:pPr>
        <w:spacing w:after="0" w:line="117"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our general and administrative expenses will increase in the foreseeable future as we hire additional employees to implement and improve our operational, financial and management systems. Additionally, as a publicly-traded company, we will continue to incur significant additional legal, accounting and other expenses that we did not incur as a privately-held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1160" w:hanging="572"/>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clinical trials;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nonclinical development activities;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in connection with the production of preclinical and clinical trial materials; and</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candidate manufacturing, development and distribution of clinical supplies.</w:t>
      </w:r>
    </w:p>
    <w:p>
      <w:pPr>
        <w:spacing w:after="0" w:line="117" w:lineRule="exact"/>
        <w:rPr>
          <w:sz w:val="20"/>
          <w:szCs w:val="20"/>
          <w:color w:val="auto"/>
        </w:rPr>
      </w:pPr>
    </w:p>
    <w:p>
      <w:pPr>
        <w:ind w:right="260" w:firstLine="589"/>
        <w:spacing w:after="0" w:line="282"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CROs that conduct and manage clinical trials on our behalf. The financial terms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8" w:name="page29"/>
    <w:bookmarkEnd w:id="28"/>
    <w:p>
      <w:pPr>
        <w:ind w:right="20"/>
        <w:spacing w:after="0" w:line="254" w:lineRule="auto"/>
        <w:rPr>
          <w:sz w:val="20"/>
          <w:szCs w:val="20"/>
          <w:color w:val="auto"/>
        </w:rPr>
      </w:pPr>
      <w:r>
        <w:rPr>
          <w:rFonts w:ascii="Times New Roman" w:cs="Times New Roman" w:eastAsia="Times New Roman" w:hAnsi="Times New Roman"/>
          <w:sz w:val="18"/>
          <w:szCs w:val="18"/>
          <w:color w:val="auto"/>
        </w:rPr>
        <w:t>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72"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Prior to May 28, 2020, we had been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21" w:lineRule="exact"/>
        <w:rPr>
          <w:sz w:val="20"/>
          <w:szCs w:val="20"/>
          <w:color w:val="auto"/>
        </w:rPr>
      </w:pPr>
    </w:p>
    <w:p>
      <w:pPr>
        <w:ind w:right="200" w:firstLine="589"/>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extent of the effect on our operational and financial performance will depend on future developments, including the duration, spread and intensity of the pandemic, and governmental, regulatory and private sector responses, all of which are uncertain and difficult to predict. Although we are unable to estimate the financial effect of the pandemic at this time, if the pandemic remains uncontained, it could have a material adverse effect on our business, results of operations, financial condition and cash flows. The financial statements do not reflect any adjustments as a result of the pandemic.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ind w:firstLine="589"/>
        <w:spacing w:after="0" w:line="253" w:lineRule="auto"/>
        <w:rPr>
          <w:sz w:val="20"/>
          <w:szCs w:val="20"/>
          <w:color w:val="auto"/>
        </w:rPr>
      </w:pPr>
      <w:r>
        <w:rPr>
          <w:rFonts w:ascii="Times New Roman" w:cs="Times New Roman" w:eastAsia="Times New Roman" w:hAnsi="Times New Roman"/>
          <w:sz w:val="18"/>
          <w:szCs w:val="18"/>
          <w:color w:val="auto"/>
        </w:rPr>
        <w:t>The pandemic resulted in the temporary stoppage of our CTI-1601 Phase 1 clinical trials in patients with Friedreich’s Ataxia. In July 2020, we resumed these clinical trials. We are conducting these clinical trials at one clinical trial site. Because Friedreich’s Ataxia is a rare disease, there are a limited number of patients in close proximity to the clinical trial site and clinical trial patients travel from throughout the United States to the clinical trial site to participate. After dosing, patients remain in isolation in the clinical research unit for a period of time. The travel advisories and risk of infection related to COVID-19 have presented increased risks to patients traveling to our clinical trial site for dosing and we expect to incur additional clinical trial costs to safely transport and isolate patients participating in the trial. In addition, additional stoppages or delays in the trial could result from new developments with respect to COVID-19. While top line results from the ongoing Phase 1 clinical trials were originally expected by the end of 2020, the delay in the clinical trial timeline caused by the ongoing impact of COVID-19 resulted in top line results now being expected in the first half of 2021. We may experience additional delays in clinical trial timelines as a result of additional travel and hospital restrictions related to the COVID-19 pandemic which may be imposed, including as a result of resurgences of COVID-19 cases in certain geographic areas.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2020 and 2019</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2020 and 2019:</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44"/>
        </w:trPr>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95"/>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r>
      <w:tr>
        <w:trPr>
          <w:trHeight w:val="173"/>
        </w:trPr>
        <w:tc>
          <w:tcPr>
            <w:tcW w:w="3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56"/>
        </w:trPr>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(1,115)</w:t>
            </w:r>
          </w:p>
        </w:tc>
      </w:tr>
      <w:tr>
        <w:trPr>
          <w:trHeight w:val="229"/>
        </w:trPr>
        <w:tc>
          <w:tcPr>
            <w:tcW w:w="3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60" w:firstLine="58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2020 decreased $1.1 million compared to the three months ended September 30, 2019. The decrease was primarily due to a $3.7 million decrease in clinical material manufacturing costs and toxicology studies that were partially offset by a $2.0 million increase in external clinical trial costs associated with the Phase 1 clinical trials, an increase of $0.4 million in personnel related costs due to headcount additions in our research and development functions and an increase of $0.2 million increase in stock-based compensation due to option grants made in July 2020. The $3.7 million decrease in external development costs was primarily attributable to the timing of CTI-1601 clinical trial supply manufacturing runs. The $2.0 million increase in external clinical trial costs is primarily due to the commencements of new clinical trials. The Phase 1 trials commenced in the fourth quarter of 2019 and were ongoing during the first quarter of 2020 but were paused due to issues related to COVID-19. During July 2020, we resumed our Phase 1 clinical trials of CTI-1601.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2020 increased $2.8 million compared to the three months ended September 30, 2019. The increase was due to an increase of $2.1 million of professional fees and insurance costs associated with being a public company (including legal fees, accounting tax and auditing fees, director and officer’s insurance, consulting fees and investor relations costs), an increase of $0.1 million in stock based compensation expense associated with grants made to employees and directors in July 2020, an increase of $0.3 million in personnel costs required to function as a public company, and a $0.3 million increase of facilities costs associated with the lease assumed as a result of the Merger described above.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2020 and 2019</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4"/>
        </w:trPr>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r>
      <w:tr>
        <w:trPr>
          <w:trHeight w:val="173"/>
        </w:trPr>
        <w:tc>
          <w:tcPr>
            <w:tcW w:w="3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55"/>
        </w:trPr>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80" w:type="dxa"/>
            <w:vAlign w:val="bottom"/>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8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2020 increased $5.4 million compared to the nine months ended September 30, 2019. The increase was primarily due to higher external clinical trial costs of $3.2 million associated with the Phase 1 clinical trials of CTI-1601, a $1.1 million increase due to headcount additions in our research and development functions, a $0.4 million increase in stock compensation expense, an increase of $0.4 million in clinical supply manufacturing costs with the remaining increase attributable to an increase in general laboratory expenses associated with the increased headcount. The $3.2 million increase in the Phase 1 clinical trial costs is primarily due to the commencement of new clinical trials. The Phase 1 trials commenced in the fourth quarter of 2019 and were ongoing during the first quarter of 2020 but were paused due to COVID-19. During July 2020, we resumed our Phase 1 clinical trials of CTI-1601.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8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2020 increased $5.9 million compared to the nine months ended September 30, 2019. The Increase is due to an increase in costs associated with becoming a public company, including an increase of $2.3 million in legal, accounting and auditing fees, an increase of $0.5 million in higher insurance costs associated with being a public company, an increase in $0.4 million associated with the cost of additional personnel, $0.3 million of other costs of operating as a public company, $0.2 million of higher communications costs as well as $0.1 million in board and committee fees. Also contributing to the increase were $0.7 million of additional stock compensation costs due to the modification of stock-options that converted from common unit options in Holdings to options to purchase our common stock, $0.7 million of additional consulting costs, $0.4 million of additional facilities costs associated with a lease assumed as part of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80" w:firstLine="58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(32,342)</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(14,788)</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93,345</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4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101,638</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right="180" w:firstLine="58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operating activities used $32.3 million of cash, resulting from our net loss of $28.3 million, adjusted for noncash expenses of $1.3 million and changes in our operating assets and liabilities of $5.3 million. Our net loss was primarily attributed to research and development activities related to our CTI-1601 program and our general and administrative expenses as described above. Noncash expenses primarily include stock-based compensation expense. The change in operating assets and liabilities was primarily due to an increase in accounts payable, accrued expenses and prepaid expenses due to the growth in our operating activities.</w:t>
      </w:r>
    </w:p>
    <w:p>
      <w:pPr>
        <w:spacing w:after="0" w:line="75" w:lineRule="exact"/>
        <w:rPr>
          <w:sz w:val="20"/>
          <w:szCs w:val="20"/>
          <w:color w:val="auto"/>
        </w:rPr>
      </w:pPr>
    </w:p>
    <w:p>
      <w:pPr>
        <w:ind w:right="260" w:firstLine="58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operating activities used $14.8 million of cash, resulting from net loss of $17.1 million, adjusted for noncash expenses of $0.2 million and changes in our operating assets and liabilities of $2.1 million. Our net loss was primarily attributed to research and development activities related to our CTI-1601 program and general and administrative expenses as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280" w:firstLine="589"/>
        <w:spacing w:after="0" w:line="312" w:lineRule="auto"/>
        <w:rPr>
          <w:sz w:val="20"/>
          <w:szCs w:val="20"/>
          <w:color w:val="auto"/>
        </w:rPr>
      </w:pPr>
      <w:r>
        <w:rPr>
          <w:rFonts w:ascii="Times New Roman" w:cs="Times New Roman" w:eastAsia="Times New Roman" w:hAnsi="Times New Roman"/>
          <w:sz w:val="17"/>
          <w:szCs w:val="17"/>
          <w:color w:val="auto"/>
        </w:rPr>
        <w:t>During the nine months ended September 30, 2020, investing activities provided $40.6 million of cash, resulting from a $41.9 million increase from our Merger, which was offset by transaction costs associated with the Merger of $1.2 million and $0.1 million used for the purchase of equipment.</w:t>
      </w:r>
    </w:p>
    <w:p>
      <w:pPr>
        <w:spacing w:after="0" w:line="32" w:lineRule="exact"/>
        <w:rPr>
          <w:sz w:val="20"/>
          <w:szCs w:val="20"/>
          <w:color w:val="auto"/>
        </w:rPr>
      </w:pPr>
    </w:p>
    <w:p>
      <w:pPr>
        <w:ind w:right="180" w:firstLine="58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investing activities used less than $0.1 million of cash resulting from purchases of laboratory equipment.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financing activities provided $93.3 million of cash that was the result of the proceeds from sale of common stock and prefunded common stock warrants, net of issuance costs, from the Private Placement of $75.4 million and contributions from Holdings of $18.0 million.</w:t>
      </w:r>
    </w:p>
    <w:p>
      <w:pPr>
        <w:spacing w:after="0" w:line="68"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of $15.9 million was the result of contributions from 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right="240" w:firstLine="589"/>
        <w:spacing w:after="0" w:line="282" w:lineRule="auto"/>
        <w:rPr>
          <w:sz w:val="20"/>
          <w:szCs w:val="20"/>
          <w:color w:val="auto"/>
        </w:rPr>
      </w:pPr>
      <w:r>
        <w:rPr>
          <w:rFonts w:ascii="Times New Roman" w:cs="Times New Roman" w:eastAsia="Times New Roman" w:hAnsi="Times New Roman"/>
          <w:sz w:val="18"/>
          <w:szCs w:val="18"/>
          <w:color w:val="auto"/>
        </w:rPr>
        <w:t>CTI-1601 is currently in Phase 1 clinical development, therefore we expect to continue to incur significant expenses and operating losses for the foreseeable future. We anticipate that we will continue to incur expenses, if and as we seek to:</w:t>
      </w:r>
    </w:p>
    <w:p>
      <w:pPr>
        <w:spacing w:after="0" w:line="54" w:lineRule="exact"/>
        <w:rPr>
          <w:sz w:val="20"/>
          <w:szCs w:val="20"/>
          <w:color w:val="auto"/>
        </w:rPr>
      </w:pPr>
    </w:p>
    <w:p>
      <w:pPr>
        <w:ind w:left="1160" w:right="440" w:hanging="572"/>
        <w:spacing w:after="0" w:line="282"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CTI-1601 through additional clinical trials, including the cost of clinical materials as well as manufacturing scale up costs;</w:t>
      </w:r>
    </w:p>
    <w:p>
      <w:pPr>
        <w:spacing w:after="0" w:line="53"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2" w:name="page33"/>
    <w:bookmarkEnd w:id="32"/>
    <w:p>
      <w:pPr>
        <w:ind w:left="1160" w:hanging="572"/>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54"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We expect to continue to generate operating losses for the foreseeable future. We completed the Merger on May 28, 2020 which, upon closing, provided cash, cash equivalents, restricted cash and marketable debt securities of $42.9 million concurrent with the Private Placement which provided additional net proceeds of $75.4 million. We believe that, based on our current operating plan, our cash, cash equivalents and marketable debt securities as of the filing date, we will be able to fund operations for at least twelve months.</w:t>
      </w:r>
    </w:p>
    <w:p>
      <w:pPr>
        <w:spacing w:after="0" w:line="72" w:lineRule="exact"/>
        <w:rPr>
          <w:sz w:val="20"/>
          <w:szCs w:val="20"/>
          <w:color w:val="auto"/>
        </w:rPr>
      </w:pPr>
    </w:p>
    <w:p>
      <w:pPr>
        <w:ind w:right="280" w:firstLine="58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seek additional funding through a combination of equity offerings, debt financings, other third-party funding, marketing and distribution arrangements, and other collaborations, strategic alliances and licensing arrangements. We may not be able to obtain financing on acceptable terms, or at all, and we may not be able to enter into collaborations or other arrangements. The terms of any financing may adversely affect the holdings or our existing stockholders’ rights. If we are unable to obtain additional funding, we will be forced to delay, reduce or eliminate some or all of our research and development programs, product portfolio expansion or commercialization efforts, which would adversely affect our business, or we may be unable to continue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380" w:firstLine="589"/>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of Item 1 of this Quarterly Report on Form 10-Q for a description of recent accounting pronouncements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Management’s Evaluation of our Disclosure Controls and Procedures</w:t>
      </w:r>
    </w:p>
    <w:p>
      <w:pPr>
        <w:spacing w:after="0" w:line="121" w:lineRule="exact"/>
        <w:rPr>
          <w:sz w:val="20"/>
          <w:szCs w:val="20"/>
          <w:color w:val="auto"/>
        </w:rPr>
      </w:pPr>
    </w:p>
    <w:p>
      <w:pPr>
        <w:ind w:right="240" w:firstLine="58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75"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2"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that as of September 30, 2020, our disclosure controls and procedures were not effective at the reasonable assurance level due the material weakness in internal control over financial reporting previously disclosed in our Form 8-K/A dated June 26, 2020.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ind w:right="200" w:firstLine="589"/>
        <w:spacing w:after="0" w:line="261"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including our principal executive officer and principal financial officer, have determined, based on the procedures we have performed, that the condensed consolidated financial statements included in this Quarterly Report on Form 10-Q fairly represent in all material respects our financial condition, results of operations and cash flows at September 30, 2020 and for the periods presented in accordance with U.S. GAAP.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Previously identified material weaknesses in internal control over financial reporting</w:t>
      </w:r>
    </w:p>
    <w:p>
      <w:pPr>
        <w:spacing w:after="0" w:line="119"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As part of the audit of our consolidated financial statements as of and for the years ended December 31, 2019 and 2018,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material weaknesses we identified were as follows:</w:t>
      </w:r>
    </w:p>
    <w:p>
      <w:pPr>
        <w:spacing w:after="0" w:line="117" w:lineRule="exact"/>
        <w:rPr>
          <w:sz w:val="20"/>
          <w:szCs w:val="20"/>
          <w:color w:val="auto"/>
        </w:rPr>
      </w:pPr>
    </w:p>
    <w:p>
      <w:pPr>
        <w:ind w:left="1160" w:right="80" w:hanging="572"/>
        <w:spacing w:after="0" w:line="256"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effective control environment commensurate with our financial reporting requirements. We lacked a sufficient number of professionals with an appropriate level of accounting and controls knowledge, training and experience to appropriately analyze, record and disclose accounting matters timely, completely and accurately. Additionally, the limited personnel resulted in our inability to consistently establish appropriate authorities and responsibilities in pursuit of our financial reporting objectives, as demonstrated by, amongst other things, our insufficient segregation of duties in our finance and accounting functions. This material weakness contributed to the following material weakness.</w:t>
      </w:r>
    </w:p>
    <w:p>
      <w:pPr>
        <w:spacing w:after="0" w:line="92" w:lineRule="exact"/>
        <w:rPr>
          <w:rFonts w:ascii="Times New Roman" w:cs="Times New Roman" w:eastAsia="Times New Roman" w:hAnsi="Times New Roman"/>
          <w:sz w:val="18"/>
          <w:szCs w:val="18"/>
          <w:color w:val="auto"/>
        </w:rPr>
      </w:pPr>
    </w:p>
    <w:p>
      <w:pPr>
        <w:ind w:left="1160" w:right="60" w:hanging="572"/>
        <w:spacing w:after="0" w:line="258"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adequate controls over the preparation and review of certain account reconciliations and journal entries. Specifically, we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our consolidated financial statements as of and for the years ended December 31, 2019 and 2018.</w:t>
      </w:r>
    </w:p>
    <w:p>
      <w:pPr>
        <w:spacing w:after="0" w:line="75"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Each of these control deficiencies could result in a misstatement of our accounts or disclosures that would result in a material misstatement of our consolidated financial statements that would not be prevented or detected, and accordingly, we determined these control deficiencies constitute material weaknesses.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119"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We are in the process of implementing measures designed to improve our internal control over financial reporting and remediate the control deficiencies that led to these material weaknesses, including hiring additional finance and accounting personnel and initiating design and implementation of controls to enhance our internal controls over financial reporting including the establishment of formal accounting policies and procedures. In particular, we have hired a Chief Financial Officer, Vice President, Controller and Accounting Manager and retained as consultants certain finance and accounting personnel that were previously employed by Zafgen, to supplement our accounting and finance department during a transition period.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ind w:firstLine="589"/>
        <w:spacing w:after="0" w:line="256" w:lineRule="auto"/>
        <w:rPr>
          <w:sz w:val="20"/>
          <w:szCs w:val="20"/>
          <w:color w:val="auto"/>
        </w:rPr>
      </w:pPr>
      <w:r>
        <w:rPr>
          <w:rFonts w:ascii="Times New Roman" w:cs="Times New Roman" w:eastAsia="Times New Roman" w:hAnsi="Times New Roman"/>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certain of the remediation measures described above. The material weakness will not be considered remediated until the applicable controls operate for a sufficient period of time and management has concluded, through testing, that these controls are operating effectively.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20" w:firstLine="589"/>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changes in our internal control over financial reporting during the three months ended September 30, 2020 that have materially affected, or are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60" w:firstLine="58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business. To our knowledge, there are no threatened or pending legal actions that could reasonably be expected to have a material adverse effect on our business, financial condition, results of operations or cash flows.</w:t>
      </w:r>
    </w:p>
    <w:p>
      <w:pPr>
        <w:spacing w:after="0" w:line="17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Current Report on Form 8-K filed with the SEC on June 2, 2020, as amended on June 26, 2020. The risks described in our Annual Report and such Current Report on Form 8-K are not the only risks facing our Company. Additional risk and uncertainties not currently known to us or that we currently deem to be immaterial also may materially adversely affect our business, financial condition or future results.</w:t>
      </w:r>
    </w:p>
    <w:p>
      <w:pPr>
        <w:spacing w:after="0" w:line="17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333" w:right="579" w:bottom="1440" w:gutter="0" w:footer="0" w:header="0"/>
        </w:sectPr>
      </w:pPr>
    </w:p>
    <w:bookmarkStart w:id="36" w:name="page37"/>
    <w:bookmarkEnd w:id="36"/>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8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80" w:type="dxa"/>
            <w:vAlign w:val="bottom"/>
            <w:gridSpan w:val="12"/>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200" w:type="dxa"/>
            <w:vAlign w:val="bottom"/>
            <w:tcBorders>
              <w:top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9700" w:type="dxa"/>
            <w:vAlign w:val="bottom"/>
            <w:tcBorders>
              <w:top w:val="single" w:sz="8" w:color="auto"/>
              <w:bottom w:val="single" w:sz="8" w:color="0000EE"/>
            </w:tcBorders>
            <w:gridSpan w:val="12"/>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Equity Distribution Agreement by and between the Company and Piper Sandler &amp; Co. (incorporated by reference to Exhibit 1.2 of the</w:t>
              </w:r>
            </w:hyperlink>
          </w:p>
        </w:tc>
        <w:tc>
          <w:tcPr>
            <w:tcW w:w="140" w:type="dxa"/>
            <w:vAlign w:val="bottom"/>
            <w:tcBorders>
              <w:top w:val="single" w:sz="8" w:color="auto"/>
            </w:tcBorders>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Company’s Registration Statement on Form S-3 filed on August 14, 2020).</w:t>
              </w:r>
            </w:hyperlink>
          </w:p>
        </w:tc>
        <w:tc>
          <w:tcPr>
            <w:tcW w:w="4420" w:type="dxa"/>
            <w:vAlign w:val="bottom"/>
            <w:gridSpan w:val="9"/>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96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Larimar Therapeutics, Inc. 2020 Equity Incentive Plan (incorporated by reference to Exhibit 10.1 to the Company’s Current Report on</w:t>
              </w:r>
            </w:hyperlink>
          </w:p>
        </w:tc>
        <w:tc>
          <w:tcPr>
            <w:tcW w:w="16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8- K filed on September 29, 2020).</w:t>
              </w:r>
            </w:hyperlink>
          </w:p>
        </w:tc>
        <w:tc>
          <w:tcPr>
            <w:tcW w:w="6880" w:type="dxa"/>
            <w:vAlign w:val="bottom"/>
            <w:gridSpan w:val="13"/>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Larimar Therapeutics, Inc. Form of Stock Option Grant Notice and Award Agreement (incorporated by reference to Exhibit 10.2 to the</w:t>
              </w:r>
            </w:hyperlink>
          </w:p>
        </w:tc>
        <w:tc>
          <w:tcPr>
            <w:tcW w:w="1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Company’s Current Report on Form 8-K filed on September 29, 2020).</w:t>
              </w:r>
            </w:hyperlink>
          </w:p>
        </w:tc>
        <w:tc>
          <w:tcPr>
            <w:tcW w:w="4700" w:type="dxa"/>
            <w:vAlign w:val="bottom"/>
            <w:gridSpan w:val="10"/>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9840" w:type="dxa"/>
            <w:vAlign w:val="bottom"/>
            <w:gridSpan w:val="14"/>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Employment agreement by and between the Company and Carole Ben-Maimon, M.D., dated July 31, 2020 (incorporated by reference</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to Exhibit 10.1 to the Company’s Current Report on Form 8-K filed on August 6, 2020).</w:t>
              </w:r>
            </w:hyperlink>
          </w:p>
        </w:tc>
        <w:tc>
          <w:tcPr>
            <w:tcW w:w="3300" w:type="dxa"/>
            <w:vAlign w:val="bottom"/>
            <w:tcBorders>
              <w:top w:val="single" w:sz="8" w:color="0000EE"/>
            </w:tcBorders>
            <w:gridSpan w:val="4"/>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90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Sublease, dated October 27, 2020 by and between Larimar Therapeutics, Inc. and Massachusetts Municipal Association, Inc.</w:t>
              </w:r>
            </w:hyperlink>
          </w:p>
        </w:tc>
        <w:tc>
          <w:tcPr>
            <w:tcW w:w="840" w:type="dxa"/>
            <w:vAlign w:val="bottom"/>
            <w:gridSpan w:val="7"/>
          </w:tcPr>
          <w:p>
            <w:pPr>
              <w:spacing w:after="0"/>
              <w:rPr>
                <w:sz w:val="24"/>
                <w:szCs w:val="24"/>
                <w:color w:val="auto"/>
              </w:rPr>
            </w:pPr>
          </w:p>
        </w:tc>
      </w:tr>
      <w:tr>
        <w:trPr>
          <w:trHeight w:val="237"/>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40" w:type="dxa"/>
            <w:vAlign w:val="bottom"/>
            <w:gridSpan w:val="14"/>
          </w:tcPr>
          <w:p>
            <w:pPr>
              <w:spacing w:after="0"/>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(incorporated by reference to Exhibit 10.1 to the Company’s Current Report on Form 8-K filed on October 30, 2020).</w:t>
              </w:r>
            </w:hyperlink>
          </w:p>
        </w:tc>
      </w:tr>
      <w:tr>
        <w:trPr>
          <w:trHeight w:val="297"/>
        </w:trPr>
        <w:tc>
          <w:tcPr>
            <w:tcW w:w="120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95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Certification of Principal Executive Officer pursuant to Rule 13a-14(a) or Rule 15d-14(a) of the Securities Exchange Act of 1934, as</w:t>
              </w:r>
            </w:hyperlink>
          </w:p>
        </w:tc>
        <w:tc>
          <w:tcPr>
            <w:tcW w:w="28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14"/>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adopted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20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9840" w:type="dxa"/>
            <w:vAlign w:val="bottom"/>
            <w:gridSpan w:val="1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Certification of Principal Financial Officer pursuant to Rule 13a-14(a) or Rule 15d-14(a) of the Securities Exchange Act of 1934, as</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adopted pursuant to Section 302 of the Sarbanes-Oxley Act of 2002.</w:t>
              </w:r>
            </w:hyperlink>
          </w:p>
        </w:tc>
        <w:tc>
          <w:tcPr>
            <w:tcW w:w="340" w:type="dxa"/>
            <w:vAlign w:val="bottom"/>
            <w:gridSpan w:val="6"/>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2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9840" w:type="dxa"/>
            <w:vAlign w:val="bottom"/>
            <w:gridSpan w:val="1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Certification of Principal Executive Officer and Principal Financial Officer pursuant to 18 U.S.C. Section 1350, as adopted pursuant to</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Section 906 of the Sarbanes-Oxley Act of 2002.</w:t>
              </w:r>
            </w:hyperlink>
          </w:p>
        </w:tc>
        <w:tc>
          <w:tcPr>
            <w:tcW w:w="140" w:type="dxa"/>
            <w:vAlign w:val="bottom"/>
            <w:gridSpan w:val="2"/>
          </w:tcPr>
          <w:p>
            <w:pPr>
              <w:spacing w:after="0"/>
              <w:rPr>
                <w:sz w:val="17"/>
                <w:szCs w:val="17"/>
                <w:color w:val="auto"/>
              </w:rPr>
            </w:pPr>
          </w:p>
        </w:tc>
      </w:tr>
      <w:tr>
        <w:trPr>
          <w:trHeight w:val="358"/>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380" w:type="dxa"/>
            <w:vAlign w:val="bottom"/>
            <w:gridSpan w:val="12"/>
          </w:tcPr>
          <w:p>
            <w:pPr>
              <w:spacing w:after="0"/>
              <w:rPr>
                <w:sz w:val="24"/>
                <w:szCs w:val="24"/>
                <w:color w:val="auto"/>
              </w:rPr>
            </w:pP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Document.</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 Document.</w:t>
            </w:r>
          </w:p>
        </w:tc>
      </w:tr>
    </w:tbl>
    <w:p>
      <w:pPr>
        <w:spacing w:after="0" w:line="103"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5540" w:right="3260" w:hanging="5532"/>
        <w:spacing w:after="0" w:line="532" w:lineRule="auto"/>
        <w:tabs>
          <w:tab w:leader="none" w:pos="5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LARIMAR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24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3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3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24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89"/>
        </w:trPr>
        <w:tc>
          <w:tcPr>
            <w:tcW w:w="3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3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53"/>
        </w:trPr>
        <w:tc>
          <w:tcPr>
            <w:tcW w:w="3680" w:type="dxa"/>
            <w:vAlign w:val="bottom"/>
          </w:tcPr>
          <w:p>
            <w:pPr>
              <w:spacing w:after="0"/>
              <w:rPr>
                <w:sz w:val="24"/>
                <w:szCs w:val="24"/>
                <w:color w:val="auto"/>
              </w:rPr>
            </w:pPr>
          </w:p>
        </w:tc>
        <w:tc>
          <w:tcPr>
            <w:tcW w:w="2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240" w:right="180" w:hanging="409"/>
        <w:spacing w:after="0" w:line="266"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240" w:right="120" w:hanging="409"/>
        <w:spacing w:after="0" w:line="266"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240" w:right="280" w:hanging="409"/>
        <w:spacing w:after="0" w:line="306" w:lineRule="auto"/>
        <w:tabs>
          <w:tab w:leader="none" w:pos="12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240" w:right="280" w:hanging="409"/>
        <w:spacing w:after="0" w:line="266"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240" w:right="520" w:hanging="409"/>
        <w:spacing w:after="0" w:line="282"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240" w:right="220" w:hanging="409"/>
        <w:spacing w:after="0" w:line="282"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68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240" w:right="180" w:hanging="409"/>
        <w:spacing w:after="0" w:line="266"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240" w:right="120" w:hanging="409"/>
        <w:spacing w:after="0" w:line="266"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240" w:right="280" w:hanging="409"/>
        <w:spacing w:after="0" w:line="306" w:lineRule="auto"/>
        <w:tabs>
          <w:tab w:leader="none" w:pos="12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240" w:right="280" w:hanging="409"/>
        <w:spacing w:after="0" w:line="266"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240" w:right="520" w:hanging="409"/>
        <w:spacing w:after="0" w:line="282"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240" w:right="220" w:hanging="409"/>
        <w:spacing w:after="0" w:line="282"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Celano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ectPr>
          <w:pgSz w:w="11900" w:h="16838" w:orient="portrait"/>
          <w:cols w:equalWidth="0" w:num="1">
            <w:col w:w="11240"/>
          </w:cols>
          <w:pgMar w:left="320" w:top="3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35" w:lineRule="exact"/>
        <w:rPr>
          <w:sz w:val="20"/>
          <w:szCs w:val="20"/>
          <w:color w:val="auto"/>
        </w:rPr>
      </w:pPr>
    </w:p>
    <w:p>
      <w:pPr>
        <w:ind w:left="1660" w:right="200" w:hanging="829"/>
        <w:spacing w:after="0" w:line="282" w:lineRule="auto"/>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2020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660" w:right="180" w:hanging="829"/>
        <w:spacing w:after="0" w:line="282" w:lineRule="auto"/>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46" Type="http://schemas.openxmlformats.org/officeDocument/2006/relationships/hyperlink" Target="http://www.sec.gov/Archives/edgar/data/0001374690/000119312520220606/d25139dex12.htm" TargetMode="External"/><Relationship Id="rId47" Type="http://schemas.openxmlformats.org/officeDocument/2006/relationships/hyperlink" Target="http://www.sec.gov/Archives/edgar/data/0001374690/000119312520257168/d887315dex101.htm" TargetMode="External"/><Relationship Id="rId48" Type="http://schemas.openxmlformats.org/officeDocument/2006/relationships/hyperlink" Target="http://www.sec.gov/Archives/edgar/data/1374690/000119312520257168/d887315dex102.htm" TargetMode="External"/><Relationship Id="rId49" Type="http://schemas.openxmlformats.org/officeDocument/2006/relationships/hyperlink" Target="http://www.sec.gov/Archives/edgar/data/0001374690/000119312520211426/d82303dex101.htm" TargetMode="External"/><Relationship Id="rId50" Type="http://schemas.openxmlformats.org/officeDocument/2006/relationships/hyperlink" Target="http://www.sec.gov/Archives/edgar/data/0001374690/000119312520282731/d373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2020-11-12T15:49:10Z</dcterms:created>
  <dcterms:modified xsi:type="dcterms:W3CDTF">2020-11-12T15:49:10Z</dcterms:modified>
</cp:coreProperties>
</file>