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ind w:left="2660"/>
        <w:spacing w:after="0"/>
        <w:rPr>
          <w:sz w:val="20"/>
          <w:szCs w:val="20"/>
          <w:color w:val="auto"/>
        </w:rPr>
      </w:pPr>
      <w:r>
        <w:rPr>
          <w:rFonts w:ascii="Arial" w:cs="Arial" w:eastAsia="Arial" w:hAnsi="Arial"/>
          <w:sz w:val="18"/>
          <w:szCs w:val="18"/>
          <w:b w:val="1"/>
          <w:bCs w:val="1"/>
          <w:color w:val="auto"/>
        </w:rPr>
        <w:t>As filed with the Securities and Exchange Commission on August 14, 2020</w:t>
      </w:r>
    </w:p>
    <w:p>
      <w:pPr>
        <w:spacing w:after="0" w:line="77" w:lineRule="exact"/>
        <w:rPr>
          <w:sz w:val="24"/>
          <w:szCs w:val="24"/>
          <w:color w:val="auto"/>
        </w:rPr>
      </w:pPr>
    </w:p>
    <w:p>
      <w:pPr>
        <w:ind w:left="8840"/>
        <w:spacing w:after="0"/>
        <w:rPr>
          <w:sz w:val="20"/>
          <w:szCs w:val="20"/>
          <w:color w:val="auto"/>
        </w:rPr>
      </w:pPr>
      <w:r>
        <w:rPr>
          <w:rFonts w:ascii="Arial" w:cs="Arial" w:eastAsia="Arial" w:hAnsi="Arial"/>
          <w:sz w:val="17"/>
          <w:szCs w:val="17"/>
          <w:b w:val="1"/>
          <w:bCs w:val="1"/>
          <w:color w:val="auto"/>
        </w:rPr>
        <w:t>Registration No. 333-</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-1905</wp:posOffset>
            </wp:positionH>
            <wp:positionV relativeFrom="paragraph">
              <wp:posOffset>84455</wp:posOffset>
            </wp:positionV>
            <wp:extent cx="6995160" cy="88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6995160" cy="8890"/>
                    </a:xfrm>
                    <a:prstGeom prst="rect">
                      <a:avLst/>
                    </a:prstGeom>
                    <a:noFill/>
                  </pic:spPr>
                </pic:pic>
              </a:graphicData>
            </a:graphic>
          </wp:anchor>
        </w:drawing>
        <w:drawing>
          <wp:anchor simplePos="0" relativeHeight="251657728" behindDoc="1" locked="0" layoutInCell="0" allowOverlap="1">
            <wp:simplePos x="0" y="0"/>
            <wp:positionH relativeFrom="column">
              <wp:posOffset>-1905</wp:posOffset>
            </wp:positionH>
            <wp:positionV relativeFrom="paragraph">
              <wp:posOffset>127635</wp:posOffset>
            </wp:positionV>
            <wp:extent cx="699516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6995160" cy="8890"/>
                    </a:xfrm>
                    <a:prstGeom prst="rect">
                      <a:avLst/>
                    </a:prstGeom>
                    <a:noFill/>
                  </pic:spPr>
                </pic:pic>
              </a:graphicData>
            </a:graphic>
          </wp:anchor>
        </w:drawing>
      </w:r>
    </w:p>
    <w:p>
      <w:pPr>
        <w:spacing w:after="0" w:line="234" w:lineRule="exact"/>
        <w:rPr>
          <w:sz w:val="24"/>
          <w:szCs w:val="24"/>
          <w:color w:val="auto"/>
        </w:rPr>
      </w:pPr>
    </w:p>
    <w:p>
      <w:pPr>
        <w:jc w:val="center"/>
        <w:ind w:right="-399"/>
        <w:spacing w:after="0"/>
        <w:rPr>
          <w:sz w:val="20"/>
          <w:szCs w:val="20"/>
          <w:color w:val="auto"/>
        </w:rPr>
      </w:pPr>
      <w:r>
        <w:rPr>
          <w:rFonts w:ascii="Arial" w:cs="Arial" w:eastAsia="Arial" w:hAnsi="Arial"/>
          <w:sz w:val="32"/>
          <w:szCs w:val="32"/>
          <w:b w:val="1"/>
          <w:bCs w:val="1"/>
          <w:color w:val="auto"/>
        </w:rPr>
        <w:t>UNITED STATES</w:t>
      </w:r>
    </w:p>
    <w:p>
      <w:pPr>
        <w:spacing w:after="0" w:line="31" w:lineRule="exact"/>
        <w:rPr>
          <w:sz w:val="24"/>
          <w:szCs w:val="24"/>
          <w:color w:val="auto"/>
        </w:rPr>
      </w:pPr>
    </w:p>
    <w:p>
      <w:pPr>
        <w:jc w:val="center"/>
        <w:ind w:right="-399"/>
        <w:spacing w:after="0"/>
        <w:rPr>
          <w:sz w:val="20"/>
          <w:szCs w:val="20"/>
          <w:color w:val="auto"/>
        </w:rPr>
      </w:pPr>
      <w:r>
        <w:rPr>
          <w:rFonts w:ascii="Arial" w:cs="Arial" w:eastAsia="Arial" w:hAnsi="Arial"/>
          <w:sz w:val="32"/>
          <w:szCs w:val="32"/>
          <w:b w:val="1"/>
          <w:bCs w:val="1"/>
          <w:color w:val="auto"/>
        </w:rPr>
        <w:t>SECURITIES AND EXCHANGE COMMISSION</w:t>
      </w:r>
    </w:p>
    <w:p>
      <w:pPr>
        <w:jc w:val="center"/>
        <w:ind w:right="-399"/>
        <w:spacing w:after="0"/>
        <w:rPr>
          <w:sz w:val="20"/>
          <w:szCs w:val="20"/>
          <w:color w:val="auto"/>
        </w:rPr>
      </w:pPr>
      <w:r>
        <w:rPr>
          <w:rFonts w:ascii="Arial" w:cs="Arial" w:eastAsia="Arial" w:hAnsi="Arial"/>
          <w:sz w:val="22"/>
          <w:szCs w:val="22"/>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2757805</wp:posOffset>
            </wp:positionH>
            <wp:positionV relativeFrom="paragraph">
              <wp:posOffset>218440</wp:posOffset>
            </wp:positionV>
            <wp:extent cx="1474470"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200" w:lineRule="exact"/>
        <w:rPr>
          <w:sz w:val="24"/>
          <w:szCs w:val="24"/>
          <w:color w:val="auto"/>
        </w:rPr>
      </w:pPr>
    </w:p>
    <w:p>
      <w:pPr>
        <w:spacing w:after="0" w:line="313" w:lineRule="exact"/>
        <w:rPr>
          <w:sz w:val="24"/>
          <w:szCs w:val="24"/>
          <w:color w:val="auto"/>
        </w:rPr>
      </w:pPr>
    </w:p>
    <w:p>
      <w:pPr>
        <w:jc w:val="center"/>
        <w:ind w:right="-399"/>
        <w:spacing w:after="0"/>
        <w:rPr>
          <w:sz w:val="20"/>
          <w:szCs w:val="20"/>
          <w:color w:val="auto"/>
        </w:rPr>
      </w:pPr>
      <w:r>
        <w:rPr>
          <w:rFonts w:ascii="Arial" w:cs="Arial" w:eastAsia="Arial" w:hAnsi="Arial"/>
          <w:sz w:val="32"/>
          <w:szCs w:val="32"/>
          <w:b w:val="1"/>
          <w:bCs w:val="1"/>
          <w:color w:val="auto"/>
        </w:rPr>
        <w:t>FORM S-3</w:t>
      </w:r>
    </w:p>
    <w:p>
      <w:pPr>
        <w:spacing w:after="0" w:line="31" w:lineRule="exact"/>
        <w:rPr>
          <w:sz w:val="24"/>
          <w:szCs w:val="24"/>
          <w:color w:val="auto"/>
        </w:rPr>
      </w:pPr>
    </w:p>
    <w:p>
      <w:pPr>
        <w:jc w:val="center"/>
        <w:ind w:right="-399"/>
        <w:spacing w:after="0"/>
        <w:rPr>
          <w:sz w:val="20"/>
          <w:szCs w:val="20"/>
          <w:color w:val="auto"/>
        </w:rPr>
      </w:pPr>
      <w:r>
        <w:rPr>
          <w:rFonts w:ascii="Arial" w:cs="Arial" w:eastAsia="Arial" w:hAnsi="Arial"/>
          <w:sz w:val="32"/>
          <w:szCs w:val="32"/>
          <w:b w:val="1"/>
          <w:bCs w:val="1"/>
          <w:color w:val="auto"/>
        </w:rPr>
        <w:t>REGISTRATION STATEMENT</w:t>
      </w:r>
    </w:p>
    <w:p>
      <w:pPr>
        <w:jc w:val="center"/>
        <w:ind w:right="-399"/>
        <w:spacing w:after="0" w:line="230" w:lineRule="auto"/>
        <w:rPr>
          <w:sz w:val="20"/>
          <w:szCs w:val="20"/>
          <w:color w:val="auto"/>
        </w:rPr>
      </w:pPr>
      <w:r>
        <w:rPr>
          <w:rFonts w:ascii="Arial" w:cs="Arial" w:eastAsia="Arial" w:hAnsi="Arial"/>
          <w:sz w:val="22"/>
          <w:szCs w:val="22"/>
          <w:b w:val="1"/>
          <w:bCs w:val="1"/>
          <w:i w:val="1"/>
          <w:iCs w:val="1"/>
          <w:color w:val="auto"/>
        </w:rPr>
        <w:t>UNDER</w:t>
      </w:r>
    </w:p>
    <w:p>
      <w:pPr>
        <w:spacing w:after="0" w:line="1" w:lineRule="exact"/>
        <w:rPr>
          <w:sz w:val="24"/>
          <w:szCs w:val="24"/>
          <w:color w:val="auto"/>
        </w:rPr>
      </w:pPr>
    </w:p>
    <w:p>
      <w:pPr>
        <w:jc w:val="center"/>
        <w:ind w:right="-399"/>
        <w:spacing w:after="0"/>
        <w:rPr>
          <w:sz w:val="20"/>
          <w:szCs w:val="20"/>
          <w:color w:val="auto"/>
        </w:rPr>
      </w:pPr>
      <w:r>
        <w:rPr>
          <w:rFonts w:ascii="Arial" w:cs="Arial" w:eastAsia="Arial" w:hAnsi="Arial"/>
          <w:sz w:val="22"/>
          <w:szCs w:val="22"/>
          <w:b w:val="1"/>
          <w:bCs w:val="1"/>
          <w:i w:val="1"/>
          <w:iCs w:val="1"/>
          <w:color w:val="auto"/>
        </w:rPr>
        <w:t>THE SECURITIES ACT OF 1933</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2757805</wp:posOffset>
            </wp:positionH>
            <wp:positionV relativeFrom="paragraph">
              <wp:posOffset>218440</wp:posOffset>
            </wp:positionV>
            <wp:extent cx="1474470" cy="82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200" w:lineRule="exact"/>
        <w:rPr>
          <w:sz w:val="24"/>
          <w:szCs w:val="24"/>
          <w:color w:val="auto"/>
        </w:rPr>
      </w:pPr>
    </w:p>
    <w:p>
      <w:pPr>
        <w:spacing w:after="0" w:line="311" w:lineRule="exact"/>
        <w:rPr>
          <w:sz w:val="24"/>
          <w:szCs w:val="24"/>
          <w:color w:val="auto"/>
        </w:rPr>
      </w:pPr>
    </w:p>
    <w:p>
      <w:pPr>
        <w:jc w:val="center"/>
        <w:ind w:right="-399"/>
        <w:spacing w:after="0"/>
        <w:rPr>
          <w:sz w:val="20"/>
          <w:szCs w:val="20"/>
          <w:color w:val="auto"/>
        </w:rPr>
      </w:pPr>
      <w:r>
        <w:rPr>
          <w:rFonts w:ascii="Arial" w:cs="Arial" w:eastAsia="Arial" w:hAnsi="Arial"/>
          <w:sz w:val="43"/>
          <w:szCs w:val="43"/>
          <w:b w:val="1"/>
          <w:bCs w:val="1"/>
          <w:color w:val="auto"/>
        </w:rPr>
        <w:t>Larimar Therapeutics, Inc.</w:t>
      </w:r>
    </w:p>
    <w:p>
      <w:pPr>
        <w:spacing w:after="0" w:line="50" w:lineRule="exact"/>
        <w:rPr>
          <w:sz w:val="24"/>
          <w:szCs w:val="24"/>
          <w:color w:val="auto"/>
        </w:rPr>
      </w:pPr>
    </w:p>
    <w:p>
      <w:pPr>
        <w:ind w:left="3500"/>
        <w:spacing w:after="0"/>
        <w:rPr>
          <w:sz w:val="20"/>
          <w:szCs w:val="20"/>
          <w:color w:val="auto"/>
        </w:rPr>
      </w:pPr>
      <w:r>
        <w:rPr>
          <w:rFonts w:ascii="Arial" w:cs="Arial" w:eastAsia="Arial" w:hAnsi="Arial"/>
          <w:sz w:val="18"/>
          <w:szCs w:val="18"/>
          <w:b w:val="1"/>
          <w:bCs w:val="1"/>
          <w:color w:val="auto"/>
        </w:rPr>
        <w:t>(Exact name of Registrant as specified in its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2757805</wp:posOffset>
            </wp:positionH>
            <wp:positionV relativeFrom="paragraph">
              <wp:posOffset>236220</wp:posOffset>
            </wp:positionV>
            <wp:extent cx="1474470" cy="82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17" w:lineRule="exact"/>
        <w:rPr>
          <w:sz w:val="24"/>
          <w:szCs w:val="24"/>
          <w:color w:val="auto"/>
        </w:rPr>
      </w:pPr>
    </w:p>
    <w:tbl>
      <w:tblPr>
        <w:tblLayout w:type="fixed"/>
        <w:tblInd w:w="1840" w:type="dxa"/>
        <w:tblCellMar>
          <w:top w:w="0" w:type="dxa"/>
          <w:left w:w="0" w:type="dxa"/>
          <w:bottom w:w="0" w:type="dxa"/>
          <w:right w:w="0" w:type="dxa"/>
        </w:tblCellMar>
      </w:tblPr>
      <w:tr>
        <w:trPr>
          <w:trHeight w:val="212"/>
        </w:trPr>
        <w:tc>
          <w:tcPr>
            <w:tcW w:w="3900" w:type="dxa"/>
            <w:vAlign w:val="bottom"/>
          </w:tcPr>
          <w:p>
            <w:pPr>
              <w:jc w:val="center"/>
              <w:ind w:right="1942"/>
              <w:spacing w:after="0"/>
              <w:rPr>
                <w:sz w:val="20"/>
                <w:szCs w:val="20"/>
                <w:color w:val="auto"/>
              </w:rPr>
            </w:pPr>
            <w:r>
              <w:rPr>
                <w:rFonts w:ascii="Arial" w:cs="Arial" w:eastAsia="Arial" w:hAnsi="Arial"/>
                <w:sz w:val="18"/>
                <w:szCs w:val="18"/>
                <w:b w:val="1"/>
                <w:bCs w:val="1"/>
                <w:color w:val="auto"/>
                <w:w w:val="91"/>
              </w:rPr>
              <w:t>Delaware</w:t>
            </w:r>
          </w:p>
        </w:tc>
        <w:tc>
          <w:tcPr>
            <w:tcW w:w="3160" w:type="dxa"/>
            <w:vAlign w:val="bottom"/>
          </w:tcPr>
          <w:p>
            <w:pPr>
              <w:jc w:val="center"/>
              <w:ind w:left="1962"/>
              <w:spacing w:after="0"/>
              <w:rPr>
                <w:sz w:val="20"/>
                <w:szCs w:val="20"/>
                <w:color w:val="auto"/>
              </w:rPr>
            </w:pPr>
            <w:r>
              <w:rPr>
                <w:rFonts w:ascii="Arial" w:cs="Arial" w:eastAsia="Arial" w:hAnsi="Arial"/>
                <w:sz w:val="18"/>
                <w:szCs w:val="18"/>
                <w:b w:val="1"/>
                <w:bCs w:val="1"/>
                <w:color w:val="auto"/>
                <w:w w:val="91"/>
              </w:rPr>
              <w:t>20-3857670</w:t>
            </w:r>
          </w:p>
        </w:tc>
      </w:tr>
      <w:tr>
        <w:trPr>
          <w:trHeight w:val="148"/>
        </w:trPr>
        <w:tc>
          <w:tcPr>
            <w:tcW w:w="3900" w:type="dxa"/>
            <w:vAlign w:val="bottom"/>
          </w:tcPr>
          <w:p>
            <w:pPr>
              <w:jc w:val="center"/>
              <w:ind w:right="1942"/>
              <w:spacing w:after="0" w:line="149" w:lineRule="exact"/>
              <w:rPr>
                <w:sz w:val="20"/>
                <w:szCs w:val="20"/>
                <w:color w:val="auto"/>
              </w:rPr>
            </w:pPr>
            <w:r>
              <w:rPr>
                <w:rFonts w:ascii="Arial" w:cs="Arial" w:eastAsia="Arial" w:hAnsi="Arial"/>
                <w:sz w:val="14"/>
                <w:szCs w:val="14"/>
                <w:b w:val="1"/>
                <w:bCs w:val="1"/>
                <w:color w:val="auto"/>
                <w:w w:val="93"/>
              </w:rPr>
              <w:t>(State or other jurisdiction of</w:t>
            </w:r>
          </w:p>
        </w:tc>
        <w:tc>
          <w:tcPr>
            <w:tcW w:w="3160" w:type="dxa"/>
            <w:vAlign w:val="bottom"/>
          </w:tcPr>
          <w:p>
            <w:pPr>
              <w:jc w:val="center"/>
              <w:ind w:left="1962"/>
              <w:spacing w:after="0" w:line="149" w:lineRule="exact"/>
              <w:rPr>
                <w:sz w:val="20"/>
                <w:szCs w:val="20"/>
                <w:color w:val="auto"/>
              </w:rPr>
            </w:pPr>
            <w:r>
              <w:rPr>
                <w:rFonts w:ascii="Arial" w:cs="Arial" w:eastAsia="Arial" w:hAnsi="Arial"/>
                <w:sz w:val="14"/>
                <w:szCs w:val="14"/>
                <w:b w:val="1"/>
                <w:bCs w:val="1"/>
                <w:color w:val="auto"/>
                <w:w w:val="96"/>
              </w:rPr>
              <w:t>(I.R.S. Employer</w:t>
            </w:r>
          </w:p>
        </w:tc>
      </w:tr>
      <w:tr>
        <w:trPr>
          <w:trHeight w:val="186"/>
        </w:trPr>
        <w:tc>
          <w:tcPr>
            <w:tcW w:w="3900" w:type="dxa"/>
            <w:vAlign w:val="bottom"/>
          </w:tcPr>
          <w:p>
            <w:pPr>
              <w:jc w:val="center"/>
              <w:ind w:right="1942"/>
              <w:spacing w:after="0"/>
              <w:rPr>
                <w:sz w:val="20"/>
                <w:szCs w:val="20"/>
                <w:color w:val="auto"/>
              </w:rPr>
            </w:pPr>
            <w:r>
              <w:rPr>
                <w:rFonts w:ascii="Arial" w:cs="Arial" w:eastAsia="Arial" w:hAnsi="Arial"/>
                <w:sz w:val="14"/>
                <w:szCs w:val="14"/>
                <w:b w:val="1"/>
                <w:bCs w:val="1"/>
                <w:color w:val="auto"/>
                <w:w w:val="94"/>
              </w:rPr>
              <w:t>incorporation or organization)</w:t>
            </w:r>
          </w:p>
        </w:tc>
        <w:tc>
          <w:tcPr>
            <w:tcW w:w="3160" w:type="dxa"/>
            <w:vAlign w:val="bottom"/>
          </w:tcPr>
          <w:p>
            <w:pPr>
              <w:jc w:val="center"/>
              <w:ind w:left="1962"/>
              <w:spacing w:after="0"/>
              <w:rPr>
                <w:sz w:val="20"/>
                <w:szCs w:val="20"/>
                <w:color w:val="auto"/>
              </w:rPr>
            </w:pPr>
            <w:r>
              <w:rPr>
                <w:rFonts w:ascii="Arial" w:cs="Arial" w:eastAsia="Arial" w:hAnsi="Arial"/>
                <w:sz w:val="14"/>
                <w:szCs w:val="14"/>
                <w:b w:val="1"/>
                <w:bCs w:val="1"/>
                <w:color w:val="auto"/>
                <w:w w:val="94"/>
              </w:rPr>
              <w:t>Identification No.)</w:t>
            </w:r>
          </w:p>
        </w:tc>
      </w:tr>
    </w:tbl>
    <w:p>
      <w:pPr>
        <w:spacing w:after="0" w:line="196" w:lineRule="exact"/>
        <w:rPr>
          <w:sz w:val="24"/>
          <w:szCs w:val="24"/>
          <w:color w:val="auto"/>
        </w:rPr>
      </w:pPr>
    </w:p>
    <w:p>
      <w:pPr>
        <w:jc w:val="center"/>
        <w:ind w:right="-399"/>
        <w:spacing w:after="0"/>
        <w:rPr>
          <w:sz w:val="20"/>
          <w:szCs w:val="20"/>
          <w:color w:val="auto"/>
        </w:rPr>
      </w:pPr>
      <w:r>
        <w:rPr>
          <w:rFonts w:ascii="Arial" w:cs="Arial" w:eastAsia="Arial" w:hAnsi="Arial"/>
          <w:sz w:val="18"/>
          <w:szCs w:val="18"/>
          <w:b w:val="1"/>
          <w:bCs w:val="1"/>
          <w:color w:val="auto"/>
        </w:rPr>
        <w:t>Three Bala Plaza East, Suite 506</w:t>
      </w:r>
    </w:p>
    <w:p>
      <w:pPr>
        <w:spacing w:after="0" w:line="27" w:lineRule="exact"/>
        <w:rPr>
          <w:sz w:val="24"/>
          <w:szCs w:val="24"/>
          <w:color w:val="auto"/>
        </w:rPr>
      </w:pPr>
    </w:p>
    <w:p>
      <w:pPr>
        <w:jc w:val="center"/>
        <w:ind w:right="-399"/>
        <w:spacing w:after="0"/>
        <w:rPr>
          <w:sz w:val="20"/>
          <w:szCs w:val="20"/>
          <w:color w:val="auto"/>
        </w:rPr>
      </w:pPr>
      <w:r>
        <w:rPr>
          <w:rFonts w:ascii="Arial" w:cs="Arial" w:eastAsia="Arial" w:hAnsi="Arial"/>
          <w:sz w:val="18"/>
          <w:szCs w:val="18"/>
          <w:b w:val="1"/>
          <w:bCs w:val="1"/>
          <w:color w:val="auto"/>
        </w:rPr>
        <w:t>Bala Cynwyd, PA 19004</w:t>
      </w:r>
    </w:p>
    <w:p>
      <w:pPr>
        <w:spacing w:after="0" w:line="9" w:lineRule="exact"/>
        <w:rPr>
          <w:sz w:val="24"/>
          <w:szCs w:val="24"/>
          <w:color w:val="auto"/>
        </w:rPr>
      </w:pPr>
    </w:p>
    <w:p>
      <w:pPr>
        <w:jc w:val="center"/>
        <w:ind w:right="-399"/>
        <w:spacing w:after="0"/>
        <w:rPr>
          <w:sz w:val="20"/>
          <w:szCs w:val="20"/>
          <w:color w:val="auto"/>
        </w:rPr>
      </w:pPr>
      <w:r>
        <w:rPr>
          <w:rFonts w:ascii="Arial" w:cs="Arial" w:eastAsia="Arial" w:hAnsi="Arial"/>
          <w:sz w:val="18"/>
          <w:szCs w:val="18"/>
          <w:b w:val="1"/>
          <w:bCs w:val="1"/>
          <w:color w:val="auto"/>
        </w:rPr>
        <w:t>(844) 511-9056</w:t>
      </w:r>
    </w:p>
    <w:p>
      <w:pPr>
        <w:spacing w:after="0" w:line="2" w:lineRule="exact"/>
        <w:rPr>
          <w:sz w:val="24"/>
          <w:szCs w:val="24"/>
          <w:color w:val="auto"/>
        </w:rPr>
      </w:pPr>
    </w:p>
    <w:p>
      <w:pPr>
        <w:ind w:left="1960"/>
        <w:spacing w:after="0"/>
        <w:rPr>
          <w:sz w:val="20"/>
          <w:szCs w:val="20"/>
          <w:color w:val="auto"/>
        </w:rPr>
      </w:pPr>
      <w:r>
        <w:rPr>
          <w:rFonts w:ascii="Arial" w:cs="Arial" w:eastAsia="Arial" w:hAnsi="Arial"/>
          <w:sz w:val="14"/>
          <w:szCs w:val="14"/>
          <w:b w:val="1"/>
          <w:bCs w:val="1"/>
          <w:color w:val="auto"/>
        </w:rPr>
        <w:t>(Address, including zip code, and telephone number, including area code, of Registrant’s principal executive offices)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2757805</wp:posOffset>
            </wp:positionH>
            <wp:positionV relativeFrom="paragraph">
              <wp:posOffset>227965</wp:posOffset>
            </wp:positionV>
            <wp:extent cx="1474470"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474470" cy="8890"/>
                    </a:xfrm>
                    <a:prstGeom prst="rect">
                      <a:avLst/>
                    </a:prstGeom>
                    <a:noFill/>
                  </pic:spPr>
                </pic:pic>
              </a:graphicData>
            </a:graphic>
          </wp:anchor>
        </w:drawing>
      </w:r>
    </w:p>
    <w:p>
      <w:pPr>
        <w:spacing w:after="0" w:line="200" w:lineRule="exact"/>
        <w:rPr>
          <w:sz w:val="24"/>
          <w:szCs w:val="24"/>
          <w:color w:val="auto"/>
        </w:rPr>
      </w:pPr>
    </w:p>
    <w:p>
      <w:pPr>
        <w:spacing w:after="0" w:line="350" w:lineRule="exact"/>
        <w:rPr>
          <w:sz w:val="24"/>
          <w:szCs w:val="24"/>
          <w:color w:val="auto"/>
        </w:rPr>
      </w:pPr>
    </w:p>
    <w:p>
      <w:pPr>
        <w:jc w:val="center"/>
        <w:ind w:right="-399"/>
        <w:spacing w:after="0"/>
        <w:rPr>
          <w:sz w:val="20"/>
          <w:szCs w:val="20"/>
          <w:color w:val="auto"/>
        </w:rPr>
      </w:pPr>
      <w:r>
        <w:rPr>
          <w:rFonts w:ascii="Arial" w:cs="Arial" w:eastAsia="Arial" w:hAnsi="Arial"/>
          <w:sz w:val="18"/>
          <w:szCs w:val="18"/>
          <w:b w:val="1"/>
          <w:bCs w:val="1"/>
          <w:color w:val="auto"/>
        </w:rPr>
        <w:t>Carole Ben-Maimon, M.D.</w:t>
      </w:r>
    </w:p>
    <w:p>
      <w:pPr>
        <w:spacing w:after="0" w:line="27" w:lineRule="exact"/>
        <w:rPr>
          <w:sz w:val="24"/>
          <w:szCs w:val="24"/>
          <w:color w:val="auto"/>
        </w:rPr>
      </w:pPr>
    </w:p>
    <w:p>
      <w:pPr>
        <w:jc w:val="center"/>
        <w:ind w:right="-399"/>
        <w:spacing w:after="0"/>
        <w:rPr>
          <w:sz w:val="20"/>
          <w:szCs w:val="20"/>
          <w:color w:val="auto"/>
        </w:rPr>
      </w:pPr>
      <w:r>
        <w:rPr>
          <w:rFonts w:ascii="Arial" w:cs="Arial" w:eastAsia="Arial" w:hAnsi="Arial"/>
          <w:sz w:val="18"/>
          <w:szCs w:val="18"/>
          <w:b w:val="1"/>
          <w:bCs w:val="1"/>
          <w:color w:val="auto"/>
        </w:rPr>
        <w:t>President and Chief Executive Officer</w:t>
      </w:r>
    </w:p>
    <w:p>
      <w:pPr>
        <w:spacing w:after="0" w:line="9" w:lineRule="exact"/>
        <w:rPr>
          <w:sz w:val="24"/>
          <w:szCs w:val="24"/>
          <w:color w:val="auto"/>
        </w:rPr>
      </w:pPr>
    </w:p>
    <w:p>
      <w:pPr>
        <w:jc w:val="center"/>
        <w:ind w:right="-399"/>
        <w:spacing w:after="0"/>
        <w:rPr>
          <w:sz w:val="20"/>
          <w:szCs w:val="20"/>
          <w:color w:val="auto"/>
        </w:rPr>
      </w:pPr>
      <w:r>
        <w:rPr>
          <w:rFonts w:ascii="Arial" w:cs="Arial" w:eastAsia="Arial" w:hAnsi="Arial"/>
          <w:sz w:val="18"/>
          <w:szCs w:val="18"/>
          <w:b w:val="1"/>
          <w:bCs w:val="1"/>
          <w:color w:val="auto"/>
        </w:rPr>
        <w:t>Larimar Therapeutics, Inc.</w:t>
      </w:r>
    </w:p>
    <w:p>
      <w:pPr>
        <w:spacing w:after="0" w:line="9" w:lineRule="exact"/>
        <w:rPr>
          <w:sz w:val="24"/>
          <w:szCs w:val="24"/>
          <w:color w:val="auto"/>
        </w:rPr>
      </w:pPr>
    </w:p>
    <w:p>
      <w:pPr>
        <w:jc w:val="center"/>
        <w:ind w:right="-399"/>
        <w:spacing w:after="0"/>
        <w:rPr>
          <w:sz w:val="20"/>
          <w:szCs w:val="20"/>
          <w:color w:val="auto"/>
        </w:rPr>
      </w:pPr>
      <w:r>
        <w:rPr>
          <w:rFonts w:ascii="Arial" w:cs="Arial" w:eastAsia="Arial" w:hAnsi="Arial"/>
          <w:sz w:val="18"/>
          <w:szCs w:val="18"/>
          <w:b w:val="1"/>
          <w:bCs w:val="1"/>
          <w:color w:val="auto"/>
        </w:rPr>
        <w:t>Three Bala Plaza East, Suite 506</w:t>
      </w:r>
    </w:p>
    <w:p>
      <w:pPr>
        <w:spacing w:after="0" w:line="9" w:lineRule="exact"/>
        <w:rPr>
          <w:sz w:val="24"/>
          <w:szCs w:val="24"/>
          <w:color w:val="auto"/>
        </w:rPr>
      </w:pPr>
    </w:p>
    <w:p>
      <w:pPr>
        <w:jc w:val="center"/>
        <w:ind w:right="-399"/>
        <w:spacing w:after="0"/>
        <w:rPr>
          <w:sz w:val="20"/>
          <w:szCs w:val="20"/>
          <w:color w:val="auto"/>
        </w:rPr>
      </w:pPr>
      <w:r>
        <w:rPr>
          <w:rFonts w:ascii="Arial" w:cs="Arial" w:eastAsia="Arial" w:hAnsi="Arial"/>
          <w:sz w:val="18"/>
          <w:szCs w:val="18"/>
          <w:b w:val="1"/>
          <w:bCs w:val="1"/>
          <w:color w:val="auto"/>
        </w:rPr>
        <w:t>Bala Cynwyd, PA 19004</w:t>
      </w:r>
    </w:p>
    <w:p>
      <w:pPr>
        <w:spacing w:after="0" w:line="9" w:lineRule="exact"/>
        <w:rPr>
          <w:sz w:val="24"/>
          <w:szCs w:val="24"/>
          <w:color w:val="auto"/>
        </w:rPr>
      </w:pPr>
    </w:p>
    <w:p>
      <w:pPr>
        <w:jc w:val="center"/>
        <w:ind w:right="-399"/>
        <w:spacing w:after="0"/>
        <w:rPr>
          <w:sz w:val="20"/>
          <w:szCs w:val="20"/>
          <w:color w:val="auto"/>
        </w:rPr>
      </w:pPr>
      <w:r>
        <w:rPr>
          <w:rFonts w:ascii="Arial" w:cs="Arial" w:eastAsia="Arial" w:hAnsi="Arial"/>
          <w:sz w:val="18"/>
          <w:szCs w:val="18"/>
          <w:b w:val="1"/>
          <w:bCs w:val="1"/>
          <w:color w:val="auto"/>
        </w:rPr>
        <w:t>(844) 511-9056</w:t>
      </w:r>
    </w:p>
    <w:p>
      <w:pPr>
        <w:spacing w:after="0" w:line="2" w:lineRule="exact"/>
        <w:rPr>
          <w:sz w:val="24"/>
          <w:szCs w:val="24"/>
          <w:color w:val="auto"/>
        </w:rPr>
      </w:pPr>
    </w:p>
    <w:p>
      <w:pPr>
        <w:ind w:left="2440"/>
        <w:spacing w:after="0"/>
        <w:rPr>
          <w:sz w:val="20"/>
          <w:szCs w:val="20"/>
          <w:color w:val="auto"/>
        </w:rPr>
      </w:pPr>
      <w:r>
        <w:rPr>
          <w:rFonts w:ascii="Arial" w:cs="Arial" w:eastAsia="Arial" w:hAnsi="Arial"/>
          <w:sz w:val="14"/>
          <w:szCs w:val="14"/>
          <w:b w:val="1"/>
          <w:bCs w:val="1"/>
          <w:color w:val="auto"/>
        </w:rPr>
        <w:t>(Name, address, including zip code, and telephone number, including area code, of agent for service)</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2757805</wp:posOffset>
            </wp:positionH>
            <wp:positionV relativeFrom="paragraph">
              <wp:posOffset>219075</wp:posOffset>
            </wp:positionV>
            <wp:extent cx="1474470"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200" w:lineRule="exact"/>
        <w:rPr>
          <w:sz w:val="24"/>
          <w:szCs w:val="24"/>
          <w:color w:val="auto"/>
        </w:rPr>
      </w:pPr>
    </w:p>
    <w:p>
      <w:pPr>
        <w:spacing w:after="0" w:line="340" w:lineRule="exact"/>
        <w:rPr>
          <w:sz w:val="24"/>
          <w:szCs w:val="24"/>
          <w:color w:val="auto"/>
        </w:rPr>
      </w:pPr>
    </w:p>
    <w:p>
      <w:pPr>
        <w:jc w:val="center"/>
        <w:ind w:right="-399"/>
        <w:spacing w:after="0"/>
        <w:rPr>
          <w:sz w:val="20"/>
          <w:szCs w:val="20"/>
          <w:color w:val="auto"/>
        </w:rPr>
      </w:pPr>
      <w:r>
        <w:rPr>
          <w:rFonts w:ascii="Arial" w:cs="Arial" w:eastAsia="Arial" w:hAnsi="Arial"/>
          <w:sz w:val="18"/>
          <w:szCs w:val="18"/>
          <w:b w:val="1"/>
          <w:bCs w:val="1"/>
          <w:i w:val="1"/>
          <w:iCs w:val="1"/>
          <w:color w:val="auto"/>
        </w:rPr>
        <w:t>Copies to:</w:t>
      </w:r>
    </w:p>
    <w:p>
      <w:pPr>
        <w:spacing w:after="0" w:line="113" w:lineRule="exact"/>
        <w:rPr>
          <w:sz w:val="24"/>
          <w:szCs w:val="24"/>
          <w:color w:val="auto"/>
        </w:rPr>
      </w:pPr>
    </w:p>
    <w:p>
      <w:pPr>
        <w:jc w:val="center"/>
        <w:ind w:right="-399"/>
        <w:spacing w:after="0"/>
        <w:rPr>
          <w:sz w:val="20"/>
          <w:szCs w:val="20"/>
          <w:color w:val="auto"/>
        </w:rPr>
      </w:pPr>
      <w:r>
        <w:rPr>
          <w:rFonts w:ascii="Arial" w:cs="Arial" w:eastAsia="Arial" w:hAnsi="Arial"/>
          <w:sz w:val="18"/>
          <w:szCs w:val="18"/>
          <w:b w:val="1"/>
          <w:bCs w:val="1"/>
          <w:color w:val="auto"/>
        </w:rPr>
        <w:t>Rachael M. Bushey, Esq.</w:t>
      </w:r>
    </w:p>
    <w:p>
      <w:pPr>
        <w:spacing w:after="0" w:line="27" w:lineRule="exact"/>
        <w:rPr>
          <w:sz w:val="24"/>
          <w:szCs w:val="24"/>
          <w:color w:val="auto"/>
        </w:rPr>
      </w:pPr>
    </w:p>
    <w:p>
      <w:pPr>
        <w:jc w:val="center"/>
        <w:ind w:right="-399"/>
        <w:spacing w:after="0"/>
        <w:rPr>
          <w:sz w:val="20"/>
          <w:szCs w:val="20"/>
          <w:color w:val="auto"/>
        </w:rPr>
      </w:pPr>
      <w:r>
        <w:rPr>
          <w:rFonts w:ascii="Arial" w:cs="Arial" w:eastAsia="Arial" w:hAnsi="Arial"/>
          <w:sz w:val="18"/>
          <w:szCs w:val="18"/>
          <w:b w:val="1"/>
          <w:bCs w:val="1"/>
          <w:color w:val="auto"/>
        </w:rPr>
        <w:t>Jennifer L. Porter, Esq.</w:t>
      </w:r>
    </w:p>
    <w:p>
      <w:pPr>
        <w:spacing w:after="0" w:line="9" w:lineRule="exact"/>
        <w:rPr>
          <w:sz w:val="24"/>
          <w:szCs w:val="24"/>
          <w:color w:val="auto"/>
        </w:rPr>
      </w:pPr>
    </w:p>
    <w:p>
      <w:pPr>
        <w:jc w:val="center"/>
        <w:ind w:right="-399"/>
        <w:spacing w:after="0"/>
        <w:rPr>
          <w:sz w:val="20"/>
          <w:szCs w:val="20"/>
          <w:color w:val="auto"/>
        </w:rPr>
      </w:pPr>
      <w:r>
        <w:rPr>
          <w:rFonts w:ascii="Arial" w:cs="Arial" w:eastAsia="Arial" w:hAnsi="Arial"/>
          <w:sz w:val="18"/>
          <w:szCs w:val="18"/>
          <w:b w:val="1"/>
          <w:bCs w:val="1"/>
          <w:color w:val="auto"/>
        </w:rPr>
        <w:t>Troutman Pepper Hamilton Sanders LLP</w:t>
      </w:r>
    </w:p>
    <w:p>
      <w:pPr>
        <w:spacing w:after="0" w:line="9" w:lineRule="exact"/>
        <w:rPr>
          <w:sz w:val="24"/>
          <w:szCs w:val="24"/>
          <w:color w:val="auto"/>
        </w:rPr>
      </w:pPr>
    </w:p>
    <w:p>
      <w:pPr>
        <w:jc w:val="center"/>
        <w:ind w:right="-399"/>
        <w:spacing w:after="0"/>
        <w:rPr>
          <w:sz w:val="20"/>
          <w:szCs w:val="20"/>
          <w:color w:val="auto"/>
        </w:rPr>
      </w:pPr>
      <w:r>
        <w:rPr>
          <w:rFonts w:ascii="Arial" w:cs="Arial" w:eastAsia="Arial" w:hAnsi="Arial"/>
          <w:sz w:val="18"/>
          <w:szCs w:val="18"/>
          <w:b w:val="1"/>
          <w:bCs w:val="1"/>
          <w:color w:val="auto"/>
        </w:rPr>
        <w:t>3000 Two Logan Square</w:t>
      </w:r>
    </w:p>
    <w:p>
      <w:pPr>
        <w:spacing w:after="0" w:line="9" w:lineRule="exact"/>
        <w:rPr>
          <w:sz w:val="24"/>
          <w:szCs w:val="24"/>
          <w:color w:val="auto"/>
        </w:rPr>
      </w:pPr>
    </w:p>
    <w:p>
      <w:pPr>
        <w:jc w:val="center"/>
        <w:ind w:right="-399"/>
        <w:spacing w:after="0"/>
        <w:rPr>
          <w:sz w:val="20"/>
          <w:szCs w:val="20"/>
          <w:color w:val="auto"/>
        </w:rPr>
      </w:pPr>
      <w:r>
        <w:rPr>
          <w:rFonts w:ascii="Arial" w:cs="Arial" w:eastAsia="Arial" w:hAnsi="Arial"/>
          <w:sz w:val="18"/>
          <w:szCs w:val="18"/>
          <w:b w:val="1"/>
          <w:bCs w:val="1"/>
          <w:color w:val="auto"/>
        </w:rPr>
        <w:t>Eighteenth and Arch Streets</w:t>
      </w:r>
    </w:p>
    <w:p>
      <w:pPr>
        <w:spacing w:after="0" w:line="9" w:lineRule="exact"/>
        <w:rPr>
          <w:sz w:val="24"/>
          <w:szCs w:val="24"/>
          <w:color w:val="auto"/>
        </w:rPr>
      </w:pPr>
    </w:p>
    <w:p>
      <w:pPr>
        <w:jc w:val="center"/>
        <w:ind w:right="-399"/>
        <w:spacing w:after="0"/>
        <w:rPr>
          <w:sz w:val="20"/>
          <w:szCs w:val="20"/>
          <w:color w:val="auto"/>
        </w:rPr>
      </w:pPr>
      <w:r>
        <w:rPr>
          <w:rFonts w:ascii="Arial" w:cs="Arial" w:eastAsia="Arial" w:hAnsi="Arial"/>
          <w:sz w:val="18"/>
          <w:szCs w:val="18"/>
          <w:b w:val="1"/>
          <w:bCs w:val="1"/>
          <w:color w:val="auto"/>
        </w:rPr>
        <w:t>Philadelphia, PA 19103</w:t>
      </w:r>
    </w:p>
    <w:p>
      <w:pPr>
        <w:spacing w:after="0" w:line="9" w:lineRule="exact"/>
        <w:rPr>
          <w:sz w:val="24"/>
          <w:szCs w:val="24"/>
          <w:color w:val="auto"/>
        </w:rPr>
      </w:pPr>
    </w:p>
    <w:p>
      <w:pPr>
        <w:jc w:val="center"/>
        <w:ind w:right="-399"/>
        <w:spacing w:after="0"/>
        <w:rPr>
          <w:sz w:val="20"/>
          <w:szCs w:val="20"/>
          <w:color w:val="auto"/>
        </w:rPr>
      </w:pPr>
      <w:r>
        <w:rPr>
          <w:rFonts w:ascii="Arial" w:cs="Arial" w:eastAsia="Arial" w:hAnsi="Arial"/>
          <w:sz w:val="18"/>
          <w:szCs w:val="18"/>
          <w:b w:val="1"/>
          <w:bCs w:val="1"/>
          <w:color w:val="auto"/>
        </w:rPr>
        <w:t>(215) 981-4000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2757805</wp:posOffset>
            </wp:positionH>
            <wp:positionV relativeFrom="paragraph">
              <wp:posOffset>228600</wp:posOffset>
            </wp:positionV>
            <wp:extent cx="1474470"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1474470" cy="8890"/>
                    </a:xfrm>
                    <a:prstGeom prst="rect">
                      <a:avLst/>
                    </a:prstGeom>
                    <a:noFill/>
                  </pic:spPr>
                </pic:pic>
              </a:graphicData>
            </a:graphic>
          </wp:anchor>
        </w:drawing>
      </w:r>
    </w:p>
    <w:p>
      <w:pPr>
        <w:spacing w:after="0" w:line="200" w:lineRule="exact"/>
        <w:rPr>
          <w:sz w:val="24"/>
          <w:szCs w:val="24"/>
          <w:color w:val="auto"/>
        </w:rPr>
      </w:pPr>
    </w:p>
    <w:p>
      <w:pPr>
        <w:spacing w:after="0" w:line="351" w:lineRule="exact"/>
        <w:rPr>
          <w:sz w:val="24"/>
          <w:szCs w:val="24"/>
          <w:color w:val="auto"/>
        </w:rPr>
      </w:pPr>
    </w:p>
    <w:p>
      <w:pPr>
        <w:spacing w:after="0"/>
        <w:rPr>
          <w:sz w:val="20"/>
          <w:szCs w:val="20"/>
          <w:color w:val="auto"/>
        </w:rPr>
      </w:pPr>
      <w:r>
        <w:rPr>
          <w:rFonts w:ascii="Arial" w:cs="Arial" w:eastAsia="Arial" w:hAnsi="Arial"/>
          <w:sz w:val="16"/>
          <w:szCs w:val="16"/>
          <w:b w:val="1"/>
          <w:bCs w:val="1"/>
          <w:color w:val="auto"/>
        </w:rPr>
        <w:t>Approximate date of commencement of proposed sale to the public</w:t>
      </w:r>
      <w:r>
        <w:rPr>
          <w:rFonts w:ascii="Arial" w:cs="Arial" w:eastAsia="Arial" w:hAnsi="Arial"/>
          <w:sz w:val="16"/>
          <w:szCs w:val="16"/>
          <w:color w:val="auto"/>
        </w:rPr>
        <w:t>: From time to time after the effective date of this Registration Statement.</w:t>
      </w:r>
    </w:p>
    <w:p>
      <w:pPr>
        <w:spacing w:after="0" w:line="252" w:lineRule="exact"/>
        <w:rPr>
          <w:sz w:val="24"/>
          <w:szCs w:val="24"/>
          <w:color w:val="auto"/>
        </w:rPr>
      </w:pPr>
    </w:p>
    <w:p>
      <w:pPr>
        <w:spacing w:after="0" w:line="233" w:lineRule="exact"/>
        <w:rPr>
          <w:sz w:val="20"/>
          <w:szCs w:val="20"/>
          <w:color w:val="auto"/>
        </w:rPr>
      </w:pPr>
      <w:r>
        <w:rPr>
          <w:rFonts w:ascii="Arial" w:cs="Arial" w:eastAsia="Arial" w:hAnsi="Arial"/>
          <w:sz w:val="18"/>
          <w:szCs w:val="18"/>
          <w:color w:val="auto"/>
        </w:rPr>
        <w:t xml:space="preserve">If the only securities being registered on this Form are being offered pursuant to dividend or interest reinvestment plans, please check the following box. </w:t>
      </w:r>
      <w:r>
        <w:rPr>
          <w:rFonts w:ascii="MS PGothic" w:cs="MS PGothic" w:eastAsia="MS PGothic" w:hAnsi="MS PGothic"/>
          <w:sz w:val="18"/>
          <w:szCs w:val="18"/>
          <w:color w:val="auto"/>
        </w:rPr>
        <w:t>☐</w:t>
      </w:r>
    </w:p>
    <w:p>
      <w:pPr>
        <w:sectPr>
          <w:pgSz w:w="11900" w:h="16838" w:orient="portrait"/>
          <w:cols w:equalWidth="0" w:num="1">
            <w:col w:w="10620"/>
          </w:cols>
          <w:pgMar w:left="440" w:top="229" w:right="839" w:bottom="1440" w:gutter="0" w:footer="0" w:header="0"/>
        </w:sectPr>
      </w:pPr>
    </w:p>
    <w:bookmarkStart w:id="1" w:name="page2"/>
    <w:bookmarkEnd w:id="1"/>
    <w:p>
      <w:pPr>
        <w:ind w:left="4" w:right="120"/>
        <w:spacing w:after="0" w:line="233" w:lineRule="exact"/>
        <w:rPr>
          <w:sz w:val="20"/>
          <w:szCs w:val="20"/>
          <w:color w:val="auto"/>
        </w:rPr>
      </w:pPr>
      <w:r>
        <w:rPr>
          <w:rFonts w:ascii="Arial" w:cs="Arial" w:eastAsia="Arial" w:hAnsi="Arial"/>
          <w:sz w:val="17"/>
          <w:szCs w:val="17"/>
          <w:color w:val="auto"/>
        </w:rPr>
        <w:t xml:space="preserve">If any of the securities being registered on this Form are to be offered on a delayed or continuous basis pursuant to Rule 415 under the Securities Act of 1933, other than securities offered only in connection with dividend or interest reinvestment plans, check the following box. </w:t>
      </w:r>
      <w:r>
        <w:rPr>
          <w:rFonts w:ascii="MS PGothic" w:cs="MS PGothic" w:eastAsia="MS PGothic" w:hAnsi="MS PGothic"/>
          <w:sz w:val="17"/>
          <w:szCs w:val="17"/>
          <w:color w:val="auto"/>
        </w:rPr>
        <w:t>☒</w:t>
      </w:r>
    </w:p>
    <w:p>
      <w:pPr>
        <w:spacing w:after="0" w:line="182" w:lineRule="exact"/>
        <w:rPr>
          <w:sz w:val="20"/>
          <w:szCs w:val="20"/>
          <w:color w:val="auto"/>
        </w:rPr>
      </w:pPr>
    </w:p>
    <w:p>
      <w:pPr>
        <w:ind w:left="4" w:right="100"/>
        <w:spacing w:after="0" w:line="233" w:lineRule="exact"/>
        <w:rPr>
          <w:sz w:val="20"/>
          <w:szCs w:val="20"/>
          <w:color w:val="auto"/>
        </w:rPr>
      </w:pPr>
      <w:r>
        <w:rPr>
          <w:rFonts w:ascii="Arial" w:cs="Arial" w:eastAsia="Arial" w:hAnsi="Arial"/>
          <w:sz w:val="17"/>
          <w:szCs w:val="17"/>
          <w:color w:val="auto"/>
        </w:rPr>
        <w:t xml:space="preserve">If this Form is filed to register additional securities for an offering pursuant to Rule 462(b) under the Securities Act, please check the following box and list the Securities Act registration statement number of the earlier effective registration statement for the same offering. </w:t>
      </w:r>
      <w:r>
        <w:rPr>
          <w:rFonts w:ascii="MS PGothic" w:cs="MS PGothic" w:eastAsia="MS PGothic" w:hAnsi="MS PGothic"/>
          <w:sz w:val="17"/>
          <w:szCs w:val="17"/>
          <w:color w:val="auto"/>
        </w:rPr>
        <w:t>☐</w:t>
      </w:r>
    </w:p>
    <w:p>
      <w:pPr>
        <w:spacing w:after="0" w:line="182" w:lineRule="exact"/>
        <w:rPr>
          <w:sz w:val="20"/>
          <w:szCs w:val="20"/>
          <w:color w:val="auto"/>
        </w:rPr>
      </w:pPr>
    </w:p>
    <w:p>
      <w:pPr>
        <w:ind w:left="4" w:right="320"/>
        <w:spacing w:after="0" w:line="233" w:lineRule="exact"/>
        <w:rPr>
          <w:sz w:val="20"/>
          <w:szCs w:val="20"/>
          <w:color w:val="auto"/>
        </w:rPr>
      </w:pPr>
      <w:r>
        <w:rPr>
          <w:rFonts w:ascii="Arial" w:cs="Arial" w:eastAsia="Arial" w:hAnsi="Arial"/>
          <w:sz w:val="18"/>
          <w:szCs w:val="18"/>
          <w:color w:val="auto"/>
        </w:rPr>
        <w:t xml:space="preserve">If this Form is a post-effective amendment filed pursuant to Rule 462(c) under the Securities Act, check the following box and list the Securities Act registration statement number of the earlier effective registration statement for the same offering. </w:t>
      </w:r>
      <w:r>
        <w:rPr>
          <w:rFonts w:ascii="MS PGothic" w:cs="MS PGothic" w:eastAsia="MS PGothic" w:hAnsi="MS PGothic"/>
          <w:sz w:val="18"/>
          <w:szCs w:val="18"/>
          <w:color w:val="auto"/>
        </w:rPr>
        <w:t>☐</w:t>
      </w:r>
    </w:p>
    <w:p>
      <w:pPr>
        <w:spacing w:after="0" w:line="182" w:lineRule="exact"/>
        <w:rPr>
          <w:sz w:val="20"/>
          <w:szCs w:val="20"/>
          <w:color w:val="auto"/>
        </w:rPr>
      </w:pPr>
    </w:p>
    <w:p>
      <w:pPr>
        <w:ind w:left="4" w:right="60"/>
        <w:spacing w:after="0" w:line="233" w:lineRule="exact"/>
        <w:rPr>
          <w:sz w:val="20"/>
          <w:szCs w:val="20"/>
          <w:color w:val="auto"/>
        </w:rPr>
      </w:pPr>
      <w:r>
        <w:rPr>
          <w:rFonts w:ascii="Arial" w:cs="Arial" w:eastAsia="Arial" w:hAnsi="Arial"/>
          <w:sz w:val="18"/>
          <w:szCs w:val="18"/>
          <w:color w:val="auto"/>
        </w:rPr>
        <w:t xml:space="preserve">If this Form is a registration statement pursuant to General Instruction I.D. or a post-effective amendment thereto that shall become effective upon filing with the Commission pursuant to Rule 462(e) under the Securities Act, check the following box. </w:t>
      </w:r>
      <w:r>
        <w:rPr>
          <w:rFonts w:ascii="MS PGothic" w:cs="MS PGothic" w:eastAsia="MS PGothic" w:hAnsi="MS PGothic"/>
          <w:sz w:val="18"/>
          <w:szCs w:val="18"/>
          <w:color w:val="auto"/>
        </w:rPr>
        <w:t>☐</w:t>
      </w:r>
    </w:p>
    <w:p>
      <w:pPr>
        <w:spacing w:after="0" w:line="182" w:lineRule="exact"/>
        <w:rPr>
          <w:sz w:val="20"/>
          <w:szCs w:val="20"/>
          <w:color w:val="auto"/>
        </w:rPr>
      </w:pPr>
    </w:p>
    <w:p>
      <w:pPr>
        <w:ind w:left="4" w:right="240"/>
        <w:spacing w:after="0" w:line="233" w:lineRule="exact"/>
        <w:rPr>
          <w:sz w:val="20"/>
          <w:szCs w:val="20"/>
          <w:color w:val="auto"/>
        </w:rPr>
      </w:pPr>
      <w:r>
        <w:rPr>
          <w:rFonts w:ascii="Arial" w:cs="Arial" w:eastAsia="Arial" w:hAnsi="Arial"/>
          <w:sz w:val="18"/>
          <w:szCs w:val="18"/>
          <w:color w:val="auto"/>
        </w:rPr>
        <w:t xml:space="preserve">If this Form is a post-effective amendment to a registration statement filed pursuant to General Instruction I.D. filed to register additional securities or additional classes of securities pursuant to Rule 413(b) under the Securities Act, check the following box. </w:t>
      </w:r>
      <w:r>
        <w:rPr>
          <w:rFonts w:ascii="MS PGothic" w:cs="MS PGothic" w:eastAsia="MS PGothic" w:hAnsi="MS PGothic"/>
          <w:sz w:val="18"/>
          <w:szCs w:val="18"/>
          <w:color w:val="auto"/>
        </w:rPr>
        <w:t>☐</w:t>
      </w:r>
    </w:p>
    <w:p>
      <w:pPr>
        <w:spacing w:after="0" w:line="182" w:lineRule="exact"/>
        <w:rPr>
          <w:sz w:val="20"/>
          <w:szCs w:val="20"/>
          <w:color w:val="auto"/>
        </w:rPr>
      </w:pPr>
    </w:p>
    <w:p>
      <w:pPr>
        <w:ind w:left="4" w:right="240"/>
        <w:spacing w:after="0" w:line="263" w:lineRule="auto"/>
        <w:rPr>
          <w:sz w:val="20"/>
          <w:szCs w:val="20"/>
          <w:color w:val="auto"/>
        </w:rPr>
      </w:pPr>
      <w:r>
        <w:rPr>
          <w:rFonts w:ascii="Arial" w:cs="Arial" w:eastAsia="Arial" w:hAnsi="Arial"/>
          <w:sz w:val="18"/>
          <w:szCs w:val="18"/>
          <w:color w:val="auto"/>
        </w:rPr>
        <w:t>Indicate by check mark whether the registrant is a large accelerated filer, an accelerated filer, a non-accelerated filer, smaller reporting company, or an emerging growth company. See the definitions of “large accelerated filer,” “accelerated filer,” “smaller reporting company,” and “emerging growth company” in Rule 12b-2 of the Exchange Act.</w:t>
      </w:r>
    </w:p>
    <w:p>
      <w:pPr>
        <w:spacing w:after="0" w:line="178" w:lineRule="exact"/>
        <w:rPr>
          <w:sz w:val="20"/>
          <w:szCs w:val="20"/>
          <w:color w:val="auto"/>
        </w:rPr>
      </w:pPr>
    </w:p>
    <w:tbl>
      <w:tblPr>
        <w:tblLayout w:type="fixed"/>
        <w:tblInd w:w="4" w:type="dxa"/>
        <w:tblCellMar>
          <w:top w:w="0" w:type="dxa"/>
          <w:left w:w="0" w:type="dxa"/>
          <w:bottom w:w="0" w:type="dxa"/>
          <w:right w:w="0" w:type="dxa"/>
        </w:tblCellMar>
      </w:tblPr>
      <w:tr>
        <w:trPr>
          <w:trHeight w:val="283"/>
        </w:trPr>
        <w:tc>
          <w:tcPr>
            <w:tcW w:w="1800" w:type="dxa"/>
            <w:vAlign w:val="bottom"/>
          </w:tcPr>
          <w:p>
            <w:pPr>
              <w:spacing w:after="0"/>
              <w:rPr>
                <w:sz w:val="20"/>
                <w:szCs w:val="20"/>
                <w:color w:val="auto"/>
              </w:rPr>
            </w:pPr>
            <w:r>
              <w:rPr>
                <w:rFonts w:ascii="Arial" w:cs="Arial" w:eastAsia="Arial" w:hAnsi="Arial"/>
                <w:sz w:val="18"/>
                <w:szCs w:val="18"/>
                <w:color w:val="auto"/>
                <w:w w:val="99"/>
              </w:rPr>
              <w:t>Large accelerated filer</w:t>
            </w:r>
          </w:p>
        </w:tc>
        <w:tc>
          <w:tcPr>
            <w:tcW w:w="3520" w:type="dxa"/>
            <w:vAlign w:val="bottom"/>
          </w:tcPr>
          <w:p>
            <w:pPr>
              <w:ind w:left="200"/>
              <w:spacing w:after="0" w:line="181" w:lineRule="exact"/>
              <w:rPr>
                <w:sz w:val="20"/>
                <w:szCs w:val="20"/>
                <w:color w:val="auto"/>
              </w:rPr>
            </w:pPr>
            <w:r>
              <w:rPr>
                <w:rFonts w:ascii="MS PGothic" w:cs="MS PGothic" w:eastAsia="MS PGothic" w:hAnsi="MS PGothic"/>
                <w:sz w:val="18"/>
                <w:szCs w:val="18"/>
                <w:color w:val="auto"/>
              </w:rPr>
              <w:t>☐</w:t>
            </w:r>
          </w:p>
        </w:tc>
        <w:tc>
          <w:tcPr>
            <w:tcW w:w="5300" w:type="dxa"/>
            <w:vAlign w:val="bottom"/>
          </w:tcPr>
          <w:p>
            <w:pPr>
              <w:ind w:left="3160"/>
              <w:spacing w:after="0"/>
              <w:rPr>
                <w:sz w:val="20"/>
                <w:szCs w:val="20"/>
                <w:color w:val="auto"/>
              </w:rPr>
            </w:pPr>
            <w:r>
              <w:rPr>
                <w:rFonts w:ascii="Arial" w:cs="Arial" w:eastAsia="Arial" w:hAnsi="Arial"/>
                <w:sz w:val="18"/>
                <w:szCs w:val="18"/>
                <w:color w:val="auto"/>
              </w:rPr>
              <w:t>Accelerated filer</w:t>
            </w:r>
          </w:p>
        </w:tc>
        <w:tc>
          <w:tcPr>
            <w:tcW w:w="340" w:type="dxa"/>
            <w:vAlign w:val="bottom"/>
          </w:tcPr>
          <w:p>
            <w:pPr>
              <w:ind w:left="180"/>
              <w:spacing w:after="0" w:line="181" w:lineRule="exact"/>
              <w:rPr>
                <w:sz w:val="20"/>
                <w:szCs w:val="20"/>
                <w:color w:val="auto"/>
              </w:rPr>
            </w:pPr>
            <w:r>
              <w:rPr>
                <w:rFonts w:ascii="MS PGothic" w:cs="MS PGothic" w:eastAsia="MS PGothic" w:hAnsi="MS PGothic"/>
                <w:sz w:val="18"/>
                <w:szCs w:val="18"/>
                <w:color w:val="auto"/>
                <w:w w:val="77"/>
              </w:rPr>
              <w:t>☐</w:t>
            </w:r>
          </w:p>
        </w:tc>
      </w:tr>
      <w:tr>
        <w:trPr>
          <w:trHeight w:val="324"/>
        </w:trPr>
        <w:tc>
          <w:tcPr>
            <w:tcW w:w="1800" w:type="dxa"/>
            <w:vAlign w:val="bottom"/>
          </w:tcPr>
          <w:p>
            <w:pPr>
              <w:spacing w:after="0"/>
              <w:rPr>
                <w:sz w:val="20"/>
                <w:szCs w:val="20"/>
                <w:color w:val="auto"/>
              </w:rPr>
            </w:pPr>
            <w:r>
              <w:rPr>
                <w:rFonts w:ascii="Arial" w:cs="Arial" w:eastAsia="Arial" w:hAnsi="Arial"/>
                <w:sz w:val="18"/>
                <w:szCs w:val="18"/>
                <w:color w:val="auto"/>
              </w:rPr>
              <w:t>Non-accelerated filer</w:t>
            </w:r>
          </w:p>
        </w:tc>
        <w:tc>
          <w:tcPr>
            <w:tcW w:w="3520" w:type="dxa"/>
            <w:vAlign w:val="bottom"/>
          </w:tcPr>
          <w:p>
            <w:pPr>
              <w:ind w:left="200"/>
              <w:spacing w:after="0" w:line="181" w:lineRule="exact"/>
              <w:rPr>
                <w:sz w:val="20"/>
                <w:szCs w:val="20"/>
                <w:color w:val="auto"/>
              </w:rPr>
            </w:pPr>
            <w:r>
              <w:rPr>
                <w:rFonts w:ascii="MS PGothic" w:cs="MS PGothic" w:eastAsia="MS PGothic" w:hAnsi="MS PGothic"/>
                <w:sz w:val="18"/>
                <w:szCs w:val="18"/>
                <w:color w:val="auto"/>
              </w:rPr>
              <w:t>☒</w:t>
            </w:r>
          </w:p>
        </w:tc>
        <w:tc>
          <w:tcPr>
            <w:tcW w:w="5300" w:type="dxa"/>
            <w:vAlign w:val="bottom"/>
          </w:tcPr>
          <w:p>
            <w:pPr>
              <w:ind w:left="3160"/>
              <w:spacing w:after="0"/>
              <w:rPr>
                <w:sz w:val="20"/>
                <w:szCs w:val="20"/>
                <w:color w:val="auto"/>
              </w:rPr>
            </w:pPr>
            <w:r>
              <w:rPr>
                <w:rFonts w:ascii="Arial" w:cs="Arial" w:eastAsia="Arial" w:hAnsi="Arial"/>
                <w:sz w:val="18"/>
                <w:szCs w:val="18"/>
                <w:color w:val="auto"/>
                <w:w w:val="98"/>
              </w:rPr>
              <w:t>Smaller reporting company</w:t>
            </w:r>
          </w:p>
        </w:tc>
        <w:tc>
          <w:tcPr>
            <w:tcW w:w="340" w:type="dxa"/>
            <w:vAlign w:val="bottom"/>
          </w:tcPr>
          <w:p>
            <w:pPr>
              <w:ind w:left="180"/>
              <w:spacing w:after="0" w:line="181" w:lineRule="exact"/>
              <w:rPr>
                <w:sz w:val="20"/>
                <w:szCs w:val="20"/>
                <w:color w:val="auto"/>
              </w:rPr>
            </w:pPr>
            <w:r>
              <w:rPr>
                <w:rFonts w:ascii="MS PGothic" w:cs="MS PGothic" w:eastAsia="MS PGothic" w:hAnsi="MS PGothic"/>
                <w:sz w:val="18"/>
                <w:szCs w:val="18"/>
                <w:color w:val="auto"/>
                <w:w w:val="77"/>
              </w:rPr>
              <w:t>☒</w:t>
            </w:r>
          </w:p>
        </w:tc>
      </w:tr>
      <w:tr>
        <w:trPr>
          <w:trHeight w:val="324"/>
        </w:trPr>
        <w:tc>
          <w:tcPr>
            <w:tcW w:w="1800" w:type="dxa"/>
            <w:vAlign w:val="bottom"/>
          </w:tcPr>
          <w:p>
            <w:pPr>
              <w:spacing w:after="0"/>
              <w:rPr>
                <w:sz w:val="24"/>
                <w:szCs w:val="24"/>
                <w:color w:val="auto"/>
              </w:rPr>
            </w:pPr>
          </w:p>
        </w:tc>
        <w:tc>
          <w:tcPr>
            <w:tcW w:w="3520" w:type="dxa"/>
            <w:vAlign w:val="bottom"/>
          </w:tcPr>
          <w:p>
            <w:pPr>
              <w:spacing w:after="0"/>
              <w:rPr>
                <w:sz w:val="24"/>
                <w:szCs w:val="24"/>
                <w:color w:val="auto"/>
              </w:rPr>
            </w:pPr>
          </w:p>
        </w:tc>
        <w:tc>
          <w:tcPr>
            <w:tcW w:w="5300" w:type="dxa"/>
            <w:vAlign w:val="bottom"/>
          </w:tcPr>
          <w:p>
            <w:pPr>
              <w:ind w:left="3160"/>
              <w:spacing w:after="0"/>
              <w:rPr>
                <w:sz w:val="20"/>
                <w:szCs w:val="20"/>
                <w:color w:val="auto"/>
              </w:rPr>
            </w:pPr>
            <w:r>
              <w:rPr>
                <w:rFonts w:ascii="Arial" w:cs="Arial" w:eastAsia="Arial" w:hAnsi="Arial"/>
                <w:sz w:val="18"/>
                <w:szCs w:val="18"/>
                <w:color w:val="auto"/>
                <w:w w:val="99"/>
              </w:rPr>
              <w:t>Emerging growth company</w:t>
            </w:r>
          </w:p>
        </w:tc>
        <w:tc>
          <w:tcPr>
            <w:tcW w:w="340" w:type="dxa"/>
            <w:vAlign w:val="bottom"/>
          </w:tcPr>
          <w:p>
            <w:pPr>
              <w:ind w:left="180"/>
              <w:spacing w:after="0" w:line="181" w:lineRule="exact"/>
              <w:rPr>
                <w:sz w:val="20"/>
                <w:szCs w:val="20"/>
                <w:color w:val="auto"/>
              </w:rPr>
            </w:pPr>
            <w:r>
              <w:rPr>
                <w:rFonts w:ascii="MS PGothic" w:cs="MS PGothic" w:eastAsia="MS PGothic" w:hAnsi="MS PGothic"/>
                <w:sz w:val="18"/>
                <w:szCs w:val="18"/>
                <w:color w:val="auto"/>
                <w:w w:val="77"/>
              </w:rPr>
              <w:t>☐</w:t>
            </w:r>
          </w:p>
        </w:tc>
      </w:tr>
    </w:tbl>
    <w:p>
      <w:pPr>
        <w:spacing w:after="0" w:line="182" w:lineRule="exact"/>
        <w:rPr>
          <w:sz w:val="20"/>
          <w:szCs w:val="20"/>
          <w:color w:val="auto"/>
        </w:rPr>
      </w:pPr>
    </w:p>
    <w:p>
      <w:pPr>
        <w:ind w:left="4" w:right="300"/>
        <w:spacing w:after="0" w:line="233" w:lineRule="exact"/>
        <w:rPr>
          <w:sz w:val="20"/>
          <w:szCs w:val="20"/>
          <w:color w:val="auto"/>
        </w:rPr>
      </w:pPr>
      <w:r>
        <w:rPr>
          <w:rFonts w:ascii="Arial" w:cs="Arial" w:eastAsia="Arial" w:hAnsi="Arial"/>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7(a)(2)(B) of the Securities Act. </w:t>
      </w:r>
      <w:r>
        <w:rPr>
          <w:rFonts w:ascii="MS PGothic" w:cs="MS PGothic" w:eastAsia="MS PGothic" w:hAnsi="MS PGothic"/>
          <w:sz w:val="18"/>
          <w:szCs w:val="18"/>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2760345</wp:posOffset>
            </wp:positionH>
            <wp:positionV relativeFrom="paragraph">
              <wp:posOffset>210820</wp:posOffset>
            </wp:positionV>
            <wp:extent cx="1474470" cy="825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200" w:lineRule="exact"/>
        <w:rPr>
          <w:sz w:val="20"/>
          <w:szCs w:val="20"/>
          <w:color w:val="auto"/>
        </w:rPr>
      </w:pPr>
    </w:p>
    <w:p>
      <w:pPr>
        <w:spacing w:after="0" w:line="323" w:lineRule="exact"/>
        <w:rPr>
          <w:sz w:val="20"/>
          <w:szCs w:val="20"/>
          <w:color w:val="auto"/>
        </w:rPr>
      </w:pPr>
    </w:p>
    <w:p>
      <w:pPr>
        <w:jc w:val="center"/>
        <w:ind w:right="-3"/>
        <w:spacing w:after="0"/>
        <w:rPr>
          <w:sz w:val="20"/>
          <w:szCs w:val="20"/>
          <w:color w:val="auto"/>
        </w:rPr>
      </w:pPr>
      <w:r>
        <w:rPr>
          <w:rFonts w:ascii="Arial" w:cs="Arial" w:eastAsia="Arial" w:hAnsi="Arial"/>
          <w:sz w:val="18"/>
          <w:szCs w:val="18"/>
          <w:b w:val="1"/>
          <w:bCs w:val="1"/>
          <w:color w:val="auto"/>
        </w:rPr>
        <w:t>CALCULATION OF REGISTRATION FEE</w:t>
      </w:r>
    </w:p>
    <w:p>
      <w:pPr>
        <w:spacing w:after="0" w:line="88" w:lineRule="exact"/>
        <w:rPr>
          <w:sz w:val="20"/>
          <w:szCs w:val="20"/>
          <w:color w:val="auto"/>
        </w:rPr>
      </w:pPr>
    </w:p>
    <w:tbl>
      <w:tblPr>
        <w:tblLayout w:type="fixed"/>
        <w:tblInd w:w="4" w:type="dxa"/>
        <w:tblCellMar>
          <w:top w:w="0" w:type="dxa"/>
          <w:left w:w="0" w:type="dxa"/>
          <w:bottom w:w="0" w:type="dxa"/>
          <w:right w:w="0" w:type="dxa"/>
        </w:tblCellMar>
      </w:tblPr>
      <w:tr>
        <w:trPr>
          <w:trHeight w:val="40"/>
        </w:trPr>
        <w:tc>
          <w:tcPr>
            <w:tcW w:w="6420" w:type="dxa"/>
            <w:vAlign w:val="bottom"/>
            <w:tcBorders>
              <w:top w:val="single" w:sz="8" w:color="auto"/>
              <w:bottom w:val="single" w:sz="8" w:color="auto"/>
            </w:tcBorders>
          </w:tcPr>
          <w:p>
            <w:pPr>
              <w:spacing w:after="0"/>
              <w:rPr>
                <w:sz w:val="3"/>
                <w:szCs w:val="3"/>
                <w:color w:val="auto"/>
              </w:rPr>
            </w:pPr>
          </w:p>
        </w:tc>
        <w:tc>
          <w:tcPr>
            <w:tcW w:w="1540" w:type="dxa"/>
            <w:vAlign w:val="bottom"/>
            <w:tcBorders>
              <w:top w:val="single" w:sz="8" w:color="auto"/>
              <w:bottom w:val="single" w:sz="8" w:color="auto"/>
            </w:tcBorders>
          </w:tcPr>
          <w:p>
            <w:pPr>
              <w:spacing w:after="0"/>
              <w:rPr>
                <w:sz w:val="3"/>
                <w:szCs w:val="3"/>
                <w:color w:val="auto"/>
              </w:rPr>
            </w:pPr>
          </w:p>
        </w:tc>
        <w:tc>
          <w:tcPr>
            <w:tcW w:w="1540" w:type="dxa"/>
            <w:vAlign w:val="bottom"/>
            <w:tcBorders>
              <w:top w:val="single" w:sz="8" w:color="auto"/>
              <w:bottom w:val="single" w:sz="8" w:color="auto"/>
            </w:tcBorders>
          </w:tcPr>
          <w:p>
            <w:pPr>
              <w:spacing w:after="0"/>
              <w:rPr>
                <w:sz w:val="3"/>
                <w:szCs w:val="3"/>
                <w:color w:val="auto"/>
              </w:rPr>
            </w:pPr>
          </w:p>
        </w:tc>
        <w:tc>
          <w:tcPr>
            <w:tcW w:w="1520" w:type="dxa"/>
            <w:vAlign w:val="bottom"/>
            <w:tcBorders>
              <w:top w:val="single" w:sz="8" w:color="auto"/>
              <w:bottom w:val="single" w:sz="8" w:color="auto"/>
            </w:tcBorders>
          </w:tcPr>
          <w:p>
            <w:pPr>
              <w:spacing w:after="0"/>
              <w:rPr>
                <w:sz w:val="3"/>
                <w:szCs w:val="3"/>
                <w:color w:val="auto"/>
              </w:rPr>
            </w:pPr>
          </w:p>
        </w:tc>
        <w:tc>
          <w:tcPr>
            <w:tcW w:w="0" w:type="dxa"/>
            <w:vAlign w:val="bottom"/>
          </w:tcPr>
          <w:p>
            <w:pPr>
              <w:spacing w:after="0"/>
              <w:rPr>
                <w:sz w:val="1"/>
                <w:szCs w:val="1"/>
                <w:color w:val="auto"/>
              </w:rPr>
            </w:pPr>
          </w:p>
        </w:tc>
      </w:tr>
      <w:tr>
        <w:trPr>
          <w:trHeight w:val="106"/>
        </w:trPr>
        <w:tc>
          <w:tcPr>
            <w:tcW w:w="6420" w:type="dxa"/>
            <w:vAlign w:val="bottom"/>
            <w:tcBorders>
              <w:right w:val="single" w:sz="8" w:color="auto"/>
            </w:tcBorders>
          </w:tcPr>
          <w:p>
            <w:pPr>
              <w:spacing w:after="0"/>
              <w:rPr>
                <w:sz w:val="9"/>
                <w:szCs w:val="9"/>
                <w:color w:val="auto"/>
              </w:rPr>
            </w:pPr>
          </w:p>
        </w:tc>
        <w:tc>
          <w:tcPr>
            <w:tcW w:w="1540" w:type="dxa"/>
            <w:vAlign w:val="bottom"/>
            <w:tcBorders>
              <w:right w:val="single" w:sz="8" w:color="auto"/>
            </w:tcBorders>
          </w:tcPr>
          <w:p>
            <w:pPr>
              <w:spacing w:after="0"/>
              <w:rPr>
                <w:sz w:val="9"/>
                <w:szCs w:val="9"/>
                <w:color w:val="auto"/>
              </w:rPr>
            </w:pPr>
          </w:p>
        </w:tc>
        <w:tc>
          <w:tcPr>
            <w:tcW w:w="1540" w:type="dxa"/>
            <w:vAlign w:val="bottom"/>
            <w:tcBorders>
              <w:right w:val="single" w:sz="8" w:color="auto"/>
            </w:tcBorders>
          </w:tcPr>
          <w:p>
            <w:pPr>
              <w:jc w:val="center"/>
              <w:spacing w:after="0" w:line="106" w:lineRule="exact"/>
              <w:rPr>
                <w:sz w:val="20"/>
                <w:szCs w:val="20"/>
                <w:color w:val="auto"/>
              </w:rPr>
            </w:pPr>
            <w:r>
              <w:rPr>
                <w:rFonts w:ascii="Arial" w:cs="Arial" w:eastAsia="Arial" w:hAnsi="Arial"/>
                <w:sz w:val="12"/>
                <w:szCs w:val="12"/>
                <w:b w:val="1"/>
                <w:bCs w:val="1"/>
                <w:color w:val="auto"/>
              </w:rPr>
              <w:t>Proposed</w:t>
            </w:r>
          </w:p>
        </w:tc>
        <w:tc>
          <w:tcPr>
            <w:tcW w:w="15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48"/>
        </w:trPr>
        <w:tc>
          <w:tcPr>
            <w:tcW w:w="6420" w:type="dxa"/>
            <w:vAlign w:val="bottom"/>
            <w:tcBorders>
              <w:right w:val="single" w:sz="8" w:color="auto"/>
            </w:tcBorders>
          </w:tcPr>
          <w:p>
            <w:pPr>
              <w:spacing w:after="0"/>
              <w:rPr>
                <w:sz w:val="12"/>
                <w:szCs w:val="12"/>
                <w:color w:val="auto"/>
              </w:rPr>
            </w:pPr>
          </w:p>
        </w:tc>
        <w:tc>
          <w:tcPr>
            <w:tcW w:w="1540" w:type="dxa"/>
            <w:vAlign w:val="bottom"/>
            <w:tcBorders>
              <w:right w:val="single" w:sz="8" w:color="auto"/>
            </w:tcBorders>
          </w:tcPr>
          <w:p>
            <w:pPr>
              <w:spacing w:after="0"/>
              <w:rPr>
                <w:sz w:val="12"/>
                <w:szCs w:val="12"/>
                <w:color w:val="auto"/>
              </w:rPr>
            </w:pPr>
          </w:p>
        </w:tc>
        <w:tc>
          <w:tcPr>
            <w:tcW w:w="1540" w:type="dxa"/>
            <w:vAlign w:val="bottom"/>
            <w:tcBorders>
              <w:right w:val="single" w:sz="8" w:color="auto"/>
            </w:tcBorders>
          </w:tcPr>
          <w:p>
            <w:pPr>
              <w:jc w:val="center"/>
              <w:spacing w:after="0" w:line="149" w:lineRule="exact"/>
              <w:rPr>
                <w:sz w:val="20"/>
                <w:szCs w:val="20"/>
                <w:color w:val="auto"/>
              </w:rPr>
            </w:pPr>
            <w:r>
              <w:rPr>
                <w:rFonts w:ascii="Arial" w:cs="Arial" w:eastAsia="Arial" w:hAnsi="Arial"/>
                <w:sz w:val="14"/>
                <w:szCs w:val="14"/>
                <w:b w:val="1"/>
                <w:bCs w:val="1"/>
                <w:color w:val="auto"/>
                <w:w w:val="95"/>
              </w:rPr>
              <w:t>maximum offering</w:t>
            </w:r>
          </w:p>
        </w:tc>
        <w:tc>
          <w:tcPr>
            <w:tcW w:w="15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6420" w:type="dxa"/>
            <w:vAlign w:val="bottom"/>
            <w:tcBorders>
              <w:right w:val="single" w:sz="8" w:color="auto"/>
            </w:tcBorders>
          </w:tcPr>
          <w:p>
            <w:pPr>
              <w:spacing w:after="0"/>
              <w:rPr>
                <w:sz w:val="12"/>
                <w:szCs w:val="12"/>
                <w:color w:val="auto"/>
              </w:rPr>
            </w:pPr>
          </w:p>
        </w:tc>
        <w:tc>
          <w:tcPr>
            <w:tcW w:w="1540" w:type="dxa"/>
            <w:vAlign w:val="bottom"/>
            <w:tcBorders>
              <w:right w:val="single" w:sz="8" w:color="auto"/>
            </w:tcBorders>
            <w:vMerge w:val="restart"/>
          </w:tcPr>
          <w:p>
            <w:pPr>
              <w:jc w:val="center"/>
              <w:spacing w:after="0"/>
              <w:rPr>
                <w:sz w:val="20"/>
                <w:szCs w:val="20"/>
                <w:color w:val="auto"/>
              </w:rPr>
            </w:pPr>
            <w:r>
              <w:rPr>
                <w:rFonts w:ascii="Arial" w:cs="Arial" w:eastAsia="Arial" w:hAnsi="Arial"/>
                <w:sz w:val="14"/>
                <w:szCs w:val="14"/>
                <w:b w:val="1"/>
                <w:bCs w:val="1"/>
                <w:color w:val="auto"/>
                <w:w w:val="98"/>
              </w:rPr>
              <w:t>Amount</w:t>
            </w:r>
          </w:p>
        </w:tc>
        <w:tc>
          <w:tcPr>
            <w:tcW w:w="1540" w:type="dxa"/>
            <w:vAlign w:val="bottom"/>
            <w:tcBorders>
              <w:right w:val="single" w:sz="8" w:color="auto"/>
            </w:tcBorders>
          </w:tcPr>
          <w:p>
            <w:pPr>
              <w:jc w:val="center"/>
              <w:spacing w:after="0" w:line="149" w:lineRule="exact"/>
              <w:rPr>
                <w:sz w:val="20"/>
                <w:szCs w:val="20"/>
                <w:color w:val="auto"/>
              </w:rPr>
            </w:pPr>
            <w:r>
              <w:rPr>
                <w:rFonts w:ascii="Arial" w:cs="Arial" w:eastAsia="Arial" w:hAnsi="Arial"/>
                <w:sz w:val="14"/>
                <w:szCs w:val="14"/>
                <w:b w:val="1"/>
                <w:bCs w:val="1"/>
                <w:color w:val="auto"/>
                <w:w w:val="95"/>
              </w:rPr>
              <w:t>price</w:t>
            </w:r>
          </w:p>
        </w:tc>
        <w:tc>
          <w:tcPr>
            <w:tcW w:w="15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6420" w:type="dxa"/>
            <w:vAlign w:val="bottom"/>
            <w:tcBorders>
              <w:right w:val="single" w:sz="8" w:color="auto"/>
            </w:tcBorders>
            <w:vMerge w:val="restart"/>
          </w:tcPr>
          <w:p>
            <w:pPr>
              <w:ind w:left="2580"/>
              <w:spacing w:after="0"/>
              <w:rPr>
                <w:sz w:val="20"/>
                <w:szCs w:val="20"/>
                <w:color w:val="auto"/>
              </w:rPr>
            </w:pPr>
            <w:r>
              <w:rPr>
                <w:rFonts w:ascii="Arial" w:cs="Arial" w:eastAsia="Arial" w:hAnsi="Arial"/>
                <w:sz w:val="14"/>
                <w:szCs w:val="14"/>
                <w:b w:val="1"/>
                <w:bCs w:val="1"/>
                <w:color w:val="auto"/>
              </w:rPr>
              <w:t>Title of each class of</w:t>
            </w:r>
          </w:p>
        </w:tc>
        <w:tc>
          <w:tcPr>
            <w:tcW w:w="1540" w:type="dxa"/>
            <w:vAlign w:val="bottom"/>
            <w:tcBorders>
              <w:right w:val="single" w:sz="8" w:color="auto"/>
            </w:tcBorders>
            <w:vMerge w:val="continue"/>
          </w:tcPr>
          <w:p>
            <w:pPr>
              <w:spacing w:after="0"/>
              <w:rPr>
                <w:sz w:val="12"/>
                <w:szCs w:val="12"/>
                <w:color w:val="auto"/>
              </w:rPr>
            </w:pPr>
          </w:p>
        </w:tc>
        <w:tc>
          <w:tcPr>
            <w:tcW w:w="1540" w:type="dxa"/>
            <w:vAlign w:val="bottom"/>
            <w:tcBorders>
              <w:right w:val="single" w:sz="8" w:color="auto"/>
            </w:tcBorders>
          </w:tcPr>
          <w:p>
            <w:pPr>
              <w:jc w:val="center"/>
              <w:spacing w:after="0" w:line="149" w:lineRule="exact"/>
              <w:rPr>
                <w:sz w:val="20"/>
                <w:szCs w:val="20"/>
                <w:color w:val="auto"/>
              </w:rPr>
            </w:pPr>
            <w:r>
              <w:rPr>
                <w:rFonts w:ascii="Arial" w:cs="Arial" w:eastAsia="Arial" w:hAnsi="Arial"/>
                <w:sz w:val="14"/>
                <w:szCs w:val="14"/>
                <w:b w:val="1"/>
                <w:bCs w:val="1"/>
                <w:color w:val="auto"/>
                <w:w w:val="92"/>
              </w:rPr>
              <w:t>per unit/proposed</w:t>
            </w:r>
          </w:p>
        </w:tc>
        <w:tc>
          <w:tcPr>
            <w:tcW w:w="1520" w:type="dxa"/>
            <w:vAlign w:val="bottom"/>
            <w:vMerge w:val="restart"/>
          </w:tcPr>
          <w:p>
            <w:pPr>
              <w:jc w:val="center"/>
              <w:spacing w:after="0"/>
              <w:rPr>
                <w:sz w:val="20"/>
                <w:szCs w:val="20"/>
                <w:color w:val="auto"/>
              </w:rPr>
            </w:pPr>
            <w:r>
              <w:rPr>
                <w:rFonts w:ascii="Arial" w:cs="Arial" w:eastAsia="Arial" w:hAnsi="Arial"/>
                <w:sz w:val="14"/>
                <w:szCs w:val="14"/>
                <w:b w:val="1"/>
                <w:bCs w:val="1"/>
                <w:color w:val="auto"/>
                <w:w w:val="94"/>
              </w:rPr>
              <w:t>Amount of</w:t>
            </w:r>
          </w:p>
        </w:tc>
        <w:tc>
          <w:tcPr>
            <w:tcW w:w="0" w:type="dxa"/>
            <w:vAlign w:val="bottom"/>
          </w:tcPr>
          <w:p>
            <w:pPr>
              <w:spacing w:after="0"/>
              <w:rPr>
                <w:sz w:val="1"/>
                <w:szCs w:val="1"/>
                <w:color w:val="auto"/>
              </w:rPr>
            </w:pPr>
          </w:p>
        </w:tc>
      </w:tr>
      <w:tr>
        <w:trPr>
          <w:trHeight w:val="149"/>
        </w:trPr>
        <w:tc>
          <w:tcPr>
            <w:tcW w:w="6420" w:type="dxa"/>
            <w:vAlign w:val="bottom"/>
            <w:tcBorders>
              <w:right w:val="single" w:sz="8" w:color="auto"/>
            </w:tcBorders>
            <w:vMerge w:val="continue"/>
          </w:tcPr>
          <w:p>
            <w:pPr>
              <w:spacing w:after="0"/>
              <w:rPr>
                <w:sz w:val="12"/>
                <w:szCs w:val="12"/>
                <w:color w:val="auto"/>
              </w:rPr>
            </w:pPr>
          </w:p>
        </w:tc>
        <w:tc>
          <w:tcPr>
            <w:tcW w:w="1540" w:type="dxa"/>
            <w:vAlign w:val="bottom"/>
            <w:tcBorders>
              <w:right w:val="single" w:sz="8" w:color="auto"/>
            </w:tcBorders>
          </w:tcPr>
          <w:p>
            <w:pPr>
              <w:jc w:val="center"/>
              <w:spacing w:after="0" w:line="149" w:lineRule="exact"/>
              <w:rPr>
                <w:sz w:val="20"/>
                <w:szCs w:val="20"/>
                <w:color w:val="auto"/>
              </w:rPr>
            </w:pPr>
            <w:r>
              <w:rPr>
                <w:rFonts w:ascii="Arial" w:cs="Arial" w:eastAsia="Arial" w:hAnsi="Arial"/>
                <w:sz w:val="14"/>
                <w:szCs w:val="14"/>
                <w:b w:val="1"/>
                <w:bCs w:val="1"/>
                <w:color w:val="auto"/>
                <w:w w:val="89"/>
              </w:rPr>
              <w:t>to be</w:t>
            </w:r>
          </w:p>
        </w:tc>
        <w:tc>
          <w:tcPr>
            <w:tcW w:w="1540" w:type="dxa"/>
            <w:vAlign w:val="bottom"/>
            <w:tcBorders>
              <w:right w:val="single" w:sz="8" w:color="auto"/>
            </w:tcBorders>
          </w:tcPr>
          <w:p>
            <w:pPr>
              <w:jc w:val="center"/>
              <w:spacing w:after="0" w:line="149" w:lineRule="exact"/>
              <w:rPr>
                <w:sz w:val="20"/>
                <w:szCs w:val="20"/>
                <w:color w:val="auto"/>
              </w:rPr>
            </w:pPr>
            <w:r>
              <w:rPr>
                <w:rFonts w:ascii="Arial" w:cs="Arial" w:eastAsia="Arial" w:hAnsi="Arial"/>
                <w:sz w:val="14"/>
                <w:szCs w:val="14"/>
                <w:b w:val="1"/>
                <w:bCs w:val="1"/>
                <w:color w:val="auto"/>
                <w:w w:val="92"/>
              </w:rPr>
              <w:t>maximum aggregate</w:t>
            </w:r>
          </w:p>
        </w:tc>
        <w:tc>
          <w:tcPr>
            <w:tcW w:w="152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85"/>
        </w:trPr>
        <w:tc>
          <w:tcPr>
            <w:tcW w:w="6420" w:type="dxa"/>
            <w:vAlign w:val="bottom"/>
            <w:tcBorders>
              <w:bottom w:val="single" w:sz="8" w:color="auto"/>
              <w:right w:val="single" w:sz="8" w:color="auto"/>
            </w:tcBorders>
          </w:tcPr>
          <w:p>
            <w:pPr>
              <w:ind w:left="2420"/>
              <w:spacing w:after="0"/>
              <w:rPr>
                <w:sz w:val="20"/>
                <w:szCs w:val="20"/>
                <w:color w:val="auto"/>
              </w:rPr>
            </w:pPr>
            <w:r>
              <w:rPr>
                <w:rFonts w:ascii="Arial" w:cs="Arial" w:eastAsia="Arial" w:hAnsi="Arial"/>
                <w:sz w:val="14"/>
                <w:szCs w:val="14"/>
                <w:b w:val="1"/>
                <w:bCs w:val="1"/>
                <w:color w:val="auto"/>
              </w:rPr>
              <w:t>securities to be registered</w:t>
            </w:r>
          </w:p>
        </w:tc>
        <w:tc>
          <w:tcPr>
            <w:tcW w:w="154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4"/>
                <w:szCs w:val="14"/>
                <w:b w:val="1"/>
                <w:bCs w:val="1"/>
                <w:color w:val="auto"/>
                <w:w w:val="94"/>
              </w:rPr>
              <w:t>Registered (1)(2)</w:t>
            </w:r>
          </w:p>
        </w:tc>
        <w:tc>
          <w:tcPr>
            <w:tcW w:w="154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4"/>
                <w:szCs w:val="14"/>
                <w:b w:val="1"/>
                <w:bCs w:val="1"/>
                <w:color w:val="auto"/>
                <w:w w:val="93"/>
              </w:rPr>
              <w:t>offering price</w:t>
            </w:r>
          </w:p>
        </w:tc>
        <w:tc>
          <w:tcPr>
            <w:tcW w:w="1520" w:type="dxa"/>
            <w:vAlign w:val="bottom"/>
            <w:tcBorders>
              <w:bottom w:val="single" w:sz="8" w:color="auto"/>
            </w:tcBorders>
          </w:tcPr>
          <w:p>
            <w:pPr>
              <w:jc w:val="center"/>
              <w:ind w:left="2"/>
              <w:spacing w:after="0"/>
              <w:rPr>
                <w:sz w:val="20"/>
                <w:szCs w:val="20"/>
                <w:color w:val="auto"/>
              </w:rPr>
            </w:pPr>
            <w:r>
              <w:rPr>
                <w:rFonts w:ascii="Arial" w:cs="Arial" w:eastAsia="Arial" w:hAnsi="Arial"/>
                <w:sz w:val="14"/>
                <w:szCs w:val="14"/>
                <w:b w:val="1"/>
                <w:bCs w:val="1"/>
                <w:color w:val="auto"/>
                <w:w w:val="90"/>
              </w:rPr>
              <w:t>registration fee</w:t>
            </w:r>
          </w:p>
        </w:tc>
        <w:tc>
          <w:tcPr>
            <w:tcW w:w="0" w:type="dxa"/>
            <w:vAlign w:val="bottom"/>
          </w:tcPr>
          <w:p>
            <w:pPr>
              <w:spacing w:after="0"/>
              <w:rPr>
                <w:sz w:val="1"/>
                <w:szCs w:val="1"/>
                <w:color w:val="auto"/>
              </w:rPr>
            </w:pPr>
          </w:p>
        </w:tc>
      </w:tr>
      <w:tr>
        <w:trPr>
          <w:trHeight w:val="209"/>
        </w:trPr>
        <w:tc>
          <w:tcPr>
            <w:tcW w:w="6420" w:type="dxa"/>
            <w:vAlign w:val="bottom"/>
            <w:tcBorders>
              <w:bottom w:val="single" w:sz="8" w:color="auto"/>
              <w:right w:val="single" w:sz="8" w:color="auto"/>
            </w:tcBorders>
          </w:tcPr>
          <w:p>
            <w:pPr>
              <w:spacing w:after="0"/>
              <w:rPr>
                <w:sz w:val="20"/>
                <w:szCs w:val="20"/>
                <w:color w:val="auto"/>
              </w:rPr>
            </w:pPr>
            <w:r>
              <w:rPr>
                <w:rFonts w:ascii="Arial" w:cs="Arial" w:eastAsia="Arial" w:hAnsi="Arial"/>
                <w:sz w:val="18"/>
                <w:szCs w:val="18"/>
                <w:color w:val="auto"/>
              </w:rPr>
              <w:t>Common Stock, par value $0.001 per share</w:t>
            </w:r>
          </w:p>
        </w:tc>
        <w:tc>
          <w:tcPr>
            <w:tcW w:w="1540" w:type="dxa"/>
            <w:vAlign w:val="bottom"/>
            <w:tcBorders>
              <w:bottom w:val="single" w:sz="8" w:color="auto"/>
              <w:right w:val="single" w:sz="8" w:color="auto"/>
            </w:tcBorders>
          </w:tcPr>
          <w:p>
            <w:pPr>
              <w:spacing w:after="0"/>
              <w:rPr>
                <w:sz w:val="18"/>
                <w:szCs w:val="18"/>
                <w:color w:val="auto"/>
              </w:rPr>
            </w:pPr>
          </w:p>
        </w:tc>
        <w:tc>
          <w:tcPr>
            <w:tcW w:w="154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95"/>
              </w:rPr>
              <w:t>(2)(3)</w:t>
            </w:r>
          </w:p>
        </w:tc>
        <w:tc>
          <w:tcPr>
            <w:tcW w:w="1520" w:type="dxa"/>
            <w:vAlign w:val="bottom"/>
            <w:tcBorders>
              <w:bottom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6420" w:type="dxa"/>
            <w:vAlign w:val="bottom"/>
            <w:tcBorders>
              <w:bottom w:val="single" w:sz="8" w:color="auto"/>
              <w:right w:val="single" w:sz="8" w:color="auto"/>
            </w:tcBorders>
          </w:tcPr>
          <w:p>
            <w:pPr>
              <w:spacing w:after="0"/>
              <w:rPr>
                <w:sz w:val="20"/>
                <w:szCs w:val="20"/>
                <w:color w:val="auto"/>
              </w:rPr>
            </w:pPr>
            <w:r>
              <w:rPr>
                <w:rFonts w:ascii="Arial" w:cs="Arial" w:eastAsia="Arial" w:hAnsi="Arial"/>
                <w:sz w:val="18"/>
                <w:szCs w:val="18"/>
                <w:color w:val="auto"/>
              </w:rPr>
              <w:t>Preferred Stock, par value $0.001 per share</w:t>
            </w:r>
          </w:p>
        </w:tc>
        <w:tc>
          <w:tcPr>
            <w:tcW w:w="1540" w:type="dxa"/>
            <w:vAlign w:val="bottom"/>
            <w:tcBorders>
              <w:bottom w:val="single" w:sz="8" w:color="auto"/>
              <w:right w:val="single" w:sz="8" w:color="auto"/>
            </w:tcBorders>
          </w:tcPr>
          <w:p>
            <w:pPr>
              <w:spacing w:after="0"/>
              <w:rPr>
                <w:sz w:val="18"/>
                <w:szCs w:val="18"/>
                <w:color w:val="auto"/>
              </w:rPr>
            </w:pPr>
          </w:p>
        </w:tc>
        <w:tc>
          <w:tcPr>
            <w:tcW w:w="154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95"/>
              </w:rPr>
              <w:t>(2)(3)</w:t>
            </w:r>
          </w:p>
        </w:tc>
        <w:tc>
          <w:tcPr>
            <w:tcW w:w="1520" w:type="dxa"/>
            <w:vAlign w:val="bottom"/>
            <w:tcBorders>
              <w:bottom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6420" w:type="dxa"/>
            <w:vAlign w:val="bottom"/>
            <w:tcBorders>
              <w:bottom w:val="single" w:sz="8" w:color="auto"/>
              <w:right w:val="single" w:sz="8" w:color="auto"/>
            </w:tcBorders>
          </w:tcPr>
          <w:p>
            <w:pPr>
              <w:spacing w:after="0"/>
              <w:rPr>
                <w:sz w:val="20"/>
                <w:szCs w:val="20"/>
                <w:color w:val="auto"/>
              </w:rPr>
            </w:pPr>
            <w:r>
              <w:rPr>
                <w:rFonts w:ascii="Arial" w:cs="Arial" w:eastAsia="Arial" w:hAnsi="Arial"/>
                <w:sz w:val="18"/>
                <w:szCs w:val="18"/>
                <w:color w:val="auto"/>
              </w:rPr>
              <w:t>Debt Securities</w:t>
            </w:r>
          </w:p>
        </w:tc>
        <w:tc>
          <w:tcPr>
            <w:tcW w:w="1540" w:type="dxa"/>
            <w:vAlign w:val="bottom"/>
            <w:tcBorders>
              <w:bottom w:val="single" w:sz="8" w:color="auto"/>
              <w:right w:val="single" w:sz="8" w:color="auto"/>
            </w:tcBorders>
          </w:tcPr>
          <w:p>
            <w:pPr>
              <w:spacing w:after="0"/>
              <w:rPr>
                <w:sz w:val="18"/>
                <w:szCs w:val="18"/>
                <w:color w:val="auto"/>
              </w:rPr>
            </w:pPr>
          </w:p>
        </w:tc>
        <w:tc>
          <w:tcPr>
            <w:tcW w:w="154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90"/>
              </w:rPr>
              <w:t>(2)</w:t>
            </w:r>
          </w:p>
        </w:tc>
        <w:tc>
          <w:tcPr>
            <w:tcW w:w="1520" w:type="dxa"/>
            <w:vAlign w:val="bottom"/>
            <w:tcBorders>
              <w:bottom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6420" w:type="dxa"/>
            <w:vAlign w:val="bottom"/>
            <w:tcBorders>
              <w:bottom w:val="single" w:sz="8" w:color="auto"/>
              <w:right w:val="single" w:sz="8" w:color="auto"/>
            </w:tcBorders>
          </w:tcPr>
          <w:p>
            <w:pPr>
              <w:spacing w:after="0"/>
              <w:rPr>
                <w:sz w:val="20"/>
                <w:szCs w:val="20"/>
                <w:color w:val="auto"/>
              </w:rPr>
            </w:pPr>
            <w:r>
              <w:rPr>
                <w:rFonts w:ascii="Arial" w:cs="Arial" w:eastAsia="Arial" w:hAnsi="Arial"/>
                <w:sz w:val="18"/>
                <w:szCs w:val="18"/>
                <w:color w:val="auto"/>
              </w:rPr>
              <w:t>Warrants</w:t>
            </w:r>
          </w:p>
        </w:tc>
        <w:tc>
          <w:tcPr>
            <w:tcW w:w="1540" w:type="dxa"/>
            <w:vAlign w:val="bottom"/>
            <w:tcBorders>
              <w:bottom w:val="single" w:sz="8" w:color="auto"/>
              <w:right w:val="single" w:sz="8" w:color="auto"/>
            </w:tcBorders>
          </w:tcPr>
          <w:p>
            <w:pPr>
              <w:spacing w:after="0"/>
              <w:rPr>
                <w:sz w:val="18"/>
                <w:szCs w:val="18"/>
                <w:color w:val="auto"/>
              </w:rPr>
            </w:pPr>
          </w:p>
        </w:tc>
        <w:tc>
          <w:tcPr>
            <w:tcW w:w="154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90"/>
              </w:rPr>
              <w:t>(2)</w:t>
            </w:r>
          </w:p>
        </w:tc>
        <w:tc>
          <w:tcPr>
            <w:tcW w:w="1520" w:type="dxa"/>
            <w:vAlign w:val="bottom"/>
            <w:tcBorders>
              <w:bottom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6420" w:type="dxa"/>
            <w:vAlign w:val="bottom"/>
            <w:tcBorders>
              <w:bottom w:val="single" w:sz="8" w:color="auto"/>
              <w:right w:val="single" w:sz="8" w:color="auto"/>
            </w:tcBorders>
          </w:tcPr>
          <w:p>
            <w:pPr>
              <w:spacing w:after="0"/>
              <w:rPr>
                <w:sz w:val="20"/>
                <w:szCs w:val="20"/>
                <w:color w:val="auto"/>
              </w:rPr>
            </w:pPr>
            <w:r>
              <w:rPr>
                <w:rFonts w:ascii="Arial" w:cs="Arial" w:eastAsia="Arial" w:hAnsi="Arial"/>
                <w:sz w:val="18"/>
                <w:szCs w:val="18"/>
                <w:color w:val="auto"/>
              </w:rPr>
              <w:t>Units</w:t>
            </w:r>
          </w:p>
        </w:tc>
        <w:tc>
          <w:tcPr>
            <w:tcW w:w="1540" w:type="dxa"/>
            <w:vAlign w:val="bottom"/>
            <w:tcBorders>
              <w:bottom w:val="single" w:sz="8" w:color="auto"/>
              <w:right w:val="single" w:sz="8" w:color="auto"/>
            </w:tcBorders>
          </w:tcPr>
          <w:p>
            <w:pPr>
              <w:spacing w:after="0"/>
              <w:rPr>
                <w:sz w:val="18"/>
                <w:szCs w:val="18"/>
                <w:color w:val="auto"/>
              </w:rPr>
            </w:pPr>
          </w:p>
        </w:tc>
        <w:tc>
          <w:tcPr>
            <w:tcW w:w="154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90"/>
              </w:rPr>
              <w:t>(2)</w:t>
            </w:r>
          </w:p>
        </w:tc>
        <w:tc>
          <w:tcPr>
            <w:tcW w:w="1520" w:type="dxa"/>
            <w:vAlign w:val="bottom"/>
            <w:tcBorders>
              <w:bottom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6420" w:type="dxa"/>
            <w:vAlign w:val="bottom"/>
            <w:tcBorders>
              <w:bottom w:val="single" w:sz="8" w:color="auto"/>
              <w:right w:val="single" w:sz="8" w:color="auto"/>
            </w:tcBorders>
          </w:tcPr>
          <w:p>
            <w:pPr>
              <w:spacing w:after="0"/>
              <w:rPr>
                <w:sz w:val="20"/>
                <w:szCs w:val="20"/>
                <w:color w:val="auto"/>
              </w:rPr>
            </w:pPr>
            <w:r>
              <w:rPr>
                <w:rFonts w:ascii="Arial" w:cs="Arial" w:eastAsia="Arial" w:hAnsi="Arial"/>
                <w:sz w:val="18"/>
                <w:szCs w:val="18"/>
                <w:color w:val="auto"/>
              </w:rPr>
              <w:t>Subscription Rights</w:t>
            </w:r>
          </w:p>
        </w:tc>
        <w:tc>
          <w:tcPr>
            <w:tcW w:w="1540" w:type="dxa"/>
            <w:vAlign w:val="bottom"/>
            <w:tcBorders>
              <w:bottom w:val="single" w:sz="8" w:color="auto"/>
              <w:right w:val="single" w:sz="8" w:color="auto"/>
            </w:tcBorders>
          </w:tcPr>
          <w:p>
            <w:pPr>
              <w:spacing w:after="0"/>
              <w:rPr>
                <w:sz w:val="18"/>
                <w:szCs w:val="18"/>
                <w:color w:val="auto"/>
              </w:rPr>
            </w:pPr>
          </w:p>
        </w:tc>
        <w:tc>
          <w:tcPr>
            <w:tcW w:w="154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90"/>
              </w:rPr>
              <w:t>(2)</w:t>
            </w:r>
          </w:p>
        </w:tc>
        <w:tc>
          <w:tcPr>
            <w:tcW w:w="1520" w:type="dxa"/>
            <w:vAlign w:val="bottom"/>
            <w:tcBorders>
              <w:bottom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6420" w:type="dxa"/>
            <w:vAlign w:val="bottom"/>
            <w:tcBorders>
              <w:bottom w:val="single" w:sz="8" w:color="auto"/>
              <w:right w:val="single" w:sz="8" w:color="auto"/>
            </w:tcBorders>
          </w:tcPr>
          <w:p>
            <w:pPr>
              <w:spacing w:after="0"/>
              <w:rPr>
                <w:sz w:val="20"/>
                <w:szCs w:val="20"/>
                <w:color w:val="auto"/>
              </w:rPr>
            </w:pPr>
            <w:r>
              <w:rPr>
                <w:rFonts w:ascii="Arial" w:cs="Arial" w:eastAsia="Arial" w:hAnsi="Arial"/>
                <w:sz w:val="18"/>
                <w:szCs w:val="18"/>
                <w:b w:val="1"/>
                <w:bCs w:val="1"/>
                <w:color w:val="auto"/>
              </w:rPr>
              <w:t>Total</w:t>
            </w:r>
          </w:p>
        </w:tc>
        <w:tc>
          <w:tcPr>
            <w:tcW w:w="1540" w:type="dxa"/>
            <w:vAlign w:val="bottom"/>
            <w:tcBorders>
              <w:bottom w:val="single" w:sz="8" w:color="auto"/>
              <w:right w:val="single" w:sz="8" w:color="auto"/>
            </w:tcBorders>
          </w:tcPr>
          <w:p>
            <w:pPr>
              <w:spacing w:after="0"/>
              <w:rPr>
                <w:sz w:val="18"/>
                <w:szCs w:val="18"/>
                <w:color w:val="auto"/>
              </w:rPr>
            </w:pPr>
          </w:p>
        </w:tc>
        <w:tc>
          <w:tcPr>
            <w:tcW w:w="154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90"/>
              </w:rPr>
              <w:t>$200,000,000(4)</w:t>
            </w:r>
          </w:p>
        </w:tc>
        <w:tc>
          <w:tcPr>
            <w:tcW w:w="1520" w:type="dxa"/>
            <w:vAlign w:val="bottom"/>
            <w:tcBorders>
              <w:bottom w:val="single" w:sz="8" w:color="auto"/>
            </w:tcBorders>
          </w:tcPr>
          <w:p>
            <w:pPr>
              <w:jc w:val="center"/>
              <w:ind w:left="2"/>
              <w:spacing w:after="0"/>
              <w:rPr>
                <w:sz w:val="20"/>
                <w:szCs w:val="20"/>
                <w:color w:val="auto"/>
              </w:rPr>
            </w:pPr>
            <w:r>
              <w:rPr>
                <w:rFonts w:ascii="Arial" w:cs="Arial" w:eastAsia="Arial" w:hAnsi="Arial"/>
                <w:sz w:val="18"/>
                <w:szCs w:val="18"/>
                <w:color w:val="auto"/>
                <w:w w:val="91"/>
              </w:rPr>
              <w:t>$25,960(5)</w:t>
            </w:r>
          </w:p>
        </w:tc>
        <w:tc>
          <w:tcPr>
            <w:tcW w:w="0" w:type="dxa"/>
            <w:vAlign w:val="bottom"/>
          </w:tcPr>
          <w:p>
            <w:pPr>
              <w:spacing w:after="0"/>
              <w:rPr>
                <w:sz w:val="1"/>
                <w:szCs w:val="1"/>
                <w:color w:val="auto"/>
              </w:rPr>
            </w:pPr>
          </w:p>
        </w:tc>
      </w:tr>
      <w:tr>
        <w:trPr>
          <w:trHeight w:val="210"/>
        </w:trPr>
        <w:tc>
          <w:tcPr>
            <w:tcW w:w="6420" w:type="dxa"/>
            <w:vAlign w:val="bottom"/>
            <w:tcBorders>
              <w:bottom w:val="single" w:sz="8" w:color="auto"/>
              <w:right w:val="single" w:sz="8" w:color="auto"/>
            </w:tcBorders>
          </w:tcPr>
          <w:p>
            <w:pPr>
              <w:spacing w:after="0"/>
              <w:rPr>
                <w:sz w:val="20"/>
                <w:szCs w:val="20"/>
                <w:color w:val="auto"/>
              </w:rPr>
            </w:pPr>
            <w:r>
              <w:rPr>
                <w:rFonts w:ascii="Arial" w:cs="Arial" w:eastAsia="Arial" w:hAnsi="Arial"/>
                <w:sz w:val="18"/>
                <w:szCs w:val="18"/>
                <w:b w:val="1"/>
                <w:bCs w:val="1"/>
                <w:color w:val="auto"/>
              </w:rPr>
              <w:t>Total Registration Fee</w:t>
            </w:r>
          </w:p>
        </w:tc>
        <w:tc>
          <w:tcPr>
            <w:tcW w:w="1540" w:type="dxa"/>
            <w:vAlign w:val="bottom"/>
            <w:tcBorders>
              <w:bottom w:val="single" w:sz="8" w:color="auto"/>
              <w:right w:val="single" w:sz="8" w:color="auto"/>
            </w:tcBorders>
          </w:tcPr>
          <w:p>
            <w:pPr>
              <w:spacing w:after="0"/>
              <w:rPr>
                <w:sz w:val="18"/>
                <w:szCs w:val="18"/>
                <w:color w:val="auto"/>
              </w:rPr>
            </w:pPr>
          </w:p>
        </w:tc>
        <w:tc>
          <w:tcPr>
            <w:tcW w:w="1540" w:type="dxa"/>
            <w:vAlign w:val="bottom"/>
            <w:tcBorders>
              <w:bottom w:val="single" w:sz="8" w:color="auto"/>
              <w:right w:val="single" w:sz="8" w:color="auto"/>
            </w:tcBorders>
          </w:tcPr>
          <w:p>
            <w:pPr>
              <w:spacing w:after="0"/>
              <w:rPr>
                <w:sz w:val="18"/>
                <w:szCs w:val="18"/>
                <w:color w:val="auto"/>
              </w:rPr>
            </w:pPr>
          </w:p>
        </w:tc>
        <w:tc>
          <w:tcPr>
            <w:tcW w:w="1520" w:type="dxa"/>
            <w:vAlign w:val="bottom"/>
            <w:tcBorders>
              <w:bottom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6420" w:type="dxa"/>
            <w:vAlign w:val="bottom"/>
            <w:tcBorders>
              <w:bottom w:val="single" w:sz="8" w:color="auto"/>
            </w:tcBorders>
          </w:tcPr>
          <w:p>
            <w:pPr>
              <w:spacing w:after="0" w:line="20" w:lineRule="exact"/>
              <w:rPr>
                <w:sz w:val="1"/>
                <w:szCs w:val="1"/>
                <w:color w:val="auto"/>
              </w:rPr>
            </w:pPr>
          </w:p>
        </w:tc>
        <w:tc>
          <w:tcPr>
            <w:tcW w:w="1540" w:type="dxa"/>
            <w:vAlign w:val="bottom"/>
            <w:tcBorders>
              <w:bottom w:val="single" w:sz="8" w:color="auto"/>
            </w:tcBorders>
          </w:tcPr>
          <w:p>
            <w:pPr>
              <w:spacing w:after="0" w:line="20" w:lineRule="exact"/>
              <w:rPr>
                <w:sz w:val="1"/>
                <w:szCs w:val="1"/>
                <w:color w:val="auto"/>
              </w:rPr>
            </w:pPr>
          </w:p>
        </w:tc>
        <w:tc>
          <w:tcPr>
            <w:tcW w:w="1540" w:type="dxa"/>
            <w:vAlign w:val="bottom"/>
            <w:tcBorders>
              <w:bottom w:val="single" w:sz="8" w:color="auto"/>
            </w:tcBorders>
          </w:tcPr>
          <w:p>
            <w:pPr>
              <w:spacing w:after="0" w:line="20" w:lineRule="exact"/>
              <w:rPr>
                <w:sz w:val="1"/>
                <w:szCs w:val="1"/>
                <w:color w:val="auto"/>
              </w:rPr>
            </w:pPr>
          </w:p>
        </w:tc>
        <w:tc>
          <w:tcPr>
            <w:tcW w:w="15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ind w:left="424" w:hanging="424"/>
        <w:spacing w:after="0"/>
        <w:tabs>
          <w:tab w:leader="none" w:pos="424" w:val="left"/>
        </w:tabs>
        <w:numPr>
          <w:ilvl w:val="0"/>
          <w:numId w:val="1"/>
        </w:numPr>
        <w:rPr>
          <w:rFonts w:ascii="Arial" w:cs="Arial" w:eastAsia="Arial" w:hAnsi="Arial"/>
          <w:sz w:val="18"/>
          <w:szCs w:val="18"/>
          <w:color w:val="auto"/>
        </w:rPr>
      </w:pPr>
      <w:r>
        <w:rPr>
          <w:rFonts w:ascii="Arial" w:cs="Arial" w:eastAsia="Arial" w:hAnsi="Arial"/>
          <w:sz w:val="18"/>
          <w:szCs w:val="18"/>
          <w:color w:val="auto"/>
        </w:rPr>
        <w:t>Omitted pursuant to Form S-3 General Instruction II.E.</w:t>
      </w:r>
    </w:p>
    <w:p>
      <w:pPr>
        <w:spacing w:after="0" w:line="22" w:lineRule="exact"/>
        <w:rPr>
          <w:rFonts w:ascii="Arial" w:cs="Arial" w:eastAsia="Arial" w:hAnsi="Arial"/>
          <w:sz w:val="18"/>
          <w:szCs w:val="18"/>
          <w:color w:val="auto"/>
        </w:rPr>
      </w:pPr>
    </w:p>
    <w:p>
      <w:pPr>
        <w:ind w:left="424" w:right="160" w:hanging="424"/>
        <w:spacing w:after="0" w:line="250" w:lineRule="auto"/>
        <w:tabs>
          <w:tab w:leader="none" w:pos="424" w:val="left"/>
        </w:tabs>
        <w:numPr>
          <w:ilvl w:val="0"/>
          <w:numId w:val="1"/>
        </w:numPr>
        <w:rPr>
          <w:rFonts w:ascii="Arial" w:cs="Arial" w:eastAsia="Arial" w:hAnsi="Arial"/>
          <w:sz w:val="18"/>
          <w:szCs w:val="18"/>
          <w:color w:val="auto"/>
        </w:rPr>
      </w:pPr>
      <w:r>
        <w:rPr>
          <w:rFonts w:ascii="Arial" w:cs="Arial" w:eastAsia="Arial" w:hAnsi="Arial"/>
          <w:sz w:val="18"/>
          <w:szCs w:val="18"/>
          <w:color w:val="auto"/>
        </w:rPr>
        <w:t>An unspecified number of securities or aggregate principal amount, as applicable, is being registered as may from time to time be offered at unspecified prices and, in addition, an unspecified number of additional shares of Common Stock is being registered as may be issued from time to time upon conversion of any Debt Securities that are convertible into Common Stock or pursuant to any anti-dilution adjustments with respect to any such convertible Debt Securities.</w:t>
      </w:r>
    </w:p>
    <w:p>
      <w:pPr>
        <w:spacing w:after="0" w:line="1" w:lineRule="exact"/>
        <w:rPr>
          <w:rFonts w:ascii="Arial" w:cs="Arial" w:eastAsia="Arial" w:hAnsi="Arial"/>
          <w:sz w:val="18"/>
          <w:szCs w:val="18"/>
          <w:color w:val="auto"/>
        </w:rPr>
      </w:pPr>
    </w:p>
    <w:p>
      <w:pPr>
        <w:ind w:left="424" w:right="260" w:hanging="424"/>
        <w:spacing w:after="0" w:line="250" w:lineRule="auto"/>
        <w:tabs>
          <w:tab w:leader="none" w:pos="424" w:val="left"/>
        </w:tabs>
        <w:numPr>
          <w:ilvl w:val="0"/>
          <w:numId w:val="1"/>
        </w:numPr>
        <w:rPr>
          <w:rFonts w:ascii="Arial" w:cs="Arial" w:eastAsia="Arial" w:hAnsi="Arial"/>
          <w:sz w:val="18"/>
          <w:szCs w:val="18"/>
          <w:color w:val="auto"/>
        </w:rPr>
      </w:pPr>
      <w:r>
        <w:rPr>
          <w:rFonts w:ascii="Arial" w:cs="Arial" w:eastAsia="Arial" w:hAnsi="Arial"/>
          <w:sz w:val="18"/>
          <w:szCs w:val="18"/>
          <w:color w:val="auto"/>
        </w:rPr>
        <w:t>Includes rights to acquire common stock or preferred stock of the Company under any shareholder rights plan then in effect, if applicable under the terms of any such plan.</w:t>
      </w:r>
    </w:p>
    <w:p>
      <w:pPr>
        <w:ind w:left="424" w:right="60" w:hanging="424"/>
        <w:spacing w:after="0" w:line="265" w:lineRule="auto"/>
        <w:tabs>
          <w:tab w:leader="none" w:pos="424" w:val="left"/>
        </w:tabs>
        <w:numPr>
          <w:ilvl w:val="0"/>
          <w:numId w:val="1"/>
        </w:numPr>
        <w:rPr>
          <w:rFonts w:ascii="Arial" w:cs="Arial" w:eastAsia="Arial" w:hAnsi="Arial"/>
          <w:sz w:val="17"/>
          <w:szCs w:val="17"/>
          <w:color w:val="auto"/>
        </w:rPr>
      </w:pPr>
      <w:r>
        <w:rPr>
          <w:rFonts w:ascii="Arial" w:cs="Arial" w:eastAsia="Arial" w:hAnsi="Arial"/>
          <w:sz w:val="17"/>
          <w:szCs w:val="17"/>
          <w:color w:val="auto"/>
        </w:rPr>
        <w:t>Estimated solely for the purpose of calculating the registration fee. No separate consideration will be received for shares of common stock that are issued upon conversion of debt securities or preferred stock or upon exercise of common stock warrants registered hereunder. The aggregate maximum offering price of all securities issued pursuant to this registration statement will not exceed $200,000,000.</w:t>
      </w:r>
    </w:p>
    <w:p>
      <w:pPr>
        <w:ind w:left="424" w:hanging="424"/>
        <w:spacing w:after="0"/>
        <w:tabs>
          <w:tab w:leader="none" w:pos="424" w:val="left"/>
        </w:tabs>
        <w:numPr>
          <w:ilvl w:val="0"/>
          <w:numId w:val="1"/>
        </w:numPr>
        <w:rPr>
          <w:rFonts w:ascii="Arial" w:cs="Arial" w:eastAsia="Arial" w:hAnsi="Arial"/>
          <w:sz w:val="18"/>
          <w:szCs w:val="18"/>
          <w:color w:val="auto"/>
        </w:rPr>
      </w:pPr>
      <w:r>
        <w:rPr>
          <w:rFonts w:ascii="Arial" w:cs="Arial" w:eastAsia="Arial" w:hAnsi="Arial"/>
          <w:sz w:val="18"/>
          <w:szCs w:val="18"/>
          <w:color w:val="auto"/>
        </w:rPr>
        <w:t>The registration fee has been calculated in accordance with Rule 457(o) under the Securities Act of 1933, as amended.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151765</wp:posOffset>
            </wp:positionV>
            <wp:extent cx="6995160" cy="889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6995160" cy="8890"/>
                    </a:xfrm>
                    <a:prstGeom prst="rect">
                      <a:avLst/>
                    </a:prstGeom>
                    <a:noFill/>
                  </pic:spPr>
                </pic:pic>
              </a:graphicData>
            </a:graphic>
          </wp:anchor>
        </w:drawing>
        <w:drawing>
          <wp:anchor simplePos="0" relativeHeight="251657728" behindDoc="1" locked="0" layoutInCell="0" allowOverlap="1">
            <wp:simplePos x="0" y="0"/>
            <wp:positionH relativeFrom="column">
              <wp:posOffset>0</wp:posOffset>
            </wp:positionH>
            <wp:positionV relativeFrom="paragraph">
              <wp:posOffset>194310</wp:posOffset>
            </wp:positionV>
            <wp:extent cx="6995160" cy="889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6995160" cy="8890"/>
                    </a:xfrm>
                    <a:prstGeom prst="rect">
                      <a:avLst/>
                    </a:prstGeom>
                    <a:noFill/>
                  </pic:spPr>
                </pic:pic>
              </a:graphicData>
            </a:graphic>
          </wp:anchor>
        </w:drawing>
      </w:r>
    </w:p>
    <w:p>
      <w:pPr>
        <w:sectPr>
          <w:pgSz w:w="11900" w:h="16838" w:orient="portrait"/>
          <w:cols w:equalWidth="0" w:num="1">
            <w:col w:w="11024"/>
          </w:cols>
          <w:pgMar w:left="436" w:top="125" w:right="439" w:bottom="1440" w:gutter="0" w:footer="0" w:header="0"/>
        </w:sectPr>
      </w:pPr>
    </w:p>
    <w:bookmarkStart w:id="2" w:name="page3"/>
    <w:bookmarkEnd w:id="2"/>
    <w:p>
      <w:pPr>
        <w:jc w:val="both"/>
        <w:ind w:right="740"/>
        <w:spacing w:after="0" w:line="281" w:lineRule="auto"/>
        <w:rPr>
          <w:sz w:val="20"/>
          <w:szCs w:val="20"/>
          <w:color w:val="auto"/>
        </w:rPr>
      </w:pPr>
      <w:r>
        <w:rPr>
          <w:rFonts w:ascii="Arial" w:cs="Arial" w:eastAsia="Arial" w:hAnsi="Arial"/>
          <w:sz w:val="17"/>
          <w:szCs w:val="17"/>
          <w:b w:val="1"/>
          <w:bCs w:val="1"/>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49465" cy="25400"/>
                    </a:xfrm>
                    <a:prstGeom prst="rect">
                      <a:avLst/>
                    </a:prstGeom>
                    <a:noFill/>
                  </pic:spPr>
                </pic:pic>
              </a:graphicData>
            </a:graphic>
          </wp:anchor>
        </w:drawing>
        <w:t>The registrant hereby amends this registration statement on such date or dates as may be necessary to delay its effective date until the registrant shall file a further amendment which specifically states that this registration statement shall thereafter become effective in accordance with Section 8(a) of the Securities Act of 1933 or until the registration statement shall become effective on such date as the Securities and Exchange Commission, acting pursuant to said Section 8(a), may determine.</w:t>
      </w:r>
    </w:p>
    <w:p>
      <w:pPr>
        <w:spacing w:after="0" w:line="273"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Explanatory Note</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This registration statement contains two prospectuses:</w:t>
      </w:r>
    </w:p>
    <w:p>
      <w:pPr>
        <w:spacing w:after="0" w:line="131" w:lineRule="exact"/>
        <w:rPr>
          <w:sz w:val="20"/>
          <w:szCs w:val="20"/>
          <w:color w:val="auto"/>
        </w:rPr>
      </w:pPr>
    </w:p>
    <w:p>
      <w:pPr>
        <w:ind w:left="960" w:right="300" w:hanging="424"/>
        <w:spacing w:after="0" w:line="277" w:lineRule="auto"/>
        <w:tabs>
          <w:tab w:leader="none" w:pos="960" w:val="left"/>
        </w:tabs>
        <w:numPr>
          <w:ilvl w:val="0"/>
          <w:numId w:val="2"/>
        </w:numPr>
        <w:rPr>
          <w:rFonts w:ascii="Arial" w:cs="Arial" w:eastAsia="Arial" w:hAnsi="Arial"/>
          <w:sz w:val="18"/>
          <w:szCs w:val="18"/>
          <w:color w:val="auto"/>
        </w:rPr>
      </w:pPr>
      <w:r>
        <w:rPr>
          <w:rFonts w:ascii="Arial" w:cs="Arial" w:eastAsia="Arial" w:hAnsi="Arial"/>
          <w:sz w:val="18"/>
          <w:szCs w:val="18"/>
          <w:color w:val="auto"/>
        </w:rPr>
        <w:t>A base prospectus which covers the offering, issuance and sale by us of up to $200,000,000 in the aggregate of the securities identified above from time to time in one or more offerings; and</w:t>
      </w:r>
    </w:p>
    <w:p>
      <w:pPr>
        <w:spacing w:after="0" w:line="75" w:lineRule="exact"/>
        <w:rPr>
          <w:rFonts w:ascii="Arial" w:cs="Arial" w:eastAsia="Arial" w:hAnsi="Arial"/>
          <w:sz w:val="18"/>
          <w:szCs w:val="18"/>
          <w:color w:val="auto"/>
        </w:rPr>
      </w:pPr>
    </w:p>
    <w:p>
      <w:pPr>
        <w:ind w:left="960" w:right="140" w:hanging="424"/>
        <w:spacing w:after="0" w:line="342" w:lineRule="auto"/>
        <w:tabs>
          <w:tab w:leader="none" w:pos="960" w:val="left"/>
        </w:tabs>
        <w:numPr>
          <w:ilvl w:val="0"/>
          <w:numId w:val="2"/>
        </w:numPr>
        <w:rPr>
          <w:rFonts w:ascii="Arial" w:cs="Arial" w:eastAsia="Arial" w:hAnsi="Arial"/>
          <w:sz w:val="16"/>
          <w:szCs w:val="16"/>
          <w:color w:val="auto"/>
        </w:rPr>
      </w:pPr>
      <w:r>
        <w:rPr>
          <w:rFonts w:ascii="Arial" w:cs="Arial" w:eastAsia="Arial" w:hAnsi="Arial"/>
          <w:sz w:val="16"/>
          <w:szCs w:val="16"/>
          <w:color w:val="auto"/>
        </w:rPr>
        <w:t>A sales agreement prospectus covering the offering, issuance and sale by us of up to a maximum aggregate offering price of $50,000,000 of our common stock that may be issued and sold under an equity distribution agreement with Piper Sandler &amp; Co., or Piper Sandler.</w:t>
      </w:r>
    </w:p>
    <w:p>
      <w:pPr>
        <w:spacing w:after="0" w:line="124"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The base prospectus immediately follows this explanatory note. The specific terms of any securities to be offered pursuant to the base prospectus will be specified in a prospectus supplement to the base prospectus.</w:t>
      </w:r>
    </w:p>
    <w:p>
      <w:pPr>
        <w:spacing w:after="0" w:line="170" w:lineRule="exact"/>
        <w:rPr>
          <w:sz w:val="20"/>
          <w:szCs w:val="20"/>
          <w:color w:val="auto"/>
        </w:rPr>
      </w:pPr>
    </w:p>
    <w:p>
      <w:pPr>
        <w:ind w:right="20"/>
        <w:spacing w:after="0" w:line="255" w:lineRule="auto"/>
        <w:rPr>
          <w:sz w:val="20"/>
          <w:szCs w:val="20"/>
          <w:color w:val="auto"/>
        </w:rPr>
      </w:pPr>
      <w:r>
        <w:rPr>
          <w:rFonts w:ascii="Arial" w:cs="Arial" w:eastAsia="Arial" w:hAnsi="Arial"/>
          <w:sz w:val="18"/>
          <w:szCs w:val="18"/>
          <w:color w:val="auto"/>
        </w:rPr>
        <w:t>The sales agreement prospectus immediately follows the base prospectus. The $50,000,000 of common stock that may be offered, issued and sold under the sales agreement prospectus is included in the $200,000,000 of securities that may be offered, issued and sold by us under the base prospectus. Upon termination of the equity distribution agreement with Piper Sandler, any portion of the $50,000,000 included in the sales agreement prospectus that is not sold pursuant to the equity distribution agreement will be available for sale in other offerings pursuant to the base prospectus, and if no shares are sold under the equity distribution agreement, the full $50,000,000 of securities may be sold in other offerings pursuant to the base prospectus and a corresponding prospectus supplement.</w:t>
      </w:r>
    </w:p>
    <w:p>
      <w:pPr>
        <w:sectPr>
          <w:pgSz w:w="11900" w:h="16838" w:orient="portrait"/>
          <w:cols w:equalWidth="0" w:num="1">
            <w:col w:w="10980"/>
          </w:cols>
          <w:pgMar w:left="440" w:top="270" w:right="479" w:bottom="1440" w:gutter="0" w:footer="0" w:header="0"/>
        </w:sectPr>
      </w:pPr>
    </w:p>
    <w:bookmarkStart w:id="3" w:name="page4"/>
    <w:bookmarkEnd w:id="3"/>
    <w:p>
      <w:pPr>
        <w:ind w:right="80"/>
        <w:spacing w:after="0" w:line="266" w:lineRule="auto"/>
        <w:rPr>
          <w:sz w:val="20"/>
          <w:szCs w:val="20"/>
          <w:color w:val="auto"/>
        </w:rPr>
      </w:pPr>
      <w:r>
        <w:rPr>
          <w:rFonts w:ascii="Arial" w:cs="Arial" w:eastAsia="Arial" w:hAnsi="Arial"/>
          <w:sz w:val="18"/>
          <w:szCs w:val="18"/>
          <w:b w:val="1"/>
          <w:bCs w:val="1"/>
          <w:color w:val="FF4338"/>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49465" cy="26035"/>
                    </a:xfrm>
                    <a:prstGeom prst="rect">
                      <a:avLst/>
                    </a:prstGeom>
                    <a:noFill/>
                  </pic:spPr>
                </pic:pic>
              </a:graphicData>
            </a:graphic>
          </wp:anchor>
        </w:drawing>
        <w:t>The information in this preliminary prospectus is not complete and may be changed. These securities may not be sold until the registration statement filed with the Securities and Exchange Commission is effective. This preliminary prospectus is not an offer to sell nor does it seek an offer to buy these securities in any jurisdiction where the offer or sale is not permitted.</w:t>
      </w:r>
    </w:p>
    <w:p>
      <w:pPr>
        <w:spacing w:after="0" w:line="108"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FF4338"/>
        </w:rPr>
        <w:t>Subject to Completion, dated August 14, 2020.</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PROSPECTUS</w:t>
      </w:r>
    </w:p>
    <w:p>
      <w:pPr>
        <w:spacing w:after="0" w:line="202" w:lineRule="exact"/>
        <w:rPr>
          <w:sz w:val="20"/>
          <w:szCs w:val="20"/>
          <w:color w:val="auto"/>
        </w:rPr>
      </w:pPr>
    </w:p>
    <w:p>
      <w:pPr>
        <w:jc w:val="center"/>
        <w:ind w:right="-19"/>
        <w:spacing w:after="0"/>
        <w:rPr>
          <w:sz w:val="20"/>
          <w:szCs w:val="20"/>
          <w:color w:val="auto"/>
        </w:rPr>
      </w:pPr>
      <w:r>
        <w:rPr>
          <w:rFonts w:ascii="Arial" w:cs="Arial" w:eastAsia="Arial" w:hAnsi="Arial"/>
          <w:sz w:val="32"/>
          <w:szCs w:val="32"/>
          <w:b w:val="1"/>
          <w:bCs w:val="1"/>
          <w:color w:val="auto"/>
        </w:rPr>
        <w:t>$200,000,000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2234565</wp:posOffset>
            </wp:positionH>
            <wp:positionV relativeFrom="paragraph">
              <wp:posOffset>178435</wp:posOffset>
            </wp:positionV>
            <wp:extent cx="2520315" cy="95123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2520315" cy="95123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2" w:lineRule="exact"/>
        <w:rPr>
          <w:sz w:val="20"/>
          <w:szCs w:val="20"/>
          <w:color w:val="auto"/>
        </w:rPr>
      </w:pPr>
    </w:p>
    <w:p>
      <w:pPr>
        <w:jc w:val="center"/>
        <w:ind w:right="-19"/>
        <w:spacing w:after="0"/>
        <w:rPr>
          <w:sz w:val="20"/>
          <w:szCs w:val="20"/>
          <w:color w:val="auto"/>
        </w:rPr>
      </w:pPr>
      <w:r>
        <w:rPr>
          <w:rFonts w:ascii="Arial" w:cs="Arial" w:eastAsia="Arial" w:hAnsi="Arial"/>
          <w:sz w:val="25"/>
          <w:szCs w:val="25"/>
          <w:b w:val="1"/>
          <w:bCs w:val="1"/>
          <w:color w:val="auto"/>
        </w:rPr>
        <w:t>Common Stock</w:t>
      </w:r>
    </w:p>
    <w:p>
      <w:pPr>
        <w:spacing w:after="0" w:line="38" w:lineRule="exact"/>
        <w:rPr>
          <w:sz w:val="20"/>
          <w:szCs w:val="20"/>
          <w:color w:val="auto"/>
        </w:rPr>
      </w:pPr>
    </w:p>
    <w:p>
      <w:pPr>
        <w:jc w:val="center"/>
        <w:ind w:right="-19"/>
        <w:spacing w:after="0"/>
        <w:rPr>
          <w:sz w:val="20"/>
          <w:szCs w:val="20"/>
          <w:color w:val="auto"/>
        </w:rPr>
      </w:pPr>
      <w:r>
        <w:rPr>
          <w:rFonts w:ascii="Arial" w:cs="Arial" w:eastAsia="Arial" w:hAnsi="Arial"/>
          <w:sz w:val="25"/>
          <w:szCs w:val="25"/>
          <w:b w:val="1"/>
          <w:bCs w:val="1"/>
          <w:color w:val="auto"/>
        </w:rPr>
        <w:t>Preferred Stock</w:t>
      </w:r>
    </w:p>
    <w:p>
      <w:pPr>
        <w:spacing w:after="0" w:line="10" w:lineRule="exact"/>
        <w:rPr>
          <w:sz w:val="20"/>
          <w:szCs w:val="20"/>
          <w:color w:val="auto"/>
        </w:rPr>
      </w:pPr>
    </w:p>
    <w:p>
      <w:pPr>
        <w:jc w:val="center"/>
        <w:ind w:right="-19"/>
        <w:spacing w:after="0"/>
        <w:rPr>
          <w:sz w:val="20"/>
          <w:szCs w:val="20"/>
          <w:color w:val="auto"/>
        </w:rPr>
      </w:pPr>
      <w:r>
        <w:rPr>
          <w:rFonts w:ascii="Arial" w:cs="Arial" w:eastAsia="Arial" w:hAnsi="Arial"/>
          <w:sz w:val="25"/>
          <w:szCs w:val="25"/>
          <w:b w:val="1"/>
          <w:bCs w:val="1"/>
          <w:color w:val="auto"/>
        </w:rPr>
        <w:t>Debt Securities</w:t>
      </w:r>
    </w:p>
    <w:p>
      <w:pPr>
        <w:spacing w:after="0" w:line="10" w:lineRule="exact"/>
        <w:rPr>
          <w:sz w:val="20"/>
          <w:szCs w:val="20"/>
          <w:color w:val="auto"/>
        </w:rPr>
      </w:pPr>
    </w:p>
    <w:p>
      <w:pPr>
        <w:jc w:val="center"/>
        <w:ind w:right="-19"/>
        <w:spacing w:after="0"/>
        <w:rPr>
          <w:sz w:val="20"/>
          <w:szCs w:val="20"/>
          <w:color w:val="auto"/>
        </w:rPr>
      </w:pPr>
      <w:r>
        <w:rPr>
          <w:rFonts w:ascii="Arial" w:cs="Arial" w:eastAsia="Arial" w:hAnsi="Arial"/>
          <w:sz w:val="25"/>
          <w:szCs w:val="25"/>
          <w:b w:val="1"/>
          <w:bCs w:val="1"/>
          <w:color w:val="auto"/>
        </w:rPr>
        <w:t>Warrants</w:t>
      </w:r>
    </w:p>
    <w:p>
      <w:pPr>
        <w:spacing w:after="0" w:line="10" w:lineRule="exact"/>
        <w:rPr>
          <w:sz w:val="20"/>
          <w:szCs w:val="20"/>
          <w:color w:val="auto"/>
        </w:rPr>
      </w:pPr>
    </w:p>
    <w:p>
      <w:pPr>
        <w:jc w:val="center"/>
        <w:ind w:right="-19"/>
        <w:spacing w:after="0"/>
        <w:rPr>
          <w:sz w:val="20"/>
          <w:szCs w:val="20"/>
          <w:color w:val="auto"/>
        </w:rPr>
      </w:pPr>
      <w:r>
        <w:rPr>
          <w:rFonts w:ascii="Arial" w:cs="Arial" w:eastAsia="Arial" w:hAnsi="Arial"/>
          <w:sz w:val="25"/>
          <w:szCs w:val="25"/>
          <w:b w:val="1"/>
          <w:bCs w:val="1"/>
          <w:color w:val="auto"/>
        </w:rPr>
        <w:t>Units</w:t>
      </w:r>
    </w:p>
    <w:p>
      <w:pPr>
        <w:spacing w:after="0" w:line="10" w:lineRule="exact"/>
        <w:rPr>
          <w:sz w:val="20"/>
          <w:szCs w:val="20"/>
          <w:color w:val="auto"/>
        </w:rPr>
      </w:pPr>
    </w:p>
    <w:p>
      <w:pPr>
        <w:jc w:val="center"/>
        <w:ind w:right="-19"/>
        <w:spacing w:after="0"/>
        <w:rPr>
          <w:sz w:val="20"/>
          <w:szCs w:val="20"/>
          <w:color w:val="auto"/>
        </w:rPr>
      </w:pPr>
      <w:r>
        <w:rPr>
          <w:rFonts w:ascii="Arial" w:cs="Arial" w:eastAsia="Arial" w:hAnsi="Arial"/>
          <w:sz w:val="25"/>
          <w:szCs w:val="25"/>
          <w:b w:val="1"/>
          <w:bCs w:val="1"/>
          <w:color w:val="auto"/>
        </w:rPr>
        <w:t>Subscription Rights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2757805</wp:posOffset>
            </wp:positionH>
            <wp:positionV relativeFrom="paragraph">
              <wp:posOffset>225425</wp:posOffset>
            </wp:positionV>
            <wp:extent cx="1474470" cy="825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200" w:lineRule="exact"/>
        <w:rPr>
          <w:sz w:val="20"/>
          <w:szCs w:val="20"/>
          <w:color w:val="auto"/>
        </w:rPr>
      </w:pPr>
    </w:p>
    <w:p>
      <w:pPr>
        <w:spacing w:after="0" w:line="351" w:lineRule="exact"/>
        <w:rPr>
          <w:sz w:val="20"/>
          <w:szCs w:val="20"/>
          <w:color w:val="auto"/>
        </w:rPr>
      </w:pPr>
    </w:p>
    <w:p>
      <w:pPr>
        <w:ind w:right="40"/>
        <w:spacing w:after="0" w:line="277" w:lineRule="auto"/>
        <w:rPr>
          <w:sz w:val="20"/>
          <w:szCs w:val="20"/>
          <w:color w:val="auto"/>
        </w:rPr>
      </w:pPr>
      <w:r>
        <w:rPr>
          <w:rFonts w:ascii="Arial" w:cs="Arial" w:eastAsia="Arial" w:hAnsi="Arial"/>
          <w:sz w:val="18"/>
          <w:szCs w:val="18"/>
          <w:color w:val="auto"/>
        </w:rPr>
        <w:t>We may offer and sell up to $200,000,000 in the aggregate of the securities identified above from time to time in one or more offerings. This prospectus provides you with a general description of the securities.</w:t>
      </w:r>
    </w:p>
    <w:p>
      <w:pPr>
        <w:spacing w:after="0" w:line="170" w:lineRule="exact"/>
        <w:rPr>
          <w:sz w:val="20"/>
          <w:szCs w:val="20"/>
          <w:color w:val="auto"/>
        </w:rPr>
      </w:pPr>
    </w:p>
    <w:p>
      <w:pPr>
        <w:spacing w:after="0" w:line="311" w:lineRule="auto"/>
        <w:rPr>
          <w:sz w:val="20"/>
          <w:szCs w:val="20"/>
          <w:color w:val="auto"/>
        </w:rPr>
      </w:pPr>
      <w:r>
        <w:rPr>
          <w:rFonts w:ascii="Arial" w:cs="Arial" w:eastAsia="Arial" w:hAnsi="Arial"/>
          <w:sz w:val="16"/>
          <w:szCs w:val="16"/>
          <w:color w:val="auto"/>
        </w:rPr>
        <w:t>Each time we offer and sell securities, we will provide a supplement to this prospectus that contains specific information about the offering and the amounts, prices and terms of the securities. The supplement may also add, update or change information contained in this prospectus with respect to that offering. You should carefully read this prospectus and the applicable prospectus supplement before you invest in any of our securities.</w:t>
      </w:r>
    </w:p>
    <w:p>
      <w:pPr>
        <w:spacing w:after="0" w:line="149" w:lineRule="exact"/>
        <w:rPr>
          <w:sz w:val="20"/>
          <w:szCs w:val="20"/>
          <w:color w:val="auto"/>
        </w:rPr>
      </w:pPr>
    </w:p>
    <w:p>
      <w:pPr>
        <w:spacing w:after="0" w:line="273" w:lineRule="auto"/>
        <w:rPr>
          <w:sz w:val="20"/>
          <w:szCs w:val="20"/>
          <w:color w:val="auto"/>
        </w:rPr>
      </w:pPr>
      <w:r>
        <w:rPr>
          <w:rFonts w:ascii="Arial" w:cs="Arial" w:eastAsia="Arial" w:hAnsi="Arial"/>
          <w:sz w:val="17"/>
          <w:szCs w:val="17"/>
          <w:color w:val="auto"/>
        </w:rPr>
        <w:t>We may offer and sell the securities described in this prospectus and any prospectus supplement to or through one or more underwriters, dealers and agents, or directly to purchasers, or through a combination of these methods. If any underwriters, dealers or agents are involved in the sale of any of the securities, their names and any applicable purchase price, fee, commission or discount arrangement between or among them will be set forth, or will be calculable from the information set forth, in the applicable prospectus supplement. See the sections of this prospectus entitled “About this Prospectus” and “Plan of Distribution” for more information. No securities may be sold without delivery of this prospectus and the applicable prospectus supplement describing the method and terms of the offering of such securities.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2757805</wp:posOffset>
            </wp:positionH>
            <wp:positionV relativeFrom="paragraph">
              <wp:posOffset>216535</wp:posOffset>
            </wp:positionV>
            <wp:extent cx="1474470" cy="889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1474470" cy="8890"/>
                    </a:xfrm>
                    <a:prstGeom prst="rect">
                      <a:avLst/>
                    </a:prstGeom>
                    <a:noFill/>
                  </pic:spPr>
                </pic:pic>
              </a:graphicData>
            </a:graphic>
          </wp:anchor>
        </w:drawing>
      </w:r>
    </w:p>
    <w:p>
      <w:pPr>
        <w:spacing w:after="0" w:line="200" w:lineRule="exact"/>
        <w:rPr>
          <w:sz w:val="20"/>
          <w:szCs w:val="20"/>
          <w:color w:val="auto"/>
        </w:rPr>
      </w:pPr>
    </w:p>
    <w:p>
      <w:pPr>
        <w:spacing w:after="0" w:line="323" w:lineRule="exact"/>
        <w:rPr>
          <w:sz w:val="20"/>
          <w:szCs w:val="20"/>
          <w:color w:val="auto"/>
        </w:rPr>
      </w:pPr>
    </w:p>
    <w:p>
      <w:pPr>
        <w:ind w:right="720"/>
        <w:spacing w:after="0" w:line="239" w:lineRule="auto"/>
        <w:rPr>
          <w:rFonts w:ascii="Arial" w:cs="Arial" w:eastAsia="Arial" w:hAnsi="Arial"/>
          <w:sz w:val="22"/>
          <w:szCs w:val="22"/>
          <w:b w:val="1"/>
          <w:bCs w:val="1"/>
          <w:color w:val="auto"/>
        </w:rPr>
      </w:pPr>
      <w:r>
        <w:rPr>
          <w:rFonts w:ascii="Arial" w:cs="Arial" w:eastAsia="Arial" w:hAnsi="Arial"/>
          <w:sz w:val="22"/>
          <w:szCs w:val="22"/>
          <w:b w:val="1"/>
          <w:bCs w:val="1"/>
          <w:color w:val="auto"/>
        </w:rPr>
        <w:t>INVESTING IN OUR SECURITIES INVOLVES RISKS. SEE THE “</w:t>
      </w:r>
      <w:hyperlink w:anchor="page12">
        <w:r>
          <w:rPr>
            <w:rFonts w:ascii="Arial" w:cs="Arial" w:eastAsia="Arial" w:hAnsi="Arial"/>
            <w:sz w:val="22"/>
            <w:szCs w:val="22"/>
            <w:b w:val="1"/>
            <w:bCs w:val="1"/>
            <w:u w:val="single" w:color="auto"/>
            <w:color w:val="0000EE"/>
          </w:rPr>
          <w:t>RISK FACTORS</w:t>
        </w:r>
      </w:hyperlink>
      <w:r>
        <w:rPr>
          <w:rFonts w:ascii="Arial" w:cs="Arial" w:eastAsia="Arial" w:hAnsi="Arial"/>
          <w:sz w:val="22"/>
          <w:szCs w:val="22"/>
          <w:b w:val="1"/>
          <w:bCs w:val="1"/>
          <w:color w:val="auto"/>
        </w:rPr>
        <w:t>” ON PAGE 7 OF THIS PROSPECTUS AND ANY SIMILAR SECTION CONTAINED IN THE APPLICABLE PROSPECTUS SUPPLEMENT CONCERNING FACTORS YOU SHOULD CONSIDER BEFORE INVESTING IN OUR SECURITIES.</w:t>
      </w:r>
    </w:p>
    <w:p>
      <w:pPr>
        <w:spacing w:after="0" w:line="193" w:lineRule="exact"/>
        <w:rPr>
          <w:sz w:val="20"/>
          <w:szCs w:val="20"/>
          <w:color w:val="auto"/>
        </w:rPr>
      </w:pPr>
    </w:p>
    <w:p>
      <w:pPr>
        <w:ind w:right="140"/>
        <w:spacing w:after="0" w:line="277" w:lineRule="auto"/>
        <w:rPr>
          <w:sz w:val="20"/>
          <w:szCs w:val="20"/>
          <w:color w:val="auto"/>
        </w:rPr>
      </w:pPr>
      <w:r>
        <w:rPr>
          <w:rFonts w:ascii="Arial" w:cs="Arial" w:eastAsia="Arial" w:hAnsi="Arial"/>
          <w:sz w:val="18"/>
          <w:szCs w:val="18"/>
          <w:color w:val="auto"/>
        </w:rPr>
        <w:t>Our common stock is listed on the Nasdaq Global Market under the symbol “LRMR.” On August 13, 2020, the last reported sale price of our common stock on the Nasdaq Global Market was $11.89 per share.</w:t>
      </w:r>
    </w:p>
    <w:p>
      <w:pPr>
        <w:spacing w:after="0" w:line="166" w:lineRule="exact"/>
        <w:rPr>
          <w:sz w:val="20"/>
          <w:szCs w:val="20"/>
          <w:color w:val="auto"/>
        </w:rPr>
      </w:pPr>
    </w:p>
    <w:p>
      <w:pPr>
        <w:spacing w:after="0" w:line="312" w:lineRule="auto"/>
        <w:rPr>
          <w:sz w:val="20"/>
          <w:szCs w:val="20"/>
          <w:color w:val="auto"/>
        </w:rPr>
      </w:pPr>
      <w:r>
        <w:rPr>
          <w:rFonts w:ascii="Arial" w:cs="Arial" w:eastAsia="Arial" w:hAnsi="Arial"/>
          <w:sz w:val="17"/>
          <w:szCs w:val="17"/>
          <w:b w:val="1"/>
          <w:bCs w:val="1"/>
          <w:color w:val="auto"/>
        </w:rPr>
        <w:t>Neither the Securities and Exchange Commission nor any state securities commission has approved or disapproved of these securities or passed upon the adequacy or accuracy of this prospectus. Any representation to the contrary is a criminal offense.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2757805</wp:posOffset>
            </wp:positionH>
            <wp:positionV relativeFrom="paragraph">
              <wp:posOffset>186055</wp:posOffset>
            </wp:positionV>
            <wp:extent cx="1474470" cy="889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1474470" cy="8890"/>
                    </a:xfrm>
                    <a:prstGeom prst="rect">
                      <a:avLst/>
                    </a:prstGeom>
                    <a:noFill/>
                  </pic:spPr>
                </pic:pic>
              </a:graphicData>
            </a:graphic>
          </wp:anchor>
        </w:drawing>
      </w:r>
    </w:p>
    <w:p>
      <w:pPr>
        <w:spacing w:after="0" w:line="200" w:lineRule="exact"/>
        <w:rPr>
          <w:sz w:val="20"/>
          <w:szCs w:val="20"/>
          <w:color w:val="auto"/>
        </w:rPr>
      </w:pPr>
    </w:p>
    <w:p>
      <w:pPr>
        <w:spacing w:after="0" w:line="284" w:lineRule="exact"/>
        <w:rPr>
          <w:sz w:val="20"/>
          <w:szCs w:val="20"/>
          <w:color w:val="auto"/>
        </w:rPr>
      </w:pPr>
    </w:p>
    <w:tbl>
      <w:tblPr>
        <w:tblLayout w:type="fixed"/>
        <w:tblInd w:w="3880" w:type="dxa"/>
        <w:tblCellMar>
          <w:top w:w="0" w:type="dxa"/>
          <w:left w:w="0" w:type="dxa"/>
          <w:bottom w:w="0" w:type="dxa"/>
          <w:right w:w="0" w:type="dxa"/>
        </w:tblCellMar>
      </w:tblPr>
      <w:tr>
        <w:trPr>
          <w:trHeight w:val="234"/>
        </w:trPr>
        <w:tc>
          <w:tcPr>
            <w:tcW w:w="2500" w:type="dxa"/>
            <w:vAlign w:val="bottom"/>
          </w:tcPr>
          <w:p>
            <w:pPr>
              <w:spacing w:after="0"/>
              <w:rPr>
                <w:sz w:val="20"/>
                <w:szCs w:val="20"/>
                <w:color w:val="auto"/>
              </w:rPr>
            </w:pPr>
            <w:r>
              <w:rPr>
                <w:rFonts w:ascii="Arial" w:cs="Arial" w:eastAsia="Arial" w:hAnsi="Arial"/>
                <w:sz w:val="18"/>
                <w:szCs w:val="18"/>
                <w:b w:val="1"/>
                <w:bCs w:val="1"/>
                <w:color w:val="auto"/>
                <w:w w:val="97"/>
              </w:rPr>
              <w:t>The date of this prospectus is</w:t>
            </w:r>
          </w:p>
        </w:tc>
        <w:tc>
          <w:tcPr>
            <w:tcW w:w="760" w:type="dxa"/>
            <w:vAlign w:val="bottom"/>
          </w:tcPr>
          <w:p>
            <w:pPr>
              <w:jc w:val="right"/>
              <w:spacing w:after="0"/>
              <w:rPr>
                <w:sz w:val="20"/>
                <w:szCs w:val="20"/>
                <w:color w:val="auto"/>
              </w:rPr>
            </w:pPr>
            <w:r>
              <w:rPr>
                <w:rFonts w:ascii="Arial" w:cs="Arial" w:eastAsia="Arial" w:hAnsi="Arial"/>
                <w:sz w:val="18"/>
                <w:szCs w:val="18"/>
                <w:b w:val="1"/>
                <w:bCs w:val="1"/>
                <w:color w:val="auto"/>
              </w:rPr>
              <w:t>, 2020.</w:t>
            </w:r>
          </w:p>
        </w:tc>
      </w:tr>
    </w:tbl>
    <w:p>
      <w:pPr>
        <w:sectPr>
          <w:pgSz w:w="11900" w:h="16838" w:orient="portrait"/>
          <w:cols w:equalWidth="0" w:num="1">
            <w:col w:w="10980"/>
          </w:cols>
          <w:pgMar w:left="440" w:top="270" w:right="479" w:bottom="1440" w:gutter="0" w:footer="0" w:header="0"/>
        </w:sectPr>
      </w:pPr>
    </w:p>
    <w:bookmarkStart w:id="4" w:name="page5"/>
    <w:bookmarkEnd w:id="4"/>
    <w:p>
      <w:pPr>
        <w:spacing w:after="0" w:line="1"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149465" cy="26035"/>
                    </a:xfrm>
                    <a:prstGeom prst="rect">
                      <a:avLst/>
                    </a:prstGeom>
                    <a:noFill/>
                  </pic:spPr>
                </pic:pic>
              </a:graphicData>
            </a:graphic>
          </wp:anchor>
        </w:drawing>
      </w:r>
    </w:p>
    <w:tbl>
      <w:tblPr>
        <w:tblLayout w:type="fixed"/>
        <w:tblInd w:w="0" w:type="dxa"/>
        <w:tblCellMar>
          <w:top w:w="0" w:type="dxa"/>
          <w:left w:w="0" w:type="dxa"/>
          <w:bottom w:w="0" w:type="dxa"/>
          <w:right w:w="0" w:type="dxa"/>
        </w:tblCellMar>
      </w:tblPr>
      <w:tr>
        <w:trPr>
          <w:trHeight w:val="234"/>
        </w:trPr>
        <w:tc>
          <w:tcPr>
            <w:tcW w:w="8620" w:type="dxa"/>
            <w:vAlign w:val="bottom"/>
          </w:tcPr>
          <w:p>
            <w:pPr>
              <w:ind w:left="4540"/>
              <w:spacing w:after="0"/>
              <w:rPr>
                <w:sz w:val="20"/>
                <w:szCs w:val="20"/>
                <w:color w:val="auto"/>
              </w:rPr>
            </w:pPr>
            <w:r>
              <w:rPr>
                <w:rFonts w:ascii="Arial" w:cs="Arial" w:eastAsia="Arial" w:hAnsi="Arial"/>
                <w:sz w:val="18"/>
                <w:szCs w:val="18"/>
                <w:b w:val="1"/>
                <w:bCs w:val="1"/>
                <w:color w:val="auto"/>
              </w:rPr>
              <w:t>TABLE OF CONTENTS</w:t>
            </w:r>
          </w:p>
        </w:tc>
        <w:tc>
          <w:tcPr>
            <w:tcW w:w="2340" w:type="dxa"/>
            <w:vAlign w:val="bottom"/>
          </w:tcPr>
          <w:p>
            <w:pPr>
              <w:spacing w:after="0"/>
              <w:rPr>
                <w:sz w:val="20"/>
                <w:szCs w:val="20"/>
                <w:color w:val="auto"/>
              </w:rPr>
            </w:pPr>
          </w:p>
        </w:tc>
      </w:tr>
      <w:tr>
        <w:trPr>
          <w:trHeight w:val="634"/>
        </w:trPr>
        <w:tc>
          <w:tcPr>
            <w:tcW w:w="8620" w:type="dxa"/>
            <w:vAlign w:val="bottom"/>
          </w:tcPr>
          <w:p>
            <w:pPr>
              <w:spacing w:after="0"/>
              <w:rPr>
                <w:rFonts w:ascii="Arial" w:cs="Arial" w:eastAsia="Arial" w:hAnsi="Arial"/>
                <w:sz w:val="18"/>
                <w:szCs w:val="18"/>
                <w:u w:val="single" w:color="auto"/>
                <w:color w:val="0000EE"/>
              </w:rPr>
            </w:pPr>
            <w:hyperlink w:anchor="page6">
              <w:r>
                <w:rPr>
                  <w:rFonts w:ascii="Arial" w:cs="Arial" w:eastAsia="Arial" w:hAnsi="Arial"/>
                  <w:sz w:val="18"/>
                  <w:szCs w:val="18"/>
                  <w:u w:val="single" w:color="auto"/>
                  <w:color w:val="0000EE"/>
                </w:rPr>
                <w:t>ABOUT THIS PROSPECTUS</w:t>
              </w:r>
            </w:hyperlink>
          </w:p>
        </w:tc>
        <w:tc>
          <w:tcPr>
            <w:tcW w:w="2340" w:type="dxa"/>
            <w:vAlign w:val="bottom"/>
          </w:tcPr>
          <w:p>
            <w:pPr>
              <w:jc w:val="right"/>
              <w:spacing w:after="0"/>
              <w:rPr>
                <w:sz w:val="20"/>
                <w:szCs w:val="20"/>
                <w:color w:val="auto"/>
              </w:rPr>
            </w:pPr>
            <w:r>
              <w:rPr>
                <w:rFonts w:ascii="Arial" w:cs="Arial" w:eastAsia="Arial" w:hAnsi="Arial"/>
                <w:sz w:val="18"/>
                <w:szCs w:val="18"/>
                <w:color w:val="auto"/>
              </w:rPr>
              <w:t>1</w:t>
            </w:r>
          </w:p>
        </w:tc>
      </w:tr>
      <w:tr>
        <w:trPr>
          <w:trHeight w:val="392"/>
        </w:trPr>
        <w:tc>
          <w:tcPr>
            <w:tcW w:w="8620" w:type="dxa"/>
            <w:vAlign w:val="bottom"/>
          </w:tcPr>
          <w:p>
            <w:pPr>
              <w:spacing w:after="0"/>
              <w:rPr>
                <w:rFonts w:ascii="Arial" w:cs="Arial" w:eastAsia="Arial" w:hAnsi="Arial"/>
                <w:sz w:val="18"/>
                <w:szCs w:val="18"/>
                <w:u w:val="single" w:color="auto"/>
                <w:color w:val="0000EE"/>
              </w:rPr>
            </w:pPr>
            <w:hyperlink w:anchor="page7">
              <w:r>
                <w:rPr>
                  <w:rFonts w:ascii="Arial" w:cs="Arial" w:eastAsia="Arial" w:hAnsi="Arial"/>
                  <w:sz w:val="18"/>
                  <w:szCs w:val="18"/>
                  <w:u w:val="single" w:color="auto"/>
                  <w:color w:val="0000EE"/>
                </w:rPr>
                <w:t>WHERE YOU CAN FIND MORE INFORMATION</w:t>
              </w:r>
            </w:hyperlink>
          </w:p>
        </w:tc>
        <w:tc>
          <w:tcPr>
            <w:tcW w:w="2340" w:type="dxa"/>
            <w:vAlign w:val="bottom"/>
          </w:tcPr>
          <w:p>
            <w:pPr>
              <w:jc w:val="right"/>
              <w:spacing w:after="0"/>
              <w:rPr>
                <w:sz w:val="20"/>
                <w:szCs w:val="20"/>
                <w:color w:val="auto"/>
              </w:rPr>
            </w:pPr>
            <w:r>
              <w:rPr>
                <w:rFonts w:ascii="Arial" w:cs="Arial" w:eastAsia="Arial" w:hAnsi="Arial"/>
                <w:sz w:val="18"/>
                <w:szCs w:val="18"/>
                <w:color w:val="auto"/>
              </w:rPr>
              <w:t>2</w:t>
            </w:r>
          </w:p>
        </w:tc>
      </w:tr>
      <w:tr>
        <w:trPr>
          <w:trHeight w:val="392"/>
        </w:trPr>
        <w:tc>
          <w:tcPr>
            <w:tcW w:w="8620" w:type="dxa"/>
            <w:vAlign w:val="bottom"/>
          </w:tcPr>
          <w:p>
            <w:pPr>
              <w:spacing w:after="0"/>
              <w:rPr>
                <w:rFonts w:ascii="Arial" w:cs="Arial" w:eastAsia="Arial" w:hAnsi="Arial"/>
                <w:sz w:val="18"/>
                <w:szCs w:val="18"/>
                <w:u w:val="single" w:color="auto"/>
                <w:color w:val="0000EE"/>
              </w:rPr>
            </w:pPr>
            <w:hyperlink w:anchor="page7">
              <w:r>
                <w:rPr>
                  <w:rFonts w:ascii="Arial" w:cs="Arial" w:eastAsia="Arial" w:hAnsi="Arial"/>
                  <w:sz w:val="18"/>
                  <w:szCs w:val="18"/>
                  <w:u w:val="single" w:color="auto"/>
                  <w:color w:val="0000EE"/>
                </w:rPr>
                <w:t>INCORPORATION OF CERTAIN INFORMATION BY REFERENCE</w:t>
              </w:r>
            </w:hyperlink>
          </w:p>
        </w:tc>
        <w:tc>
          <w:tcPr>
            <w:tcW w:w="2340" w:type="dxa"/>
            <w:vAlign w:val="bottom"/>
          </w:tcPr>
          <w:p>
            <w:pPr>
              <w:jc w:val="right"/>
              <w:spacing w:after="0"/>
              <w:rPr>
                <w:sz w:val="20"/>
                <w:szCs w:val="20"/>
                <w:color w:val="auto"/>
              </w:rPr>
            </w:pPr>
            <w:r>
              <w:rPr>
                <w:rFonts w:ascii="Arial" w:cs="Arial" w:eastAsia="Arial" w:hAnsi="Arial"/>
                <w:sz w:val="18"/>
                <w:szCs w:val="18"/>
                <w:color w:val="auto"/>
              </w:rPr>
              <w:t>2</w:t>
            </w:r>
          </w:p>
        </w:tc>
      </w:tr>
      <w:tr>
        <w:trPr>
          <w:trHeight w:val="392"/>
        </w:trPr>
        <w:tc>
          <w:tcPr>
            <w:tcW w:w="8620" w:type="dxa"/>
            <w:vAlign w:val="bottom"/>
          </w:tcPr>
          <w:p>
            <w:pPr>
              <w:spacing w:after="0"/>
              <w:rPr>
                <w:rFonts w:ascii="Arial" w:cs="Arial" w:eastAsia="Arial" w:hAnsi="Arial"/>
                <w:sz w:val="18"/>
                <w:szCs w:val="18"/>
                <w:u w:val="single" w:color="auto"/>
                <w:color w:val="0000EE"/>
              </w:rPr>
            </w:pPr>
            <w:hyperlink w:anchor="page9">
              <w:r>
                <w:rPr>
                  <w:rFonts w:ascii="Arial" w:cs="Arial" w:eastAsia="Arial" w:hAnsi="Arial"/>
                  <w:sz w:val="18"/>
                  <w:szCs w:val="18"/>
                  <w:u w:val="single" w:color="auto"/>
                  <w:color w:val="0000EE"/>
                </w:rPr>
                <w:t>CAUTIONARY NOTE REGARDING FORWARD-LOOKING STATEMENTS</w:t>
              </w:r>
            </w:hyperlink>
          </w:p>
        </w:tc>
        <w:tc>
          <w:tcPr>
            <w:tcW w:w="2340" w:type="dxa"/>
            <w:vAlign w:val="bottom"/>
          </w:tcPr>
          <w:p>
            <w:pPr>
              <w:jc w:val="right"/>
              <w:spacing w:after="0"/>
              <w:rPr>
                <w:sz w:val="20"/>
                <w:szCs w:val="20"/>
                <w:color w:val="auto"/>
              </w:rPr>
            </w:pPr>
            <w:r>
              <w:rPr>
                <w:rFonts w:ascii="Arial" w:cs="Arial" w:eastAsia="Arial" w:hAnsi="Arial"/>
                <w:sz w:val="18"/>
                <w:szCs w:val="18"/>
                <w:color w:val="auto"/>
              </w:rPr>
              <w:t>4</w:t>
            </w:r>
          </w:p>
        </w:tc>
      </w:tr>
      <w:tr>
        <w:trPr>
          <w:trHeight w:val="391"/>
        </w:trPr>
        <w:tc>
          <w:tcPr>
            <w:tcW w:w="8620" w:type="dxa"/>
            <w:vAlign w:val="bottom"/>
          </w:tcPr>
          <w:p>
            <w:pPr>
              <w:spacing w:after="0"/>
              <w:rPr>
                <w:rFonts w:ascii="Arial" w:cs="Arial" w:eastAsia="Arial" w:hAnsi="Arial"/>
                <w:sz w:val="18"/>
                <w:szCs w:val="18"/>
                <w:u w:val="single" w:color="auto"/>
                <w:color w:val="0000EE"/>
              </w:rPr>
            </w:pPr>
            <w:hyperlink w:anchor="page11">
              <w:r>
                <w:rPr>
                  <w:rFonts w:ascii="Arial" w:cs="Arial" w:eastAsia="Arial" w:hAnsi="Arial"/>
                  <w:sz w:val="18"/>
                  <w:szCs w:val="18"/>
                  <w:u w:val="single" w:color="auto"/>
                  <w:color w:val="0000EE"/>
                </w:rPr>
                <w:t>ABOUT LARIMAR</w:t>
              </w:r>
            </w:hyperlink>
          </w:p>
        </w:tc>
        <w:tc>
          <w:tcPr>
            <w:tcW w:w="2340" w:type="dxa"/>
            <w:vAlign w:val="bottom"/>
          </w:tcPr>
          <w:p>
            <w:pPr>
              <w:jc w:val="right"/>
              <w:spacing w:after="0"/>
              <w:rPr>
                <w:sz w:val="20"/>
                <w:szCs w:val="20"/>
                <w:color w:val="auto"/>
              </w:rPr>
            </w:pPr>
            <w:r>
              <w:rPr>
                <w:rFonts w:ascii="Arial" w:cs="Arial" w:eastAsia="Arial" w:hAnsi="Arial"/>
                <w:sz w:val="18"/>
                <w:szCs w:val="18"/>
                <w:color w:val="auto"/>
              </w:rPr>
              <w:t>6</w:t>
            </w:r>
          </w:p>
        </w:tc>
      </w:tr>
      <w:tr>
        <w:trPr>
          <w:trHeight w:val="392"/>
        </w:trPr>
        <w:tc>
          <w:tcPr>
            <w:tcW w:w="8620" w:type="dxa"/>
            <w:vAlign w:val="bottom"/>
          </w:tcPr>
          <w:p>
            <w:pPr>
              <w:spacing w:after="0"/>
              <w:rPr>
                <w:rFonts w:ascii="Arial" w:cs="Arial" w:eastAsia="Arial" w:hAnsi="Arial"/>
                <w:sz w:val="18"/>
                <w:szCs w:val="18"/>
                <w:u w:val="single" w:color="auto"/>
                <w:color w:val="0000EE"/>
              </w:rPr>
            </w:pPr>
            <w:hyperlink w:anchor="page12">
              <w:r>
                <w:rPr>
                  <w:rFonts w:ascii="Arial" w:cs="Arial" w:eastAsia="Arial" w:hAnsi="Arial"/>
                  <w:sz w:val="18"/>
                  <w:szCs w:val="18"/>
                  <w:u w:val="single" w:color="auto"/>
                  <w:color w:val="0000EE"/>
                </w:rPr>
                <w:t>RISK FACTORS</w:t>
              </w:r>
            </w:hyperlink>
          </w:p>
        </w:tc>
        <w:tc>
          <w:tcPr>
            <w:tcW w:w="2340" w:type="dxa"/>
            <w:vAlign w:val="bottom"/>
          </w:tcPr>
          <w:p>
            <w:pPr>
              <w:jc w:val="right"/>
              <w:spacing w:after="0"/>
              <w:rPr>
                <w:sz w:val="20"/>
                <w:szCs w:val="20"/>
                <w:color w:val="auto"/>
              </w:rPr>
            </w:pPr>
            <w:r>
              <w:rPr>
                <w:rFonts w:ascii="Arial" w:cs="Arial" w:eastAsia="Arial" w:hAnsi="Arial"/>
                <w:sz w:val="18"/>
                <w:szCs w:val="18"/>
                <w:color w:val="auto"/>
              </w:rPr>
              <w:t>7</w:t>
            </w:r>
          </w:p>
        </w:tc>
      </w:tr>
      <w:tr>
        <w:trPr>
          <w:trHeight w:val="392"/>
        </w:trPr>
        <w:tc>
          <w:tcPr>
            <w:tcW w:w="8620" w:type="dxa"/>
            <w:vAlign w:val="bottom"/>
          </w:tcPr>
          <w:p>
            <w:pPr>
              <w:spacing w:after="0"/>
              <w:rPr>
                <w:rFonts w:ascii="Arial" w:cs="Arial" w:eastAsia="Arial" w:hAnsi="Arial"/>
                <w:sz w:val="18"/>
                <w:szCs w:val="18"/>
                <w:u w:val="single" w:color="auto"/>
                <w:color w:val="0000EE"/>
              </w:rPr>
            </w:pPr>
            <w:hyperlink w:anchor="page13">
              <w:r>
                <w:rPr>
                  <w:rFonts w:ascii="Arial" w:cs="Arial" w:eastAsia="Arial" w:hAnsi="Arial"/>
                  <w:sz w:val="18"/>
                  <w:szCs w:val="18"/>
                  <w:u w:val="single" w:color="auto"/>
                  <w:color w:val="0000EE"/>
                </w:rPr>
                <w:t>USE OF PROCEEDS</w:t>
              </w:r>
            </w:hyperlink>
          </w:p>
        </w:tc>
        <w:tc>
          <w:tcPr>
            <w:tcW w:w="2340" w:type="dxa"/>
            <w:vAlign w:val="bottom"/>
          </w:tcPr>
          <w:p>
            <w:pPr>
              <w:jc w:val="right"/>
              <w:spacing w:after="0"/>
              <w:rPr>
                <w:sz w:val="20"/>
                <w:szCs w:val="20"/>
                <w:color w:val="auto"/>
              </w:rPr>
            </w:pPr>
            <w:r>
              <w:rPr>
                <w:rFonts w:ascii="Arial" w:cs="Arial" w:eastAsia="Arial" w:hAnsi="Arial"/>
                <w:sz w:val="18"/>
                <w:szCs w:val="18"/>
                <w:color w:val="auto"/>
              </w:rPr>
              <w:t>8</w:t>
            </w:r>
          </w:p>
        </w:tc>
      </w:tr>
      <w:tr>
        <w:trPr>
          <w:trHeight w:val="392"/>
        </w:trPr>
        <w:tc>
          <w:tcPr>
            <w:tcW w:w="8620" w:type="dxa"/>
            <w:vAlign w:val="bottom"/>
          </w:tcPr>
          <w:p>
            <w:pPr>
              <w:spacing w:after="0"/>
              <w:rPr>
                <w:rFonts w:ascii="Arial" w:cs="Arial" w:eastAsia="Arial" w:hAnsi="Arial"/>
                <w:sz w:val="18"/>
                <w:szCs w:val="18"/>
                <w:u w:val="single" w:color="auto"/>
                <w:color w:val="0000EE"/>
              </w:rPr>
            </w:pPr>
            <w:hyperlink w:anchor="page14">
              <w:r>
                <w:rPr>
                  <w:rFonts w:ascii="Arial" w:cs="Arial" w:eastAsia="Arial" w:hAnsi="Arial"/>
                  <w:sz w:val="18"/>
                  <w:szCs w:val="18"/>
                  <w:u w:val="single" w:color="auto"/>
                  <w:color w:val="0000EE"/>
                </w:rPr>
                <w:t>DESCRIPTION OF CAPITAL STOCK</w:t>
              </w:r>
            </w:hyperlink>
          </w:p>
        </w:tc>
        <w:tc>
          <w:tcPr>
            <w:tcW w:w="2340" w:type="dxa"/>
            <w:vAlign w:val="bottom"/>
          </w:tcPr>
          <w:p>
            <w:pPr>
              <w:jc w:val="right"/>
              <w:spacing w:after="0"/>
              <w:rPr>
                <w:sz w:val="20"/>
                <w:szCs w:val="20"/>
                <w:color w:val="auto"/>
              </w:rPr>
            </w:pPr>
            <w:r>
              <w:rPr>
                <w:rFonts w:ascii="Arial" w:cs="Arial" w:eastAsia="Arial" w:hAnsi="Arial"/>
                <w:sz w:val="18"/>
                <w:szCs w:val="18"/>
                <w:color w:val="auto"/>
              </w:rPr>
              <w:t>9</w:t>
            </w:r>
          </w:p>
        </w:tc>
      </w:tr>
      <w:tr>
        <w:trPr>
          <w:trHeight w:val="391"/>
        </w:trPr>
        <w:tc>
          <w:tcPr>
            <w:tcW w:w="8620" w:type="dxa"/>
            <w:vAlign w:val="bottom"/>
          </w:tcPr>
          <w:p>
            <w:pPr>
              <w:spacing w:after="0"/>
              <w:rPr>
                <w:rFonts w:ascii="Arial" w:cs="Arial" w:eastAsia="Arial" w:hAnsi="Arial"/>
                <w:sz w:val="18"/>
                <w:szCs w:val="18"/>
                <w:u w:val="single" w:color="auto"/>
                <w:color w:val="0000EE"/>
              </w:rPr>
            </w:pPr>
            <w:hyperlink w:anchor="page18">
              <w:r>
                <w:rPr>
                  <w:rFonts w:ascii="Arial" w:cs="Arial" w:eastAsia="Arial" w:hAnsi="Arial"/>
                  <w:sz w:val="18"/>
                  <w:szCs w:val="18"/>
                  <w:u w:val="single" w:color="auto"/>
                  <w:color w:val="0000EE"/>
                </w:rPr>
                <w:t>DESCRIPTION OF DEBT SECURITIES</w:t>
              </w:r>
            </w:hyperlink>
          </w:p>
        </w:tc>
        <w:tc>
          <w:tcPr>
            <w:tcW w:w="2340" w:type="dxa"/>
            <w:vAlign w:val="bottom"/>
          </w:tcPr>
          <w:p>
            <w:pPr>
              <w:jc w:val="right"/>
              <w:spacing w:after="0"/>
              <w:rPr>
                <w:sz w:val="20"/>
                <w:szCs w:val="20"/>
                <w:color w:val="auto"/>
              </w:rPr>
            </w:pPr>
            <w:r>
              <w:rPr>
                <w:rFonts w:ascii="Arial" w:cs="Arial" w:eastAsia="Arial" w:hAnsi="Arial"/>
                <w:sz w:val="18"/>
                <w:szCs w:val="18"/>
                <w:color w:val="auto"/>
              </w:rPr>
              <w:t>13</w:t>
            </w:r>
          </w:p>
        </w:tc>
      </w:tr>
      <w:tr>
        <w:trPr>
          <w:trHeight w:val="392"/>
        </w:trPr>
        <w:tc>
          <w:tcPr>
            <w:tcW w:w="8620" w:type="dxa"/>
            <w:vAlign w:val="bottom"/>
          </w:tcPr>
          <w:p>
            <w:pPr>
              <w:spacing w:after="0"/>
              <w:rPr>
                <w:rFonts w:ascii="Arial" w:cs="Arial" w:eastAsia="Arial" w:hAnsi="Arial"/>
                <w:sz w:val="18"/>
                <w:szCs w:val="18"/>
                <w:u w:val="single" w:color="auto"/>
                <w:color w:val="0000EE"/>
              </w:rPr>
            </w:pPr>
            <w:hyperlink w:anchor="page26">
              <w:r>
                <w:rPr>
                  <w:rFonts w:ascii="Arial" w:cs="Arial" w:eastAsia="Arial" w:hAnsi="Arial"/>
                  <w:sz w:val="18"/>
                  <w:szCs w:val="18"/>
                  <w:u w:val="single" w:color="auto"/>
                  <w:color w:val="0000EE"/>
                </w:rPr>
                <w:t>DESCRIPTION OF WARRANTS</w:t>
              </w:r>
            </w:hyperlink>
          </w:p>
        </w:tc>
        <w:tc>
          <w:tcPr>
            <w:tcW w:w="2340" w:type="dxa"/>
            <w:vAlign w:val="bottom"/>
          </w:tcPr>
          <w:p>
            <w:pPr>
              <w:jc w:val="right"/>
              <w:spacing w:after="0"/>
              <w:rPr>
                <w:sz w:val="20"/>
                <w:szCs w:val="20"/>
                <w:color w:val="auto"/>
              </w:rPr>
            </w:pPr>
            <w:r>
              <w:rPr>
                <w:rFonts w:ascii="Arial" w:cs="Arial" w:eastAsia="Arial" w:hAnsi="Arial"/>
                <w:sz w:val="18"/>
                <w:szCs w:val="18"/>
                <w:color w:val="auto"/>
              </w:rPr>
              <w:t>21</w:t>
            </w:r>
          </w:p>
        </w:tc>
      </w:tr>
      <w:tr>
        <w:trPr>
          <w:trHeight w:val="392"/>
        </w:trPr>
        <w:tc>
          <w:tcPr>
            <w:tcW w:w="8620" w:type="dxa"/>
            <w:vAlign w:val="bottom"/>
          </w:tcPr>
          <w:p>
            <w:pPr>
              <w:spacing w:after="0"/>
              <w:rPr>
                <w:rFonts w:ascii="Arial" w:cs="Arial" w:eastAsia="Arial" w:hAnsi="Arial"/>
                <w:sz w:val="18"/>
                <w:szCs w:val="18"/>
                <w:u w:val="single" w:color="auto"/>
                <w:color w:val="0000EE"/>
              </w:rPr>
            </w:pPr>
            <w:hyperlink w:anchor="page28">
              <w:r>
                <w:rPr>
                  <w:rFonts w:ascii="Arial" w:cs="Arial" w:eastAsia="Arial" w:hAnsi="Arial"/>
                  <w:sz w:val="18"/>
                  <w:szCs w:val="18"/>
                  <w:u w:val="single" w:color="auto"/>
                  <w:color w:val="0000EE"/>
                </w:rPr>
                <w:t>DESCRIPTION OF UNITS</w:t>
              </w:r>
            </w:hyperlink>
          </w:p>
        </w:tc>
        <w:tc>
          <w:tcPr>
            <w:tcW w:w="2340" w:type="dxa"/>
            <w:vAlign w:val="bottom"/>
          </w:tcPr>
          <w:p>
            <w:pPr>
              <w:jc w:val="right"/>
              <w:spacing w:after="0"/>
              <w:rPr>
                <w:sz w:val="20"/>
                <w:szCs w:val="20"/>
                <w:color w:val="auto"/>
              </w:rPr>
            </w:pPr>
            <w:r>
              <w:rPr>
                <w:rFonts w:ascii="Arial" w:cs="Arial" w:eastAsia="Arial" w:hAnsi="Arial"/>
                <w:sz w:val="18"/>
                <w:szCs w:val="18"/>
                <w:color w:val="auto"/>
              </w:rPr>
              <w:t>23</w:t>
            </w:r>
          </w:p>
        </w:tc>
      </w:tr>
      <w:tr>
        <w:trPr>
          <w:trHeight w:val="392"/>
        </w:trPr>
        <w:tc>
          <w:tcPr>
            <w:tcW w:w="8620" w:type="dxa"/>
            <w:vAlign w:val="bottom"/>
          </w:tcPr>
          <w:p>
            <w:pPr>
              <w:spacing w:after="0"/>
              <w:rPr>
                <w:rFonts w:ascii="Arial" w:cs="Arial" w:eastAsia="Arial" w:hAnsi="Arial"/>
                <w:sz w:val="18"/>
                <w:szCs w:val="18"/>
                <w:u w:val="single" w:color="auto"/>
                <w:color w:val="0000EE"/>
              </w:rPr>
            </w:pPr>
            <w:hyperlink w:anchor="page29">
              <w:r>
                <w:rPr>
                  <w:rFonts w:ascii="Arial" w:cs="Arial" w:eastAsia="Arial" w:hAnsi="Arial"/>
                  <w:sz w:val="18"/>
                  <w:szCs w:val="18"/>
                  <w:u w:val="single" w:color="auto"/>
                  <w:color w:val="0000EE"/>
                </w:rPr>
                <w:t>DESCRIPTION OF OUR SUBSCRIPTION RIGHTS</w:t>
              </w:r>
            </w:hyperlink>
          </w:p>
        </w:tc>
        <w:tc>
          <w:tcPr>
            <w:tcW w:w="2340" w:type="dxa"/>
            <w:vAlign w:val="bottom"/>
          </w:tcPr>
          <w:p>
            <w:pPr>
              <w:jc w:val="right"/>
              <w:spacing w:after="0"/>
              <w:rPr>
                <w:sz w:val="20"/>
                <w:szCs w:val="20"/>
                <w:color w:val="auto"/>
              </w:rPr>
            </w:pPr>
            <w:r>
              <w:rPr>
                <w:rFonts w:ascii="Arial" w:cs="Arial" w:eastAsia="Arial" w:hAnsi="Arial"/>
                <w:sz w:val="18"/>
                <w:szCs w:val="18"/>
                <w:color w:val="auto"/>
              </w:rPr>
              <w:t>24</w:t>
            </w:r>
          </w:p>
        </w:tc>
      </w:tr>
      <w:tr>
        <w:trPr>
          <w:trHeight w:val="392"/>
        </w:trPr>
        <w:tc>
          <w:tcPr>
            <w:tcW w:w="8620" w:type="dxa"/>
            <w:vAlign w:val="bottom"/>
          </w:tcPr>
          <w:p>
            <w:pPr>
              <w:spacing w:after="0"/>
              <w:rPr>
                <w:rFonts w:ascii="Arial" w:cs="Arial" w:eastAsia="Arial" w:hAnsi="Arial"/>
                <w:sz w:val="18"/>
                <w:szCs w:val="18"/>
                <w:u w:val="single" w:color="auto"/>
                <w:color w:val="0000EE"/>
              </w:rPr>
            </w:pPr>
            <w:hyperlink w:anchor="page30">
              <w:r>
                <w:rPr>
                  <w:rFonts w:ascii="Arial" w:cs="Arial" w:eastAsia="Arial" w:hAnsi="Arial"/>
                  <w:sz w:val="18"/>
                  <w:szCs w:val="18"/>
                  <w:u w:val="single" w:color="auto"/>
                  <w:color w:val="0000EE"/>
                </w:rPr>
                <w:t>GLOBAL SECURITIES</w:t>
              </w:r>
            </w:hyperlink>
          </w:p>
        </w:tc>
        <w:tc>
          <w:tcPr>
            <w:tcW w:w="2340" w:type="dxa"/>
            <w:vAlign w:val="bottom"/>
          </w:tcPr>
          <w:p>
            <w:pPr>
              <w:jc w:val="right"/>
              <w:spacing w:after="0"/>
              <w:rPr>
                <w:sz w:val="20"/>
                <w:szCs w:val="20"/>
                <w:color w:val="auto"/>
              </w:rPr>
            </w:pPr>
            <w:r>
              <w:rPr>
                <w:rFonts w:ascii="Arial" w:cs="Arial" w:eastAsia="Arial" w:hAnsi="Arial"/>
                <w:sz w:val="18"/>
                <w:szCs w:val="18"/>
                <w:color w:val="auto"/>
              </w:rPr>
              <w:t>25</w:t>
            </w:r>
          </w:p>
        </w:tc>
      </w:tr>
      <w:tr>
        <w:trPr>
          <w:trHeight w:val="391"/>
        </w:trPr>
        <w:tc>
          <w:tcPr>
            <w:tcW w:w="8620" w:type="dxa"/>
            <w:vAlign w:val="bottom"/>
          </w:tcPr>
          <w:p>
            <w:pPr>
              <w:spacing w:after="0"/>
              <w:rPr>
                <w:rFonts w:ascii="Arial" w:cs="Arial" w:eastAsia="Arial" w:hAnsi="Arial"/>
                <w:sz w:val="18"/>
                <w:szCs w:val="18"/>
                <w:u w:val="single" w:color="auto"/>
                <w:color w:val="0000EE"/>
              </w:rPr>
            </w:pPr>
            <w:hyperlink w:anchor="page34">
              <w:r>
                <w:rPr>
                  <w:rFonts w:ascii="Arial" w:cs="Arial" w:eastAsia="Arial" w:hAnsi="Arial"/>
                  <w:sz w:val="18"/>
                  <w:szCs w:val="18"/>
                  <w:u w:val="single" w:color="auto"/>
                  <w:color w:val="0000EE"/>
                </w:rPr>
                <w:t>PLAN OF DISTRIBUTION</w:t>
              </w:r>
            </w:hyperlink>
          </w:p>
        </w:tc>
        <w:tc>
          <w:tcPr>
            <w:tcW w:w="2340" w:type="dxa"/>
            <w:vAlign w:val="bottom"/>
          </w:tcPr>
          <w:p>
            <w:pPr>
              <w:jc w:val="right"/>
              <w:spacing w:after="0"/>
              <w:rPr>
                <w:sz w:val="20"/>
                <w:szCs w:val="20"/>
                <w:color w:val="auto"/>
              </w:rPr>
            </w:pPr>
            <w:r>
              <w:rPr>
                <w:rFonts w:ascii="Arial" w:cs="Arial" w:eastAsia="Arial" w:hAnsi="Arial"/>
                <w:sz w:val="18"/>
                <w:szCs w:val="18"/>
                <w:color w:val="auto"/>
              </w:rPr>
              <w:t>29</w:t>
            </w:r>
          </w:p>
        </w:tc>
      </w:tr>
      <w:tr>
        <w:trPr>
          <w:trHeight w:val="392"/>
        </w:trPr>
        <w:tc>
          <w:tcPr>
            <w:tcW w:w="8620" w:type="dxa"/>
            <w:vAlign w:val="bottom"/>
          </w:tcPr>
          <w:p>
            <w:pPr>
              <w:spacing w:after="0"/>
              <w:rPr>
                <w:rFonts w:ascii="Arial" w:cs="Arial" w:eastAsia="Arial" w:hAnsi="Arial"/>
                <w:sz w:val="18"/>
                <w:szCs w:val="18"/>
                <w:u w:val="single" w:color="auto"/>
                <w:color w:val="0000EE"/>
              </w:rPr>
            </w:pPr>
            <w:hyperlink w:anchor="page36">
              <w:r>
                <w:rPr>
                  <w:rFonts w:ascii="Arial" w:cs="Arial" w:eastAsia="Arial" w:hAnsi="Arial"/>
                  <w:sz w:val="18"/>
                  <w:szCs w:val="18"/>
                  <w:u w:val="single" w:color="auto"/>
                  <w:color w:val="0000EE"/>
                </w:rPr>
                <w:t>LEGAL MATTERS</w:t>
              </w:r>
            </w:hyperlink>
          </w:p>
        </w:tc>
        <w:tc>
          <w:tcPr>
            <w:tcW w:w="2340" w:type="dxa"/>
            <w:vAlign w:val="bottom"/>
          </w:tcPr>
          <w:p>
            <w:pPr>
              <w:jc w:val="right"/>
              <w:spacing w:after="0"/>
              <w:rPr>
                <w:sz w:val="20"/>
                <w:szCs w:val="20"/>
                <w:color w:val="auto"/>
              </w:rPr>
            </w:pPr>
            <w:r>
              <w:rPr>
                <w:rFonts w:ascii="Arial" w:cs="Arial" w:eastAsia="Arial" w:hAnsi="Arial"/>
                <w:sz w:val="18"/>
                <w:szCs w:val="18"/>
                <w:color w:val="auto"/>
              </w:rPr>
              <w:t>31</w:t>
            </w:r>
          </w:p>
        </w:tc>
      </w:tr>
      <w:tr>
        <w:trPr>
          <w:trHeight w:val="392"/>
        </w:trPr>
        <w:tc>
          <w:tcPr>
            <w:tcW w:w="8620" w:type="dxa"/>
            <w:vAlign w:val="bottom"/>
          </w:tcPr>
          <w:p>
            <w:pPr>
              <w:spacing w:after="0"/>
              <w:rPr>
                <w:rFonts w:ascii="Arial" w:cs="Arial" w:eastAsia="Arial" w:hAnsi="Arial"/>
                <w:sz w:val="18"/>
                <w:szCs w:val="18"/>
                <w:u w:val="single" w:color="auto"/>
                <w:color w:val="0000EE"/>
              </w:rPr>
            </w:pPr>
            <w:hyperlink w:anchor="page37">
              <w:r>
                <w:rPr>
                  <w:rFonts w:ascii="Arial" w:cs="Arial" w:eastAsia="Arial" w:hAnsi="Arial"/>
                  <w:sz w:val="18"/>
                  <w:szCs w:val="18"/>
                  <w:u w:val="single" w:color="auto"/>
                  <w:color w:val="0000EE"/>
                </w:rPr>
                <w:t>EXPERTS</w:t>
              </w:r>
            </w:hyperlink>
          </w:p>
        </w:tc>
        <w:tc>
          <w:tcPr>
            <w:tcW w:w="2340" w:type="dxa"/>
            <w:vAlign w:val="bottom"/>
          </w:tcPr>
          <w:p>
            <w:pPr>
              <w:jc w:val="right"/>
              <w:spacing w:after="0"/>
              <w:rPr>
                <w:sz w:val="20"/>
                <w:szCs w:val="20"/>
                <w:color w:val="auto"/>
              </w:rPr>
            </w:pPr>
            <w:r>
              <w:rPr>
                <w:rFonts w:ascii="Arial" w:cs="Arial" w:eastAsia="Arial" w:hAnsi="Arial"/>
                <w:sz w:val="18"/>
                <w:szCs w:val="18"/>
                <w:color w:val="auto"/>
              </w:rPr>
              <w:t>32</w:t>
            </w:r>
          </w:p>
        </w:tc>
      </w:tr>
    </w:tbl>
    <w:p>
      <w:pPr>
        <w:sectPr>
          <w:pgSz w:w="11900" w:h="16838" w:orient="portrait"/>
          <w:cols w:equalWidth="0" w:num="1">
            <w:col w:w="10960"/>
          </w:cols>
          <w:pgMar w:left="440" w:top="270" w:right="499" w:bottom="1440" w:gutter="0" w:footer="0" w:header="0"/>
        </w:sectPr>
      </w:pPr>
    </w:p>
    <w:bookmarkStart w:id="5" w:name="page6"/>
    <w:bookmarkEnd w:id="5"/>
    <w:p>
      <w:pPr>
        <w:jc w:val="center"/>
        <w:ind w:right="-39"/>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149465" cy="26035"/>
                    </a:xfrm>
                    <a:prstGeom prst="rect">
                      <a:avLst/>
                    </a:prstGeom>
                    <a:noFill/>
                  </pic:spPr>
                </pic:pic>
              </a:graphicData>
            </a:graphic>
          </wp:anchor>
        </w:drawing>
        <w:t>ABOUT THIS PROSPECTUS</w:t>
      </w:r>
    </w:p>
    <w:p>
      <w:pPr>
        <w:spacing w:after="0" w:line="229" w:lineRule="exact"/>
        <w:rPr>
          <w:sz w:val="20"/>
          <w:szCs w:val="20"/>
          <w:color w:val="auto"/>
        </w:rPr>
      </w:pPr>
    </w:p>
    <w:p>
      <w:pPr>
        <w:ind w:right="280"/>
        <w:spacing w:after="0" w:line="263" w:lineRule="auto"/>
        <w:rPr>
          <w:sz w:val="20"/>
          <w:szCs w:val="20"/>
          <w:color w:val="auto"/>
        </w:rPr>
      </w:pPr>
      <w:r>
        <w:rPr>
          <w:rFonts w:ascii="Arial" w:cs="Arial" w:eastAsia="Arial" w:hAnsi="Arial"/>
          <w:sz w:val="18"/>
          <w:szCs w:val="18"/>
          <w:color w:val="auto"/>
        </w:rPr>
        <w:t>This prospectus is part of a registration statement that we filed with the U.S. Securities and Exchange Commission, or the SEC, using a “shelf” registration process. By using a shelf registration statement, we may sell securities from time to time and in one or more offerings up to a total dollar amount of $200,000,000 as described in this prospectus.</w:t>
      </w:r>
    </w:p>
    <w:p>
      <w:pPr>
        <w:spacing w:after="0" w:line="184" w:lineRule="exact"/>
        <w:rPr>
          <w:sz w:val="20"/>
          <w:szCs w:val="20"/>
          <w:color w:val="auto"/>
        </w:rPr>
      </w:pPr>
    </w:p>
    <w:p>
      <w:pPr>
        <w:spacing w:after="0" w:line="271" w:lineRule="auto"/>
        <w:rPr>
          <w:sz w:val="20"/>
          <w:szCs w:val="20"/>
          <w:color w:val="auto"/>
        </w:rPr>
      </w:pPr>
      <w:r>
        <w:rPr>
          <w:rFonts w:ascii="Arial" w:cs="Arial" w:eastAsia="Arial" w:hAnsi="Arial"/>
          <w:sz w:val="17"/>
          <w:szCs w:val="17"/>
          <w:color w:val="auto"/>
        </w:rPr>
        <w:t>This prospectus provides you only with a general description of the securities that we may offer. Each time that we offer and sell securities, we will provide a prospectus supplement to this prospectus that contains specific information about the securities being offered and sold and the specific terms of that offering. We may also authorize one or more free writing prospectuses to be provided to you that may contain material information relating to these offerings. The prospectus supplement or free writing prospectus may also add, update or change information contained in this prospectus with respect to that offering. If there is any inconsistency between the information in this prospectus and the applicable prospectus supplement or free writing prospectus, you should rely on the prospectus supplement or free writing prospectus, as applicable. Before purchasing any securities, you should carefully read both this prospectus and the applicable prospectus supplement (and any applicable free writing prospectuses), together with the additional information described under the heading “Where You Can Find More Information.”</w:t>
      </w:r>
    </w:p>
    <w:p>
      <w:pPr>
        <w:spacing w:after="0" w:line="178" w:lineRule="exact"/>
        <w:rPr>
          <w:sz w:val="20"/>
          <w:szCs w:val="20"/>
          <w:color w:val="auto"/>
        </w:rPr>
      </w:pPr>
    </w:p>
    <w:p>
      <w:pPr>
        <w:spacing w:after="0" w:line="271" w:lineRule="auto"/>
        <w:rPr>
          <w:sz w:val="20"/>
          <w:szCs w:val="20"/>
          <w:color w:val="auto"/>
        </w:rPr>
      </w:pPr>
      <w:r>
        <w:rPr>
          <w:rFonts w:ascii="Arial" w:cs="Arial" w:eastAsia="Arial" w:hAnsi="Arial"/>
          <w:sz w:val="17"/>
          <w:szCs w:val="17"/>
          <w:color w:val="auto"/>
        </w:rPr>
        <w:t>We have not authorized anyone to provide you with any information or to make any representations other than those contained in, or incorporated by reference in, this prospectus, any applicable prospectus supplement or any free writing prospectuses prepared by or on behalf of us or to which we have referred you. We take no responsibility for, and can provide no assurance as to the reliability of, any other information that others may give you. We will not make an offer to sell these securities in any jurisdiction where the offer or sale is not permitted. You should assume that the information appearing in this prospectus and the applicable prospectus supplement to this prospectus is accurate only as of the date on its respective cover, that the information appearing in any applicable free writing prospectus is accurate only as of the date of that free writing prospectus, and that any information incorporated by reference is accurate only as of the date of the document incorporated by reference, unless we indicate otherwise. Our business, financial condition, results of operations and prospects may have changed since those dates.</w:t>
      </w:r>
    </w:p>
    <w:p>
      <w:pPr>
        <w:spacing w:after="0" w:line="178" w:lineRule="exact"/>
        <w:rPr>
          <w:sz w:val="20"/>
          <w:szCs w:val="20"/>
          <w:color w:val="auto"/>
        </w:rPr>
      </w:pPr>
    </w:p>
    <w:p>
      <w:pPr>
        <w:ind w:right="180"/>
        <w:spacing w:after="0" w:line="277" w:lineRule="auto"/>
        <w:rPr>
          <w:sz w:val="20"/>
          <w:szCs w:val="20"/>
          <w:color w:val="auto"/>
        </w:rPr>
      </w:pPr>
      <w:r>
        <w:rPr>
          <w:rFonts w:ascii="Arial" w:cs="Arial" w:eastAsia="Arial" w:hAnsi="Arial"/>
          <w:sz w:val="18"/>
          <w:szCs w:val="18"/>
          <w:color w:val="auto"/>
        </w:rPr>
        <w:t>When we refer to “Larimar,” “we,” “our,” “us” and the “Company” in this prospectus, we mean Larimar Therapeutics, Inc., and its subsidiaries unless otherwise specified. When we refer to “you,” we mean the potential holders of the applicable series of securities.</w:t>
      </w:r>
    </w:p>
    <w:p>
      <w:pPr>
        <w:spacing w:after="0" w:line="170" w:lineRule="exact"/>
        <w:rPr>
          <w:sz w:val="20"/>
          <w:szCs w:val="20"/>
          <w:color w:val="auto"/>
        </w:rPr>
      </w:pPr>
    </w:p>
    <w:p>
      <w:pPr>
        <w:ind w:right="40"/>
        <w:spacing w:after="0" w:line="263" w:lineRule="auto"/>
        <w:rPr>
          <w:sz w:val="20"/>
          <w:szCs w:val="20"/>
          <w:color w:val="auto"/>
        </w:rPr>
      </w:pPr>
      <w:r>
        <w:rPr>
          <w:rFonts w:ascii="Arial" w:cs="Arial" w:eastAsia="Arial" w:hAnsi="Arial"/>
          <w:sz w:val="18"/>
          <w:szCs w:val="18"/>
          <w:color w:val="auto"/>
        </w:rPr>
        <w:t xml:space="preserve">Solely for convenience, tradenames referred to in this prospectus appear without the </w:t>
      </w:r>
      <w:r>
        <w:rPr>
          <w:rFonts w:ascii="Arial" w:cs="Arial" w:eastAsia="Arial" w:hAnsi="Arial"/>
          <w:sz w:val="15"/>
          <w:szCs w:val="15"/>
          <w:color w:val="auto"/>
        </w:rPr>
        <w:t>®</w:t>
      </w:r>
      <w:r>
        <w:rPr>
          <w:rFonts w:ascii="Arial" w:cs="Arial" w:eastAsia="Arial" w:hAnsi="Arial"/>
          <w:sz w:val="18"/>
          <w:szCs w:val="18"/>
          <w:color w:val="auto"/>
        </w:rPr>
        <w:t xml:space="preserve"> and </w:t>
      </w:r>
      <w:r>
        <w:rPr>
          <w:rFonts w:ascii="Arial" w:cs="Arial" w:eastAsia="Arial" w:hAnsi="Arial"/>
          <w:sz w:val="15"/>
          <w:szCs w:val="15"/>
          <w:color w:val="auto"/>
        </w:rPr>
        <w:t>™</w:t>
      </w:r>
      <w:r>
        <w:rPr>
          <w:rFonts w:ascii="Arial" w:cs="Arial" w:eastAsia="Arial" w:hAnsi="Arial"/>
          <w:sz w:val="18"/>
          <w:szCs w:val="18"/>
          <w:color w:val="auto"/>
        </w:rPr>
        <w:t xml:space="preserve"> symbols, but those references are not intended to indicate, in any way, that we will not assert, to the fullest extent under applicable law, our rights, or that the applicable owner will not assert its rights, to these tradenames.</w:t>
      </w:r>
    </w:p>
    <w:p>
      <w:pPr>
        <w:spacing w:after="0" w:line="116"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w:t>
      </w:r>
    </w:p>
    <w:p>
      <w:pPr>
        <w:sectPr>
          <w:pgSz w:w="11900" w:h="16838" w:orient="portrait"/>
          <w:cols w:equalWidth="0" w:num="1">
            <w:col w:w="10980"/>
          </w:cols>
          <w:pgMar w:left="440" w:top="270" w:right="479" w:bottom="1440" w:gutter="0" w:footer="0" w:header="0"/>
        </w:sectPr>
      </w:pPr>
    </w:p>
    <w:bookmarkStart w:id="6" w:name="page7"/>
    <w:bookmarkEnd w:id="6"/>
    <w:p>
      <w:pPr>
        <w:jc w:val="cente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149465" cy="25400"/>
                    </a:xfrm>
                    <a:prstGeom prst="rect">
                      <a:avLst/>
                    </a:prstGeom>
                    <a:noFill/>
                  </pic:spPr>
                </pic:pic>
              </a:graphicData>
            </a:graphic>
          </wp:anchor>
        </w:drawing>
        <w:t>WHERE YOU CAN FIND MORE INFORMATION</w:t>
      </w:r>
    </w:p>
    <w:p>
      <w:pPr>
        <w:spacing w:after="0" w:line="229" w:lineRule="exact"/>
        <w:rPr>
          <w:sz w:val="20"/>
          <w:szCs w:val="20"/>
          <w:color w:val="auto"/>
        </w:rPr>
      </w:pPr>
    </w:p>
    <w:p>
      <w:pPr>
        <w:spacing w:after="0" w:line="259" w:lineRule="auto"/>
        <w:rPr>
          <w:sz w:val="20"/>
          <w:szCs w:val="20"/>
          <w:color w:val="auto"/>
        </w:rPr>
      </w:pPr>
      <w:r>
        <w:rPr>
          <w:rFonts w:ascii="Arial" w:cs="Arial" w:eastAsia="Arial" w:hAnsi="Arial"/>
          <w:sz w:val="18"/>
          <w:szCs w:val="18"/>
          <w:color w:val="auto"/>
        </w:rPr>
        <w:t>This prospectus is part of the registration statement on Form S-3 filed with the SEC under the Securities Act and does not contain all the information set forth in the registration statement. Whenever a reference is made in this prospectus to any of our contracts, agreements or other documents, the reference may not be complete and you should refer to the exhibits that are a part of the registration statement or the exhibits to the reports or other documents incorporated herein by reference for a copy of such contract, agreement or other document.</w:t>
      </w:r>
    </w:p>
    <w:p>
      <w:pPr>
        <w:spacing w:after="0" w:line="187" w:lineRule="exact"/>
        <w:rPr>
          <w:sz w:val="20"/>
          <w:szCs w:val="20"/>
          <w:color w:val="auto"/>
        </w:rPr>
      </w:pPr>
    </w:p>
    <w:p>
      <w:pPr>
        <w:spacing w:after="0" w:line="259" w:lineRule="auto"/>
        <w:rPr>
          <w:sz w:val="20"/>
          <w:szCs w:val="20"/>
          <w:color w:val="auto"/>
        </w:rPr>
      </w:pPr>
      <w:r>
        <w:rPr>
          <w:rFonts w:ascii="Arial" w:cs="Arial" w:eastAsia="Arial" w:hAnsi="Arial"/>
          <w:sz w:val="18"/>
          <w:szCs w:val="18"/>
          <w:color w:val="auto"/>
        </w:rPr>
        <w:t>We are currently subject to the reporting requirements of the Exchange Act, and in accordance therewith files periodic reports, proxy statements and other information with the SEC. Our SEC filings are available to you on the SEC’s website at http://www.sec.gov and in the “Investor Relations” section of our website at www.larimartx.com. Our website and the information contained on that site, or connected to that site, are not incorporated into and are not a part of this prospectus.</w:t>
      </w:r>
    </w:p>
    <w:p>
      <w:pPr>
        <w:spacing w:after="0" w:line="39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INCORPORATION OF CERTAIN INFORMATION BY REFERENCE</w:t>
      </w:r>
    </w:p>
    <w:p>
      <w:pPr>
        <w:spacing w:after="0" w:line="229" w:lineRule="exact"/>
        <w:rPr>
          <w:sz w:val="20"/>
          <w:szCs w:val="20"/>
          <w:color w:val="auto"/>
        </w:rPr>
      </w:pPr>
    </w:p>
    <w:p>
      <w:pPr>
        <w:ind w:right="80"/>
        <w:spacing w:after="0" w:line="255" w:lineRule="auto"/>
        <w:rPr>
          <w:sz w:val="20"/>
          <w:szCs w:val="20"/>
          <w:color w:val="auto"/>
        </w:rPr>
      </w:pPr>
      <w:r>
        <w:rPr>
          <w:rFonts w:ascii="Arial" w:cs="Arial" w:eastAsia="Arial" w:hAnsi="Arial"/>
          <w:sz w:val="18"/>
          <w:szCs w:val="18"/>
          <w:color w:val="auto"/>
        </w:rPr>
        <w:t>The SEC allows us to “incorporate by reference” information from other documents that we file with it, which means that we can disclose important information to you by referring you to those documents. The information incorporated by reference is considered to be part of this prospectus. Information in this prospectus supersedes information incorporated by reference that we filed with the SEC prior to the date of this prospectus, while information that we file later with the SEC will automatically update and supersede the information in this prospectus. We incorporate by reference into this prospectus and the registration statement of which this prospectus is a part the information or documents listed below that we have filed with the SEC:</w:t>
      </w:r>
    </w:p>
    <w:p>
      <w:pPr>
        <w:spacing w:after="0" w:line="98" w:lineRule="exact"/>
        <w:rPr>
          <w:sz w:val="20"/>
          <w:szCs w:val="20"/>
          <w:color w:val="auto"/>
        </w:rPr>
      </w:pPr>
    </w:p>
    <w:p>
      <w:pPr>
        <w:ind w:left="960" w:hanging="424"/>
        <w:spacing w:after="0"/>
        <w:tabs>
          <w:tab w:leader="none" w:pos="960" w:val="left"/>
        </w:tabs>
        <w:numPr>
          <w:ilvl w:val="0"/>
          <w:numId w:val="3"/>
        </w:numPr>
        <w:rPr>
          <w:rFonts w:ascii="Arial" w:cs="Arial" w:eastAsia="Arial" w:hAnsi="Arial"/>
          <w:sz w:val="18"/>
          <w:szCs w:val="18"/>
          <w:color w:val="auto"/>
        </w:rPr>
      </w:pPr>
      <w:r>
        <w:rPr>
          <w:rFonts w:ascii="Arial" w:cs="Arial" w:eastAsia="Arial" w:hAnsi="Arial"/>
          <w:sz w:val="18"/>
          <w:szCs w:val="18"/>
          <w:color w:val="auto"/>
        </w:rPr>
        <w:t xml:space="preserve">Our Annual Report on </w:t>
      </w:r>
      <w:hyperlink r:id="rId28">
        <w:r>
          <w:rPr>
            <w:rFonts w:ascii="Arial" w:cs="Arial" w:eastAsia="Arial" w:hAnsi="Arial"/>
            <w:sz w:val="18"/>
            <w:szCs w:val="18"/>
            <w:u w:val="single" w:color="auto"/>
            <w:color w:val="0000EE"/>
          </w:rPr>
          <w:t>Form 10-K</w:t>
        </w:r>
        <w:r>
          <w:rPr>
            <w:rFonts w:ascii="Arial" w:cs="Arial" w:eastAsia="Arial" w:hAnsi="Arial"/>
            <w:sz w:val="18"/>
            <w:szCs w:val="18"/>
            <w:u w:val="single" w:color="auto"/>
            <w:color w:val="auto"/>
          </w:rPr>
          <w:t xml:space="preserve"> </w:t>
        </w:r>
      </w:hyperlink>
      <w:r>
        <w:rPr>
          <w:rFonts w:ascii="Arial" w:cs="Arial" w:eastAsia="Arial" w:hAnsi="Arial"/>
          <w:sz w:val="18"/>
          <w:szCs w:val="18"/>
          <w:color w:val="auto"/>
        </w:rPr>
        <w:t>for the year ended December 31, 2019 filed with the SEC on March 5, 2020;</w:t>
      </w:r>
    </w:p>
    <w:p>
      <w:pPr>
        <w:spacing w:after="0" w:line="130" w:lineRule="exact"/>
        <w:rPr>
          <w:rFonts w:ascii="Arial" w:cs="Arial" w:eastAsia="Arial" w:hAnsi="Arial"/>
          <w:sz w:val="18"/>
          <w:szCs w:val="18"/>
          <w:color w:val="auto"/>
        </w:rPr>
      </w:pPr>
    </w:p>
    <w:p>
      <w:pPr>
        <w:ind w:left="960" w:right="100" w:hanging="424"/>
        <w:spacing w:after="0" w:line="277" w:lineRule="auto"/>
        <w:tabs>
          <w:tab w:leader="none" w:pos="960" w:val="left"/>
        </w:tabs>
        <w:numPr>
          <w:ilvl w:val="0"/>
          <w:numId w:val="3"/>
        </w:numPr>
        <w:rPr>
          <w:rFonts w:ascii="Arial" w:cs="Arial" w:eastAsia="Arial" w:hAnsi="Arial"/>
          <w:sz w:val="18"/>
          <w:szCs w:val="18"/>
          <w:color w:val="auto"/>
        </w:rPr>
      </w:pPr>
      <w:r>
        <w:rPr>
          <w:rFonts w:ascii="Arial" w:cs="Arial" w:eastAsia="Arial" w:hAnsi="Arial"/>
          <w:sz w:val="18"/>
          <w:szCs w:val="18"/>
          <w:color w:val="auto"/>
        </w:rPr>
        <w:t xml:space="preserve">Our Quarterly Reports on </w:t>
      </w:r>
      <w:hyperlink r:id="rId29">
        <w:r>
          <w:rPr>
            <w:rFonts w:ascii="Arial" w:cs="Arial" w:eastAsia="Arial" w:hAnsi="Arial"/>
            <w:sz w:val="18"/>
            <w:szCs w:val="18"/>
            <w:u w:val="single" w:color="auto"/>
            <w:color w:val="0000EE"/>
          </w:rPr>
          <w:t>Form 10-Q</w:t>
        </w:r>
        <w:r>
          <w:rPr>
            <w:rFonts w:ascii="Arial" w:cs="Arial" w:eastAsia="Arial" w:hAnsi="Arial"/>
            <w:sz w:val="18"/>
            <w:szCs w:val="18"/>
            <w:u w:val="single" w:color="auto"/>
            <w:color w:val="auto"/>
          </w:rPr>
          <w:t xml:space="preserve"> </w:t>
        </w:r>
      </w:hyperlink>
      <w:r>
        <w:rPr>
          <w:rFonts w:ascii="Arial" w:cs="Arial" w:eastAsia="Arial" w:hAnsi="Arial"/>
          <w:sz w:val="18"/>
          <w:szCs w:val="18"/>
          <w:color w:val="auto"/>
        </w:rPr>
        <w:t xml:space="preserve">for the quarter ended March 31, 2020, filed with the SEC on May 7, 2020 and for the quarter ended June 30, 2020, filed with the SEC on </w:t>
      </w:r>
      <w:hyperlink r:id="rId30">
        <w:r>
          <w:rPr>
            <w:rFonts w:ascii="Arial" w:cs="Arial" w:eastAsia="Arial" w:hAnsi="Arial"/>
            <w:sz w:val="18"/>
            <w:szCs w:val="18"/>
            <w:u w:val="single" w:color="auto"/>
            <w:color w:val="0000EE"/>
          </w:rPr>
          <w:t>August 14, 2020</w:t>
        </w:r>
      </w:hyperlink>
      <w:r>
        <w:rPr>
          <w:rFonts w:ascii="Arial" w:cs="Arial" w:eastAsia="Arial" w:hAnsi="Arial"/>
          <w:sz w:val="18"/>
          <w:szCs w:val="18"/>
          <w:color w:val="auto"/>
        </w:rPr>
        <w:t>;</w:t>
      </w:r>
    </w:p>
    <w:p>
      <w:pPr>
        <w:spacing w:after="0" w:line="75" w:lineRule="exact"/>
        <w:rPr>
          <w:rFonts w:ascii="Arial" w:cs="Arial" w:eastAsia="Arial" w:hAnsi="Arial"/>
          <w:sz w:val="18"/>
          <w:szCs w:val="18"/>
          <w:color w:val="auto"/>
        </w:rPr>
      </w:pPr>
    </w:p>
    <w:p>
      <w:pPr>
        <w:ind w:left="960" w:right="100" w:hanging="424"/>
        <w:spacing w:after="0" w:line="277" w:lineRule="auto"/>
        <w:tabs>
          <w:tab w:leader="none" w:pos="960" w:val="left"/>
        </w:tabs>
        <w:numPr>
          <w:ilvl w:val="0"/>
          <w:numId w:val="3"/>
        </w:numPr>
        <w:rPr>
          <w:rFonts w:ascii="Arial" w:cs="Arial" w:eastAsia="Arial" w:hAnsi="Arial"/>
          <w:sz w:val="18"/>
          <w:szCs w:val="18"/>
          <w:color w:val="auto"/>
        </w:rPr>
      </w:pPr>
      <w:r>
        <w:rPr>
          <w:rFonts w:ascii="Arial" w:cs="Arial" w:eastAsia="Arial" w:hAnsi="Arial"/>
          <w:sz w:val="18"/>
          <w:szCs w:val="18"/>
          <w:color w:val="auto"/>
        </w:rPr>
        <w:t xml:space="preserve">The information specifically incorporated by reference into our Annual Report on Form 10-K for the year ended December 31, 2019 from our Definitive Proxy Statement on </w:t>
      </w:r>
      <w:hyperlink r:id="rId31">
        <w:r>
          <w:rPr>
            <w:rFonts w:ascii="Arial" w:cs="Arial" w:eastAsia="Arial" w:hAnsi="Arial"/>
            <w:sz w:val="18"/>
            <w:szCs w:val="18"/>
            <w:u w:val="single" w:color="auto"/>
            <w:color w:val="0000EE"/>
          </w:rPr>
          <w:t>Form DEFM 14-A</w:t>
        </w:r>
      </w:hyperlink>
      <w:r>
        <w:rPr>
          <w:rFonts w:ascii="Arial" w:cs="Arial" w:eastAsia="Arial" w:hAnsi="Arial"/>
          <w:sz w:val="18"/>
          <w:szCs w:val="18"/>
          <w:color w:val="auto"/>
        </w:rPr>
        <w:t>, filed on April 29, 2020;</w:t>
      </w:r>
    </w:p>
    <w:p>
      <w:pPr>
        <w:spacing w:after="0" w:line="75" w:lineRule="exact"/>
        <w:rPr>
          <w:rFonts w:ascii="Arial" w:cs="Arial" w:eastAsia="Arial" w:hAnsi="Arial"/>
          <w:sz w:val="18"/>
          <w:szCs w:val="18"/>
          <w:color w:val="auto"/>
        </w:rPr>
      </w:pPr>
    </w:p>
    <w:p>
      <w:pPr>
        <w:ind w:left="960" w:right="80" w:hanging="424"/>
        <w:spacing w:after="0" w:line="342" w:lineRule="auto"/>
        <w:tabs>
          <w:tab w:leader="none" w:pos="960" w:val="left"/>
        </w:tabs>
        <w:numPr>
          <w:ilvl w:val="0"/>
          <w:numId w:val="3"/>
        </w:numPr>
        <w:rPr>
          <w:rFonts w:ascii="Arial" w:cs="Arial" w:eastAsia="Arial" w:hAnsi="Arial"/>
          <w:sz w:val="16"/>
          <w:szCs w:val="16"/>
          <w:color w:val="0000EE"/>
        </w:rPr>
      </w:pPr>
      <w:hyperlink r:id="rId32">
        <w:r>
          <w:rPr>
            <w:rFonts w:ascii="Arial" w:cs="Arial" w:eastAsia="Arial" w:hAnsi="Arial"/>
            <w:sz w:val="16"/>
            <w:szCs w:val="16"/>
            <w:color w:val="auto"/>
          </w:rPr>
          <w:t xml:space="preserve">Our Current Reports on Form 8-K and 8-K/A filed with the SEC on </w:t>
        </w:r>
        <w:r>
          <w:rPr>
            <w:rFonts w:ascii="Arial" w:cs="Arial" w:eastAsia="Arial" w:hAnsi="Arial"/>
            <w:sz w:val="16"/>
            <w:szCs w:val="16"/>
            <w:u w:val="single" w:color="auto"/>
            <w:color w:val="0000EE"/>
          </w:rPr>
          <w:t>August 14, 2020</w:t>
        </w:r>
        <w:r>
          <w:rPr>
            <w:rFonts w:ascii="Arial" w:cs="Arial" w:eastAsia="Arial" w:hAnsi="Arial"/>
            <w:sz w:val="16"/>
            <w:szCs w:val="16"/>
            <w:color w:val="auto"/>
          </w:rPr>
          <w:t xml:space="preserve">, </w:t>
        </w:r>
        <w:r>
          <w:rPr>
            <w:rFonts w:ascii="Arial" w:cs="Arial" w:eastAsia="Arial" w:hAnsi="Arial"/>
            <w:sz w:val="16"/>
            <w:szCs w:val="16"/>
            <w:u w:val="single" w:color="auto"/>
            <w:color w:val="0000EE"/>
          </w:rPr>
          <w:t>August 6, 2020</w:t>
        </w:r>
        <w:r>
          <w:rPr>
            <w:rFonts w:ascii="Arial" w:cs="Arial" w:eastAsia="Arial" w:hAnsi="Arial"/>
            <w:sz w:val="16"/>
            <w:szCs w:val="16"/>
            <w:color w:val="auto"/>
          </w:rPr>
          <w:t xml:space="preserve">, </w:t>
        </w:r>
        <w:r>
          <w:rPr>
            <w:rFonts w:ascii="Arial" w:cs="Arial" w:eastAsia="Arial" w:hAnsi="Arial"/>
            <w:sz w:val="16"/>
            <w:szCs w:val="16"/>
            <w:u w:val="single" w:color="auto"/>
            <w:color w:val="0000EE"/>
          </w:rPr>
          <w:t>June 26, 2020</w:t>
        </w:r>
        <w:r>
          <w:rPr>
            <w:rFonts w:ascii="Arial" w:cs="Arial" w:eastAsia="Arial" w:hAnsi="Arial"/>
            <w:sz w:val="16"/>
            <w:szCs w:val="16"/>
            <w:color w:val="auto"/>
          </w:rPr>
          <w:t xml:space="preserve">, </w:t>
        </w:r>
        <w:r>
          <w:rPr>
            <w:rFonts w:ascii="Arial" w:cs="Arial" w:eastAsia="Arial" w:hAnsi="Arial"/>
            <w:sz w:val="16"/>
            <w:szCs w:val="16"/>
            <w:u w:val="single" w:color="auto"/>
            <w:color w:val="0000EE"/>
          </w:rPr>
          <w:t>June 2, 2020</w:t>
        </w:r>
        <w:r>
          <w:rPr>
            <w:rFonts w:ascii="Arial" w:cs="Arial" w:eastAsia="Arial" w:hAnsi="Arial"/>
            <w:sz w:val="16"/>
            <w:szCs w:val="16"/>
            <w:color w:val="auto"/>
          </w:rPr>
          <w:t xml:space="preserve">, </w:t>
        </w:r>
        <w:r>
          <w:rPr>
            <w:rFonts w:ascii="Arial" w:cs="Arial" w:eastAsia="Arial" w:hAnsi="Arial"/>
            <w:sz w:val="16"/>
            <w:szCs w:val="16"/>
            <w:u w:val="single" w:color="auto"/>
            <w:color w:val="0000EE"/>
          </w:rPr>
          <w:t>April</w:t>
        </w:r>
      </w:hyperlink>
      <w:r>
        <w:rPr>
          <w:rFonts w:ascii="Arial" w:cs="Arial" w:eastAsia="Arial" w:hAnsi="Arial"/>
          <w:sz w:val="16"/>
          <w:szCs w:val="16"/>
          <w:color w:val="auto"/>
        </w:rPr>
        <w:t xml:space="preserve"> </w:t>
      </w:r>
      <w:hyperlink r:id="rId32">
        <w:r>
          <w:rPr>
            <w:rFonts w:ascii="Arial" w:cs="Arial" w:eastAsia="Arial" w:hAnsi="Arial"/>
            <w:sz w:val="16"/>
            <w:szCs w:val="16"/>
            <w:u w:val="single" w:color="auto"/>
            <w:color w:val="0000EE"/>
          </w:rPr>
          <w:t>24, 2020</w:t>
        </w:r>
        <w:r>
          <w:rPr>
            <w:rFonts w:ascii="Arial" w:cs="Arial" w:eastAsia="Arial" w:hAnsi="Arial"/>
            <w:sz w:val="16"/>
            <w:szCs w:val="16"/>
            <w:color w:val="000000"/>
          </w:rPr>
          <w:t>,</w:t>
        </w:r>
        <w:r>
          <w:rPr>
            <w:rFonts w:ascii="Arial" w:cs="Arial" w:eastAsia="Arial" w:hAnsi="Arial"/>
            <w:sz w:val="16"/>
            <w:szCs w:val="16"/>
            <w:color w:val="0000EE"/>
          </w:rPr>
          <w:t xml:space="preserve"> </w:t>
        </w:r>
      </w:hyperlink>
      <w:hyperlink r:id="rId33">
        <w:r>
          <w:rPr>
            <w:rFonts w:ascii="Arial" w:cs="Arial" w:eastAsia="Arial" w:hAnsi="Arial"/>
            <w:sz w:val="16"/>
            <w:szCs w:val="16"/>
            <w:u w:val="single" w:color="auto"/>
            <w:color w:val="0000EE"/>
          </w:rPr>
          <w:t xml:space="preserve">March 9, 2020 </w:t>
        </w:r>
      </w:hyperlink>
      <w:hyperlink r:id="rId32">
        <w:r>
          <w:rPr>
            <w:rFonts w:ascii="Arial" w:cs="Arial" w:eastAsia="Arial" w:hAnsi="Arial"/>
            <w:sz w:val="16"/>
            <w:szCs w:val="16"/>
            <w:color w:val="000000"/>
          </w:rPr>
          <w:t>and</w:t>
        </w:r>
        <w:r>
          <w:rPr>
            <w:rFonts w:ascii="Arial" w:cs="Arial" w:eastAsia="Arial" w:hAnsi="Arial"/>
            <w:sz w:val="16"/>
            <w:szCs w:val="16"/>
            <w:color w:val="0000EE"/>
          </w:rPr>
          <w:t xml:space="preserve"> </w:t>
        </w:r>
      </w:hyperlink>
      <w:hyperlink r:id="rId34">
        <w:r>
          <w:rPr>
            <w:rFonts w:ascii="Arial" w:cs="Arial" w:eastAsia="Arial" w:hAnsi="Arial"/>
            <w:sz w:val="16"/>
            <w:szCs w:val="16"/>
            <w:u w:val="single" w:color="auto"/>
            <w:color w:val="0000EE"/>
          </w:rPr>
          <w:t xml:space="preserve">January 13, 2020 </w:t>
        </w:r>
      </w:hyperlink>
      <w:hyperlink r:id="rId32">
        <w:r>
          <w:rPr>
            <w:rFonts w:ascii="Arial" w:cs="Arial" w:eastAsia="Arial" w:hAnsi="Arial"/>
            <w:sz w:val="16"/>
            <w:szCs w:val="16"/>
            <w:color w:val="000000"/>
          </w:rPr>
          <w:t>(in each case other than any portions thereof deemed furnished and not filed); and</w:t>
        </w:r>
      </w:hyperlink>
    </w:p>
    <w:p>
      <w:pPr>
        <w:spacing w:after="0" w:line="29" w:lineRule="exact"/>
        <w:rPr>
          <w:rFonts w:ascii="Arial" w:cs="Arial" w:eastAsia="Arial" w:hAnsi="Arial"/>
          <w:sz w:val="16"/>
          <w:szCs w:val="16"/>
          <w:color w:val="0000EE"/>
        </w:rPr>
      </w:pPr>
    </w:p>
    <w:p>
      <w:pPr>
        <w:ind w:left="960" w:right="300" w:hanging="424"/>
        <w:spacing w:after="0" w:line="308" w:lineRule="auto"/>
        <w:tabs>
          <w:tab w:leader="none" w:pos="960" w:val="left"/>
        </w:tabs>
        <w:numPr>
          <w:ilvl w:val="0"/>
          <w:numId w:val="3"/>
        </w:numPr>
        <w:rPr>
          <w:rFonts w:ascii="Arial" w:cs="Arial" w:eastAsia="Arial" w:hAnsi="Arial"/>
          <w:sz w:val="17"/>
          <w:szCs w:val="17"/>
          <w:color w:val="auto"/>
        </w:rPr>
      </w:pPr>
      <w:r>
        <w:rPr>
          <w:rFonts w:ascii="Arial" w:cs="Arial" w:eastAsia="Arial" w:hAnsi="Arial"/>
          <w:sz w:val="17"/>
          <w:szCs w:val="17"/>
          <w:color w:val="auto"/>
        </w:rPr>
        <w:t xml:space="preserve">The description of our common stock contained in our registration statement on </w:t>
      </w:r>
      <w:hyperlink r:id="rId35">
        <w:r>
          <w:rPr>
            <w:rFonts w:ascii="Arial" w:cs="Arial" w:eastAsia="Arial" w:hAnsi="Arial"/>
            <w:sz w:val="17"/>
            <w:szCs w:val="17"/>
            <w:u w:val="single" w:color="auto"/>
            <w:color w:val="0000EE"/>
          </w:rPr>
          <w:t>Form 8-A</w:t>
        </w:r>
        <w:r>
          <w:rPr>
            <w:rFonts w:ascii="Arial" w:cs="Arial" w:eastAsia="Arial" w:hAnsi="Arial"/>
            <w:sz w:val="17"/>
            <w:szCs w:val="17"/>
            <w:u w:val="single" w:color="auto"/>
            <w:color w:val="auto"/>
          </w:rPr>
          <w:t xml:space="preserve"> </w:t>
        </w:r>
      </w:hyperlink>
      <w:r>
        <w:rPr>
          <w:rFonts w:ascii="Arial" w:cs="Arial" w:eastAsia="Arial" w:hAnsi="Arial"/>
          <w:sz w:val="17"/>
          <w:szCs w:val="17"/>
          <w:color w:val="auto"/>
        </w:rPr>
        <w:t>(File No. 001-36510) filed with the SEC on June 18, 2014, under the Exchange Act, including any amendment or report filed for the purpose of updating such description.</w:t>
      </w:r>
    </w:p>
    <w:p>
      <w:pPr>
        <w:spacing w:after="0" w:line="146" w:lineRule="exact"/>
        <w:rPr>
          <w:rFonts w:ascii="Arial" w:cs="Arial" w:eastAsia="Arial" w:hAnsi="Arial"/>
          <w:sz w:val="16"/>
          <w:szCs w:val="16"/>
          <w:color w:val="0000EE"/>
        </w:rPr>
      </w:pPr>
    </w:p>
    <w:p>
      <w:pPr>
        <w:spacing w:after="0" w:line="289" w:lineRule="auto"/>
        <w:rPr>
          <w:sz w:val="20"/>
          <w:szCs w:val="20"/>
          <w:color w:val="auto"/>
        </w:rPr>
      </w:pPr>
      <w:r>
        <w:rPr>
          <w:rFonts w:ascii="Arial" w:cs="Arial" w:eastAsia="Arial" w:hAnsi="Arial"/>
          <w:sz w:val="16"/>
          <w:szCs w:val="16"/>
          <w:color w:val="auto"/>
        </w:rPr>
        <w:t>We also incorporate by reference any future filings (other than any filings or portions of such reports that are not deemed “filed” under the Exchange Act in accordance with the Exchange Act and applicable SEC rules, including current reports furnished under Item 2.02 or Item 7.01 of Form 8-K and exhibits furnished on such form that are related to such items unless such Form 8-K expressly provides to the contrary) made with the SEC pursuant to Sections 13(a), 13(c), 14 or 15(d) of the Exchange Act, including those made after the date of the initial filing of the registration statement of which this prospectus is a part and prior to the effectiveness of the registration statement, until we file a post-effective amendment that indicates the termination of the offering of the securities made by this prospectus and will become a part of this prospectus from the date that such documents are filed with the SEC. Information in such future filings updates and supplements the information provided in this prospectus. Any statements in any such future filings will automatically be deemed to modify and supersede any information in any document we previously filed with the SEC that is incorporated or deemed to be incorporated herein by reference to the extent that statements in the later filed document modify or replace such earlier statements.</w:t>
      </w:r>
    </w:p>
    <w:p>
      <w:pPr>
        <w:spacing w:after="0" w:line="99" w:lineRule="exact"/>
        <w:rPr>
          <w:rFonts w:ascii="Arial" w:cs="Arial" w:eastAsia="Arial" w:hAnsi="Arial"/>
          <w:sz w:val="16"/>
          <w:szCs w:val="16"/>
          <w:color w:val="0000EE"/>
        </w:rPr>
      </w:pPr>
    </w:p>
    <w:p>
      <w:pPr>
        <w:jc w:val="center"/>
        <w:spacing w:after="0"/>
        <w:rPr>
          <w:sz w:val="20"/>
          <w:szCs w:val="20"/>
          <w:color w:val="auto"/>
        </w:rPr>
      </w:pPr>
      <w:r>
        <w:rPr>
          <w:rFonts w:ascii="Arial" w:cs="Arial" w:eastAsia="Arial" w:hAnsi="Arial"/>
          <w:sz w:val="18"/>
          <w:szCs w:val="18"/>
          <w:color w:val="auto"/>
        </w:rPr>
        <w:t>2</w:t>
      </w:r>
    </w:p>
    <w:p>
      <w:pPr>
        <w:sectPr>
          <w:pgSz w:w="11900" w:h="16838" w:orient="portrait"/>
          <w:cols w:equalWidth="0" w:num="1">
            <w:col w:w="11000"/>
          </w:cols>
          <w:pgMar w:left="440" w:top="270" w:right="459" w:bottom="1440" w:gutter="0" w:footer="0" w:header="0"/>
        </w:sectPr>
      </w:pPr>
    </w:p>
    <w:bookmarkStart w:id="7" w:name="page8"/>
    <w:bookmarkEnd w:id="7"/>
    <w:p>
      <w:pPr>
        <w:spacing w:after="0" w:line="308" w:lineRule="auto"/>
        <w:rPr>
          <w:sz w:val="20"/>
          <w:szCs w:val="20"/>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36">
                      <a:extLst>
                        <a:ext uri="{28A0092B-C50C-407E-A947-70E740481C1C}"/>
                      </a:extLst>
                    </a:blip>
                    <a:srcRect/>
                    <a:stretch>
                      <a:fillRect/>
                    </a:stretch>
                  </pic:blipFill>
                  <pic:spPr bwMode="auto">
                    <a:xfrm>
                      <a:off x="0" y="0"/>
                      <a:ext cx="7149465" cy="25400"/>
                    </a:xfrm>
                    <a:prstGeom prst="rect">
                      <a:avLst/>
                    </a:prstGeom>
                    <a:noFill/>
                  </pic:spPr>
                </pic:pic>
              </a:graphicData>
            </a:graphic>
          </wp:anchor>
        </w:drawing>
        <w:t>Documents that are incorporated by reference in this prospectus but were filed under the Exchange Act before May 28, 2020 do not reflect the Merger or the resulting change in our name or capital structure. We describe these matters below under the section entitled “About Larimar.”</w:t>
      </w:r>
    </w:p>
    <w:p>
      <w:pPr>
        <w:spacing w:after="0" w:line="146" w:lineRule="exact"/>
        <w:rPr>
          <w:sz w:val="20"/>
          <w:szCs w:val="20"/>
          <w:color w:val="auto"/>
        </w:rPr>
      </w:pPr>
    </w:p>
    <w:p>
      <w:pPr>
        <w:ind w:right="160"/>
        <w:spacing w:after="0" w:line="259" w:lineRule="auto"/>
        <w:rPr>
          <w:rFonts w:ascii="Arial" w:cs="Arial" w:eastAsia="Arial" w:hAnsi="Arial"/>
          <w:sz w:val="18"/>
          <w:szCs w:val="18"/>
          <w:color w:val="auto"/>
        </w:rPr>
      </w:pPr>
      <w:r>
        <w:rPr>
          <w:rFonts w:ascii="Arial" w:cs="Arial" w:eastAsia="Arial" w:hAnsi="Arial"/>
          <w:sz w:val="18"/>
          <w:szCs w:val="18"/>
          <w:color w:val="auto"/>
        </w:rPr>
        <w:t xml:space="preserve">We additionally incorporate by reference to the Company’s Definitive Proxy Statement on </w:t>
      </w:r>
      <w:hyperlink r:id="rId31">
        <w:r>
          <w:rPr>
            <w:rFonts w:ascii="Arial" w:cs="Arial" w:eastAsia="Arial" w:hAnsi="Arial"/>
            <w:sz w:val="18"/>
            <w:szCs w:val="18"/>
            <w:u w:val="single" w:color="auto"/>
            <w:color w:val="0000EE"/>
          </w:rPr>
          <w:t>Form DEFM 14-A</w:t>
        </w:r>
      </w:hyperlink>
      <w:r>
        <w:rPr>
          <w:rFonts w:ascii="Arial" w:cs="Arial" w:eastAsia="Arial" w:hAnsi="Arial"/>
          <w:sz w:val="18"/>
          <w:szCs w:val="18"/>
          <w:color w:val="auto"/>
        </w:rPr>
        <w:t>, filed on April 29, 2020 and prepared in connection with the solicitation of the proxies from the Company’s stockholders to approve the Merger, the description of the business of Chondrial Therapeutics, Inc., or Chondrial, contained under the heading “Chondrial’s Business,” and the description of management of the Company contained under the heading “Executive Officers and Directors Following the Merger.”</w:t>
      </w:r>
    </w:p>
    <w:p>
      <w:pPr>
        <w:spacing w:after="0" w:line="187" w:lineRule="exact"/>
        <w:rPr>
          <w:sz w:val="20"/>
          <w:szCs w:val="20"/>
          <w:color w:val="auto"/>
        </w:rPr>
      </w:pPr>
    </w:p>
    <w:p>
      <w:pPr>
        <w:jc w:val="both"/>
        <w:ind w:right="140"/>
        <w:spacing w:after="0" w:line="259" w:lineRule="auto"/>
        <w:rPr>
          <w:sz w:val="20"/>
          <w:szCs w:val="20"/>
          <w:color w:val="auto"/>
        </w:rPr>
      </w:pPr>
      <w:r>
        <w:rPr>
          <w:rFonts w:ascii="Arial" w:cs="Arial" w:eastAsia="Arial" w:hAnsi="Arial"/>
          <w:sz w:val="18"/>
          <w:szCs w:val="18"/>
          <w:color w:val="auto"/>
        </w:rPr>
        <w:t>We will furnish without charge to you, upon written or oral request, a copy of any or all of the documents incorporated by reference, including exhibits to these documents by writing or telephoning us at the following address or phone number below. You may also access this information on our website at www.larimartx.com by viewing the “Financials &amp; Filings” subsection of the “Investors” menu. No additional information is deemed to be part of or incorporated by reference into this prospectus.</w:t>
      </w:r>
    </w:p>
    <w:p>
      <w:pPr>
        <w:spacing w:after="0" w:line="187" w:lineRule="exact"/>
        <w:rPr>
          <w:sz w:val="20"/>
          <w:szCs w:val="20"/>
          <w:color w:val="auto"/>
        </w:rPr>
      </w:pPr>
    </w:p>
    <w:p>
      <w:pPr>
        <w:spacing w:after="0"/>
        <w:rPr>
          <w:sz w:val="20"/>
          <w:szCs w:val="20"/>
          <w:color w:val="auto"/>
        </w:rPr>
      </w:pPr>
      <w:r>
        <w:rPr>
          <w:rFonts w:ascii="Arial" w:cs="Arial" w:eastAsia="Arial" w:hAnsi="Arial"/>
          <w:sz w:val="18"/>
          <w:szCs w:val="18"/>
          <w:color w:val="auto"/>
        </w:rPr>
        <w:t>Larimar Therapeutics, Inc.</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Three Bala Plaza East, Suite 506</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Bala Cynwyd, PA 19004</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(844) 511-9056</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Attention: Vice President of Regulatory Affairs and Counsel</w:t>
      </w:r>
    </w:p>
    <w:p>
      <w:pPr>
        <w:spacing w:after="0" w:line="14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w:t>
      </w:r>
    </w:p>
    <w:p>
      <w:pPr>
        <w:sectPr>
          <w:pgSz w:w="11900" w:h="16838" w:orient="portrait"/>
          <w:cols w:equalWidth="0" w:num="1">
            <w:col w:w="11000"/>
          </w:cols>
          <w:pgMar w:left="440" w:top="274" w:right="459" w:bottom="1440" w:gutter="0" w:footer="0" w:header="0"/>
        </w:sectPr>
      </w:pPr>
    </w:p>
    <w:bookmarkStart w:id="8" w:name="page9"/>
    <w:bookmarkEnd w:id="8"/>
    <w:p>
      <w:pPr>
        <w:jc w:val="cente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37">
                      <a:extLst>
                        <a:ext uri="{28A0092B-C50C-407E-A947-70E740481C1C}"/>
                      </a:extLst>
                    </a:blip>
                    <a:srcRect/>
                    <a:stretch>
                      <a:fillRect/>
                    </a:stretch>
                  </pic:blipFill>
                  <pic:spPr bwMode="auto">
                    <a:xfrm>
                      <a:off x="0" y="0"/>
                      <a:ext cx="7149465" cy="25400"/>
                    </a:xfrm>
                    <a:prstGeom prst="rect">
                      <a:avLst/>
                    </a:prstGeom>
                    <a:noFill/>
                  </pic:spPr>
                </pic:pic>
              </a:graphicData>
            </a:graphic>
          </wp:anchor>
        </w:drawing>
        <w:t>CAUTIONARY NOTE REGARDING FORWARD-LOOKING STATEMENTS</w:t>
      </w:r>
    </w:p>
    <w:p>
      <w:pPr>
        <w:spacing w:after="0" w:line="229" w:lineRule="exact"/>
        <w:rPr>
          <w:sz w:val="20"/>
          <w:szCs w:val="20"/>
          <w:color w:val="auto"/>
        </w:rPr>
      </w:pPr>
    </w:p>
    <w:p>
      <w:pPr>
        <w:spacing w:after="0" w:line="293" w:lineRule="auto"/>
        <w:rPr>
          <w:sz w:val="20"/>
          <w:szCs w:val="20"/>
          <w:color w:val="auto"/>
        </w:rPr>
      </w:pPr>
      <w:r>
        <w:rPr>
          <w:rFonts w:ascii="Arial" w:cs="Arial" w:eastAsia="Arial" w:hAnsi="Arial"/>
          <w:sz w:val="16"/>
          <w:szCs w:val="16"/>
          <w:color w:val="auto"/>
        </w:rPr>
        <w:t>This prospectus, any applicable prospectus supplement and the documents incorporated by reference may contain forward-looking statements within the meaning of Section 27A of the Securities Act and Section 21E of the Exchange Act, about us and our subsidiaries. These forward-looking statements are intended to be covered by the safe harbor for forward-looking statements provided by the Private Securities Litigation Reform Act of 1995. Forward-looking statements are not statements of historical fact, and can be identified by the use of forward-looking terminology such as “believes,” “expects,” “may,” “will,” “could,” “should,” “projects,” “plans,” “goal,” “targets,” “potential,” “estimates,” “pro forma,” “seeks,” “intends” or “anticipates” or the negative thereof or comparable terminology. Forward-looking statements include, but are not limited to, statements concerning:</w:t>
      </w:r>
    </w:p>
    <w:p>
      <w:pPr>
        <w:spacing w:after="0" w:line="70" w:lineRule="exact"/>
        <w:rPr>
          <w:sz w:val="20"/>
          <w:szCs w:val="20"/>
          <w:color w:val="auto"/>
        </w:rPr>
      </w:pPr>
    </w:p>
    <w:p>
      <w:pPr>
        <w:ind w:left="960" w:right="40" w:hanging="424"/>
        <w:spacing w:after="0" w:line="277" w:lineRule="auto"/>
        <w:tabs>
          <w:tab w:leader="none" w:pos="960" w:val="left"/>
        </w:tabs>
        <w:numPr>
          <w:ilvl w:val="0"/>
          <w:numId w:val="4"/>
        </w:numPr>
        <w:rPr>
          <w:rFonts w:ascii="Arial" w:cs="Arial" w:eastAsia="Arial" w:hAnsi="Arial"/>
          <w:sz w:val="18"/>
          <w:szCs w:val="18"/>
          <w:color w:val="auto"/>
        </w:rPr>
      </w:pPr>
      <w:r>
        <w:rPr>
          <w:rFonts w:ascii="Arial" w:cs="Arial" w:eastAsia="Arial" w:hAnsi="Arial"/>
          <w:sz w:val="18"/>
          <w:szCs w:val="18"/>
          <w:color w:val="auto"/>
        </w:rPr>
        <w:t>our estimates regarding future results of operations, financial position, research and development costs, capital requirements and our needs for additional financing;</w:t>
      </w:r>
    </w:p>
    <w:p>
      <w:pPr>
        <w:spacing w:after="0" w:line="75" w:lineRule="exact"/>
        <w:rPr>
          <w:rFonts w:ascii="Arial" w:cs="Arial" w:eastAsia="Arial" w:hAnsi="Arial"/>
          <w:sz w:val="18"/>
          <w:szCs w:val="18"/>
          <w:color w:val="auto"/>
        </w:rPr>
      </w:pPr>
    </w:p>
    <w:p>
      <w:pPr>
        <w:ind w:left="960" w:hanging="424"/>
        <w:spacing w:after="0"/>
        <w:tabs>
          <w:tab w:leader="none" w:pos="960" w:val="left"/>
        </w:tabs>
        <w:numPr>
          <w:ilvl w:val="0"/>
          <w:numId w:val="4"/>
        </w:numPr>
        <w:rPr>
          <w:rFonts w:ascii="Arial" w:cs="Arial" w:eastAsia="Arial" w:hAnsi="Arial"/>
          <w:sz w:val="18"/>
          <w:szCs w:val="18"/>
          <w:color w:val="auto"/>
        </w:rPr>
      </w:pPr>
      <w:r>
        <w:rPr>
          <w:rFonts w:ascii="Arial" w:cs="Arial" w:eastAsia="Arial" w:hAnsi="Arial"/>
          <w:sz w:val="18"/>
          <w:szCs w:val="18"/>
          <w:color w:val="auto"/>
        </w:rPr>
        <w:t>how long we can continue to fund our operations with our existing cash, cash equivalents and marketable debt securities;</w:t>
      </w:r>
    </w:p>
    <w:p>
      <w:pPr>
        <w:spacing w:after="0" w:line="130" w:lineRule="exact"/>
        <w:rPr>
          <w:rFonts w:ascii="Arial" w:cs="Arial" w:eastAsia="Arial" w:hAnsi="Arial"/>
          <w:sz w:val="18"/>
          <w:szCs w:val="18"/>
          <w:color w:val="auto"/>
        </w:rPr>
      </w:pPr>
    </w:p>
    <w:p>
      <w:pPr>
        <w:ind w:left="960" w:right="20" w:hanging="424"/>
        <w:spacing w:after="0" w:line="277" w:lineRule="auto"/>
        <w:tabs>
          <w:tab w:leader="none" w:pos="960" w:val="left"/>
        </w:tabs>
        <w:numPr>
          <w:ilvl w:val="0"/>
          <w:numId w:val="4"/>
        </w:numPr>
        <w:rPr>
          <w:rFonts w:ascii="Arial" w:cs="Arial" w:eastAsia="Arial" w:hAnsi="Arial"/>
          <w:sz w:val="18"/>
          <w:szCs w:val="18"/>
          <w:color w:val="auto"/>
        </w:rPr>
      </w:pPr>
      <w:r>
        <w:rPr>
          <w:rFonts w:ascii="Arial" w:cs="Arial" w:eastAsia="Arial" w:hAnsi="Arial"/>
          <w:sz w:val="18"/>
          <w:szCs w:val="18"/>
          <w:color w:val="auto"/>
        </w:rPr>
        <w:t>our ability to optimize and scale CTI-1601 or any other product candidate’s manufacturing process and to manufacture sufficient quantities of clinical and, if approved, commercial supplies of CTI-1601;</w:t>
      </w:r>
    </w:p>
    <w:p>
      <w:pPr>
        <w:spacing w:after="0" w:line="75" w:lineRule="exact"/>
        <w:rPr>
          <w:rFonts w:ascii="Arial" w:cs="Arial" w:eastAsia="Arial" w:hAnsi="Arial"/>
          <w:sz w:val="18"/>
          <w:szCs w:val="18"/>
          <w:color w:val="auto"/>
        </w:rPr>
      </w:pPr>
    </w:p>
    <w:p>
      <w:pPr>
        <w:ind w:left="960" w:right="320" w:hanging="424"/>
        <w:spacing w:after="0" w:line="263" w:lineRule="auto"/>
        <w:tabs>
          <w:tab w:leader="none" w:pos="960" w:val="left"/>
        </w:tabs>
        <w:numPr>
          <w:ilvl w:val="0"/>
          <w:numId w:val="4"/>
        </w:numPr>
        <w:rPr>
          <w:rFonts w:ascii="Arial" w:cs="Arial" w:eastAsia="Arial" w:hAnsi="Arial"/>
          <w:sz w:val="18"/>
          <w:szCs w:val="18"/>
          <w:color w:val="auto"/>
        </w:rPr>
      </w:pPr>
      <w:r>
        <w:rPr>
          <w:rFonts w:ascii="Arial" w:cs="Arial" w:eastAsia="Arial" w:hAnsi="Arial"/>
          <w:sz w:val="18"/>
          <w:szCs w:val="18"/>
          <w:color w:val="auto"/>
        </w:rPr>
        <w:t>our ability to realize any value from CTI-1601 and any other product candidate we may develop in the future and nonclinical programs being developed and anticipated to be developed in light of inherent risks and difficulties involved in successfully bringing product candidates to market and the risk that products will not achieve broad market acceptance;</w:t>
      </w:r>
    </w:p>
    <w:p>
      <w:pPr>
        <w:spacing w:after="0" w:line="89" w:lineRule="exact"/>
        <w:rPr>
          <w:rFonts w:ascii="Arial" w:cs="Arial" w:eastAsia="Arial" w:hAnsi="Arial"/>
          <w:sz w:val="18"/>
          <w:szCs w:val="18"/>
          <w:color w:val="auto"/>
        </w:rPr>
      </w:pPr>
    </w:p>
    <w:p>
      <w:pPr>
        <w:ind w:left="960" w:hanging="424"/>
        <w:spacing w:after="0"/>
        <w:tabs>
          <w:tab w:leader="none" w:pos="960" w:val="left"/>
        </w:tabs>
        <w:numPr>
          <w:ilvl w:val="0"/>
          <w:numId w:val="4"/>
        </w:numPr>
        <w:rPr>
          <w:rFonts w:ascii="Arial" w:cs="Arial" w:eastAsia="Arial" w:hAnsi="Arial"/>
          <w:sz w:val="16"/>
          <w:szCs w:val="16"/>
          <w:color w:val="auto"/>
        </w:rPr>
      </w:pPr>
      <w:r>
        <w:rPr>
          <w:rFonts w:ascii="Arial" w:cs="Arial" w:eastAsia="Arial" w:hAnsi="Arial"/>
          <w:sz w:val="16"/>
          <w:szCs w:val="16"/>
          <w:color w:val="auto"/>
        </w:rPr>
        <w:t>delays in our anticipated clinical timelines, patient recruitment and milestones for CTI-1601, including those associated with COVID-19;</w:t>
      </w:r>
    </w:p>
    <w:p>
      <w:pPr>
        <w:spacing w:after="0" w:line="153" w:lineRule="exact"/>
        <w:rPr>
          <w:rFonts w:ascii="Arial" w:cs="Arial" w:eastAsia="Arial" w:hAnsi="Arial"/>
          <w:sz w:val="16"/>
          <w:szCs w:val="16"/>
          <w:color w:val="auto"/>
        </w:rPr>
      </w:pPr>
    </w:p>
    <w:p>
      <w:pPr>
        <w:ind w:left="960" w:right="300" w:hanging="424"/>
        <w:spacing w:after="0" w:line="277" w:lineRule="auto"/>
        <w:tabs>
          <w:tab w:leader="none" w:pos="960" w:val="left"/>
        </w:tabs>
        <w:numPr>
          <w:ilvl w:val="0"/>
          <w:numId w:val="4"/>
        </w:numPr>
        <w:rPr>
          <w:rFonts w:ascii="Arial" w:cs="Arial" w:eastAsia="Arial" w:hAnsi="Arial"/>
          <w:sz w:val="18"/>
          <w:szCs w:val="18"/>
          <w:color w:val="auto"/>
        </w:rPr>
      </w:pPr>
      <w:r>
        <w:rPr>
          <w:rFonts w:ascii="Arial" w:cs="Arial" w:eastAsia="Arial" w:hAnsi="Arial"/>
          <w:sz w:val="18"/>
          <w:szCs w:val="18"/>
          <w:color w:val="auto"/>
        </w:rPr>
        <w:t>uncertainties in obtaining successful clinical results for CTI-1601 or any other product candidate that we may develop in the future and unexpected costs that may result therefrom;</w:t>
      </w:r>
    </w:p>
    <w:p>
      <w:pPr>
        <w:spacing w:after="0" w:line="75" w:lineRule="exact"/>
        <w:rPr>
          <w:rFonts w:ascii="Arial" w:cs="Arial" w:eastAsia="Arial" w:hAnsi="Arial"/>
          <w:sz w:val="18"/>
          <w:szCs w:val="18"/>
          <w:color w:val="auto"/>
        </w:rPr>
      </w:pPr>
    </w:p>
    <w:p>
      <w:pPr>
        <w:ind w:left="960" w:right="160" w:hanging="424"/>
        <w:spacing w:after="0" w:line="277" w:lineRule="auto"/>
        <w:tabs>
          <w:tab w:leader="none" w:pos="960" w:val="left"/>
        </w:tabs>
        <w:numPr>
          <w:ilvl w:val="0"/>
          <w:numId w:val="4"/>
        </w:numPr>
        <w:rPr>
          <w:rFonts w:ascii="Arial" w:cs="Arial" w:eastAsia="Arial" w:hAnsi="Arial"/>
          <w:sz w:val="18"/>
          <w:szCs w:val="18"/>
          <w:color w:val="auto"/>
        </w:rPr>
      </w:pPr>
      <w:r>
        <w:rPr>
          <w:rFonts w:ascii="Arial" w:cs="Arial" w:eastAsia="Arial" w:hAnsi="Arial"/>
          <w:sz w:val="18"/>
          <w:szCs w:val="18"/>
          <w:color w:val="auto"/>
        </w:rPr>
        <w:t>our ability to comply with regulatory requirements applicable to our business and other regulatory developments in the United States and foreign countries;</w:t>
      </w:r>
    </w:p>
    <w:p>
      <w:pPr>
        <w:spacing w:after="0" w:line="75" w:lineRule="exact"/>
        <w:rPr>
          <w:rFonts w:ascii="Arial" w:cs="Arial" w:eastAsia="Arial" w:hAnsi="Arial"/>
          <w:sz w:val="18"/>
          <w:szCs w:val="18"/>
          <w:color w:val="auto"/>
        </w:rPr>
      </w:pPr>
    </w:p>
    <w:p>
      <w:pPr>
        <w:ind w:left="960" w:right="300" w:hanging="424"/>
        <w:spacing w:after="0" w:line="308" w:lineRule="auto"/>
        <w:tabs>
          <w:tab w:leader="none" w:pos="960" w:val="left"/>
        </w:tabs>
        <w:numPr>
          <w:ilvl w:val="0"/>
          <w:numId w:val="4"/>
        </w:numPr>
        <w:rPr>
          <w:rFonts w:ascii="Arial" w:cs="Arial" w:eastAsia="Arial" w:hAnsi="Arial"/>
          <w:sz w:val="17"/>
          <w:szCs w:val="17"/>
          <w:color w:val="auto"/>
        </w:rPr>
      </w:pPr>
      <w:r>
        <w:rPr>
          <w:rFonts w:ascii="Arial" w:cs="Arial" w:eastAsia="Arial" w:hAnsi="Arial"/>
          <w:sz w:val="17"/>
          <w:szCs w:val="17"/>
          <w:color w:val="auto"/>
        </w:rPr>
        <w:t>the uncertainties associated with the clinical development and regulatory approval for CTI-1601 or any other product candidate that we may develop in the future, including potential delays in the commencement, enrollment and completion of clinical trials;</w:t>
      </w:r>
    </w:p>
    <w:p>
      <w:pPr>
        <w:spacing w:after="0" w:line="51" w:lineRule="exact"/>
        <w:rPr>
          <w:rFonts w:ascii="Arial" w:cs="Arial" w:eastAsia="Arial" w:hAnsi="Arial"/>
          <w:sz w:val="17"/>
          <w:szCs w:val="17"/>
          <w:color w:val="auto"/>
        </w:rPr>
      </w:pPr>
    </w:p>
    <w:p>
      <w:pPr>
        <w:ind w:left="960" w:right="200" w:hanging="424"/>
        <w:spacing w:after="0" w:line="277" w:lineRule="auto"/>
        <w:tabs>
          <w:tab w:leader="none" w:pos="960" w:val="left"/>
        </w:tabs>
        <w:numPr>
          <w:ilvl w:val="0"/>
          <w:numId w:val="4"/>
        </w:numPr>
        <w:rPr>
          <w:rFonts w:ascii="Arial" w:cs="Arial" w:eastAsia="Arial" w:hAnsi="Arial"/>
          <w:sz w:val="18"/>
          <w:szCs w:val="18"/>
          <w:color w:val="auto"/>
        </w:rPr>
      </w:pPr>
      <w:r>
        <w:rPr>
          <w:rFonts w:ascii="Arial" w:cs="Arial" w:eastAsia="Arial" w:hAnsi="Arial"/>
          <w:sz w:val="18"/>
          <w:szCs w:val="18"/>
          <w:color w:val="auto"/>
        </w:rPr>
        <w:t>the difficulties and expenses associated with obtaining and maintaining regulatory approval for CTI-1601 or any other product candidate we may develop in the future, and the indication and labeling under any such approval;</w:t>
      </w:r>
    </w:p>
    <w:p>
      <w:pPr>
        <w:spacing w:after="0" w:line="75" w:lineRule="exact"/>
        <w:rPr>
          <w:rFonts w:ascii="Arial" w:cs="Arial" w:eastAsia="Arial" w:hAnsi="Arial"/>
          <w:sz w:val="18"/>
          <w:szCs w:val="18"/>
          <w:color w:val="auto"/>
        </w:rPr>
      </w:pPr>
    </w:p>
    <w:p>
      <w:pPr>
        <w:jc w:val="both"/>
        <w:ind w:left="960" w:right="200" w:hanging="424"/>
        <w:spacing w:after="0" w:line="263" w:lineRule="auto"/>
        <w:tabs>
          <w:tab w:leader="none" w:pos="960" w:val="left"/>
        </w:tabs>
        <w:numPr>
          <w:ilvl w:val="0"/>
          <w:numId w:val="4"/>
        </w:numPr>
        <w:rPr>
          <w:rFonts w:ascii="Arial" w:cs="Arial" w:eastAsia="Arial" w:hAnsi="Arial"/>
          <w:sz w:val="18"/>
          <w:szCs w:val="18"/>
          <w:color w:val="auto"/>
        </w:rPr>
      </w:pPr>
      <w:r>
        <w:rPr>
          <w:rFonts w:ascii="Arial" w:cs="Arial" w:eastAsia="Arial" w:hAnsi="Arial"/>
          <w:sz w:val="18"/>
          <w:szCs w:val="18"/>
          <w:color w:val="auto"/>
        </w:rPr>
        <w:t>the size and growth of the potential markets for CTI-1601 or any other product candidate that we may develop in the future, the rate and degree of market acceptance of CTI-1601 or any other product candidate that we may develop in the future and our ability to serve those markets;</w:t>
      </w:r>
    </w:p>
    <w:p>
      <w:pPr>
        <w:spacing w:after="0" w:line="89" w:lineRule="exact"/>
        <w:rPr>
          <w:rFonts w:ascii="Arial" w:cs="Arial" w:eastAsia="Arial" w:hAnsi="Arial"/>
          <w:sz w:val="18"/>
          <w:szCs w:val="18"/>
          <w:color w:val="auto"/>
        </w:rPr>
      </w:pPr>
    </w:p>
    <w:p>
      <w:pPr>
        <w:ind w:left="960" w:hanging="424"/>
        <w:spacing w:after="0"/>
        <w:tabs>
          <w:tab w:leader="none" w:pos="960" w:val="left"/>
        </w:tabs>
        <w:numPr>
          <w:ilvl w:val="0"/>
          <w:numId w:val="4"/>
        </w:numPr>
        <w:rPr>
          <w:rFonts w:ascii="Arial" w:cs="Arial" w:eastAsia="Arial" w:hAnsi="Arial"/>
          <w:sz w:val="18"/>
          <w:szCs w:val="18"/>
          <w:color w:val="auto"/>
        </w:rPr>
      </w:pPr>
      <w:r>
        <w:rPr>
          <w:rFonts w:ascii="Arial" w:cs="Arial" w:eastAsia="Arial" w:hAnsi="Arial"/>
          <w:sz w:val="18"/>
          <w:szCs w:val="18"/>
          <w:color w:val="auto"/>
        </w:rPr>
        <w:t>the success of competing therapies and products that are or become available;</w:t>
      </w:r>
    </w:p>
    <w:p>
      <w:pPr>
        <w:spacing w:after="0" w:line="130" w:lineRule="exact"/>
        <w:rPr>
          <w:rFonts w:ascii="Arial" w:cs="Arial" w:eastAsia="Arial" w:hAnsi="Arial"/>
          <w:sz w:val="18"/>
          <w:szCs w:val="18"/>
          <w:color w:val="auto"/>
        </w:rPr>
      </w:pPr>
    </w:p>
    <w:p>
      <w:pPr>
        <w:ind w:left="960" w:hanging="424"/>
        <w:spacing w:after="0"/>
        <w:tabs>
          <w:tab w:leader="none" w:pos="960" w:val="left"/>
        </w:tabs>
        <w:numPr>
          <w:ilvl w:val="0"/>
          <w:numId w:val="4"/>
        </w:numPr>
        <w:rPr>
          <w:rFonts w:ascii="Arial" w:cs="Arial" w:eastAsia="Arial" w:hAnsi="Arial"/>
          <w:sz w:val="18"/>
          <w:szCs w:val="18"/>
          <w:color w:val="auto"/>
        </w:rPr>
      </w:pPr>
      <w:r>
        <w:rPr>
          <w:rFonts w:ascii="Arial" w:cs="Arial" w:eastAsia="Arial" w:hAnsi="Arial"/>
          <w:sz w:val="18"/>
          <w:szCs w:val="18"/>
          <w:color w:val="auto"/>
        </w:rPr>
        <w:t>our ability to obtain and maintain patent protection and defend our intellectual property rights against third-parties;</w:t>
      </w:r>
    </w:p>
    <w:p>
      <w:pPr>
        <w:spacing w:after="0" w:line="130" w:lineRule="exact"/>
        <w:rPr>
          <w:rFonts w:ascii="Arial" w:cs="Arial" w:eastAsia="Arial" w:hAnsi="Arial"/>
          <w:sz w:val="18"/>
          <w:szCs w:val="18"/>
          <w:color w:val="auto"/>
        </w:rPr>
      </w:pPr>
    </w:p>
    <w:p>
      <w:pPr>
        <w:ind w:left="960" w:right="280" w:hanging="424"/>
        <w:spacing w:after="0" w:line="277" w:lineRule="auto"/>
        <w:tabs>
          <w:tab w:leader="none" w:pos="960" w:val="left"/>
        </w:tabs>
        <w:numPr>
          <w:ilvl w:val="0"/>
          <w:numId w:val="4"/>
        </w:numPr>
        <w:rPr>
          <w:rFonts w:ascii="Arial" w:cs="Arial" w:eastAsia="Arial" w:hAnsi="Arial"/>
          <w:sz w:val="18"/>
          <w:szCs w:val="18"/>
          <w:color w:val="auto"/>
        </w:rPr>
      </w:pPr>
      <w:r>
        <w:rPr>
          <w:rFonts w:ascii="Arial" w:cs="Arial" w:eastAsia="Arial" w:hAnsi="Arial"/>
          <w:sz w:val="18"/>
          <w:szCs w:val="18"/>
          <w:color w:val="auto"/>
        </w:rPr>
        <w:t>the performance of third-parties upon which we depend, including third-party contract research organizations, or CROs, and third-party suppliers, manufacturers, group purchasing organizations, distributors and logistics providers;</w:t>
      </w:r>
    </w:p>
    <w:p>
      <w:pPr>
        <w:spacing w:after="0" w:line="75" w:lineRule="exact"/>
        <w:rPr>
          <w:rFonts w:ascii="Arial" w:cs="Arial" w:eastAsia="Arial" w:hAnsi="Arial"/>
          <w:sz w:val="18"/>
          <w:szCs w:val="18"/>
          <w:color w:val="auto"/>
        </w:rPr>
      </w:pPr>
    </w:p>
    <w:p>
      <w:pPr>
        <w:ind w:left="960" w:hanging="424"/>
        <w:spacing w:after="0"/>
        <w:tabs>
          <w:tab w:leader="none" w:pos="960" w:val="left"/>
        </w:tabs>
        <w:numPr>
          <w:ilvl w:val="0"/>
          <w:numId w:val="4"/>
        </w:numPr>
        <w:rPr>
          <w:rFonts w:ascii="Arial" w:cs="Arial" w:eastAsia="Arial" w:hAnsi="Arial"/>
          <w:sz w:val="18"/>
          <w:szCs w:val="18"/>
          <w:color w:val="auto"/>
        </w:rPr>
      </w:pPr>
      <w:r>
        <w:rPr>
          <w:rFonts w:ascii="Arial" w:cs="Arial" w:eastAsia="Arial" w:hAnsi="Arial"/>
          <w:sz w:val="18"/>
          <w:szCs w:val="18"/>
          <w:color w:val="auto"/>
        </w:rPr>
        <w:t>our ability to maintain our relationships, profitability and contracts with our key commercial partners;</w:t>
      </w:r>
    </w:p>
    <w:p>
      <w:pPr>
        <w:spacing w:after="0" w:line="130" w:lineRule="exact"/>
        <w:rPr>
          <w:rFonts w:ascii="Arial" w:cs="Arial" w:eastAsia="Arial" w:hAnsi="Arial"/>
          <w:sz w:val="18"/>
          <w:szCs w:val="18"/>
          <w:color w:val="auto"/>
        </w:rPr>
      </w:pPr>
    </w:p>
    <w:p>
      <w:pPr>
        <w:ind w:left="960" w:hanging="424"/>
        <w:spacing w:after="0"/>
        <w:tabs>
          <w:tab w:leader="none" w:pos="960" w:val="left"/>
        </w:tabs>
        <w:numPr>
          <w:ilvl w:val="0"/>
          <w:numId w:val="4"/>
        </w:numPr>
        <w:rPr>
          <w:rFonts w:ascii="Arial" w:cs="Arial" w:eastAsia="Arial" w:hAnsi="Arial"/>
          <w:sz w:val="17"/>
          <w:szCs w:val="17"/>
          <w:color w:val="auto"/>
        </w:rPr>
      </w:pPr>
      <w:r>
        <w:rPr>
          <w:rFonts w:ascii="Arial" w:cs="Arial" w:eastAsia="Arial" w:hAnsi="Arial"/>
          <w:sz w:val="17"/>
          <w:szCs w:val="17"/>
          <w:color w:val="auto"/>
        </w:rPr>
        <w:t>our ability to recruit or retain key scientific, technical, commercial, and management personnel or to retain our executive officers;</w:t>
      </w:r>
    </w:p>
    <w:p>
      <w:pPr>
        <w:spacing w:after="0" w:line="16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w:t>
      </w:r>
    </w:p>
    <w:p>
      <w:pPr>
        <w:sectPr>
          <w:pgSz w:w="11900" w:h="16838" w:orient="portrait"/>
          <w:cols w:equalWidth="0" w:num="1">
            <w:col w:w="11000"/>
          </w:cols>
          <w:pgMar w:left="440" w:top="270" w:right="459" w:bottom="1440" w:gutter="0" w:footer="0" w:header="0"/>
        </w:sectPr>
      </w:pPr>
    </w:p>
    <w:bookmarkStart w:id="9" w:name="page10"/>
    <w:bookmarkEnd w:id="9"/>
    <w:p>
      <w:pPr>
        <w:ind w:left="960" w:right="180" w:hanging="424"/>
        <w:spacing w:after="0" w:line="277" w:lineRule="auto"/>
        <w:tabs>
          <w:tab w:leader="none" w:pos="960" w:val="left"/>
        </w:tabs>
        <w:numPr>
          <w:ilvl w:val="0"/>
          <w:numId w:val="5"/>
        </w:numPr>
        <w:rPr>
          <w:rFonts w:ascii="Arial" w:cs="Arial" w:eastAsia="Arial" w:hAnsi="Arial"/>
          <w:sz w:val="18"/>
          <w:szCs w:val="18"/>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8">
                      <a:extLst>
                        <a:ext uri="{28A0092B-C50C-407E-A947-70E740481C1C}"/>
                      </a:extLst>
                    </a:blip>
                    <a:srcRect/>
                    <a:stretch>
                      <a:fillRect/>
                    </a:stretch>
                  </pic:blipFill>
                  <pic:spPr bwMode="auto">
                    <a:xfrm>
                      <a:off x="0" y="0"/>
                      <a:ext cx="7149465" cy="25400"/>
                    </a:xfrm>
                    <a:prstGeom prst="rect">
                      <a:avLst/>
                    </a:prstGeom>
                    <a:noFill/>
                  </pic:spPr>
                </pic:pic>
              </a:graphicData>
            </a:graphic>
          </wp:anchor>
        </w:drawing>
        <w:t>our ability to comply with stringent U.S. and foreign government regulations in the manufacturing of pharmaceutical products, including good manufacturing practice compliance and other relevant regulatory authorities;</w:t>
      </w:r>
    </w:p>
    <w:p>
      <w:pPr>
        <w:spacing w:after="0" w:line="75" w:lineRule="exact"/>
        <w:rPr>
          <w:rFonts w:ascii="Arial" w:cs="Arial" w:eastAsia="Arial" w:hAnsi="Arial"/>
          <w:sz w:val="18"/>
          <w:szCs w:val="18"/>
          <w:color w:val="auto"/>
        </w:rPr>
      </w:pPr>
    </w:p>
    <w:p>
      <w:pPr>
        <w:ind w:left="960" w:right="380" w:hanging="424"/>
        <w:spacing w:after="0" w:line="277" w:lineRule="auto"/>
        <w:tabs>
          <w:tab w:leader="none" w:pos="960" w:val="left"/>
        </w:tabs>
        <w:numPr>
          <w:ilvl w:val="0"/>
          <w:numId w:val="5"/>
        </w:numPr>
        <w:rPr>
          <w:rFonts w:ascii="Arial" w:cs="Arial" w:eastAsia="Arial" w:hAnsi="Arial"/>
          <w:sz w:val="18"/>
          <w:szCs w:val="18"/>
          <w:color w:val="auto"/>
        </w:rPr>
      </w:pPr>
      <w:r>
        <w:rPr>
          <w:rFonts w:ascii="Arial" w:cs="Arial" w:eastAsia="Arial" w:hAnsi="Arial"/>
          <w:sz w:val="18"/>
          <w:szCs w:val="18"/>
          <w:color w:val="auto"/>
        </w:rPr>
        <w:t>our ability to maintain proper functionality and security of our internal computer and information systems and prevent or avoid cyber-attacks, malicious intrusion, breakdown, destruction, loss of data privacy or other significant disruption; and</w:t>
      </w:r>
    </w:p>
    <w:p>
      <w:pPr>
        <w:spacing w:after="0" w:line="75" w:lineRule="exact"/>
        <w:rPr>
          <w:rFonts w:ascii="Arial" w:cs="Arial" w:eastAsia="Arial" w:hAnsi="Arial"/>
          <w:sz w:val="18"/>
          <w:szCs w:val="18"/>
          <w:color w:val="auto"/>
        </w:rPr>
      </w:pPr>
    </w:p>
    <w:p>
      <w:pPr>
        <w:ind w:left="960" w:right="160" w:hanging="424"/>
        <w:spacing w:after="0" w:line="263" w:lineRule="auto"/>
        <w:tabs>
          <w:tab w:leader="none" w:pos="960" w:val="left"/>
        </w:tabs>
        <w:numPr>
          <w:ilvl w:val="0"/>
          <w:numId w:val="5"/>
        </w:numPr>
        <w:rPr>
          <w:rFonts w:ascii="Arial" w:cs="Arial" w:eastAsia="Arial" w:hAnsi="Arial"/>
          <w:sz w:val="18"/>
          <w:szCs w:val="18"/>
          <w:color w:val="auto"/>
        </w:rPr>
      </w:pPr>
      <w:r>
        <w:rPr>
          <w:rFonts w:ascii="Arial" w:cs="Arial" w:eastAsia="Arial" w:hAnsi="Arial"/>
          <w:sz w:val="18"/>
          <w:szCs w:val="18"/>
          <w:color w:val="auto"/>
        </w:rPr>
        <w:t>the extent to which health epidemics and other outbreaks of communicable diseases, including the recent outbreak of COVID-19, disrupt our operations, the operations of third parties on which we rely or the operations of regulatory agencies we interact with in the development of CTI-1601.</w:t>
      </w:r>
    </w:p>
    <w:p>
      <w:pPr>
        <w:spacing w:after="0" w:line="184" w:lineRule="exact"/>
        <w:rPr>
          <w:sz w:val="20"/>
          <w:szCs w:val="20"/>
          <w:color w:val="auto"/>
        </w:rPr>
      </w:pPr>
    </w:p>
    <w:p>
      <w:pPr>
        <w:ind w:right="20"/>
        <w:spacing w:after="0" w:line="293" w:lineRule="auto"/>
        <w:rPr>
          <w:sz w:val="20"/>
          <w:szCs w:val="20"/>
          <w:color w:val="auto"/>
        </w:rPr>
      </w:pPr>
      <w:r>
        <w:rPr>
          <w:rFonts w:ascii="Arial" w:cs="Arial" w:eastAsia="Arial" w:hAnsi="Arial"/>
          <w:sz w:val="16"/>
          <w:szCs w:val="16"/>
          <w:color w:val="auto"/>
        </w:rPr>
        <w:t>You should read this prospectus and the documents incorporated by reference completely and with the understanding that our actual future results may be materially different from what we currently expect. Our business and operations are and will be subject to a variety of risks, uncertainties and other factors. Consequently, actual results and experience may materially differ from those contained in any forward-looking statements. Such risks, uncertainties and other factors that could cause actual results and experience to differ from those projected include, but are not limited to, the risk factors discussed under the heading “Risk Factors” contained in this prospectus, any applicable prospectus supplement and any related free writing prospectus, and under similar headings in the other documents that are incorporated by reference into this prospectus.</w:t>
      </w:r>
    </w:p>
    <w:p>
      <w:pPr>
        <w:spacing w:after="0" w:line="164" w:lineRule="exact"/>
        <w:rPr>
          <w:sz w:val="20"/>
          <w:szCs w:val="20"/>
          <w:color w:val="auto"/>
        </w:rPr>
      </w:pPr>
    </w:p>
    <w:p>
      <w:pPr>
        <w:spacing w:after="0" w:line="290" w:lineRule="auto"/>
        <w:rPr>
          <w:sz w:val="20"/>
          <w:szCs w:val="20"/>
          <w:color w:val="auto"/>
        </w:rPr>
      </w:pPr>
      <w:r>
        <w:rPr>
          <w:rFonts w:ascii="Arial" w:cs="Arial" w:eastAsia="Arial" w:hAnsi="Arial"/>
          <w:sz w:val="16"/>
          <w:szCs w:val="16"/>
          <w:color w:val="auto"/>
        </w:rPr>
        <w:t>You should assume that the information appearing in this prospectus, any accompanying prospectus supplement or related free writing prospectus and any document incorporated herein by reference is accurate as of its date only. Because the risk factors referred to above could cause actual results or outcomes to differ materially from those expressed in any forward-looking statements made by us or on our behalf, you should not place undue reliance on any forward-looking statements. Further, any forward-looking statement speaks only as of the date on which it is made. New factors emerge from time to time, and it is not possible for us to predict which factors will arise. In addition, we cannot assess the impact of each factor on our business or the extent to which any factor, or combination of factors, may cause actual results to differ materially from those contained in any forward-looking statements. Unless legally required, we do not undertake any obligation to release publicly any revisions to such forward-looking statements to reflect events or circumstances after the date of this prospectus or to reflect the occurrence of unanticipated events.</w:t>
      </w:r>
    </w:p>
    <w:p>
      <w:pPr>
        <w:spacing w:after="0" w:line="9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w:t>
      </w:r>
    </w:p>
    <w:p>
      <w:pPr>
        <w:sectPr>
          <w:pgSz w:w="11900" w:h="16838" w:orient="portrait"/>
          <w:cols w:equalWidth="0" w:num="1">
            <w:col w:w="11000"/>
          </w:cols>
          <w:pgMar w:left="440" w:top="274" w:right="459" w:bottom="1440" w:gutter="0" w:footer="0" w:header="0"/>
        </w:sectPr>
      </w:pPr>
    </w:p>
    <w:bookmarkStart w:id="10" w:name="page11"/>
    <w:bookmarkEnd w:id="10"/>
    <w:p>
      <w:pPr>
        <w:jc w:val="center"/>
        <w:ind w:right="-99"/>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9">
                      <a:extLst>
                        <a:ext uri="{28A0092B-C50C-407E-A947-70E740481C1C}"/>
                      </a:extLst>
                    </a:blip>
                    <a:srcRect/>
                    <a:stretch>
                      <a:fillRect/>
                    </a:stretch>
                  </pic:blipFill>
                  <pic:spPr bwMode="auto">
                    <a:xfrm>
                      <a:off x="0" y="0"/>
                      <a:ext cx="7149465" cy="26035"/>
                    </a:xfrm>
                    <a:prstGeom prst="rect">
                      <a:avLst/>
                    </a:prstGeom>
                    <a:noFill/>
                  </pic:spPr>
                </pic:pic>
              </a:graphicData>
            </a:graphic>
          </wp:anchor>
        </w:drawing>
        <w:t>ABOUT LARIMAR</w:t>
      </w:r>
    </w:p>
    <w:p>
      <w:pPr>
        <w:spacing w:after="0" w:line="229" w:lineRule="exact"/>
        <w:rPr>
          <w:sz w:val="20"/>
          <w:szCs w:val="20"/>
          <w:color w:val="auto"/>
        </w:rPr>
      </w:pPr>
    </w:p>
    <w:p>
      <w:pPr>
        <w:spacing w:after="0" w:line="269" w:lineRule="auto"/>
        <w:rPr>
          <w:sz w:val="20"/>
          <w:szCs w:val="20"/>
          <w:color w:val="auto"/>
        </w:rPr>
      </w:pPr>
      <w:r>
        <w:rPr>
          <w:rFonts w:ascii="Arial" w:cs="Arial" w:eastAsia="Arial" w:hAnsi="Arial"/>
          <w:sz w:val="17"/>
          <w:szCs w:val="17"/>
          <w:color w:val="auto"/>
        </w:rPr>
        <w:t>We are a clinical-stage biotechnology company focused on developing treatments for patients suffering from complex rare diseases using our novel cell penetrating peptide technology platform. Our lead product candidate, CTI-1601, is a subcutaneously administered, recombinant fusion protein intended to deliver human frataxin, or FXN, an essential protein, to the mitochondria of patients with Friedreich’s Ataxia. Friedreich’s Ataxia is a rare, progressive and fatal disease in which patients are unable to produce enough FXN due to a genetic abnormality. There is currently no effective therapy for Friedreich’s Ataxia. CTI-1601 is currently being evaluated in Phase 1 clinical trials in patients with Friedreich’s Ataxia. We have received orphan drug status, fast track designation and rare pediatric disease designation, from the U.S. Food and Drug Administration, or the FDA, for CTI-1601. In addition, the European Medicines Agency, or EMA, Committee for Orphan Medicinal Products issued a positive opinion on the Company’s application for orphan drug designation for CTI-1601. The receipt of such designations or positive opinions may not result in a faster development process, review or approval compared to products considered for approval under conventional FDA or EMA procedures and does not assure ultimate approval by the FDA or EMA.</w:t>
      </w:r>
    </w:p>
    <w:p>
      <w:pPr>
        <w:spacing w:after="0" w:line="185" w:lineRule="exact"/>
        <w:rPr>
          <w:sz w:val="20"/>
          <w:szCs w:val="20"/>
          <w:color w:val="auto"/>
        </w:rPr>
      </w:pPr>
    </w:p>
    <w:p>
      <w:pPr>
        <w:ind w:right="80"/>
        <w:spacing w:after="0" w:line="263" w:lineRule="auto"/>
        <w:rPr>
          <w:sz w:val="20"/>
          <w:szCs w:val="20"/>
          <w:color w:val="auto"/>
        </w:rPr>
      </w:pPr>
      <w:r>
        <w:rPr>
          <w:rFonts w:ascii="Arial" w:cs="Arial" w:eastAsia="Arial" w:hAnsi="Arial"/>
          <w:sz w:val="18"/>
          <w:szCs w:val="18"/>
          <w:color w:val="auto"/>
        </w:rPr>
        <w:t>Our cell penetrating peptide technology platform, which enables a therapeutic molecule to cross a cell membrane in order to reach intracellular targets, has the potential to enable the treatment of other rare and orphan diseases. We intend to use our proprietary platform to target additional orphan indications characterized by deficiencies in or alterations of intracellular content or activity.</w:t>
      </w:r>
    </w:p>
    <w:p>
      <w:pPr>
        <w:spacing w:after="0" w:line="184" w:lineRule="exact"/>
        <w:rPr>
          <w:sz w:val="20"/>
          <w:szCs w:val="20"/>
          <w:color w:val="auto"/>
        </w:rPr>
      </w:pPr>
    </w:p>
    <w:p>
      <w:pPr>
        <w:ind w:right="120"/>
        <w:spacing w:after="0" w:line="257" w:lineRule="auto"/>
        <w:rPr>
          <w:sz w:val="20"/>
          <w:szCs w:val="20"/>
          <w:color w:val="auto"/>
        </w:rPr>
      </w:pPr>
      <w:r>
        <w:rPr>
          <w:rFonts w:ascii="Arial" w:cs="Arial" w:eastAsia="Arial" w:hAnsi="Arial"/>
          <w:sz w:val="18"/>
          <w:szCs w:val="18"/>
          <w:color w:val="auto"/>
        </w:rPr>
        <w:t xml:space="preserve">We were founded in 2005 as a Delaware corporation under the name Zafgen, Inc. Our principal executive offices are located at Three Bala Plaza East, Suite 506, Bala Cynwyd, PA 19004, and our telephone number is (844) 511-9056. Our website address is </w:t>
      </w:r>
      <w:r>
        <w:rPr>
          <w:rFonts w:ascii="Arial" w:cs="Arial" w:eastAsia="Arial" w:hAnsi="Arial"/>
          <w:sz w:val="18"/>
          <w:szCs w:val="18"/>
          <w:i w:val="1"/>
          <w:iCs w:val="1"/>
          <w:color w:val="auto"/>
        </w:rPr>
        <w:t>www.larimartx.com</w:t>
      </w:r>
      <w:r>
        <w:rPr>
          <w:rFonts w:ascii="Arial" w:cs="Arial" w:eastAsia="Arial" w:hAnsi="Arial"/>
          <w:sz w:val="18"/>
          <w:szCs w:val="18"/>
          <w:color w:val="auto"/>
        </w:rPr>
        <w:t>. The information on, or that can be accessed through, our website is not part of this prospectus and is not incorporated by reference herein. We have included our website address as an inactive textual reference only. References in this prospectus to “we,” “us,” “our,” “our company” or “Larimar” refer to Larimar Therapeutics, Inc. and its subsidiaries.</w:t>
      </w:r>
    </w:p>
    <w:p>
      <w:pPr>
        <w:spacing w:after="0" w:line="29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The Merger, Reverse Stock Split and Name Change</w:t>
      </w:r>
    </w:p>
    <w:p>
      <w:pPr>
        <w:spacing w:after="0" w:line="121" w:lineRule="exact"/>
        <w:rPr>
          <w:sz w:val="20"/>
          <w:szCs w:val="20"/>
          <w:color w:val="auto"/>
        </w:rPr>
      </w:pPr>
    </w:p>
    <w:p>
      <w:pPr>
        <w:ind w:right="200"/>
        <w:spacing w:after="0" w:line="259" w:lineRule="auto"/>
        <w:rPr>
          <w:sz w:val="20"/>
          <w:szCs w:val="20"/>
          <w:color w:val="auto"/>
        </w:rPr>
      </w:pPr>
      <w:r>
        <w:rPr>
          <w:rFonts w:ascii="Arial" w:cs="Arial" w:eastAsia="Arial" w:hAnsi="Arial"/>
          <w:sz w:val="18"/>
          <w:szCs w:val="18"/>
          <w:color w:val="auto"/>
        </w:rPr>
        <w:t>On May 28, 2020, we completed our business combination with Chondrial in accordance with the terms of the Agreement and Plan of Merger, or the Merger Agreement, dated as of December 17, 2019, as amended, by and among ourselves, Chondrial, Chondrial Therapeutics Holdings, LLC, and Zordich Merger Sub, or Merger Sub, pursuant to which Merger Sub merged with and into Chondrial, with Chondrial surviving as our wholly owned subsidiary. We refer to this transaction as the “Merger.”</w:t>
      </w:r>
    </w:p>
    <w:p>
      <w:pPr>
        <w:spacing w:after="0" w:line="187" w:lineRule="exact"/>
        <w:rPr>
          <w:sz w:val="20"/>
          <w:szCs w:val="20"/>
          <w:color w:val="auto"/>
        </w:rPr>
      </w:pPr>
    </w:p>
    <w:p>
      <w:pPr>
        <w:ind w:right="40"/>
        <w:spacing w:after="0" w:line="255" w:lineRule="auto"/>
        <w:rPr>
          <w:sz w:val="20"/>
          <w:szCs w:val="20"/>
          <w:color w:val="auto"/>
        </w:rPr>
      </w:pPr>
      <w:r>
        <w:rPr>
          <w:rFonts w:ascii="Arial" w:cs="Arial" w:eastAsia="Arial" w:hAnsi="Arial"/>
          <w:sz w:val="18"/>
          <w:szCs w:val="18"/>
          <w:color w:val="auto"/>
        </w:rPr>
        <w:t>In connection with, and immediately prior to the completion of, the Merger, we effected a reverse stock split of our common shares, at a ratio of 1-for-12, or the Reverse Stock Split. Under the terms of the Merger Agreement, we issued common shares to Chondrial Therapeutics Holdings, LLC at an exchange rate of 60,912.5005 common shares, after taking into account the Reverse Stock Split, for each unit of Chondrial Therapeutics Holdings, LLC outstanding immediately prior to the Merger. Immediately after completion of the Merger, we changed our name from “Zafgen, Inc.” to “Larimar Therapeutics, Inc.” Chondrial was determined to be the accounting acquirer, our historical financials became those of Chondrial and the business conducted by Chondrial became our business.</w:t>
      </w:r>
    </w:p>
    <w:p>
      <w:pPr>
        <w:spacing w:after="0" w:line="125"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6</w:t>
      </w:r>
    </w:p>
    <w:p>
      <w:pPr>
        <w:sectPr>
          <w:pgSz w:w="11900" w:h="16838" w:orient="portrait"/>
          <w:cols w:equalWidth="0" w:num="1">
            <w:col w:w="10920"/>
          </w:cols>
          <w:pgMar w:left="440" w:top="270" w:right="539" w:bottom="1440" w:gutter="0" w:footer="0" w:header="0"/>
        </w:sectPr>
      </w:pPr>
    </w:p>
    <w:bookmarkStart w:id="11" w:name="page12"/>
    <w:bookmarkEnd w:id="11"/>
    <w:p>
      <w:pPr>
        <w:jc w:val="center"/>
        <w:ind w:right="-79"/>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40">
                      <a:extLst>
                        <a:ext uri="{28A0092B-C50C-407E-A947-70E740481C1C}"/>
                      </a:extLst>
                    </a:blip>
                    <a:srcRect/>
                    <a:stretch>
                      <a:fillRect/>
                    </a:stretch>
                  </pic:blipFill>
                  <pic:spPr bwMode="auto">
                    <a:xfrm>
                      <a:off x="0" y="0"/>
                      <a:ext cx="7149465" cy="26035"/>
                    </a:xfrm>
                    <a:prstGeom prst="rect">
                      <a:avLst/>
                    </a:prstGeom>
                    <a:noFill/>
                  </pic:spPr>
                </pic:pic>
              </a:graphicData>
            </a:graphic>
          </wp:anchor>
        </w:drawing>
        <w:t>RISK FACTORS</w:t>
      </w:r>
    </w:p>
    <w:p>
      <w:pPr>
        <w:spacing w:after="0" w:line="229" w:lineRule="exact"/>
        <w:rPr>
          <w:sz w:val="20"/>
          <w:szCs w:val="20"/>
          <w:color w:val="auto"/>
        </w:rPr>
      </w:pPr>
    </w:p>
    <w:p>
      <w:pPr>
        <w:ind w:right="80"/>
        <w:spacing w:after="0" w:line="291" w:lineRule="auto"/>
        <w:rPr>
          <w:sz w:val="20"/>
          <w:szCs w:val="20"/>
          <w:color w:val="auto"/>
        </w:rPr>
      </w:pPr>
      <w:r>
        <w:rPr>
          <w:rFonts w:ascii="Arial" w:cs="Arial" w:eastAsia="Arial" w:hAnsi="Arial"/>
          <w:sz w:val="16"/>
          <w:szCs w:val="16"/>
          <w:color w:val="auto"/>
        </w:rPr>
        <w:t>Investment in any securities offered pursuant to this prospectus and the applicable prospectus supplement involves risks. You should carefully consider the risk factors included in our most recent Annual Report on Form 10-K, our most recent Quarterly Report on Form 10-Q, our current report on Form</w:t>
      </w:r>
    </w:p>
    <w:p>
      <w:pPr>
        <w:spacing w:after="0" w:line="253" w:lineRule="auto"/>
        <w:rPr>
          <w:sz w:val="20"/>
          <w:szCs w:val="20"/>
          <w:color w:val="auto"/>
        </w:rPr>
      </w:pPr>
      <w:r>
        <w:rPr>
          <w:rFonts w:ascii="Arial" w:cs="Arial" w:eastAsia="Arial" w:hAnsi="Arial"/>
          <w:sz w:val="18"/>
          <w:szCs w:val="18"/>
          <w:color w:val="auto"/>
        </w:rPr>
        <w:t>8-K/A filed on June 26, 2020 and any subsequent Annual Reports on Form 10-K, Quarterly Reports on Form 10-Q or Current Reports on Form 8-K we file after the date of this prospectus, and all other information contained or incorporated by reference into this prospectus, as updated by our subsequent filings under the Exchange Act, and the risk factors and other information contained in the applicable prospectus supplement and any applicable free writing prospectus before acquiring any of such securities. The occurrence of any of these risks might cause you to lose all or part of your investment in the offered securities.</w:t>
      </w:r>
    </w:p>
    <w:p>
      <w:pPr>
        <w:spacing w:after="0" w:line="123"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7</w:t>
      </w:r>
    </w:p>
    <w:p>
      <w:pPr>
        <w:sectPr>
          <w:pgSz w:w="11900" w:h="16838" w:orient="portrait"/>
          <w:cols w:equalWidth="0" w:num="1">
            <w:col w:w="10940"/>
          </w:cols>
          <w:pgMar w:left="440" w:top="270" w:right="519" w:bottom="1440" w:gutter="0" w:footer="0" w:header="0"/>
        </w:sectPr>
      </w:pPr>
    </w:p>
    <w:bookmarkStart w:id="12" w:name="page13"/>
    <w:bookmarkEnd w:id="12"/>
    <w:p>
      <w:pPr>
        <w:jc w:val="center"/>
        <w:ind w:right="-19"/>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41">
                      <a:extLst>
                        <a:ext uri="{28A0092B-C50C-407E-A947-70E740481C1C}"/>
                      </a:extLst>
                    </a:blip>
                    <a:srcRect/>
                    <a:stretch>
                      <a:fillRect/>
                    </a:stretch>
                  </pic:blipFill>
                  <pic:spPr bwMode="auto">
                    <a:xfrm>
                      <a:off x="0" y="0"/>
                      <a:ext cx="7149465" cy="26035"/>
                    </a:xfrm>
                    <a:prstGeom prst="rect">
                      <a:avLst/>
                    </a:prstGeom>
                    <a:noFill/>
                  </pic:spPr>
                </pic:pic>
              </a:graphicData>
            </a:graphic>
          </wp:anchor>
        </w:drawing>
        <w:t>USE OF PROCEEDS</w:t>
      </w:r>
    </w:p>
    <w:p>
      <w:pPr>
        <w:spacing w:after="0" w:line="229" w:lineRule="exact"/>
        <w:rPr>
          <w:sz w:val="20"/>
          <w:szCs w:val="20"/>
          <w:color w:val="auto"/>
        </w:rPr>
      </w:pPr>
    </w:p>
    <w:p>
      <w:pPr>
        <w:spacing w:after="0" w:line="259" w:lineRule="auto"/>
        <w:rPr>
          <w:sz w:val="20"/>
          <w:szCs w:val="20"/>
          <w:color w:val="auto"/>
        </w:rPr>
      </w:pPr>
      <w:r>
        <w:rPr>
          <w:rFonts w:ascii="Arial" w:cs="Arial" w:eastAsia="Arial" w:hAnsi="Arial"/>
          <w:sz w:val="18"/>
          <w:szCs w:val="18"/>
          <w:color w:val="auto"/>
        </w:rPr>
        <w:t>Except as set forth in any accompanying prospectus supplement, we intend to use the net proceeds from the sale of any securities offered under this prospectus for general corporate purposes unless the applicable prospectus supplement provides otherwise. General corporate purposes may include, and are not limited to research and development costs, manufacturing costs, the acquisition or licensing of other businesses, products or product candidates, working capital and capital expenditures.</w:t>
      </w:r>
    </w:p>
    <w:p>
      <w:pPr>
        <w:spacing w:after="0" w:line="187" w:lineRule="exact"/>
        <w:rPr>
          <w:sz w:val="20"/>
          <w:szCs w:val="20"/>
          <w:color w:val="auto"/>
        </w:rPr>
      </w:pPr>
    </w:p>
    <w:p>
      <w:pPr>
        <w:ind w:right="100"/>
        <w:spacing w:after="0" w:line="259" w:lineRule="auto"/>
        <w:rPr>
          <w:sz w:val="20"/>
          <w:szCs w:val="20"/>
          <w:color w:val="auto"/>
        </w:rPr>
      </w:pPr>
      <w:r>
        <w:rPr>
          <w:rFonts w:ascii="Arial" w:cs="Arial" w:eastAsia="Arial" w:hAnsi="Arial"/>
          <w:sz w:val="18"/>
          <w:szCs w:val="18"/>
          <w:color w:val="auto"/>
        </w:rPr>
        <w:t>We may temporarily invest the net proceeds in a variety of capital preservation instruments, including investment grade instruments, certificates of deposit or direct or guaranteed obligations of the U.S. government, or may hold such proceeds as cash, until they are used for their stated purpose. We have not determined the amount of net proceeds to be used specifically for such purposes. As a result, management will retain broad discretion over the allocation of net proceeds.</w:t>
      </w:r>
    </w:p>
    <w:p>
      <w:pPr>
        <w:spacing w:after="0" w:line="11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8</w:t>
      </w:r>
    </w:p>
    <w:p>
      <w:pPr>
        <w:sectPr>
          <w:pgSz w:w="11900" w:h="16838" w:orient="portrait"/>
          <w:cols w:equalWidth="0" w:num="1">
            <w:col w:w="11000"/>
          </w:cols>
          <w:pgMar w:left="440" w:top="270" w:right="459" w:bottom="1440" w:gutter="0" w:footer="0" w:header="0"/>
        </w:sectPr>
      </w:pPr>
    </w:p>
    <w:bookmarkStart w:id="13" w:name="page14"/>
    <w:bookmarkEnd w:id="13"/>
    <w:p>
      <w:pPr>
        <w:jc w:val="cente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42">
                      <a:extLst>
                        <a:ext uri="{28A0092B-C50C-407E-A947-70E740481C1C}"/>
                      </a:extLst>
                    </a:blip>
                    <a:srcRect/>
                    <a:stretch>
                      <a:fillRect/>
                    </a:stretch>
                  </pic:blipFill>
                  <pic:spPr bwMode="auto">
                    <a:xfrm>
                      <a:off x="0" y="0"/>
                      <a:ext cx="7149465" cy="26035"/>
                    </a:xfrm>
                    <a:prstGeom prst="rect">
                      <a:avLst/>
                    </a:prstGeom>
                    <a:noFill/>
                  </pic:spPr>
                </pic:pic>
              </a:graphicData>
            </a:graphic>
          </wp:anchor>
        </w:drawing>
        <w:t>DESCRIPTION OF CAPITAL STOCK</w:t>
      </w:r>
    </w:p>
    <w:p>
      <w:pPr>
        <w:spacing w:after="0" w:line="229" w:lineRule="exact"/>
        <w:rPr>
          <w:sz w:val="20"/>
          <w:szCs w:val="20"/>
          <w:color w:val="auto"/>
        </w:rPr>
      </w:pPr>
    </w:p>
    <w:p>
      <w:pPr>
        <w:ind w:right="60"/>
        <w:spacing w:after="0" w:line="257" w:lineRule="auto"/>
        <w:rPr>
          <w:sz w:val="20"/>
          <w:szCs w:val="20"/>
          <w:color w:val="auto"/>
        </w:rPr>
      </w:pPr>
      <w:r>
        <w:rPr>
          <w:rFonts w:ascii="Arial" w:cs="Arial" w:eastAsia="Arial" w:hAnsi="Arial"/>
          <w:sz w:val="18"/>
          <w:szCs w:val="18"/>
          <w:i w:val="1"/>
          <w:iCs w:val="1"/>
          <w:color w:val="auto"/>
        </w:rPr>
        <w:t>The following description of our capital stock is not complete and may not contain all the information you should consider before investing in our capital stock. This description is summarized from, and qualified in its entirety by reference to, our certificate of incorporation, which has been publicly filed with the SEC. See “Where You Can Find More Information.” For a complete description, you should refer to our amended and restated certificate of incorporation and amended and restated bylaws, copies of which are incorporated by reference as exhibits to the registration statement of which this prospectus is a part.</w:t>
      </w:r>
    </w:p>
    <w:p>
      <w:pPr>
        <w:spacing w:after="0" w:line="29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Common Stock</w:t>
      </w:r>
    </w:p>
    <w:p>
      <w:pPr>
        <w:spacing w:after="0" w:line="121" w:lineRule="exact"/>
        <w:rPr>
          <w:sz w:val="20"/>
          <w:szCs w:val="20"/>
          <w:color w:val="auto"/>
        </w:rPr>
      </w:pPr>
    </w:p>
    <w:p>
      <w:pPr>
        <w:ind w:right="260"/>
        <w:spacing w:after="0" w:line="259" w:lineRule="auto"/>
        <w:rPr>
          <w:sz w:val="20"/>
          <w:szCs w:val="20"/>
          <w:color w:val="auto"/>
        </w:rPr>
      </w:pPr>
      <w:r>
        <w:rPr>
          <w:rFonts w:ascii="Arial" w:cs="Arial" w:eastAsia="Arial" w:hAnsi="Arial"/>
          <w:sz w:val="18"/>
          <w:szCs w:val="18"/>
          <w:b w:val="1"/>
          <w:bCs w:val="1"/>
          <w:i w:val="1"/>
          <w:iCs w:val="1"/>
          <w:color w:val="auto"/>
        </w:rPr>
        <w:t>Authorized Capital Stock</w:t>
      </w:r>
      <w:r>
        <w:rPr>
          <w:rFonts w:ascii="Arial" w:cs="Arial" w:eastAsia="Arial" w:hAnsi="Arial"/>
          <w:sz w:val="18"/>
          <w:szCs w:val="18"/>
          <w:color w:val="auto"/>
        </w:rPr>
        <w:t>. Our authorized capital stock consists of (i) 115,000,000 shares of common stock, par value $0.001 per share, of which</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15,356,206 shares have been issued and are outstanding as of August 13, 2020, referred to as the capitalization date, and (ii) 5,000,000 shares of preferred stock, par value $0.001 per share, of which no shares have been issued and are outstanding as of the capitalization date. We do not hold any shares of our capital stock in its treasury.</w:t>
      </w:r>
    </w:p>
    <w:p>
      <w:pPr>
        <w:spacing w:after="0" w:line="187" w:lineRule="exact"/>
        <w:rPr>
          <w:sz w:val="20"/>
          <w:szCs w:val="20"/>
          <w:color w:val="auto"/>
        </w:rPr>
      </w:pPr>
    </w:p>
    <w:p>
      <w:pPr>
        <w:spacing w:after="0" w:line="277" w:lineRule="auto"/>
        <w:rPr>
          <w:sz w:val="20"/>
          <w:szCs w:val="20"/>
          <w:color w:val="auto"/>
        </w:rPr>
      </w:pPr>
      <w:r>
        <w:rPr>
          <w:rFonts w:ascii="Arial" w:cs="Arial" w:eastAsia="Arial" w:hAnsi="Arial"/>
          <w:sz w:val="18"/>
          <w:szCs w:val="18"/>
          <w:b w:val="1"/>
          <w:bCs w:val="1"/>
          <w:i w:val="1"/>
          <w:iCs w:val="1"/>
          <w:color w:val="auto"/>
        </w:rPr>
        <w:t>Voting Rights</w:t>
      </w:r>
      <w:r>
        <w:rPr>
          <w:rFonts w:ascii="Arial" w:cs="Arial" w:eastAsia="Arial" w:hAnsi="Arial"/>
          <w:sz w:val="18"/>
          <w:szCs w:val="18"/>
          <w:color w:val="auto"/>
        </w:rPr>
        <w:t>. Holders of our common stock are entitled to one vote for each share held of record on all matters submitted to a vote of stockholders. The</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holders of our common stock do not have any cumulative voting rights.</w:t>
      </w:r>
    </w:p>
    <w:p>
      <w:pPr>
        <w:spacing w:after="0" w:line="170" w:lineRule="exact"/>
        <w:rPr>
          <w:sz w:val="20"/>
          <w:szCs w:val="20"/>
          <w:color w:val="auto"/>
        </w:rPr>
      </w:pPr>
    </w:p>
    <w:p>
      <w:pPr>
        <w:ind w:right="60"/>
        <w:spacing w:after="0" w:line="277" w:lineRule="auto"/>
        <w:rPr>
          <w:sz w:val="20"/>
          <w:szCs w:val="20"/>
          <w:color w:val="auto"/>
        </w:rPr>
      </w:pPr>
      <w:r>
        <w:rPr>
          <w:rFonts w:ascii="Arial" w:cs="Arial" w:eastAsia="Arial" w:hAnsi="Arial"/>
          <w:sz w:val="18"/>
          <w:szCs w:val="18"/>
          <w:b w:val="1"/>
          <w:bCs w:val="1"/>
          <w:i w:val="1"/>
          <w:iCs w:val="1"/>
          <w:color w:val="auto"/>
        </w:rPr>
        <w:t>Dividends</w:t>
      </w:r>
      <w:r>
        <w:rPr>
          <w:rFonts w:ascii="Arial" w:cs="Arial" w:eastAsia="Arial" w:hAnsi="Arial"/>
          <w:sz w:val="18"/>
          <w:szCs w:val="18"/>
          <w:color w:val="auto"/>
        </w:rPr>
        <w:t>. Holders of our common stock are entitled to receive ratably any dividends declared by our Board of Directors, or Board, out of funds legally</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available for that purpose, subject to any preferential dividend rights of any outstanding preferred stock.</w:t>
      </w:r>
    </w:p>
    <w:p>
      <w:pPr>
        <w:spacing w:after="0" w:line="170" w:lineRule="exact"/>
        <w:rPr>
          <w:sz w:val="20"/>
          <w:szCs w:val="20"/>
          <w:color w:val="auto"/>
        </w:rPr>
      </w:pPr>
    </w:p>
    <w:p>
      <w:pPr>
        <w:jc w:val="both"/>
        <w:ind w:right="100"/>
        <w:spacing w:after="0" w:line="286" w:lineRule="auto"/>
        <w:rPr>
          <w:sz w:val="20"/>
          <w:szCs w:val="20"/>
          <w:color w:val="auto"/>
        </w:rPr>
      </w:pPr>
      <w:r>
        <w:rPr>
          <w:rFonts w:ascii="Arial" w:cs="Arial" w:eastAsia="Arial" w:hAnsi="Arial"/>
          <w:sz w:val="17"/>
          <w:szCs w:val="17"/>
          <w:b w:val="1"/>
          <w:bCs w:val="1"/>
          <w:i w:val="1"/>
          <w:iCs w:val="1"/>
          <w:color w:val="auto"/>
        </w:rPr>
        <w:t>No Preemptive or Similar Rights</w:t>
      </w:r>
      <w:r>
        <w:rPr>
          <w:rFonts w:ascii="Arial" w:cs="Arial" w:eastAsia="Arial" w:hAnsi="Arial"/>
          <w:sz w:val="17"/>
          <w:szCs w:val="17"/>
          <w:color w:val="auto"/>
        </w:rPr>
        <w:t>. Our common stock has no preemptive rights, conversion rights or other subscription rights or redemption or sinking</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fund provisions. In the event of a liquidation, dissolution or winding up of us, holders of our common stock will be entitled to share ratably in all assets remaining after payment of all debts and other liabilities and any liquidation preference of any outstanding preferred stock.</w:t>
      </w:r>
    </w:p>
    <w:p>
      <w:pPr>
        <w:spacing w:after="0" w:line="16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Transfer Agent and Registrar</w:t>
      </w:r>
      <w:r>
        <w:rPr>
          <w:rFonts w:ascii="Arial" w:cs="Arial" w:eastAsia="Arial" w:hAnsi="Arial"/>
          <w:sz w:val="18"/>
          <w:szCs w:val="18"/>
          <w:color w:val="auto"/>
        </w:rPr>
        <w:t>. The transfer agent and registrar for our common stock is Computershare Trust Company, N.A.</w:t>
      </w:r>
    </w:p>
    <w:p>
      <w:pPr>
        <w:spacing w:after="0" w:line="225" w:lineRule="exact"/>
        <w:rPr>
          <w:sz w:val="20"/>
          <w:szCs w:val="20"/>
          <w:color w:val="auto"/>
        </w:rPr>
      </w:pPr>
    </w:p>
    <w:p>
      <w:pPr>
        <w:ind w:right="180"/>
        <w:spacing w:after="0" w:line="342" w:lineRule="auto"/>
        <w:rPr>
          <w:sz w:val="20"/>
          <w:szCs w:val="20"/>
          <w:color w:val="auto"/>
        </w:rPr>
      </w:pPr>
      <w:r>
        <w:rPr>
          <w:rFonts w:ascii="Arial" w:cs="Arial" w:eastAsia="Arial" w:hAnsi="Arial"/>
          <w:sz w:val="16"/>
          <w:szCs w:val="16"/>
          <w:b w:val="1"/>
          <w:bCs w:val="1"/>
          <w:i w:val="1"/>
          <w:iCs w:val="1"/>
          <w:color w:val="auto"/>
        </w:rPr>
        <w:t>Listing</w:t>
      </w:r>
      <w:r>
        <w:rPr>
          <w:rFonts w:ascii="Arial" w:cs="Arial" w:eastAsia="Arial" w:hAnsi="Arial"/>
          <w:sz w:val="16"/>
          <w:szCs w:val="16"/>
          <w:color w:val="auto"/>
        </w:rPr>
        <w:t>. Our common stock is listed on The Nasdaq Global Market under the symbol “LRMR.” On August 13, 2020, the last reported sale price of our</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common stock on The Nasdaq Global Market was $11.89 per share. As of August 13, 2020, we had approximately 36 stockholders of record.</w:t>
      </w:r>
    </w:p>
    <w:p>
      <w:pPr>
        <w:spacing w:after="0" w:line="22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Reverse Split</w:t>
      </w:r>
    </w:p>
    <w:p>
      <w:pPr>
        <w:spacing w:after="0" w:line="121" w:lineRule="exact"/>
        <w:rPr>
          <w:sz w:val="20"/>
          <w:szCs w:val="20"/>
          <w:color w:val="auto"/>
        </w:rPr>
      </w:pPr>
    </w:p>
    <w:p>
      <w:pPr>
        <w:ind w:right="500"/>
        <w:spacing w:after="0" w:line="277" w:lineRule="auto"/>
        <w:rPr>
          <w:sz w:val="20"/>
          <w:szCs w:val="20"/>
          <w:color w:val="auto"/>
        </w:rPr>
      </w:pPr>
      <w:r>
        <w:rPr>
          <w:rFonts w:ascii="Arial" w:cs="Arial" w:eastAsia="Arial" w:hAnsi="Arial"/>
          <w:sz w:val="18"/>
          <w:szCs w:val="18"/>
          <w:color w:val="auto"/>
        </w:rPr>
        <w:t>On May 28, 2020, we filed an amendment to our Charter in order to effect a 1-for-12 reverse stock split of our common stock effective for trading purposes on May 29, 2020. The number of authorized stock remained unchanged at 120,000,000 shares.</w:t>
      </w:r>
    </w:p>
    <w:p>
      <w:pPr>
        <w:spacing w:after="0" w:line="27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Preferred Stock</w:t>
      </w:r>
    </w:p>
    <w:p>
      <w:pPr>
        <w:spacing w:after="0" w:line="121" w:lineRule="exact"/>
        <w:rPr>
          <w:sz w:val="20"/>
          <w:szCs w:val="20"/>
          <w:color w:val="auto"/>
        </w:rPr>
      </w:pPr>
    </w:p>
    <w:p>
      <w:pPr>
        <w:spacing w:after="0" w:line="291" w:lineRule="auto"/>
        <w:rPr>
          <w:sz w:val="20"/>
          <w:szCs w:val="20"/>
          <w:color w:val="auto"/>
        </w:rPr>
      </w:pPr>
      <w:r>
        <w:rPr>
          <w:rFonts w:ascii="Arial" w:cs="Arial" w:eastAsia="Arial" w:hAnsi="Arial"/>
          <w:sz w:val="16"/>
          <w:szCs w:val="16"/>
          <w:color w:val="auto"/>
        </w:rPr>
        <w:t>Our Board currently has the authority, without further action by our stockholders, to issue up to 5,000,000 shares of preferred stock in one or more series and to fix the rights, preferences, privileges and restrictions thereof. These rights, preferences and privileges could include dividend rights, conversion rights, voting rights, terms of redemption, liquidation preferences, sinking fund terms and the number of shares constituting, or the designation of, such series, any or all of which may be greater than the rights of common stock. The issuance of preferred stock by us could adversely affect the voting power of holders of our common stock and the likelihood that such holders will receive dividend payments and payments upon a liquidation of us. In addition, the issuance of preferred stock could have the effect of delaying, deferring or preventing a change in control of us or other corporate action. No shares of preferred stock are outstanding, and we have no present plans to issue any shares of preferred stock.</w:t>
      </w:r>
    </w:p>
    <w:p>
      <w:pPr>
        <w:spacing w:after="0" w:line="27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Registration Rights</w:t>
      </w:r>
    </w:p>
    <w:p>
      <w:pPr>
        <w:spacing w:after="0" w:line="121" w:lineRule="exact"/>
        <w:rPr>
          <w:sz w:val="20"/>
          <w:szCs w:val="20"/>
          <w:color w:val="auto"/>
        </w:rPr>
      </w:pPr>
    </w:p>
    <w:p>
      <w:pPr>
        <w:ind w:right="520"/>
        <w:spacing w:after="0" w:line="277" w:lineRule="auto"/>
        <w:rPr>
          <w:sz w:val="20"/>
          <w:szCs w:val="20"/>
          <w:color w:val="auto"/>
        </w:rPr>
      </w:pPr>
      <w:r>
        <w:rPr>
          <w:rFonts w:ascii="Arial" w:cs="Arial" w:eastAsia="Arial" w:hAnsi="Arial"/>
          <w:sz w:val="18"/>
          <w:szCs w:val="18"/>
          <w:color w:val="auto"/>
        </w:rPr>
        <w:t>On May 28, 2020, in connection with the merger between Chondrial Therapeutics, Inc. and a wholly-owned subsidiary of ours, or the Merger, we entered into a Registration Rights Agreement, or the Merger Registration Rights Agreement,</w:t>
      </w:r>
    </w:p>
    <w:p>
      <w:pPr>
        <w:spacing w:after="0" w:line="10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w:t>
      </w:r>
    </w:p>
    <w:p>
      <w:pPr>
        <w:sectPr>
          <w:pgSz w:w="11900" w:h="16838" w:orient="portrait"/>
          <w:cols w:equalWidth="0" w:num="1">
            <w:col w:w="11000"/>
          </w:cols>
          <w:pgMar w:left="440" w:top="270" w:right="459" w:bottom="1440" w:gutter="0" w:footer="0" w:header="0"/>
        </w:sectPr>
      </w:pPr>
    </w:p>
    <w:bookmarkStart w:id="14" w:name="page15"/>
    <w:bookmarkEnd w:id="14"/>
    <w:p>
      <w:pPr>
        <w:ind w:left="4"/>
        <w:spacing w:after="0" w:line="257"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43">
                      <a:extLst>
                        <a:ext uri="{28A0092B-C50C-407E-A947-70E740481C1C}"/>
                      </a:extLst>
                    </a:blip>
                    <a:srcRect/>
                    <a:stretch>
                      <a:fillRect/>
                    </a:stretch>
                  </pic:blipFill>
                  <pic:spPr bwMode="auto">
                    <a:xfrm>
                      <a:off x="0" y="0"/>
                      <a:ext cx="7149465" cy="26035"/>
                    </a:xfrm>
                    <a:prstGeom prst="rect">
                      <a:avLst/>
                    </a:prstGeom>
                    <a:noFill/>
                  </pic:spPr>
                </pic:pic>
              </a:graphicData>
            </a:graphic>
          </wp:anchor>
        </w:drawing>
        <w:t>with the members of Chondrial Therapeutics Holdings, LLC pursuant to which we agreed that promptly, but no later than June 27, 2020, we would file a registration statement with the SEC covering the shares of common stock issued to Chondrial Therapeutics Holdings, LLC in exchange for all of the shares of common stock of Chondrial Therapeutics, Inc. and subsequently distributed to its members, or the Merger Shares. In addition, the Registration Rights Agreement also provides the members of Chondrial Therapeutics Holdings, LLC with demand and “piggy-back” registration rights, subject to certain minimum requirements and customary conditions.</w:t>
      </w:r>
    </w:p>
    <w:p>
      <w:pPr>
        <w:spacing w:after="0" w:line="188" w:lineRule="exact"/>
        <w:rPr>
          <w:sz w:val="20"/>
          <w:szCs w:val="20"/>
          <w:color w:val="auto"/>
        </w:rPr>
      </w:pPr>
    </w:p>
    <w:p>
      <w:pPr>
        <w:ind w:left="4" w:right="80"/>
        <w:spacing w:after="0" w:line="286" w:lineRule="auto"/>
        <w:rPr>
          <w:sz w:val="20"/>
          <w:szCs w:val="20"/>
          <w:color w:val="auto"/>
        </w:rPr>
      </w:pPr>
      <w:r>
        <w:rPr>
          <w:rFonts w:ascii="Arial" w:cs="Arial" w:eastAsia="Arial" w:hAnsi="Arial"/>
          <w:sz w:val="16"/>
          <w:szCs w:val="16"/>
          <w:color w:val="auto"/>
        </w:rPr>
        <w:t>In connection with a private placement of shares of common stock and pre-funded warrants to the certain investors on May 28, 2020, or the Private Placement, we entered into a Registration Rights Agreement, or the Private Placement Registration Rights Agreement, and collectively with the Merger Registration Rights Agreement, the Registration Rights Agreements, with our investors pursuant to which we have agreed that promptly, but no later than June 27, 2020, we would file a registration statement with the SEC covering (a) the shares of common stock issued in the Private Placement and</w:t>
      </w:r>
    </w:p>
    <w:p>
      <w:pPr>
        <w:spacing w:after="0" w:line="1" w:lineRule="exact"/>
        <w:rPr>
          <w:sz w:val="20"/>
          <w:szCs w:val="20"/>
          <w:color w:val="auto"/>
        </w:rPr>
      </w:pPr>
    </w:p>
    <w:p>
      <w:pPr>
        <w:ind w:left="4" w:right="160" w:hanging="4"/>
        <w:spacing w:after="0" w:line="260" w:lineRule="auto"/>
        <w:tabs>
          <w:tab w:leader="none" w:pos="259" w:val="left"/>
        </w:tabs>
        <w:numPr>
          <w:ilvl w:val="0"/>
          <w:numId w:val="6"/>
        </w:numPr>
        <w:rPr>
          <w:rFonts w:ascii="Arial" w:cs="Arial" w:eastAsia="Arial" w:hAnsi="Arial"/>
          <w:sz w:val="18"/>
          <w:szCs w:val="18"/>
          <w:color w:val="auto"/>
        </w:rPr>
      </w:pPr>
      <w:r>
        <w:rPr>
          <w:rFonts w:ascii="Arial" w:cs="Arial" w:eastAsia="Arial" w:hAnsi="Arial"/>
          <w:sz w:val="18"/>
          <w:szCs w:val="18"/>
          <w:color w:val="auto"/>
        </w:rPr>
        <w:t>the shares of common stock underlying the pre-funded warrants issued in the Private Placement. We refer to these shares as the “Private Placement Shares” and, together with the Merger Shares, the “Registrable Shares.”</w:t>
      </w:r>
    </w:p>
    <w:p>
      <w:pPr>
        <w:spacing w:after="0" w:line="185" w:lineRule="exact"/>
        <w:rPr>
          <w:sz w:val="20"/>
          <w:szCs w:val="20"/>
          <w:color w:val="auto"/>
        </w:rPr>
      </w:pPr>
    </w:p>
    <w:p>
      <w:pPr>
        <w:ind w:left="4" w:right="220"/>
        <w:spacing w:after="0" w:line="277" w:lineRule="auto"/>
        <w:rPr>
          <w:sz w:val="20"/>
          <w:szCs w:val="20"/>
          <w:color w:val="auto"/>
        </w:rPr>
      </w:pPr>
      <w:r>
        <w:rPr>
          <w:rFonts w:ascii="Arial" w:cs="Arial" w:eastAsia="Arial" w:hAnsi="Arial"/>
          <w:sz w:val="18"/>
          <w:szCs w:val="18"/>
          <w:color w:val="auto"/>
        </w:rPr>
        <w:t>On June 26, 2020, we filed a registration statement on Form S-3 registering all of the Registrable Shares, which was declared effective by the SEC on July 14, 2020.</w:t>
      </w:r>
    </w:p>
    <w:p>
      <w:pPr>
        <w:spacing w:after="0" w:line="274" w:lineRule="exact"/>
        <w:rPr>
          <w:sz w:val="20"/>
          <w:szCs w:val="20"/>
          <w:color w:val="auto"/>
        </w:rPr>
      </w:pPr>
    </w:p>
    <w:p>
      <w:pPr>
        <w:ind w:left="4"/>
        <w:spacing w:after="0"/>
        <w:rPr>
          <w:sz w:val="20"/>
          <w:szCs w:val="20"/>
          <w:color w:val="auto"/>
        </w:rPr>
      </w:pPr>
      <w:r>
        <w:rPr>
          <w:rFonts w:ascii="Arial" w:cs="Arial" w:eastAsia="Arial" w:hAnsi="Arial"/>
          <w:sz w:val="18"/>
          <w:szCs w:val="18"/>
          <w:b w:val="1"/>
          <w:bCs w:val="1"/>
          <w:color w:val="auto"/>
        </w:rPr>
        <w:t>Provisions of Our Charter and Bylaws and Delaware Anti-Takeover Law</w:t>
      </w:r>
    </w:p>
    <w:p>
      <w:pPr>
        <w:spacing w:after="0" w:line="121" w:lineRule="exact"/>
        <w:rPr>
          <w:sz w:val="20"/>
          <w:szCs w:val="20"/>
          <w:color w:val="auto"/>
        </w:rPr>
      </w:pPr>
    </w:p>
    <w:p>
      <w:pPr>
        <w:ind w:left="4"/>
        <w:spacing w:after="0" w:line="270" w:lineRule="auto"/>
        <w:rPr>
          <w:sz w:val="20"/>
          <w:szCs w:val="20"/>
          <w:color w:val="auto"/>
        </w:rPr>
      </w:pPr>
      <w:r>
        <w:rPr>
          <w:rFonts w:ascii="Arial" w:cs="Arial" w:eastAsia="Arial" w:hAnsi="Arial"/>
          <w:sz w:val="17"/>
          <w:szCs w:val="17"/>
          <w:color w:val="auto"/>
        </w:rPr>
        <w:t>Certain provisions of the Delaware General Corporation Law, or DGCL, and of our Charter and Bylaws could have the effect of delaying, deferring or discouraging another party from acquiring control of us. These provisions, which are summarized below, are expected to discourage certain types of coercive takeover practices and inadequate takeover bids and, as a consequence, they might also inhibit temporary fluctuations in the market price of our common stock that often result from actual or rumored hostile takeover attempts. These provisions are also designed in part to encourage anyone seeking to acquire control of us to first negotiate with our Board. These provisions might also have the effect of preventing changes in our management. It is possible that these provisions could make it more difficult to accomplish transactions that stockholders might otherwise deem to be in their best interests. However, we believe that the advantages gained by protecting our ability to negotiate with any unsolicited and potentially unfriendly acquirer outweigh the disadvantages of discouraging such proposals, including those priced above the then-current market value of our common stock, because, among other reasons, the negotiation of such proposals could improve their terms.</w:t>
      </w:r>
    </w:p>
    <w:p>
      <w:pPr>
        <w:spacing w:after="0" w:line="181" w:lineRule="exact"/>
        <w:rPr>
          <w:sz w:val="20"/>
          <w:szCs w:val="20"/>
          <w:color w:val="auto"/>
        </w:rPr>
      </w:pPr>
    </w:p>
    <w:p>
      <w:pPr>
        <w:ind w:left="4" w:right="120"/>
        <w:spacing w:after="0" w:line="257" w:lineRule="auto"/>
        <w:rPr>
          <w:sz w:val="20"/>
          <w:szCs w:val="20"/>
          <w:color w:val="auto"/>
        </w:rPr>
      </w:pPr>
      <w:r>
        <w:rPr>
          <w:rFonts w:ascii="Arial" w:cs="Arial" w:eastAsia="Arial" w:hAnsi="Arial"/>
          <w:sz w:val="18"/>
          <w:szCs w:val="18"/>
          <w:b w:val="1"/>
          <w:bCs w:val="1"/>
          <w:i w:val="1"/>
          <w:iCs w:val="1"/>
          <w:color w:val="auto"/>
        </w:rPr>
        <w:t>Board Composition and Filling Vacancies</w:t>
      </w:r>
      <w:r>
        <w:rPr>
          <w:rFonts w:ascii="Arial" w:cs="Arial" w:eastAsia="Arial" w:hAnsi="Arial"/>
          <w:sz w:val="18"/>
          <w:szCs w:val="18"/>
          <w:color w:val="auto"/>
        </w:rPr>
        <w:t>. Our Charter provides for the division of our Board into three classes serving staggered three-year terms,</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with one class being elected each year. Our Charter also provides that directors may be removed only for cause and then only by the affirmative vote of the holders of 75% or more of the shares then entitled to vote at an election of directors. Furthermore, any vacancy on our Board, however occurring, including a vacancy resulting from an increase in the size of our Board, may only be filled by the affirmative vote of a majority of our directors then in office even if less than a quorum.</w:t>
      </w:r>
    </w:p>
    <w:p>
      <w:pPr>
        <w:spacing w:after="0" w:line="188" w:lineRule="exact"/>
        <w:rPr>
          <w:sz w:val="20"/>
          <w:szCs w:val="20"/>
          <w:color w:val="auto"/>
        </w:rPr>
      </w:pPr>
    </w:p>
    <w:p>
      <w:pPr>
        <w:ind w:left="4" w:right="480"/>
        <w:spacing w:after="0" w:line="277" w:lineRule="auto"/>
        <w:rPr>
          <w:sz w:val="20"/>
          <w:szCs w:val="20"/>
          <w:color w:val="auto"/>
        </w:rPr>
      </w:pPr>
      <w:r>
        <w:rPr>
          <w:rFonts w:ascii="Arial" w:cs="Arial" w:eastAsia="Arial" w:hAnsi="Arial"/>
          <w:sz w:val="18"/>
          <w:szCs w:val="18"/>
          <w:b w:val="1"/>
          <w:bCs w:val="1"/>
          <w:i w:val="1"/>
          <w:iCs w:val="1"/>
          <w:color w:val="auto"/>
        </w:rPr>
        <w:t>No Written Consent of Stockholders</w:t>
      </w:r>
      <w:r>
        <w:rPr>
          <w:rFonts w:ascii="Arial" w:cs="Arial" w:eastAsia="Arial" w:hAnsi="Arial"/>
          <w:sz w:val="18"/>
          <w:szCs w:val="18"/>
          <w:color w:val="auto"/>
        </w:rPr>
        <w:t>. Our Charter provides that all stockholder actions are required to be taken by a vote of the stockholders at an</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annual or special meeting, and that stockholders may not take any action by written consent in lieu of a meeting.</w:t>
      </w:r>
    </w:p>
    <w:p>
      <w:pPr>
        <w:spacing w:after="0" w:line="170" w:lineRule="exact"/>
        <w:rPr>
          <w:sz w:val="20"/>
          <w:szCs w:val="20"/>
          <w:color w:val="auto"/>
        </w:rPr>
      </w:pPr>
    </w:p>
    <w:p>
      <w:pPr>
        <w:ind w:left="4"/>
        <w:spacing w:after="0" w:line="311" w:lineRule="auto"/>
        <w:rPr>
          <w:sz w:val="20"/>
          <w:szCs w:val="20"/>
          <w:color w:val="auto"/>
        </w:rPr>
      </w:pPr>
      <w:r>
        <w:rPr>
          <w:rFonts w:ascii="Arial" w:cs="Arial" w:eastAsia="Arial" w:hAnsi="Arial"/>
          <w:sz w:val="16"/>
          <w:szCs w:val="16"/>
          <w:b w:val="1"/>
          <w:bCs w:val="1"/>
          <w:i w:val="1"/>
          <w:iCs w:val="1"/>
          <w:color w:val="auto"/>
        </w:rPr>
        <w:t>Meetings of Stockholders</w:t>
      </w:r>
      <w:r>
        <w:rPr>
          <w:rFonts w:ascii="Arial" w:cs="Arial" w:eastAsia="Arial" w:hAnsi="Arial"/>
          <w:sz w:val="16"/>
          <w:szCs w:val="16"/>
          <w:color w:val="auto"/>
        </w:rPr>
        <w:t>. Our Charter and Bylaws provide that only a majority of the members of our Board then in office may call special meetings of</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stockholders and only those matters set forth in the notice of the special meeting may be considered or acted upon at a special meeting of stockholders. Our Bylaws limit the business that may be conducted at an annual meeting of stockholders to those matters properly brought before the meeting.</w:t>
      </w:r>
    </w:p>
    <w:p>
      <w:pPr>
        <w:spacing w:after="0" w:line="149" w:lineRule="exact"/>
        <w:rPr>
          <w:sz w:val="20"/>
          <w:szCs w:val="20"/>
          <w:color w:val="auto"/>
        </w:rPr>
      </w:pPr>
    </w:p>
    <w:p>
      <w:pPr>
        <w:ind w:left="4" w:right="120"/>
        <w:spacing w:after="0" w:line="296" w:lineRule="auto"/>
        <w:rPr>
          <w:sz w:val="20"/>
          <w:szCs w:val="20"/>
          <w:color w:val="auto"/>
        </w:rPr>
      </w:pPr>
      <w:r>
        <w:rPr>
          <w:rFonts w:ascii="Arial" w:cs="Arial" w:eastAsia="Arial" w:hAnsi="Arial"/>
          <w:sz w:val="16"/>
          <w:szCs w:val="16"/>
          <w:b w:val="1"/>
          <w:bCs w:val="1"/>
          <w:i w:val="1"/>
          <w:iCs w:val="1"/>
          <w:color w:val="auto"/>
        </w:rPr>
        <w:t>Advance Notice Requirements</w:t>
      </w:r>
      <w:r>
        <w:rPr>
          <w:rFonts w:ascii="Arial" w:cs="Arial" w:eastAsia="Arial" w:hAnsi="Arial"/>
          <w:sz w:val="16"/>
          <w:szCs w:val="16"/>
          <w:color w:val="auto"/>
        </w:rPr>
        <w:t>. Our Bylaws establish advance notice procedures with regard to stockholder proposals relating to the nomination of</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candidates for election as directors or new business to be brought before meetings of our stockholders. These procedures provide that notice of stockholder proposals must be timely given in writing to our corporate secretary prior to the meeting at which the action is to be taken. Generally, to be timely, notice must be received at our principal executive offices not less than 90 days nor more than 120 days prior to the first anniversary date of the annual meeting for the preceding year. Our Bylaws specify the requirements as to form and content of all stockholders’ notices.</w:t>
      </w:r>
    </w:p>
    <w:p>
      <w:pPr>
        <w:spacing w:after="0" w:line="94" w:lineRule="exact"/>
        <w:rPr>
          <w:sz w:val="20"/>
          <w:szCs w:val="20"/>
          <w:color w:val="auto"/>
        </w:rPr>
      </w:pPr>
    </w:p>
    <w:p>
      <w:pPr>
        <w:jc w:val="center"/>
        <w:ind w:right="-23"/>
        <w:spacing w:after="0"/>
        <w:rPr>
          <w:sz w:val="20"/>
          <w:szCs w:val="20"/>
          <w:color w:val="auto"/>
        </w:rPr>
      </w:pPr>
      <w:r>
        <w:rPr>
          <w:rFonts w:ascii="Arial" w:cs="Arial" w:eastAsia="Arial" w:hAnsi="Arial"/>
          <w:sz w:val="18"/>
          <w:szCs w:val="18"/>
          <w:color w:val="auto"/>
        </w:rPr>
        <w:t>10</w:t>
      </w:r>
    </w:p>
    <w:p>
      <w:pPr>
        <w:sectPr>
          <w:pgSz w:w="11900" w:h="16838" w:orient="portrait"/>
          <w:cols w:equalWidth="0" w:num="1">
            <w:col w:w="11004"/>
          </w:cols>
          <w:pgMar w:left="436" w:top="274" w:right="459" w:bottom="1440" w:gutter="0" w:footer="0" w:header="0"/>
        </w:sectPr>
      </w:pPr>
    </w:p>
    <w:bookmarkStart w:id="15" w:name="page16"/>
    <w:bookmarkEnd w:id="15"/>
    <w:p>
      <w:pPr>
        <w:spacing w:after="0" w:line="270" w:lineRule="auto"/>
        <w:rPr>
          <w:sz w:val="20"/>
          <w:szCs w:val="20"/>
          <w:color w:val="auto"/>
        </w:rPr>
      </w:pPr>
      <w:r>
        <w:rPr>
          <w:rFonts w:ascii="Arial" w:cs="Arial" w:eastAsia="Arial" w:hAnsi="Arial"/>
          <w:sz w:val="17"/>
          <w:szCs w:val="17"/>
          <w:b w:val="1"/>
          <w:bCs w:val="1"/>
          <w:i w:val="1"/>
          <w:iCs w:val="1"/>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44">
                      <a:extLst>
                        <a:ext uri="{28A0092B-C50C-407E-A947-70E740481C1C}"/>
                      </a:extLst>
                    </a:blip>
                    <a:srcRect/>
                    <a:stretch>
                      <a:fillRect/>
                    </a:stretch>
                  </pic:blipFill>
                  <pic:spPr bwMode="auto">
                    <a:xfrm>
                      <a:off x="0" y="0"/>
                      <a:ext cx="7149465" cy="25400"/>
                    </a:xfrm>
                    <a:prstGeom prst="rect">
                      <a:avLst/>
                    </a:prstGeom>
                    <a:noFill/>
                  </pic:spPr>
                </pic:pic>
              </a:graphicData>
            </a:graphic>
          </wp:anchor>
        </w:drawing>
        <w:t>Amendment to Charter and Bylaws</w:t>
      </w:r>
      <w:r>
        <w:rPr>
          <w:rFonts w:ascii="Arial" w:cs="Arial" w:eastAsia="Arial" w:hAnsi="Arial"/>
          <w:sz w:val="17"/>
          <w:szCs w:val="17"/>
          <w:color w:val="auto"/>
        </w:rPr>
        <w:t>. As required by the DGCL, any amendment of our Charter must first be approved by a majority of our Board, and if</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required by law or our Charter, must thereafter be approved by a majority of the outstanding shares entitled to vote on the amendment and a majority of the outstanding shares of each class entitled to vote thereon as a class, except that the amendment of the provisions relating to stockholder action, board composition, limitation of liability and the amendment of our Charter must be approved by not less than 75% of the outstanding shares entitled to vote on the amendment, and not less than 75% of the outstanding shares of each class entitled to vote thereon as a class. Our Bylaws may be amended by the affirmative vote of a majority of the directors then in office, subject to any limitations set forth in the Bylaws; and may also be amended by the affirmative vote of at least 75% of the outstanding shares entitled to vote on the amendment, or, if our Board recommends that the stockholders approve the amendment, by the affirmative vote of the majority of the outstanding shares entitled to vote on the amendment, in each case voting together as a single class.</w:t>
      </w:r>
    </w:p>
    <w:p>
      <w:pPr>
        <w:spacing w:after="0" w:line="181" w:lineRule="exact"/>
        <w:rPr>
          <w:sz w:val="20"/>
          <w:szCs w:val="20"/>
          <w:color w:val="auto"/>
        </w:rPr>
      </w:pPr>
    </w:p>
    <w:p>
      <w:pPr>
        <w:ind w:right="100"/>
        <w:spacing w:after="0" w:line="301" w:lineRule="auto"/>
        <w:rPr>
          <w:sz w:val="20"/>
          <w:szCs w:val="20"/>
          <w:color w:val="auto"/>
        </w:rPr>
      </w:pPr>
      <w:r>
        <w:rPr>
          <w:rFonts w:ascii="Arial" w:cs="Arial" w:eastAsia="Arial" w:hAnsi="Arial"/>
          <w:sz w:val="16"/>
          <w:szCs w:val="16"/>
          <w:color w:val="auto"/>
        </w:rPr>
        <w:t>As a Delaware corporation, we are also subject to provisions of Delaware law, including Section 203 of the DGCL. In general, Section 203 prohibits a publicly held Delaware corporation from engaging in a “business combination” with an “interested stockholder” for a three-year period following the time that this stockholder becomes an interested stockholder, unless the business combination is approved in a prescribed manner. Under Section 203, a business combination between a corporation and an interested stockholder is prohibited unless it satisfies one of the following conditions:</w:t>
      </w:r>
    </w:p>
    <w:p>
      <w:pPr>
        <w:spacing w:after="0" w:line="63" w:lineRule="exact"/>
        <w:rPr>
          <w:sz w:val="20"/>
          <w:szCs w:val="20"/>
          <w:color w:val="auto"/>
        </w:rPr>
      </w:pPr>
    </w:p>
    <w:p>
      <w:pPr>
        <w:ind w:left="960" w:right="20" w:hanging="424"/>
        <w:spacing w:after="0" w:line="277" w:lineRule="auto"/>
        <w:tabs>
          <w:tab w:leader="none" w:pos="960" w:val="left"/>
        </w:tabs>
        <w:numPr>
          <w:ilvl w:val="0"/>
          <w:numId w:val="7"/>
        </w:numPr>
        <w:rPr>
          <w:rFonts w:ascii="Arial" w:cs="Arial" w:eastAsia="Arial" w:hAnsi="Arial"/>
          <w:sz w:val="18"/>
          <w:szCs w:val="18"/>
          <w:color w:val="auto"/>
        </w:rPr>
      </w:pPr>
      <w:r>
        <w:rPr>
          <w:rFonts w:ascii="Arial" w:cs="Arial" w:eastAsia="Arial" w:hAnsi="Arial"/>
          <w:sz w:val="18"/>
          <w:szCs w:val="18"/>
          <w:color w:val="auto"/>
        </w:rPr>
        <w:t>before the stockholder became interested, the board of directors approved either the business combination or the transaction which resulted in the stockholder becoming an interested stockholder;</w:t>
      </w:r>
    </w:p>
    <w:p>
      <w:pPr>
        <w:spacing w:after="0" w:line="75" w:lineRule="exact"/>
        <w:rPr>
          <w:rFonts w:ascii="Arial" w:cs="Arial" w:eastAsia="Arial" w:hAnsi="Arial"/>
          <w:sz w:val="18"/>
          <w:szCs w:val="18"/>
          <w:color w:val="auto"/>
        </w:rPr>
      </w:pPr>
    </w:p>
    <w:p>
      <w:pPr>
        <w:ind w:left="960" w:right="80" w:hanging="424"/>
        <w:spacing w:after="0" w:line="279" w:lineRule="auto"/>
        <w:tabs>
          <w:tab w:leader="none" w:pos="960" w:val="left"/>
        </w:tabs>
        <w:numPr>
          <w:ilvl w:val="0"/>
          <w:numId w:val="7"/>
        </w:numPr>
        <w:rPr>
          <w:rFonts w:ascii="Arial" w:cs="Arial" w:eastAsia="Arial" w:hAnsi="Arial"/>
          <w:sz w:val="17"/>
          <w:szCs w:val="17"/>
          <w:color w:val="auto"/>
        </w:rPr>
      </w:pPr>
      <w:r>
        <w:rPr>
          <w:rFonts w:ascii="Arial" w:cs="Arial" w:eastAsia="Arial" w:hAnsi="Arial"/>
          <w:sz w:val="17"/>
          <w:szCs w:val="17"/>
          <w:color w:val="auto"/>
        </w:rPr>
        <w:t>upon consummation of the transaction which resulted in the stockholder becoming an interested stockholder, the interested stockholder owned at least 85% of the voting stock of the corporation outstanding at the time the transaction commenced, excluding for purposes of determining the voting stock outstanding, shares owned by persons who are directors and also officers, and employee stock plans, in some instances, but not the outstanding voting stock owned by the interested stockholder; or</w:t>
      </w:r>
    </w:p>
    <w:p>
      <w:pPr>
        <w:spacing w:after="0" w:line="76" w:lineRule="exact"/>
        <w:rPr>
          <w:rFonts w:ascii="Arial" w:cs="Arial" w:eastAsia="Arial" w:hAnsi="Arial"/>
          <w:sz w:val="17"/>
          <w:szCs w:val="17"/>
          <w:color w:val="auto"/>
        </w:rPr>
      </w:pPr>
    </w:p>
    <w:p>
      <w:pPr>
        <w:jc w:val="both"/>
        <w:ind w:left="960" w:right="140" w:hanging="424"/>
        <w:spacing w:after="0" w:line="263" w:lineRule="auto"/>
        <w:tabs>
          <w:tab w:leader="none" w:pos="960" w:val="left"/>
        </w:tabs>
        <w:numPr>
          <w:ilvl w:val="0"/>
          <w:numId w:val="7"/>
        </w:numPr>
        <w:rPr>
          <w:rFonts w:ascii="Arial" w:cs="Arial" w:eastAsia="Arial" w:hAnsi="Arial"/>
          <w:sz w:val="18"/>
          <w:szCs w:val="18"/>
          <w:color w:val="auto"/>
        </w:rPr>
      </w:pPr>
      <w:r>
        <w:rPr>
          <w:rFonts w:ascii="Arial" w:cs="Arial" w:eastAsia="Arial" w:hAnsi="Arial"/>
          <w:sz w:val="18"/>
          <w:szCs w:val="18"/>
          <w:color w:val="auto"/>
        </w:rPr>
        <w:t>at or after the time the stockholder became interested, the business combination was approved by the board of directors and authorized at an annual or special meeting of the stockholders by the affirmative vote of at least two-thirds of the outstanding voting stock which is not owned by the interested stockholder.</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color w:val="auto"/>
        </w:rPr>
        <w:t>Section 203 defines a business combination to include:</w:t>
      </w:r>
    </w:p>
    <w:p>
      <w:pPr>
        <w:spacing w:after="0" w:line="131" w:lineRule="exact"/>
        <w:rPr>
          <w:sz w:val="20"/>
          <w:szCs w:val="20"/>
          <w:color w:val="auto"/>
        </w:rPr>
      </w:pPr>
    </w:p>
    <w:p>
      <w:pPr>
        <w:ind w:left="960" w:hanging="424"/>
        <w:spacing w:after="0"/>
        <w:tabs>
          <w:tab w:leader="none" w:pos="960" w:val="left"/>
        </w:tabs>
        <w:numPr>
          <w:ilvl w:val="0"/>
          <w:numId w:val="8"/>
        </w:numPr>
        <w:rPr>
          <w:rFonts w:ascii="Arial" w:cs="Arial" w:eastAsia="Arial" w:hAnsi="Arial"/>
          <w:sz w:val="18"/>
          <w:szCs w:val="18"/>
          <w:color w:val="auto"/>
        </w:rPr>
      </w:pPr>
      <w:r>
        <w:rPr>
          <w:rFonts w:ascii="Arial" w:cs="Arial" w:eastAsia="Arial" w:hAnsi="Arial"/>
          <w:sz w:val="18"/>
          <w:szCs w:val="18"/>
          <w:color w:val="auto"/>
        </w:rPr>
        <w:t>any merger or consolidation involving the corporation and the interested stockholder;</w:t>
      </w:r>
    </w:p>
    <w:p>
      <w:pPr>
        <w:spacing w:after="0" w:line="130" w:lineRule="exact"/>
        <w:rPr>
          <w:rFonts w:ascii="Arial" w:cs="Arial" w:eastAsia="Arial" w:hAnsi="Arial"/>
          <w:sz w:val="18"/>
          <w:szCs w:val="18"/>
          <w:color w:val="auto"/>
        </w:rPr>
      </w:pPr>
    </w:p>
    <w:p>
      <w:pPr>
        <w:ind w:left="960" w:right="280" w:hanging="424"/>
        <w:spacing w:after="0" w:line="277" w:lineRule="auto"/>
        <w:tabs>
          <w:tab w:leader="none" w:pos="960" w:val="left"/>
        </w:tabs>
        <w:numPr>
          <w:ilvl w:val="0"/>
          <w:numId w:val="8"/>
        </w:numPr>
        <w:rPr>
          <w:rFonts w:ascii="Arial" w:cs="Arial" w:eastAsia="Arial" w:hAnsi="Arial"/>
          <w:sz w:val="18"/>
          <w:szCs w:val="18"/>
          <w:color w:val="auto"/>
        </w:rPr>
      </w:pPr>
      <w:r>
        <w:rPr>
          <w:rFonts w:ascii="Arial" w:cs="Arial" w:eastAsia="Arial" w:hAnsi="Arial"/>
          <w:sz w:val="18"/>
          <w:szCs w:val="18"/>
          <w:color w:val="auto"/>
        </w:rPr>
        <w:t>any sale, transfer, lease, pledge or other disposition involving the interested stockholder of 10% or more of the assets of the corporation any conflicts or violations of each party’s agreements as a result of the merger or the merger agreement;</w:t>
      </w:r>
    </w:p>
    <w:p>
      <w:pPr>
        <w:spacing w:after="0" w:line="75" w:lineRule="exact"/>
        <w:rPr>
          <w:rFonts w:ascii="Arial" w:cs="Arial" w:eastAsia="Arial" w:hAnsi="Arial"/>
          <w:sz w:val="18"/>
          <w:szCs w:val="18"/>
          <w:color w:val="auto"/>
        </w:rPr>
      </w:pPr>
    </w:p>
    <w:p>
      <w:pPr>
        <w:ind w:left="960" w:right="540" w:hanging="424"/>
        <w:spacing w:after="0" w:line="277" w:lineRule="auto"/>
        <w:tabs>
          <w:tab w:leader="none" w:pos="960" w:val="left"/>
        </w:tabs>
        <w:numPr>
          <w:ilvl w:val="0"/>
          <w:numId w:val="8"/>
        </w:numPr>
        <w:rPr>
          <w:rFonts w:ascii="Arial" w:cs="Arial" w:eastAsia="Arial" w:hAnsi="Arial"/>
          <w:sz w:val="18"/>
          <w:szCs w:val="18"/>
          <w:color w:val="auto"/>
        </w:rPr>
      </w:pPr>
      <w:r>
        <w:rPr>
          <w:rFonts w:ascii="Arial" w:cs="Arial" w:eastAsia="Arial" w:hAnsi="Arial"/>
          <w:sz w:val="18"/>
          <w:szCs w:val="18"/>
          <w:color w:val="auto"/>
        </w:rPr>
        <w:t>subject to exceptions, any transaction that results in the issuance or transfer by the corporation of any stock of the corporation to the interested stockholder;</w:t>
      </w:r>
    </w:p>
    <w:p>
      <w:pPr>
        <w:spacing w:after="0" w:line="75" w:lineRule="exact"/>
        <w:rPr>
          <w:rFonts w:ascii="Arial" w:cs="Arial" w:eastAsia="Arial" w:hAnsi="Arial"/>
          <w:sz w:val="18"/>
          <w:szCs w:val="18"/>
          <w:color w:val="auto"/>
        </w:rPr>
      </w:pPr>
    </w:p>
    <w:p>
      <w:pPr>
        <w:ind w:left="960" w:right="260" w:hanging="424"/>
        <w:spacing w:after="0" w:line="277" w:lineRule="auto"/>
        <w:tabs>
          <w:tab w:leader="none" w:pos="960" w:val="left"/>
        </w:tabs>
        <w:numPr>
          <w:ilvl w:val="0"/>
          <w:numId w:val="8"/>
        </w:numPr>
        <w:rPr>
          <w:rFonts w:ascii="Arial" w:cs="Arial" w:eastAsia="Arial" w:hAnsi="Arial"/>
          <w:sz w:val="18"/>
          <w:szCs w:val="18"/>
          <w:color w:val="auto"/>
        </w:rPr>
      </w:pPr>
      <w:r>
        <w:rPr>
          <w:rFonts w:ascii="Arial" w:cs="Arial" w:eastAsia="Arial" w:hAnsi="Arial"/>
          <w:sz w:val="18"/>
          <w:szCs w:val="18"/>
          <w:color w:val="auto"/>
        </w:rPr>
        <w:t>subject to exceptions, any transaction involving the corporation that has the effect of increasing the proportionate share of the interested stockholder; and</w:t>
      </w:r>
    </w:p>
    <w:p>
      <w:pPr>
        <w:spacing w:after="0" w:line="75" w:lineRule="exact"/>
        <w:rPr>
          <w:rFonts w:ascii="Arial" w:cs="Arial" w:eastAsia="Arial" w:hAnsi="Arial"/>
          <w:sz w:val="18"/>
          <w:szCs w:val="18"/>
          <w:color w:val="auto"/>
        </w:rPr>
      </w:pPr>
    </w:p>
    <w:p>
      <w:pPr>
        <w:ind w:left="960" w:right="180" w:hanging="424"/>
        <w:spacing w:after="0" w:line="277" w:lineRule="auto"/>
        <w:tabs>
          <w:tab w:leader="none" w:pos="960" w:val="left"/>
        </w:tabs>
        <w:numPr>
          <w:ilvl w:val="0"/>
          <w:numId w:val="8"/>
        </w:numPr>
        <w:rPr>
          <w:rFonts w:ascii="Arial" w:cs="Arial" w:eastAsia="Arial" w:hAnsi="Arial"/>
          <w:sz w:val="18"/>
          <w:szCs w:val="18"/>
          <w:color w:val="auto"/>
        </w:rPr>
      </w:pPr>
      <w:r>
        <w:rPr>
          <w:rFonts w:ascii="Arial" w:cs="Arial" w:eastAsia="Arial" w:hAnsi="Arial"/>
          <w:sz w:val="18"/>
          <w:szCs w:val="18"/>
          <w:color w:val="auto"/>
        </w:rPr>
        <w:t>the receipt by the interested stockholder of the benefit of any loans, advances, guarantees, pledges or other financial benefits provided by or through the corporation.</w:t>
      </w:r>
    </w:p>
    <w:p>
      <w:pPr>
        <w:spacing w:after="0" w:line="170" w:lineRule="exact"/>
        <w:rPr>
          <w:sz w:val="20"/>
          <w:szCs w:val="20"/>
          <w:color w:val="auto"/>
        </w:rPr>
      </w:pPr>
    </w:p>
    <w:p>
      <w:pPr>
        <w:ind w:right="60"/>
        <w:spacing w:after="0" w:line="277" w:lineRule="auto"/>
        <w:rPr>
          <w:sz w:val="20"/>
          <w:szCs w:val="20"/>
          <w:color w:val="auto"/>
        </w:rPr>
      </w:pPr>
      <w:r>
        <w:rPr>
          <w:rFonts w:ascii="Arial" w:cs="Arial" w:eastAsia="Arial" w:hAnsi="Arial"/>
          <w:sz w:val="18"/>
          <w:szCs w:val="18"/>
          <w:color w:val="auto"/>
        </w:rPr>
        <w:t>In general, Section 203 defines an interested stockholder as any entity or person beneficially owning 15% or more of the outstanding voting stock of the corporation and any entity or person affiliated with or controlling or controlled by the entity or person.</w:t>
      </w:r>
    </w:p>
    <w:p>
      <w:pPr>
        <w:spacing w:after="0" w:line="170" w:lineRule="exact"/>
        <w:rPr>
          <w:sz w:val="20"/>
          <w:szCs w:val="20"/>
          <w:color w:val="auto"/>
        </w:rPr>
      </w:pPr>
    </w:p>
    <w:p>
      <w:pPr>
        <w:ind w:right="40"/>
        <w:spacing w:after="0" w:line="259" w:lineRule="auto"/>
        <w:rPr>
          <w:sz w:val="20"/>
          <w:szCs w:val="20"/>
          <w:color w:val="auto"/>
        </w:rPr>
      </w:pPr>
      <w:r>
        <w:rPr>
          <w:rFonts w:ascii="Arial" w:cs="Arial" w:eastAsia="Arial" w:hAnsi="Arial"/>
          <w:sz w:val="18"/>
          <w:szCs w:val="18"/>
          <w:b w:val="1"/>
          <w:bCs w:val="1"/>
          <w:i w:val="1"/>
          <w:iCs w:val="1"/>
          <w:color w:val="auto"/>
        </w:rPr>
        <w:t>Exclusive Jurisdiction of Certain Actions</w:t>
      </w:r>
      <w:r>
        <w:rPr>
          <w:rFonts w:ascii="Arial" w:cs="Arial" w:eastAsia="Arial" w:hAnsi="Arial"/>
          <w:sz w:val="18"/>
          <w:szCs w:val="18"/>
          <w:color w:val="auto"/>
        </w:rPr>
        <w:t>. Our Charter provides that, unless we consent in writing to the selection of an alternative forum, the Court of</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Chancery of the State of Delaware shall be the sole and exclusive forum for (i) any derivative action or proceeding brought on our behalf, (ii) any action asserting a claim of breach of a fiduciary duty owed by any of our directors, officers or other employees to us or our stockholders, (iii) any action asserting a claim</w:t>
      </w:r>
    </w:p>
    <w:p>
      <w:pPr>
        <w:spacing w:after="0" w:line="11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11</w:t>
      </w:r>
    </w:p>
    <w:p>
      <w:pPr>
        <w:sectPr>
          <w:pgSz w:w="11900" w:h="16838" w:orient="portrait"/>
          <w:cols w:equalWidth="0" w:num="1">
            <w:col w:w="11000"/>
          </w:cols>
          <w:pgMar w:left="440" w:top="274" w:right="459" w:bottom="1440" w:gutter="0" w:footer="0" w:header="0"/>
        </w:sectPr>
      </w:pPr>
    </w:p>
    <w:bookmarkStart w:id="16" w:name="page17"/>
    <w:bookmarkEnd w:id="16"/>
    <w:p>
      <w:pPr>
        <w:spacing w:after="0" w:line="255"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45">
                      <a:extLst>
                        <a:ext uri="{28A0092B-C50C-407E-A947-70E740481C1C}"/>
                      </a:extLst>
                    </a:blip>
                    <a:srcRect/>
                    <a:stretch>
                      <a:fillRect/>
                    </a:stretch>
                  </pic:blipFill>
                  <pic:spPr bwMode="auto">
                    <a:xfrm>
                      <a:off x="0" y="0"/>
                      <a:ext cx="7149465" cy="25400"/>
                    </a:xfrm>
                    <a:prstGeom prst="rect">
                      <a:avLst/>
                    </a:prstGeom>
                    <a:noFill/>
                  </pic:spPr>
                </pic:pic>
              </a:graphicData>
            </a:graphic>
          </wp:anchor>
        </w:drawing>
        <w:t>arising pursuant to any provision of the Delaware General Corporation Law, our Charter or our Bylaws, or (iv) any action asserting a claim against us governed by the internal affairs doctrine. This provision does not apply to claims arising under the Exchange Act or the Securities Act. Although we believe this provision benefits us by providing increased consistency in the application of Delaware law in the types of lawsuits to which it applies, the provision may have the effect of discouraging lawsuits against our directors and officers. The enforceability of similar exclusive forum provisions in other companies’ certificates of incorporation has been challenged in legal proceedings, and it is possible that a court could rule that this provision in our Charter is inapplicable or unenforceable.</w:t>
      </w:r>
    </w:p>
    <w:p>
      <w:pPr>
        <w:spacing w:after="0" w:line="1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12</w:t>
      </w:r>
    </w:p>
    <w:p>
      <w:pPr>
        <w:sectPr>
          <w:pgSz w:w="11900" w:h="16838" w:orient="portrait"/>
          <w:cols w:equalWidth="0" w:num="1">
            <w:col w:w="11000"/>
          </w:cols>
          <w:pgMar w:left="440" w:top="274" w:right="459" w:bottom="1440" w:gutter="0" w:footer="0" w:header="0"/>
        </w:sectPr>
      </w:pPr>
    </w:p>
    <w:bookmarkStart w:id="17" w:name="page18"/>
    <w:bookmarkEnd w:id="17"/>
    <w:p>
      <w:pPr>
        <w:jc w:val="cente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46">
                      <a:extLst>
                        <a:ext uri="{28A0092B-C50C-407E-A947-70E740481C1C}"/>
                      </a:extLst>
                    </a:blip>
                    <a:srcRect/>
                    <a:stretch>
                      <a:fillRect/>
                    </a:stretch>
                  </pic:blipFill>
                  <pic:spPr bwMode="auto">
                    <a:xfrm>
                      <a:off x="0" y="0"/>
                      <a:ext cx="7149465" cy="25400"/>
                    </a:xfrm>
                    <a:prstGeom prst="rect">
                      <a:avLst/>
                    </a:prstGeom>
                    <a:noFill/>
                  </pic:spPr>
                </pic:pic>
              </a:graphicData>
            </a:graphic>
          </wp:anchor>
        </w:drawing>
        <w:t>DESCRIPTION OF DEBT SECURITIES</w:t>
      </w:r>
    </w:p>
    <w:p>
      <w:pPr>
        <w:spacing w:after="0" w:line="229" w:lineRule="exact"/>
        <w:rPr>
          <w:sz w:val="20"/>
          <w:szCs w:val="20"/>
          <w:color w:val="auto"/>
        </w:rPr>
      </w:pPr>
    </w:p>
    <w:p>
      <w:pPr>
        <w:ind w:right="100"/>
        <w:spacing w:after="0" w:line="279" w:lineRule="auto"/>
        <w:rPr>
          <w:sz w:val="20"/>
          <w:szCs w:val="20"/>
          <w:color w:val="auto"/>
        </w:rPr>
      </w:pPr>
      <w:r>
        <w:rPr>
          <w:rFonts w:ascii="Arial" w:cs="Arial" w:eastAsia="Arial" w:hAnsi="Arial"/>
          <w:sz w:val="17"/>
          <w:szCs w:val="17"/>
          <w:color w:val="auto"/>
        </w:rPr>
        <w:t>The following description, together with the additional information we include in any applicable prospectus supplement or free writing prospectus, summarizes certain general terms and provisions of the debt securities that we may offer under this prospectus. When we offer to sell a particular series of debt securities, we will describe the specific terms of the series in a supplement to this prospectus. We will also indicate in the supplement to what extent the general terms and provisions described in this prospectus apply to a particular series of debt securities.</w:t>
      </w:r>
    </w:p>
    <w:p>
      <w:pPr>
        <w:spacing w:after="0" w:line="171" w:lineRule="exact"/>
        <w:rPr>
          <w:sz w:val="20"/>
          <w:szCs w:val="20"/>
          <w:color w:val="auto"/>
        </w:rPr>
      </w:pPr>
    </w:p>
    <w:p>
      <w:pPr>
        <w:jc w:val="both"/>
        <w:ind w:right="260"/>
        <w:spacing w:after="0" w:line="311" w:lineRule="auto"/>
        <w:rPr>
          <w:sz w:val="20"/>
          <w:szCs w:val="20"/>
          <w:color w:val="auto"/>
        </w:rPr>
      </w:pPr>
      <w:r>
        <w:rPr>
          <w:rFonts w:ascii="Arial" w:cs="Arial" w:eastAsia="Arial" w:hAnsi="Arial"/>
          <w:sz w:val="16"/>
          <w:szCs w:val="16"/>
          <w:color w:val="auto"/>
        </w:rPr>
        <w:t>We may issue debt securities either separately, or together with, or upon the conversion or exercise of or in exchange for, other securities described in this prospectus. Debt securities may be our senior, senior subordinated or subordinated obligations and, unless otherwise specified in a supplement to this prospectus, the debt securities will be our direct, unsecured obligations and may be issued in one or more series.</w:t>
      </w:r>
    </w:p>
    <w:p>
      <w:pPr>
        <w:spacing w:after="0" w:line="149" w:lineRule="exact"/>
        <w:rPr>
          <w:sz w:val="20"/>
          <w:szCs w:val="20"/>
          <w:color w:val="auto"/>
        </w:rPr>
      </w:pPr>
    </w:p>
    <w:p>
      <w:pPr>
        <w:spacing w:after="0" w:line="301" w:lineRule="auto"/>
        <w:rPr>
          <w:sz w:val="20"/>
          <w:szCs w:val="20"/>
          <w:color w:val="auto"/>
        </w:rPr>
      </w:pPr>
      <w:r>
        <w:rPr>
          <w:rFonts w:ascii="Arial" w:cs="Arial" w:eastAsia="Arial" w:hAnsi="Arial"/>
          <w:sz w:val="16"/>
          <w:szCs w:val="16"/>
          <w:color w:val="auto"/>
        </w:rPr>
        <w:t>The debt securities will be issued under an indenture between us and a third party to be identified therein. We have summarized select portions of the indenture below. The summary is not complete. The form of the indenture has been filed as an exhibit to the registration statement and you should read the indenture for provisions that may be important to you. In the summary below, we have included references to the section numbers of the indenture so that you can easily locate these provisions. Capitalized terms used in the summary and not defined herein have the meanings specified in the indenture.</w:t>
      </w:r>
    </w:p>
    <w:p>
      <w:pPr>
        <w:spacing w:after="0" w:line="157" w:lineRule="exact"/>
        <w:rPr>
          <w:sz w:val="20"/>
          <w:szCs w:val="20"/>
          <w:color w:val="auto"/>
        </w:rPr>
      </w:pPr>
    </w:p>
    <w:p>
      <w:pPr>
        <w:ind w:right="40"/>
        <w:spacing w:after="0" w:line="277" w:lineRule="auto"/>
        <w:rPr>
          <w:sz w:val="20"/>
          <w:szCs w:val="20"/>
          <w:color w:val="auto"/>
        </w:rPr>
      </w:pPr>
      <w:r>
        <w:rPr>
          <w:rFonts w:ascii="Arial" w:cs="Arial" w:eastAsia="Arial" w:hAnsi="Arial"/>
          <w:sz w:val="18"/>
          <w:szCs w:val="18"/>
          <w:color w:val="auto"/>
        </w:rPr>
        <w:t>As used in this section only, “Larimar,” “we,” “our” or “us” refer to Larimar Therapeutics, Inc. excluding our subsidiaries, unless expressly stated or the context otherwise requires.</w:t>
      </w:r>
    </w:p>
    <w:p>
      <w:pPr>
        <w:spacing w:after="0" w:line="27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General</w:t>
      </w:r>
    </w:p>
    <w:p>
      <w:pPr>
        <w:spacing w:after="0" w:line="121" w:lineRule="exact"/>
        <w:rPr>
          <w:sz w:val="20"/>
          <w:szCs w:val="20"/>
          <w:color w:val="auto"/>
        </w:rPr>
      </w:pPr>
    </w:p>
    <w:p>
      <w:pPr>
        <w:ind w:right="60"/>
        <w:spacing w:after="0" w:line="311" w:lineRule="auto"/>
        <w:rPr>
          <w:sz w:val="20"/>
          <w:szCs w:val="20"/>
          <w:color w:val="auto"/>
        </w:rPr>
      </w:pPr>
      <w:r>
        <w:rPr>
          <w:rFonts w:ascii="Arial" w:cs="Arial" w:eastAsia="Arial" w:hAnsi="Arial"/>
          <w:sz w:val="16"/>
          <w:szCs w:val="16"/>
          <w:color w:val="auto"/>
        </w:rPr>
        <w:t>The terms of each series of debt securities will be established by or pursuant to a resolution of our board of directors and set forth or determined in the manner provided in a resolution of our board of directors, in an officer’s certificate or by a supplemental indenture. (Section 2.2) The particular terms of each series of debt securities will be described in a prospectus supplement relating to such series (including any pricing supplement or term sheet).</w:t>
      </w:r>
    </w:p>
    <w:p>
      <w:pPr>
        <w:spacing w:after="0" w:line="149" w:lineRule="exact"/>
        <w:rPr>
          <w:sz w:val="20"/>
          <w:szCs w:val="20"/>
          <w:color w:val="auto"/>
        </w:rPr>
      </w:pPr>
    </w:p>
    <w:p>
      <w:pPr>
        <w:jc w:val="both"/>
        <w:ind w:right="100"/>
        <w:spacing w:after="0" w:line="286" w:lineRule="auto"/>
        <w:rPr>
          <w:sz w:val="20"/>
          <w:szCs w:val="20"/>
          <w:color w:val="auto"/>
        </w:rPr>
      </w:pPr>
      <w:r>
        <w:rPr>
          <w:rFonts w:ascii="Arial" w:cs="Arial" w:eastAsia="Arial" w:hAnsi="Arial"/>
          <w:sz w:val="17"/>
          <w:szCs w:val="17"/>
          <w:color w:val="auto"/>
        </w:rPr>
        <w:t>We can issue an unlimited amount of debt securities under the indenture that may be in one or more series with the same or various maturities, at par, at a premium, or at a discount. (Section 2.1) We will set forth in a prospectus supplement (including any pricing supplement or term sheet) relating to any series of debt securities being offered, the aggregate principal amount and the following terms of the debt securities, if applicable:</w:t>
      </w:r>
    </w:p>
    <w:p>
      <w:pPr>
        <w:spacing w:after="0" w:line="71" w:lineRule="exact"/>
        <w:rPr>
          <w:sz w:val="20"/>
          <w:szCs w:val="20"/>
          <w:color w:val="auto"/>
        </w:rPr>
      </w:pPr>
    </w:p>
    <w:p>
      <w:pPr>
        <w:ind w:left="960" w:hanging="424"/>
        <w:spacing w:after="0"/>
        <w:tabs>
          <w:tab w:leader="none" w:pos="960" w:val="left"/>
        </w:tabs>
        <w:numPr>
          <w:ilvl w:val="0"/>
          <w:numId w:val="9"/>
        </w:numPr>
        <w:rPr>
          <w:rFonts w:ascii="Arial" w:cs="Arial" w:eastAsia="Arial" w:hAnsi="Arial"/>
          <w:sz w:val="18"/>
          <w:szCs w:val="18"/>
          <w:color w:val="auto"/>
        </w:rPr>
      </w:pPr>
      <w:r>
        <w:rPr>
          <w:rFonts w:ascii="Arial" w:cs="Arial" w:eastAsia="Arial" w:hAnsi="Arial"/>
          <w:sz w:val="18"/>
          <w:szCs w:val="18"/>
          <w:color w:val="auto"/>
        </w:rPr>
        <w:t>the title and ranking of the debt securities (including the terms of any subordination provisions);</w:t>
      </w:r>
    </w:p>
    <w:p>
      <w:pPr>
        <w:spacing w:after="0" w:line="130" w:lineRule="exact"/>
        <w:rPr>
          <w:rFonts w:ascii="Arial" w:cs="Arial" w:eastAsia="Arial" w:hAnsi="Arial"/>
          <w:sz w:val="18"/>
          <w:szCs w:val="18"/>
          <w:color w:val="auto"/>
        </w:rPr>
      </w:pPr>
    </w:p>
    <w:p>
      <w:pPr>
        <w:ind w:left="960" w:hanging="424"/>
        <w:spacing w:after="0"/>
        <w:tabs>
          <w:tab w:leader="none" w:pos="960" w:val="left"/>
        </w:tabs>
        <w:numPr>
          <w:ilvl w:val="0"/>
          <w:numId w:val="9"/>
        </w:numPr>
        <w:rPr>
          <w:rFonts w:ascii="Arial" w:cs="Arial" w:eastAsia="Arial" w:hAnsi="Arial"/>
          <w:sz w:val="18"/>
          <w:szCs w:val="18"/>
          <w:color w:val="auto"/>
        </w:rPr>
      </w:pPr>
      <w:r>
        <w:rPr>
          <w:rFonts w:ascii="Arial" w:cs="Arial" w:eastAsia="Arial" w:hAnsi="Arial"/>
          <w:sz w:val="18"/>
          <w:szCs w:val="18"/>
          <w:color w:val="auto"/>
        </w:rPr>
        <w:t>the price or prices (expressed as a percentage of the principal amount) at which we will sell the debt securities;</w:t>
      </w:r>
    </w:p>
    <w:p>
      <w:pPr>
        <w:spacing w:after="0" w:line="130" w:lineRule="exact"/>
        <w:rPr>
          <w:rFonts w:ascii="Arial" w:cs="Arial" w:eastAsia="Arial" w:hAnsi="Arial"/>
          <w:sz w:val="18"/>
          <w:szCs w:val="18"/>
          <w:color w:val="auto"/>
        </w:rPr>
      </w:pPr>
    </w:p>
    <w:p>
      <w:pPr>
        <w:ind w:left="960" w:hanging="424"/>
        <w:spacing w:after="0"/>
        <w:tabs>
          <w:tab w:leader="none" w:pos="960" w:val="left"/>
        </w:tabs>
        <w:numPr>
          <w:ilvl w:val="0"/>
          <w:numId w:val="9"/>
        </w:numPr>
        <w:rPr>
          <w:rFonts w:ascii="Arial" w:cs="Arial" w:eastAsia="Arial" w:hAnsi="Arial"/>
          <w:sz w:val="18"/>
          <w:szCs w:val="18"/>
          <w:color w:val="auto"/>
        </w:rPr>
      </w:pPr>
      <w:r>
        <w:rPr>
          <w:rFonts w:ascii="Arial" w:cs="Arial" w:eastAsia="Arial" w:hAnsi="Arial"/>
          <w:sz w:val="18"/>
          <w:szCs w:val="18"/>
          <w:color w:val="auto"/>
        </w:rPr>
        <w:t>any limit on the aggregate principal amount of the debt securities;</w:t>
      </w:r>
    </w:p>
    <w:p>
      <w:pPr>
        <w:spacing w:after="0" w:line="130" w:lineRule="exact"/>
        <w:rPr>
          <w:rFonts w:ascii="Arial" w:cs="Arial" w:eastAsia="Arial" w:hAnsi="Arial"/>
          <w:sz w:val="18"/>
          <w:szCs w:val="18"/>
          <w:color w:val="auto"/>
        </w:rPr>
      </w:pPr>
    </w:p>
    <w:p>
      <w:pPr>
        <w:ind w:left="960" w:hanging="424"/>
        <w:spacing w:after="0"/>
        <w:tabs>
          <w:tab w:leader="none" w:pos="960" w:val="left"/>
        </w:tabs>
        <w:numPr>
          <w:ilvl w:val="0"/>
          <w:numId w:val="9"/>
        </w:numPr>
        <w:rPr>
          <w:rFonts w:ascii="Arial" w:cs="Arial" w:eastAsia="Arial" w:hAnsi="Arial"/>
          <w:sz w:val="18"/>
          <w:szCs w:val="18"/>
          <w:color w:val="auto"/>
        </w:rPr>
      </w:pPr>
      <w:r>
        <w:rPr>
          <w:rFonts w:ascii="Arial" w:cs="Arial" w:eastAsia="Arial" w:hAnsi="Arial"/>
          <w:sz w:val="18"/>
          <w:szCs w:val="18"/>
          <w:color w:val="auto"/>
        </w:rPr>
        <w:t>the date or dates on which the principal of the securities of the series is payable;</w:t>
      </w:r>
    </w:p>
    <w:p>
      <w:pPr>
        <w:spacing w:after="0" w:line="130" w:lineRule="exact"/>
        <w:rPr>
          <w:rFonts w:ascii="Arial" w:cs="Arial" w:eastAsia="Arial" w:hAnsi="Arial"/>
          <w:sz w:val="18"/>
          <w:szCs w:val="18"/>
          <w:color w:val="auto"/>
        </w:rPr>
      </w:pPr>
    </w:p>
    <w:p>
      <w:pPr>
        <w:ind w:left="960" w:right="120" w:hanging="424"/>
        <w:spacing w:after="0" w:line="259" w:lineRule="auto"/>
        <w:tabs>
          <w:tab w:leader="none" w:pos="960" w:val="left"/>
        </w:tabs>
        <w:numPr>
          <w:ilvl w:val="0"/>
          <w:numId w:val="9"/>
        </w:numPr>
        <w:rPr>
          <w:rFonts w:ascii="Arial" w:cs="Arial" w:eastAsia="Arial" w:hAnsi="Arial"/>
          <w:sz w:val="18"/>
          <w:szCs w:val="18"/>
          <w:color w:val="auto"/>
        </w:rPr>
      </w:pPr>
      <w:r>
        <w:rPr>
          <w:rFonts w:ascii="Arial" w:cs="Arial" w:eastAsia="Arial" w:hAnsi="Arial"/>
          <w:sz w:val="18"/>
          <w:szCs w:val="18"/>
          <w:color w:val="auto"/>
        </w:rPr>
        <w:t>the rate or rates (which may be fixed or variable) per annum or the method used to determine the rate or rates (including any commodity, commodity index, stock exchange index or financial index) at which the debt securities will bear interest, the date or dates from which interest will accrue, the date or dates on which interest will commence and be payable and any regular record date for the interest payable on any interest payment date;</w:t>
      </w:r>
    </w:p>
    <w:p>
      <w:pPr>
        <w:spacing w:after="0" w:line="92" w:lineRule="exact"/>
        <w:rPr>
          <w:rFonts w:ascii="Arial" w:cs="Arial" w:eastAsia="Arial" w:hAnsi="Arial"/>
          <w:sz w:val="18"/>
          <w:szCs w:val="18"/>
          <w:color w:val="auto"/>
        </w:rPr>
      </w:pPr>
    </w:p>
    <w:p>
      <w:pPr>
        <w:jc w:val="both"/>
        <w:ind w:left="960" w:right="60" w:hanging="424"/>
        <w:spacing w:after="0" w:line="263" w:lineRule="auto"/>
        <w:tabs>
          <w:tab w:leader="none" w:pos="960" w:val="left"/>
        </w:tabs>
        <w:numPr>
          <w:ilvl w:val="0"/>
          <w:numId w:val="9"/>
        </w:numPr>
        <w:rPr>
          <w:rFonts w:ascii="Arial" w:cs="Arial" w:eastAsia="Arial" w:hAnsi="Arial"/>
          <w:sz w:val="18"/>
          <w:szCs w:val="18"/>
          <w:color w:val="auto"/>
        </w:rPr>
      </w:pPr>
      <w:r>
        <w:rPr>
          <w:rFonts w:ascii="Arial" w:cs="Arial" w:eastAsia="Arial" w:hAnsi="Arial"/>
          <w:sz w:val="18"/>
          <w:szCs w:val="18"/>
          <w:color w:val="auto"/>
        </w:rPr>
        <w:t>the place or places where principal of, and interest, if any, on the debt securities will be payable (and the method of such payment), where the securities of such series may be surrendered for registration of transfer or exchange, and where notices and demands to us in respect of the debt securities may be delivered;</w:t>
      </w:r>
    </w:p>
    <w:p>
      <w:pPr>
        <w:spacing w:after="0" w:line="89" w:lineRule="exact"/>
        <w:rPr>
          <w:rFonts w:ascii="Arial" w:cs="Arial" w:eastAsia="Arial" w:hAnsi="Arial"/>
          <w:sz w:val="18"/>
          <w:szCs w:val="18"/>
          <w:color w:val="auto"/>
        </w:rPr>
      </w:pPr>
    </w:p>
    <w:p>
      <w:pPr>
        <w:ind w:left="960" w:right="700" w:hanging="424"/>
        <w:spacing w:after="0" w:line="277" w:lineRule="auto"/>
        <w:tabs>
          <w:tab w:leader="none" w:pos="960" w:val="left"/>
        </w:tabs>
        <w:numPr>
          <w:ilvl w:val="0"/>
          <w:numId w:val="9"/>
        </w:numPr>
        <w:rPr>
          <w:rFonts w:ascii="Arial" w:cs="Arial" w:eastAsia="Arial" w:hAnsi="Arial"/>
          <w:sz w:val="18"/>
          <w:szCs w:val="18"/>
          <w:color w:val="auto"/>
        </w:rPr>
      </w:pPr>
      <w:r>
        <w:rPr>
          <w:rFonts w:ascii="Arial" w:cs="Arial" w:eastAsia="Arial" w:hAnsi="Arial"/>
          <w:sz w:val="18"/>
          <w:szCs w:val="18"/>
          <w:color w:val="auto"/>
        </w:rPr>
        <w:t>the period or periods within which, the price or prices at which and the terms and conditions upon which we may redeem the debt securities;</w:t>
      </w:r>
    </w:p>
    <w:p>
      <w:pPr>
        <w:spacing w:after="0" w:line="10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13</w:t>
      </w:r>
    </w:p>
    <w:p>
      <w:pPr>
        <w:sectPr>
          <w:pgSz w:w="11900" w:h="16838" w:orient="portrait"/>
          <w:cols w:equalWidth="0" w:num="1">
            <w:col w:w="11000"/>
          </w:cols>
          <w:pgMar w:left="440" w:top="270" w:right="459" w:bottom="1440" w:gutter="0" w:footer="0" w:header="0"/>
        </w:sectPr>
      </w:pPr>
    </w:p>
    <w:bookmarkStart w:id="18" w:name="page19"/>
    <w:bookmarkEnd w:id="18"/>
    <w:p>
      <w:pPr>
        <w:ind w:left="960" w:right="20" w:hanging="424"/>
        <w:spacing w:after="0" w:line="286" w:lineRule="auto"/>
        <w:tabs>
          <w:tab w:leader="none" w:pos="960" w:val="left"/>
        </w:tabs>
        <w:numPr>
          <w:ilvl w:val="0"/>
          <w:numId w:val="10"/>
        </w:numPr>
        <w:rPr>
          <w:rFonts w:ascii="Arial" w:cs="Arial" w:eastAsia="Arial" w:hAnsi="Arial"/>
          <w:sz w:val="17"/>
          <w:szCs w:val="17"/>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47">
                      <a:extLst>
                        <a:ext uri="{28A0092B-C50C-407E-A947-70E740481C1C}"/>
                      </a:extLst>
                    </a:blip>
                    <a:srcRect/>
                    <a:stretch>
                      <a:fillRect/>
                    </a:stretch>
                  </pic:blipFill>
                  <pic:spPr bwMode="auto">
                    <a:xfrm>
                      <a:off x="0" y="0"/>
                      <a:ext cx="7149465" cy="25400"/>
                    </a:xfrm>
                    <a:prstGeom prst="rect">
                      <a:avLst/>
                    </a:prstGeom>
                    <a:noFill/>
                  </pic:spPr>
                </pic:pic>
              </a:graphicData>
            </a:graphic>
          </wp:anchor>
        </w:drawing>
        <w:t>any obligation we have to redeem or purchase the debt securities pursuant to any sinking fund or analogous provisions or at the option of a holder of debt securities and the period or periods within which, the price or prices at which and in the terms and conditions upon which securities of the series shall be redeemed or purchased, in whole or in part, pursuant to such obligation;</w:t>
      </w:r>
    </w:p>
    <w:p>
      <w:pPr>
        <w:spacing w:after="0" w:line="70" w:lineRule="exact"/>
        <w:rPr>
          <w:rFonts w:ascii="Arial" w:cs="Arial" w:eastAsia="Arial" w:hAnsi="Arial"/>
          <w:sz w:val="17"/>
          <w:szCs w:val="17"/>
          <w:color w:val="auto"/>
        </w:rPr>
      </w:pPr>
    </w:p>
    <w:p>
      <w:pPr>
        <w:ind w:left="960" w:right="320" w:hanging="424"/>
        <w:spacing w:after="0" w:line="277" w:lineRule="auto"/>
        <w:tabs>
          <w:tab w:leader="none" w:pos="960" w:val="left"/>
        </w:tabs>
        <w:numPr>
          <w:ilvl w:val="0"/>
          <w:numId w:val="10"/>
        </w:numPr>
        <w:rPr>
          <w:rFonts w:ascii="Arial" w:cs="Arial" w:eastAsia="Arial" w:hAnsi="Arial"/>
          <w:sz w:val="18"/>
          <w:szCs w:val="18"/>
          <w:color w:val="auto"/>
        </w:rPr>
      </w:pPr>
      <w:r>
        <w:rPr>
          <w:rFonts w:ascii="Arial" w:cs="Arial" w:eastAsia="Arial" w:hAnsi="Arial"/>
          <w:sz w:val="18"/>
          <w:szCs w:val="18"/>
          <w:color w:val="auto"/>
        </w:rPr>
        <w:t>the dates on which and the price or prices at which we will repurchase debt securities at the option of the holders of debt securities and other detailed terms and provisions of these repurchase obligations;</w:t>
      </w:r>
    </w:p>
    <w:p>
      <w:pPr>
        <w:spacing w:after="0" w:line="75" w:lineRule="exact"/>
        <w:rPr>
          <w:rFonts w:ascii="Arial" w:cs="Arial" w:eastAsia="Arial" w:hAnsi="Arial"/>
          <w:sz w:val="18"/>
          <w:szCs w:val="18"/>
          <w:color w:val="auto"/>
        </w:rPr>
      </w:pPr>
    </w:p>
    <w:p>
      <w:pPr>
        <w:ind w:left="960" w:hanging="424"/>
        <w:spacing w:after="0"/>
        <w:tabs>
          <w:tab w:leader="none" w:pos="960" w:val="left"/>
        </w:tabs>
        <w:numPr>
          <w:ilvl w:val="0"/>
          <w:numId w:val="10"/>
        </w:numPr>
        <w:rPr>
          <w:rFonts w:ascii="Arial" w:cs="Arial" w:eastAsia="Arial" w:hAnsi="Arial"/>
          <w:sz w:val="17"/>
          <w:szCs w:val="17"/>
          <w:color w:val="auto"/>
        </w:rPr>
      </w:pPr>
      <w:r>
        <w:rPr>
          <w:rFonts w:ascii="Arial" w:cs="Arial" w:eastAsia="Arial" w:hAnsi="Arial"/>
          <w:sz w:val="17"/>
          <w:szCs w:val="17"/>
          <w:color w:val="auto"/>
        </w:rPr>
        <w:t>the denominations in which the debt securities will be issued, if other than denominations of $1,000 and any integral multiple thereof;</w:t>
      </w:r>
    </w:p>
    <w:p>
      <w:pPr>
        <w:spacing w:after="0" w:line="142" w:lineRule="exact"/>
        <w:rPr>
          <w:rFonts w:ascii="Arial" w:cs="Arial" w:eastAsia="Arial" w:hAnsi="Arial"/>
          <w:sz w:val="17"/>
          <w:szCs w:val="17"/>
          <w:color w:val="auto"/>
        </w:rPr>
      </w:pPr>
    </w:p>
    <w:p>
      <w:pPr>
        <w:ind w:left="960" w:hanging="424"/>
        <w:spacing w:after="0"/>
        <w:tabs>
          <w:tab w:leader="none" w:pos="960" w:val="left"/>
        </w:tabs>
        <w:numPr>
          <w:ilvl w:val="0"/>
          <w:numId w:val="10"/>
        </w:numPr>
        <w:rPr>
          <w:rFonts w:ascii="Arial" w:cs="Arial" w:eastAsia="Arial" w:hAnsi="Arial"/>
          <w:sz w:val="18"/>
          <w:szCs w:val="18"/>
          <w:color w:val="auto"/>
        </w:rPr>
      </w:pPr>
      <w:r>
        <w:rPr>
          <w:rFonts w:ascii="Arial" w:cs="Arial" w:eastAsia="Arial" w:hAnsi="Arial"/>
          <w:sz w:val="18"/>
          <w:szCs w:val="18"/>
          <w:color w:val="auto"/>
        </w:rPr>
        <w:t>whether the debt securities will be issued in the form of certificated debt securities or global debt securities;</w:t>
      </w:r>
    </w:p>
    <w:p>
      <w:pPr>
        <w:spacing w:after="0" w:line="130" w:lineRule="exact"/>
        <w:rPr>
          <w:rFonts w:ascii="Arial" w:cs="Arial" w:eastAsia="Arial" w:hAnsi="Arial"/>
          <w:sz w:val="18"/>
          <w:szCs w:val="18"/>
          <w:color w:val="auto"/>
        </w:rPr>
      </w:pPr>
    </w:p>
    <w:p>
      <w:pPr>
        <w:ind w:left="960" w:right="560" w:hanging="424"/>
        <w:spacing w:after="0" w:line="277" w:lineRule="auto"/>
        <w:tabs>
          <w:tab w:leader="none" w:pos="960" w:val="left"/>
        </w:tabs>
        <w:numPr>
          <w:ilvl w:val="0"/>
          <w:numId w:val="10"/>
        </w:numPr>
        <w:rPr>
          <w:rFonts w:ascii="Arial" w:cs="Arial" w:eastAsia="Arial" w:hAnsi="Arial"/>
          <w:sz w:val="18"/>
          <w:szCs w:val="18"/>
          <w:color w:val="auto"/>
        </w:rPr>
      </w:pPr>
      <w:r>
        <w:rPr>
          <w:rFonts w:ascii="Arial" w:cs="Arial" w:eastAsia="Arial" w:hAnsi="Arial"/>
          <w:sz w:val="18"/>
          <w:szCs w:val="18"/>
          <w:color w:val="auto"/>
        </w:rPr>
        <w:t>the portion of principal amount of the debt securities payable upon declaration of acceleration of the maturity date, if other than the principal amount;</w:t>
      </w:r>
    </w:p>
    <w:p>
      <w:pPr>
        <w:spacing w:after="0" w:line="75" w:lineRule="exact"/>
        <w:rPr>
          <w:rFonts w:ascii="Arial" w:cs="Arial" w:eastAsia="Arial" w:hAnsi="Arial"/>
          <w:sz w:val="18"/>
          <w:szCs w:val="18"/>
          <w:color w:val="auto"/>
        </w:rPr>
      </w:pPr>
    </w:p>
    <w:p>
      <w:pPr>
        <w:ind w:left="960" w:right="200" w:hanging="424"/>
        <w:spacing w:after="0" w:line="342" w:lineRule="auto"/>
        <w:tabs>
          <w:tab w:leader="none" w:pos="960" w:val="left"/>
        </w:tabs>
        <w:numPr>
          <w:ilvl w:val="0"/>
          <w:numId w:val="10"/>
        </w:numPr>
        <w:rPr>
          <w:rFonts w:ascii="Arial" w:cs="Arial" w:eastAsia="Arial" w:hAnsi="Arial"/>
          <w:sz w:val="16"/>
          <w:szCs w:val="16"/>
          <w:color w:val="auto"/>
        </w:rPr>
      </w:pPr>
      <w:r>
        <w:rPr>
          <w:rFonts w:ascii="Arial" w:cs="Arial" w:eastAsia="Arial" w:hAnsi="Arial"/>
          <w:sz w:val="16"/>
          <w:szCs w:val="16"/>
          <w:color w:val="auto"/>
        </w:rPr>
        <w:t>the currency of denomination of the debt securities, which may be United States Dollars or any foreign currency, and if such currency of denomination is a composite currency, the agency or organization, if any, responsible for overseeing such composite currency;</w:t>
      </w:r>
    </w:p>
    <w:p>
      <w:pPr>
        <w:spacing w:after="0" w:line="29" w:lineRule="exact"/>
        <w:rPr>
          <w:rFonts w:ascii="Arial" w:cs="Arial" w:eastAsia="Arial" w:hAnsi="Arial"/>
          <w:sz w:val="16"/>
          <w:szCs w:val="16"/>
          <w:color w:val="auto"/>
        </w:rPr>
      </w:pPr>
    </w:p>
    <w:p>
      <w:pPr>
        <w:ind w:left="960" w:right="100" w:hanging="424"/>
        <w:spacing w:after="0" w:line="277" w:lineRule="auto"/>
        <w:tabs>
          <w:tab w:leader="none" w:pos="960" w:val="left"/>
        </w:tabs>
        <w:numPr>
          <w:ilvl w:val="0"/>
          <w:numId w:val="10"/>
        </w:numPr>
        <w:rPr>
          <w:rFonts w:ascii="Arial" w:cs="Arial" w:eastAsia="Arial" w:hAnsi="Arial"/>
          <w:sz w:val="18"/>
          <w:szCs w:val="18"/>
          <w:color w:val="auto"/>
        </w:rPr>
      </w:pPr>
      <w:r>
        <w:rPr>
          <w:rFonts w:ascii="Arial" w:cs="Arial" w:eastAsia="Arial" w:hAnsi="Arial"/>
          <w:sz w:val="18"/>
          <w:szCs w:val="18"/>
          <w:color w:val="auto"/>
        </w:rPr>
        <w:t>the designation of the currency, currencies or currency units in which payment of principal of, premium and interest on the debt securities will be made;</w:t>
      </w:r>
    </w:p>
    <w:p>
      <w:pPr>
        <w:spacing w:after="0" w:line="75" w:lineRule="exact"/>
        <w:rPr>
          <w:rFonts w:ascii="Arial" w:cs="Arial" w:eastAsia="Arial" w:hAnsi="Arial"/>
          <w:sz w:val="18"/>
          <w:szCs w:val="18"/>
          <w:color w:val="auto"/>
        </w:rPr>
      </w:pPr>
    </w:p>
    <w:p>
      <w:pPr>
        <w:ind w:left="960" w:right="120" w:hanging="424"/>
        <w:spacing w:after="0" w:line="263" w:lineRule="auto"/>
        <w:tabs>
          <w:tab w:leader="none" w:pos="960" w:val="left"/>
        </w:tabs>
        <w:numPr>
          <w:ilvl w:val="0"/>
          <w:numId w:val="10"/>
        </w:numPr>
        <w:rPr>
          <w:rFonts w:ascii="Arial" w:cs="Arial" w:eastAsia="Arial" w:hAnsi="Arial"/>
          <w:sz w:val="18"/>
          <w:szCs w:val="18"/>
          <w:color w:val="auto"/>
        </w:rPr>
      </w:pPr>
      <w:r>
        <w:rPr>
          <w:rFonts w:ascii="Arial" w:cs="Arial" w:eastAsia="Arial" w:hAnsi="Arial"/>
          <w:sz w:val="18"/>
          <w:szCs w:val="18"/>
          <w:color w:val="auto"/>
        </w:rPr>
        <w:t>if payments of principal of, premium or interest on the debt securities will be made in one or more currencies or currency units other than that or those in which the debt securities are denominated, the manner in which the exchange rate with respect to these payments will be determined;</w:t>
      </w:r>
    </w:p>
    <w:p>
      <w:pPr>
        <w:spacing w:after="0" w:line="89" w:lineRule="exact"/>
        <w:rPr>
          <w:rFonts w:ascii="Arial" w:cs="Arial" w:eastAsia="Arial" w:hAnsi="Arial"/>
          <w:sz w:val="18"/>
          <w:szCs w:val="18"/>
          <w:color w:val="auto"/>
        </w:rPr>
      </w:pPr>
    </w:p>
    <w:p>
      <w:pPr>
        <w:jc w:val="both"/>
        <w:ind w:left="960" w:right="40" w:hanging="424"/>
        <w:spacing w:after="0" w:line="263" w:lineRule="auto"/>
        <w:tabs>
          <w:tab w:leader="none" w:pos="960" w:val="left"/>
        </w:tabs>
        <w:numPr>
          <w:ilvl w:val="0"/>
          <w:numId w:val="10"/>
        </w:numPr>
        <w:rPr>
          <w:rFonts w:ascii="Arial" w:cs="Arial" w:eastAsia="Arial" w:hAnsi="Arial"/>
          <w:sz w:val="18"/>
          <w:szCs w:val="18"/>
          <w:color w:val="auto"/>
        </w:rPr>
      </w:pPr>
      <w:r>
        <w:rPr>
          <w:rFonts w:ascii="Arial" w:cs="Arial" w:eastAsia="Arial" w:hAnsi="Arial"/>
          <w:sz w:val="18"/>
          <w:szCs w:val="18"/>
          <w:color w:val="auto"/>
        </w:rPr>
        <w:t>the manner in which the amounts of payment of principal of, premium, if any, or interest on the debt securities will be determined, if these amounts may be determined by reference to an index based on a currency or currencies or by reference to a commodity, commodity index, stock exchange index or financial index;</w:t>
      </w:r>
    </w:p>
    <w:p>
      <w:pPr>
        <w:spacing w:after="0" w:line="89" w:lineRule="exact"/>
        <w:rPr>
          <w:rFonts w:ascii="Arial" w:cs="Arial" w:eastAsia="Arial" w:hAnsi="Arial"/>
          <w:sz w:val="18"/>
          <w:szCs w:val="18"/>
          <w:color w:val="auto"/>
        </w:rPr>
      </w:pPr>
    </w:p>
    <w:p>
      <w:pPr>
        <w:ind w:left="960" w:hanging="424"/>
        <w:spacing w:after="0"/>
        <w:tabs>
          <w:tab w:leader="none" w:pos="960" w:val="left"/>
        </w:tabs>
        <w:numPr>
          <w:ilvl w:val="0"/>
          <w:numId w:val="10"/>
        </w:numPr>
        <w:rPr>
          <w:rFonts w:ascii="Arial" w:cs="Arial" w:eastAsia="Arial" w:hAnsi="Arial"/>
          <w:sz w:val="18"/>
          <w:szCs w:val="18"/>
          <w:color w:val="auto"/>
        </w:rPr>
      </w:pPr>
      <w:r>
        <w:rPr>
          <w:rFonts w:ascii="Arial" w:cs="Arial" w:eastAsia="Arial" w:hAnsi="Arial"/>
          <w:sz w:val="18"/>
          <w:szCs w:val="18"/>
          <w:color w:val="auto"/>
        </w:rPr>
        <w:t>any provisions relating to any security provided for the debt securities;</w:t>
      </w:r>
    </w:p>
    <w:p>
      <w:pPr>
        <w:spacing w:after="0" w:line="130" w:lineRule="exact"/>
        <w:rPr>
          <w:rFonts w:ascii="Arial" w:cs="Arial" w:eastAsia="Arial" w:hAnsi="Arial"/>
          <w:sz w:val="18"/>
          <w:szCs w:val="18"/>
          <w:color w:val="auto"/>
        </w:rPr>
      </w:pPr>
    </w:p>
    <w:p>
      <w:pPr>
        <w:ind w:left="960" w:right="100" w:hanging="424"/>
        <w:spacing w:after="0" w:line="342" w:lineRule="auto"/>
        <w:tabs>
          <w:tab w:leader="none" w:pos="960" w:val="left"/>
        </w:tabs>
        <w:numPr>
          <w:ilvl w:val="0"/>
          <w:numId w:val="10"/>
        </w:numPr>
        <w:rPr>
          <w:rFonts w:ascii="Arial" w:cs="Arial" w:eastAsia="Arial" w:hAnsi="Arial"/>
          <w:sz w:val="16"/>
          <w:szCs w:val="16"/>
          <w:color w:val="auto"/>
        </w:rPr>
      </w:pPr>
      <w:r>
        <w:rPr>
          <w:rFonts w:ascii="Arial" w:cs="Arial" w:eastAsia="Arial" w:hAnsi="Arial"/>
          <w:sz w:val="16"/>
          <w:szCs w:val="16"/>
          <w:color w:val="auto"/>
        </w:rPr>
        <w:t>any addition to, deletion of or change in the Events of Default described in this prospectus or in the indenture with respect to the debt securities and any change in the acceleration provisions described in this prospectus or in the indenture with respect to the debt securities;</w:t>
      </w:r>
    </w:p>
    <w:p>
      <w:pPr>
        <w:spacing w:after="0" w:line="29" w:lineRule="exact"/>
        <w:rPr>
          <w:rFonts w:ascii="Arial" w:cs="Arial" w:eastAsia="Arial" w:hAnsi="Arial"/>
          <w:sz w:val="16"/>
          <w:szCs w:val="16"/>
          <w:color w:val="auto"/>
        </w:rPr>
      </w:pPr>
    </w:p>
    <w:p>
      <w:pPr>
        <w:ind w:left="960" w:hanging="424"/>
        <w:spacing w:after="0"/>
        <w:tabs>
          <w:tab w:leader="none" w:pos="960" w:val="left"/>
        </w:tabs>
        <w:numPr>
          <w:ilvl w:val="0"/>
          <w:numId w:val="10"/>
        </w:numPr>
        <w:rPr>
          <w:rFonts w:ascii="Arial" w:cs="Arial" w:eastAsia="Arial" w:hAnsi="Arial"/>
          <w:sz w:val="16"/>
          <w:szCs w:val="16"/>
          <w:color w:val="auto"/>
        </w:rPr>
      </w:pPr>
      <w:r>
        <w:rPr>
          <w:rFonts w:ascii="Arial" w:cs="Arial" w:eastAsia="Arial" w:hAnsi="Arial"/>
          <w:sz w:val="16"/>
          <w:szCs w:val="16"/>
          <w:color w:val="auto"/>
        </w:rPr>
        <w:t>any addition to, deletion of or change in the covenants described in this prospectus or in the indenture with respect to the debt securities;</w:t>
      </w:r>
    </w:p>
    <w:p>
      <w:pPr>
        <w:spacing w:after="0" w:line="153" w:lineRule="exact"/>
        <w:rPr>
          <w:rFonts w:ascii="Arial" w:cs="Arial" w:eastAsia="Arial" w:hAnsi="Arial"/>
          <w:sz w:val="16"/>
          <w:szCs w:val="16"/>
          <w:color w:val="auto"/>
        </w:rPr>
      </w:pPr>
    </w:p>
    <w:p>
      <w:pPr>
        <w:ind w:left="960" w:hanging="424"/>
        <w:spacing w:after="0"/>
        <w:tabs>
          <w:tab w:leader="none" w:pos="960" w:val="left"/>
        </w:tabs>
        <w:numPr>
          <w:ilvl w:val="0"/>
          <w:numId w:val="10"/>
        </w:numPr>
        <w:rPr>
          <w:rFonts w:ascii="Arial" w:cs="Arial" w:eastAsia="Arial" w:hAnsi="Arial"/>
          <w:sz w:val="16"/>
          <w:szCs w:val="16"/>
          <w:color w:val="auto"/>
        </w:rPr>
      </w:pPr>
      <w:r>
        <w:rPr>
          <w:rFonts w:ascii="Arial" w:cs="Arial" w:eastAsia="Arial" w:hAnsi="Arial"/>
          <w:sz w:val="16"/>
          <w:szCs w:val="16"/>
          <w:color w:val="auto"/>
        </w:rPr>
        <w:t>any depositaries, interest rate calculation agents, exchange rate calculation agents or other agents with respect to the debt securities;</w:t>
      </w:r>
    </w:p>
    <w:p>
      <w:pPr>
        <w:spacing w:after="0" w:line="153" w:lineRule="exact"/>
        <w:rPr>
          <w:rFonts w:ascii="Arial" w:cs="Arial" w:eastAsia="Arial" w:hAnsi="Arial"/>
          <w:sz w:val="16"/>
          <w:szCs w:val="16"/>
          <w:color w:val="auto"/>
        </w:rPr>
      </w:pPr>
    </w:p>
    <w:p>
      <w:pPr>
        <w:ind w:left="960" w:right="160" w:hanging="424"/>
        <w:spacing w:after="0" w:line="263" w:lineRule="auto"/>
        <w:tabs>
          <w:tab w:leader="none" w:pos="960" w:val="left"/>
        </w:tabs>
        <w:numPr>
          <w:ilvl w:val="0"/>
          <w:numId w:val="10"/>
        </w:numPr>
        <w:rPr>
          <w:rFonts w:ascii="Arial" w:cs="Arial" w:eastAsia="Arial" w:hAnsi="Arial"/>
          <w:sz w:val="18"/>
          <w:szCs w:val="18"/>
          <w:color w:val="auto"/>
        </w:rPr>
      </w:pPr>
      <w:r>
        <w:rPr>
          <w:rFonts w:ascii="Arial" w:cs="Arial" w:eastAsia="Arial" w:hAnsi="Arial"/>
          <w:sz w:val="18"/>
          <w:szCs w:val="18"/>
          <w:color w:val="auto"/>
        </w:rPr>
        <w:t>the provisions, if any, relating to conversion or exchange of any debt securities of such series, including if applicable, the conversion or exchange price and period, provisions as to whether conversion or exchange will be mandatory, the events requiring an adjustment of the conversion or exchange price and provisions affecting conversion or exchange;</w:t>
      </w:r>
    </w:p>
    <w:p>
      <w:pPr>
        <w:spacing w:after="0" w:line="89" w:lineRule="exact"/>
        <w:rPr>
          <w:rFonts w:ascii="Arial" w:cs="Arial" w:eastAsia="Arial" w:hAnsi="Arial"/>
          <w:sz w:val="18"/>
          <w:szCs w:val="18"/>
          <w:color w:val="auto"/>
        </w:rPr>
      </w:pPr>
    </w:p>
    <w:p>
      <w:pPr>
        <w:ind w:left="960" w:right="200" w:hanging="424"/>
        <w:spacing w:after="0" w:line="263" w:lineRule="auto"/>
        <w:tabs>
          <w:tab w:leader="none" w:pos="960" w:val="left"/>
        </w:tabs>
        <w:numPr>
          <w:ilvl w:val="0"/>
          <w:numId w:val="10"/>
        </w:numPr>
        <w:rPr>
          <w:rFonts w:ascii="Arial" w:cs="Arial" w:eastAsia="Arial" w:hAnsi="Arial"/>
          <w:sz w:val="18"/>
          <w:szCs w:val="18"/>
          <w:color w:val="auto"/>
        </w:rPr>
      </w:pPr>
      <w:r>
        <w:rPr>
          <w:rFonts w:ascii="Arial" w:cs="Arial" w:eastAsia="Arial" w:hAnsi="Arial"/>
          <w:sz w:val="18"/>
          <w:szCs w:val="18"/>
          <w:color w:val="auto"/>
        </w:rPr>
        <w:t>any other terms of the debt securities, which may supplement, modify or delete any provision of the indenture as it applies to that series, including any terms that may be required under applicable law or regulations or advisable in connection with the marketing of the securities; and</w:t>
      </w:r>
    </w:p>
    <w:p>
      <w:pPr>
        <w:spacing w:after="0" w:line="89" w:lineRule="exact"/>
        <w:rPr>
          <w:rFonts w:ascii="Arial" w:cs="Arial" w:eastAsia="Arial" w:hAnsi="Arial"/>
          <w:sz w:val="18"/>
          <w:szCs w:val="18"/>
          <w:color w:val="auto"/>
        </w:rPr>
      </w:pPr>
    </w:p>
    <w:p>
      <w:pPr>
        <w:ind w:left="960" w:right="220" w:hanging="424"/>
        <w:spacing w:after="0" w:line="277" w:lineRule="auto"/>
        <w:tabs>
          <w:tab w:leader="none" w:pos="960" w:val="left"/>
        </w:tabs>
        <w:numPr>
          <w:ilvl w:val="0"/>
          <w:numId w:val="10"/>
        </w:numPr>
        <w:rPr>
          <w:rFonts w:ascii="Arial" w:cs="Arial" w:eastAsia="Arial" w:hAnsi="Arial"/>
          <w:sz w:val="18"/>
          <w:szCs w:val="18"/>
          <w:color w:val="auto"/>
        </w:rPr>
      </w:pPr>
      <w:r>
        <w:rPr>
          <w:rFonts w:ascii="Arial" w:cs="Arial" w:eastAsia="Arial" w:hAnsi="Arial"/>
          <w:sz w:val="18"/>
          <w:szCs w:val="18"/>
          <w:color w:val="auto"/>
        </w:rPr>
        <w:t>whether any of our direct or indirect subsidiaries will guarantee the debt securities of that series, including the terms of subordination, if any, of such guarantees. (Section 2.2)</w:t>
      </w:r>
    </w:p>
    <w:p>
      <w:pPr>
        <w:spacing w:after="0" w:line="170" w:lineRule="exact"/>
        <w:rPr>
          <w:sz w:val="20"/>
          <w:szCs w:val="20"/>
          <w:color w:val="auto"/>
        </w:rPr>
      </w:pPr>
    </w:p>
    <w:p>
      <w:pPr>
        <w:spacing w:after="0" w:line="263" w:lineRule="auto"/>
        <w:rPr>
          <w:sz w:val="20"/>
          <w:szCs w:val="20"/>
          <w:color w:val="auto"/>
        </w:rPr>
      </w:pPr>
      <w:r>
        <w:rPr>
          <w:rFonts w:ascii="Arial" w:cs="Arial" w:eastAsia="Arial" w:hAnsi="Arial"/>
          <w:sz w:val="18"/>
          <w:szCs w:val="18"/>
          <w:color w:val="auto"/>
        </w:rPr>
        <w:t>We may issue debt securities that provide for an amount less than their stated principal amount to be due and payable upon declaration of acceleration of their maturity pursuant to the terms of the indenture. We will provide you with information on the federal income tax considerations and other special considerations applicable to any of these debt securities in the applicable prospectus supplement.</w:t>
      </w:r>
    </w:p>
    <w:p>
      <w:pPr>
        <w:spacing w:after="0" w:line="11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14</w:t>
      </w:r>
    </w:p>
    <w:p>
      <w:pPr>
        <w:sectPr>
          <w:pgSz w:w="11900" w:h="16838" w:orient="portrait"/>
          <w:cols w:equalWidth="0" w:num="1">
            <w:col w:w="10980"/>
          </w:cols>
          <w:pgMar w:left="440" w:top="274" w:right="479" w:bottom="1440" w:gutter="0" w:footer="0" w:header="0"/>
        </w:sectPr>
      </w:pPr>
    </w:p>
    <w:bookmarkStart w:id="19" w:name="page20"/>
    <w:bookmarkEnd w:id="19"/>
    <w:p>
      <w:pPr>
        <w:ind w:right="20"/>
        <w:spacing w:after="0" w:line="301"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8">
                      <a:extLst>
                        <a:ext uri="{28A0092B-C50C-407E-A947-70E740481C1C}"/>
                      </a:extLst>
                    </a:blip>
                    <a:srcRect/>
                    <a:stretch>
                      <a:fillRect/>
                    </a:stretch>
                  </pic:blipFill>
                  <pic:spPr bwMode="auto">
                    <a:xfrm>
                      <a:off x="0" y="0"/>
                      <a:ext cx="7149465" cy="25400"/>
                    </a:xfrm>
                    <a:prstGeom prst="rect">
                      <a:avLst/>
                    </a:prstGeom>
                    <a:noFill/>
                  </pic:spPr>
                </pic:pic>
              </a:graphicData>
            </a:graphic>
          </wp:anchor>
        </w:drawing>
        <w:t>If we denominate the purchase price of any of the debt securities in a foreign currency or currencies or a foreign currency unit or units, or if the principal of and any premium and interest on any series of debt securities is payable in a foreign currency or currencies or a foreign currency unit or units, we will provide you with information on the restrictions, elections, general tax considerations, specific terms and other information with respect to that issue of debt securities and such foreign currency or currencies or foreign currency unit or units in the applicable prospectus supplement.</w:t>
      </w:r>
    </w:p>
    <w:p>
      <w:pPr>
        <w:spacing w:after="0" w:line="26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Transfer and Exchange</w:t>
      </w:r>
    </w:p>
    <w:p>
      <w:pPr>
        <w:spacing w:after="0" w:line="121" w:lineRule="exact"/>
        <w:rPr>
          <w:sz w:val="20"/>
          <w:szCs w:val="20"/>
          <w:color w:val="auto"/>
        </w:rPr>
      </w:pPr>
    </w:p>
    <w:p>
      <w:pPr>
        <w:spacing w:after="0" w:line="257" w:lineRule="auto"/>
        <w:rPr>
          <w:sz w:val="20"/>
          <w:szCs w:val="20"/>
          <w:color w:val="auto"/>
        </w:rPr>
      </w:pPr>
      <w:r>
        <w:rPr>
          <w:rFonts w:ascii="Arial" w:cs="Arial" w:eastAsia="Arial" w:hAnsi="Arial"/>
          <w:sz w:val="18"/>
          <w:szCs w:val="18"/>
          <w:color w:val="auto"/>
        </w:rPr>
        <w:t>Each debt security will be represented by either one or more global securities registered in the name of The Depository Trust Company, or the Depositary, or a nominee of the Depositary (we will refer to any debt security represented by a global debt security as a “book-entry debt security”), or a certificate issued in definitive registered form (we will refer to any debt security represented by a certificated security as a “certificated debt security”) as set forth in the applicable prospectus supplement. Except as set forth under the heading “Global Debt Securities and Book-Entry System” below, book-entry debt securities will not be issuable in certificated form.</w:t>
      </w:r>
    </w:p>
    <w:p>
      <w:pPr>
        <w:spacing w:after="0" w:line="188" w:lineRule="exact"/>
        <w:rPr>
          <w:sz w:val="20"/>
          <w:szCs w:val="20"/>
          <w:color w:val="auto"/>
        </w:rPr>
      </w:pPr>
    </w:p>
    <w:p>
      <w:pPr>
        <w:ind w:right="120"/>
        <w:spacing w:after="0" w:line="311" w:lineRule="auto"/>
        <w:rPr>
          <w:sz w:val="20"/>
          <w:szCs w:val="20"/>
          <w:color w:val="auto"/>
        </w:rPr>
      </w:pPr>
      <w:r>
        <w:rPr>
          <w:rFonts w:ascii="Arial" w:cs="Arial" w:eastAsia="Arial" w:hAnsi="Arial"/>
          <w:sz w:val="16"/>
          <w:szCs w:val="16"/>
          <w:i w:val="1"/>
          <w:iCs w:val="1"/>
          <w:color w:val="auto"/>
        </w:rPr>
        <w:t>Certificated Debt Securities</w:t>
      </w:r>
      <w:r>
        <w:rPr>
          <w:rFonts w:ascii="Arial" w:cs="Arial" w:eastAsia="Arial" w:hAnsi="Arial"/>
          <w:sz w:val="16"/>
          <w:szCs w:val="16"/>
          <w:color w:val="auto"/>
        </w:rPr>
        <w:t>. You may transfer or exchange certificated debt securities at any office we maintain for this purpose in accordance with the</w:t>
      </w:r>
      <w:r>
        <w:rPr>
          <w:rFonts w:ascii="Arial" w:cs="Arial" w:eastAsia="Arial" w:hAnsi="Arial"/>
          <w:sz w:val="16"/>
          <w:szCs w:val="16"/>
          <w:i w:val="1"/>
          <w:iCs w:val="1"/>
          <w:color w:val="auto"/>
        </w:rPr>
        <w:t xml:space="preserve"> </w:t>
      </w:r>
      <w:r>
        <w:rPr>
          <w:rFonts w:ascii="Arial" w:cs="Arial" w:eastAsia="Arial" w:hAnsi="Arial"/>
          <w:sz w:val="16"/>
          <w:szCs w:val="16"/>
          <w:color w:val="auto"/>
        </w:rPr>
        <w:t>terms of the indenture. (Section 2.4) No service charge will be made for any transfer or exchange of certificated debt securities, but we may require payment of a sum sufficient to cover any tax or other governmental charge payable in connection with a transfer or exchange. (Section 2.7)</w:t>
      </w:r>
    </w:p>
    <w:p>
      <w:pPr>
        <w:spacing w:after="0" w:line="149" w:lineRule="exact"/>
        <w:rPr>
          <w:sz w:val="20"/>
          <w:szCs w:val="20"/>
          <w:color w:val="auto"/>
        </w:rPr>
      </w:pPr>
    </w:p>
    <w:p>
      <w:pPr>
        <w:ind w:right="220"/>
        <w:spacing w:after="0" w:line="263" w:lineRule="auto"/>
        <w:rPr>
          <w:sz w:val="20"/>
          <w:szCs w:val="20"/>
          <w:color w:val="auto"/>
        </w:rPr>
      </w:pPr>
      <w:r>
        <w:rPr>
          <w:rFonts w:ascii="Arial" w:cs="Arial" w:eastAsia="Arial" w:hAnsi="Arial"/>
          <w:sz w:val="18"/>
          <w:szCs w:val="18"/>
          <w:color w:val="auto"/>
        </w:rPr>
        <w:t>You may effect the transfer of certificated debt securities and the right to receive the principal of, premium and interest on certificated debt securities only by surrendering the certificate representing those certificated debt securities and either reissuance by us or the trustee of the certificate to the new holder or the issuance by us or the trustee of a new certificate to the new holder.</w:t>
      </w:r>
    </w:p>
    <w:p>
      <w:pPr>
        <w:spacing w:after="0" w:line="184" w:lineRule="exact"/>
        <w:rPr>
          <w:sz w:val="20"/>
          <w:szCs w:val="20"/>
          <w:color w:val="auto"/>
        </w:rPr>
      </w:pPr>
    </w:p>
    <w:p>
      <w:pPr>
        <w:ind w:right="40"/>
        <w:spacing w:after="0" w:line="308" w:lineRule="auto"/>
        <w:rPr>
          <w:sz w:val="20"/>
          <w:szCs w:val="20"/>
          <w:color w:val="auto"/>
        </w:rPr>
      </w:pPr>
      <w:r>
        <w:rPr>
          <w:rFonts w:ascii="Arial" w:cs="Arial" w:eastAsia="Arial" w:hAnsi="Arial"/>
          <w:sz w:val="17"/>
          <w:szCs w:val="17"/>
          <w:i w:val="1"/>
          <w:iCs w:val="1"/>
          <w:color w:val="auto"/>
        </w:rPr>
        <w:t>Global Debt Securities and Book-Entry System</w:t>
      </w:r>
      <w:r>
        <w:rPr>
          <w:rFonts w:ascii="Arial" w:cs="Arial" w:eastAsia="Arial" w:hAnsi="Arial"/>
          <w:sz w:val="17"/>
          <w:szCs w:val="17"/>
          <w:color w:val="auto"/>
        </w:rPr>
        <w:t>. Each global debt security representing book-entry debt securities will be deposited with, or on behalf of,</w:t>
      </w:r>
      <w:r>
        <w:rPr>
          <w:rFonts w:ascii="Arial" w:cs="Arial" w:eastAsia="Arial" w:hAnsi="Arial"/>
          <w:sz w:val="17"/>
          <w:szCs w:val="17"/>
          <w:i w:val="1"/>
          <w:iCs w:val="1"/>
          <w:color w:val="auto"/>
        </w:rPr>
        <w:t xml:space="preserve"> </w:t>
      </w:r>
      <w:r>
        <w:rPr>
          <w:rFonts w:ascii="Arial" w:cs="Arial" w:eastAsia="Arial" w:hAnsi="Arial"/>
          <w:sz w:val="17"/>
          <w:szCs w:val="17"/>
          <w:color w:val="auto"/>
        </w:rPr>
        <w:t>the Depositary, and registered in the name of the Depositary or a nominee of the Depositary. Please see “Global Securities.”</w:t>
      </w:r>
    </w:p>
    <w:p>
      <w:pPr>
        <w:spacing w:after="0" w:line="25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Covenants</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color w:val="auto"/>
        </w:rPr>
        <w:t>We will set forth in the applicable prospectus supplement any restrictive covenants applicable to any issue of debt securities. (Article IV)</w:t>
      </w:r>
    </w:p>
    <w:p>
      <w:pPr>
        <w:spacing w:after="0" w:line="32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 Protection in the Event of a Change of Control</w:t>
      </w:r>
    </w:p>
    <w:p>
      <w:pPr>
        <w:spacing w:after="0" w:line="121" w:lineRule="exact"/>
        <w:rPr>
          <w:sz w:val="20"/>
          <w:szCs w:val="20"/>
          <w:color w:val="auto"/>
        </w:rPr>
      </w:pPr>
    </w:p>
    <w:p>
      <w:pPr>
        <w:ind w:right="220"/>
        <w:spacing w:after="0" w:line="263" w:lineRule="auto"/>
        <w:rPr>
          <w:sz w:val="20"/>
          <w:szCs w:val="20"/>
          <w:color w:val="auto"/>
        </w:rPr>
      </w:pPr>
      <w:r>
        <w:rPr>
          <w:rFonts w:ascii="Arial" w:cs="Arial" w:eastAsia="Arial" w:hAnsi="Arial"/>
          <w:sz w:val="18"/>
          <w:szCs w:val="18"/>
          <w:color w:val="auto"/>
        </w:rPr>
        <w:t>Unless we state otherwise in the applicable prospectus supplement, the debt securities will not contain any provisions which may afford holders of the debt securities protection in the event we have a change in control or in the event of a highly leveraged transaction (whether or not such transaction results in a change in control) which could adversely affect holders of debt securities.</w:t>
      </w:r>
    </w:p>
    <w:p>
      <w:pPr>
        <w:spacing w:after="0" w:line="28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Consolidation, Merger and Sale of Assets</w:t>
      </w:r>
    </w:p>
    <w:p>
      <w:pPr>
        <w:spacing w:after="0" w:line="121" w:lineRule="exact"/>
        <w:rPr>
          <w:sz w:val="20"/>
          <w:szCs w:val="20"/>
          <w:color w:val="auto"/>
        </w:rPr>
      </w:pPr>
    </w:p>
    <w:p>
      <w:pPr>
        <w:ind w:right="520"/>
        <w:spacing w:after="0" w:line="277" w:lineRule="auto"/>
        <w:rPr>
          <w:sz w:val="20"/>
          <w:szCs w:val="20"/>
          <w:color w:val="auto"/>
        </w:rPr>
      </w:pPr>
      <w:r>
        <w:rPr>
          <w:rFonts w:ascii="Arial" w:cs="Arial" w:eastAsia="Arial" w:hAnsi="Arial"/>
          <w:sz w:val="18"/>
          <w:szCs w:val="18"/>
          <w:color w:val="auto"/>
        </w:rPr>
        <w:t>We may not consolidate with or merge with or into, or convey, transfer or lease all or substantially all of our properties and assets to any person (a “successor person”) unless:</w:t>
      </w:r>
    </w:p>
    <w:p>
      <w:pPr>
        <w:spacing w:after="0" w:line="76" w:lineRule="exact"/>
        <w:rPr>
          <w:sz w:val="20"/>
          <w:szCs w:val="20"/>
          <w:color w:val="auto"/>
        </w:rPr>
      </w:pPr>
    </w:p>
    <w:p>
      <w:pPr>
        <w:ind w:left="960" w:right="220" w:hanging="424"/>
        <w:spacing w:after="0" w:line="342" w:lineRule="auto"/>
        <w:tabs>
          <w:tab w:leader="none" w:pos="960" w:val="left"/>
        </w:tabs>
        <w:numPr>
          <w:ilvl w:val="0"/>
          <w:numId w:val="11"/>
        </w:numPr>
        <w:rPr>
          <w:rFonts w:ascii="Arial" w:cs="Arial" w:eastAsia="Arial" w:hAnsi="Arial"/>
          <w:sz w:val="16"/>
          <w:szCs w:val="16"/>
          <w:color w:val="auto"/>
        </w:rPr>
      </w:pPr>
      <w:r>
        <w:rPr>
          <w:rFonts w:ascii="Arial" w:cs="Arial" w:eastAsia="Arial" w:hAnsi="Arial"/>
          <w:sz w:val="16"/>
          <w:szCs w:val="16"/>
          <w:color w:val="auto"/>
        </w:rPr>
        <w:t>we are the surviving corporation or the successor person (if other than Larimar) is a corporation organized and validly existing under the laws of any U.S. domestic jurisdiction and expressly assumes our obligations on the debt securities and under the indenture; and</w:t>
      </w:r>
    </w:p>
    <w:p>
      <w:pPr>
        <w:spacing w:after="0" w:line="29" w:lineRule="exact"/>
        <w:rPr>
          <w:rFonts w:ascii="Arial" w:cs="Arial" w:eastAsia="Arial" w:hAnsi="Arial"/>
          <w:sz w:val="16"/>
          <w:szCs w:val="16"/>
          <w:color w:val="auto"/>
        </w:rPr>
      </w:pPr>
    </w:p>
    <w:p>
      <w:pPr>
        <w:ind w:left="960" w:hanging="424"/>
        <w:spacing w:after="0"/>
        <w:tabs>
          <w:tab w:leader="none" w:pos="960" w:val="left"/>
        </w:tabs>
        <w:numPr>
          <w:ilvl w:val="0"/>
          <w:numId w:val="11"/>
        </w:numPr>
        <w:rPr>
          <w:rFonts w:ascii="Arial" w:cs="Arial" w:eastAsia="Arial" w:hAnsi="Arial"/>
          <w:sz w:val="18"/>
          <w:szCs w:val="18"/>
          <w:color w:val="auto"/>
        </w:rPr>
      </w:pPr>
      <w:r>
        <w:rPr>
          <w:rFonts w:ascii="Arial" w:cs="Arial" w:eastAsia="Arial" w:hAnsi="Arial"/>
          <w:sz w:val="18"/>
          <w:szCs w:val="18"/>
          <w:color w:val="auto"/>
        </w:rPr>
        <w:t>immediately after giving effect to the transaction, no Default or Event of Default, shall have occurred and be continuing.</w:t>
      </w:r>
    </w:p>
    <w:p>
      <w:pPr>
        <w:spacing w:after="0" w:line="15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15</w:t>
      </w:r>
    </w:p>
    <w:p>
      <w:pPr>
        <w:sectPr>
          <w:pgSz w:w="11900" w:h="16838" w:orient="portrait"/>
          <w:cols w:equalWidth="0" w:num="1">
            <w:col w:w="11020"/>
          </w:cols>
          <w:pgMar w:left="440" w:top="274" w:right="439" w:bottom="1440" w:gutter="0" w:footer="0" w:header="0"/>
        </w:sectPr>
      </w:pPr>
    </w:p>
    <w:bookmarkStart w:id="20" w:name="page21"/>
    <w:bookmarkEnd w:id="20"/>
    <w:p>
      <w:pPr>
        <w:spacing w:after="0"/>
        <w:rPr>
          <w:sz w:val="20"/>
          <w:szCs w:val="20"/>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9">
                      <a:extLst>
                        <a:ext uri="{28A0092B-C50C-407E-A947-70E740481C1C}"/>
                      </a:extLst>
                    </a:blip>
                    <a:srcRect/>
                    <a:stretch>
                      <a:fillRect/>
                    </a:stretch>
                  </pic:blipFill>
                  <pic:spPr bwMode="auto">
                    <a:xfrm>
                      <a:off x="0" y="0"/>
                      <a:ext cx="7149465" cy="25400"/>
                    </a:xfrm>
                    <a:prstGeom prst="rect">
                      <a:avLst/>
                    </a:prstGeom>
                    <a:noFill/>
                  </pic:spPr>
                </pic:pic>
              </a:graphicData>
            </a:graphic>
          </wp:anchor>
        </w:drawing>
        <w:t>Notwithstanding the above, any of our subsidiaries may consolidate with, merge into or transfer all or part of its properties to us. (Section 5.1)</w:t>
      </w:r>
    </w:p>
    <w:p>
      <w:pPr>
        <w:spacing w:after="0" w:line="34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Events of Default</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color w:val="auto"/>
        </w:rPr>
        <w:t>“Event of Default” means with respect to any series of debt securities, any of the following:</w:t>
      </w:r>
    </w:p>
    <w:p>
      <w:pPr>
        <w:spacing w:after="0" w:line="131" w:lineRule="exact"/>
        <w:rPr>
          <w:sz w:val="20"/>
          <w:szCs w:val="20"/>
          <w:color w:val="auto"/>
        </w:rPr>
      </w:pPr>
    </w:p>
    <w:p>
      <w:pPr>
        <w:ind w:left="960" w:right="160" w:hanging="424"/>
        <w:spacing w:after="0" w:line="263" w:lineRule="auto"/>
        <w:tabs>
          <w:tab w:leader="none" w:pos="960" w:val="left"/>
        </w:tabs>
        <w:numPr>
          <w:ilvl w:val="0"/>
          <w:numId w:val="12"/>
        </w:numPr>
        <w:rPr>
          <w:rFonts w:ascii="Arial" w:cs="Arial" w:eastAsia="Arial" w:hAnsi="Arial"/>
          <w:sz w:val="18"/>
          <w:szCs w:val="18"/>
          <w:color w:val="auto"/>
        </w:rPr>
      </w:pPr>
      <w:r>
        <w:rPr>
          <w:rFonts w:ascii="Arial" w:cs="Arial" w:eastAsia="Arial" w:hAnsi="Arial"/>
          <w:sz w:val="18"/>
          <w:szCs w:val="18"/>
          <w:color w:val="auto"/>
        </w:rPr>
        <w:t>default in the payment of any interest upon any debt security of that series when it becomes due and payable, and continuance of such default for a period of 30 days (unless the entire amount of the payment is deposited by us with the trustee or with a paying agent prior to the expiration of the 30-day period);</w:t>
      </w:r>
    </w:p>
    <w:p>
      <w:pPr>
        <w:spacing w:after="0" w:line="89" w:lineRule="exact"/>
        <w:rPr>
          <w:rFonts w:ascii="Arial" w:cs="Arial" w:eastAsia="Arial" w:hAnsi="Arial"/>
          <w:sz w:val="18"/>
          <w:szCs w:val="18"/>
          <w:color w:val="auto"/>
        </w:rPr>
      </w:pPr>
    </w:p>
    <w:p>
      <w:pPr>
        <w:ind w:left="960" w:hanging="424"/>
        <w:spacing w:after="0"/>
        <w:tabs>
          <w:tab w:leader="none" w:pos="960" w:val="left"/>
        </w:tabs>
        <w:numPr>
          <w:ilvl w:val="0"/>
          <w:numId w:val="12"/>
        </w:numPr>
        <w:rPr>
          <w:rFonts w:ascii="Arial" w:cs="Arial" w:eastAsia="Arial" w:hAnsi="Arial"/>
          <w:sz w:val="18"/>
          <w:szCs w:val="18"/>
          <w:color w:val="auto"/>
        </w:rPr>
      </w:pPr>
      <w:r>
        <w:rPr>
          <w:rFonts w:ascii="Arial" w:cs="Arial" w:eastAsia="Arial" w:hAnsi="Arial"/>
          <w:sz w:val="18"/>
          <w:szCs w:val="18"/>
          <w:color w:val="auto"/>
        </w:rPr>
        <w:t>default in the payment of principal of any security of that series at its maturity;</w:t>
      </w:r>
    </w:p>
    <w:p>
      <w:pPr>
        <w:spacing w:after="0" w:line="130" w:lineRule="exact"/>
        <w:rPr>
          <w:rFonts w:ascii="Arial" w:cs="Arial" w:eastAsia="Arial" w:hAnsi="Arial"/>
          <w:sz w:val="18"/>
          <w:szCs w:val="18"/>
          <w:color w:val="auto"/>
        </w:rPr>
      </w:pPr>
    </w:p>
    <w:p>
      <w:pPr>
        <w:ind w:left="960" w:right="40" w:hanging="424"/>
        <w:spacing w:after="0" w:line="279" w:lineRule="auto"/>
        <w:tabs>
          <w:tab w:leader="none" w:pos="960" w:val="left"/>
        </w:tabs>
        <w:numPr>
          <w:ilvl w:val="0"/>
          <w:numId w:val="12"/>
        </w:numPr>
        <w:rPr>
          <w:rFonts w:ascii="Arial" w:cs="Arial" w:eastAsia="Arial" w:hAnsi="Arial"/>
          <w:sz w:val="17"/>
          <w:szCs w:val="17"/>
          <w:color w:val="auto"/>
        </w:rPr>
      </w:pPr>
      <w:r>
        <w:rPr>
          <w:rFonts w:ascii="Arial" w:cs="Arial" w:eastAsia="Arial" w:hAnsi="Arial"/>
          <w:sz w:val="17"/>
          <w:szCs w:val="17"/>
          <w:color w:val="auto"/>
        </w:rPr>
        <w:t>default in the performance or breach of any other covenant or warranty by us in the indenture (other than a covenant or warranty that has been included in the indenture solely for the benefit of a series of debt securities other than that series), which default continues uncured for a period of 60 days after we receive written notice from the trustee or Larimar and the trustee receive written notice from the holders of not less than 25% in principal amount of the outstanding debt securities of that series as provided in the indenture;</w:t>
      </w:r>
    </w:p>
    <w:p>
      <w:pPr>
        <w:spacing w:after="0" w:line="76" w:lineRule="exact"/>
        <w:rPr>
          <w:rFonts w:ascii="Arial" w:cs="Arial" w:eastAsia="Arial" w:hAnsi="Arial"/>
          <w:sz w:val="17"/>
          <w:szCs w:val="17"/>
          <w:color w:val="auto"/>
        </w:rPr>
      </w:pPr>
    </w:p>
    <w:p>
      <w:pPr>
        <w:ind w:left="960" w:hanging="424"/>
        <w:spacing w:after="0"/>
        <w:tabs>
          <w:tab w:leader="none" w:pos="960" w:val="left"/>
        </w:tabs>
        <w:numPr>
          <w:ilvl w:val="0"/>
          <w:numId w:val="12"/>
        </w:numPr>
        <w:rPr>
          <w:rFonts w:ascii="Arial" w:cs="Arial" w:eastAsia="Arial" w:hAnsi="Arial"/>
          <w:sz w:val="18"/>
          <w:szCs w:val="18"/>
          <w:color w:val="auto"/>
        </w:rPr>
      </w:pPr>
      <w:r>
        <w:rPr>
          <w:rFonts w:ascii="Arial" w:cs="Arial" w:eastAsia="Arial" w:hAnsi="Arial"/>
          <w:sz w:val="18"/>
          <w:szCs w:val="18"/>
          <w:color w:val="auto"/>
        </w:rPr>
        <w:t>certain voluntary or involuntary events of bankruptcy, insolvency or reorganization of Larimar; and</w:t>
      </w:r>
    </w:p>
    <w:p>
      <w:pPr>
        <w:spacing w:after="0" w:line="130" w:lineRule="exact"/>
        <w:rPr>
          <w:rFonts w:ascii="Arial" w:cs="Arial" w:eastAsia="Arial" w:hAnsi="Arial"/>
          <w:sz w:val="18"/>
          <w:szCs w:val="18"/>
          <w:color w:val="auto"/>
        </w:rPr>
      </w:pPr>
    </w:p>
    <w:p>
      <w:pPr>
        <w:ind w:left="960" w:right="100" w:hanging="424"/>
        <w:spacing w:after="0" w:line="277" w:lineRule="auto"/>
        <w:tabs>
          <w:tab w:leader="none" w:pos="960" w:val="left"/>
        </w:tabs>
        <w:numPr>
          <w:ilvl w:val="0"/>
          <w:numId w:val="12"/>
        </w:numPr>
        <w:rPr>
          <w:rFonts w:ascii="Arial" w:cs="Arial" w:eastAsia="Arial" w:hAnsi="Arial"/>
          <w:sz w:val="18"/>
          <w:szCs w:val="18"/>
          <w:color w:val="auto"/>
        </w:rPr>
      </w:pPr>
      <w:r>
        <w:rPr>
          <w:rFonts w:ascii="Arial" w:cs="Arial" w:eastAsia="Arial" w:hAnsi="Arial"/>
          <w:sz w:val="18"/>
          <w:szCs w:val="18"/>
          <w:color w:val="auto"/>
        </w:rPr>
        <w:t>any other Event of Default provided with respect to debt securities of that series that is described in the applicable prospectus supplement. (Section 6.1)</w:t>
      </w:r>
    </w:p>
    <w:p>
      <w:pPr>
        <w:spacing w:after="0" w:line="170" w:lineRule="exact"/>
        <w:rPr>
          <w:sz w:val="20"/>
          <w:szCs w:val="20"/>
          <w:color w:val="auto"/>
        </w:rPr>
      </w:pPr>
    </w:p>
    <w:p>
      <w:pPr>
        <w:ind w:right="80"/>
        <w:spacing w:after="0" w:line="259" w:lineRule="auto"/>
        <w:rPr>
          <w:sz w:val="20"/>
          <w:szCs w:val="20"/>
          <w:color w:val="auto"/>
        </w:rPr>
      </w:pPr>
      <w:r>
        <w:rPr>
          <w:rFonts w:ascii="Arial" w:cs="Arial" w:eastAsia="Arial" w:hAnsi="Arial"/>
          <w:sz w:val="18"/>
          <w:szCs w:val="18"/>
          <w:color w:val="auto"/>
        </w:rPr>
        <w:t>No Event of Default with respect to a particular series of debt securities (except as to certain events of bankruptcy, insolvency or reorganization) necessarily constitutes an Event of Default with respect to any other series of debt securities. (Section 6.1) The occurrence of certain Events of Default or an acceleration under the indenture may constitute an event of default under certain indebtedness of ours or our subsidiaries outstanding from time to time.</w:t>
      </w:r>
    </w:p>
    <w:p>
      <w:pPr>
        <w:spacing w:after="0" w:line="187" w:lineRule="exact"/>
        <w:rPr>
          <w:sz w:val="20"/>
          <w:szCs w:val="20"/>
          <w:color w:val="auto"/>
        </w:rPr>
      </w:pPr>
    </w:p>
    <w:p>
      <w:pPr>
        <w:ind w:right="60"/>
        <w:spacing w:after="0" w:line="263" w:lineRule="auto"/>
        <w:rPr>
          <w:sz w:val="20"/>
          <w:szCs w:val="20"/>
          <w:color w:val="auto"/>
        </w:rPr>
      </w:pPr>
      <w:r>
        <w:rPr>
          <w:rFonts w:ascii="Arial" w:cs="Arial" w:eastAsia="Arial" w:hAnsi="Arial"/>
          <w:sz w:val="18"/>
          <w:szCs w:val="18"/>
          <w:color w:val="auto"/>
        </w:rPr>
        <w:t>We will provide the trustee written notice of any Default or Event of Default within 30 days of becoming aware of the occurrence of such Default or Event of Default, which notice will describe in reasonable detail the status of such Default or Event of Default and what action we are taking or propose to take in respect thereof. (Section 6.1)</w:t>
      </w:r>
    </w:p>
    <w:p>
      <w:pPr>
        <w:spacing w:after="0" w:line="184" w:lineRule="exact"/>
        <w:rPr>
          <w:sz w:val="20"/>
          <w:szCs w:val="20"/>
          <w:color w:val="auto"/>
        </w:rPr>
      </w:pPr>
    </w:p>
    <w:p>
      <w:pPr>
        <w:spacing w:after="0" w:line="287" w:lineRule="auto"/>
        <w:rPr>
          <w:sz w:val="20"/>
          <w:szCs w:val="20"/>
          <w:color w:val="auto"/>
        </w:rPr>
      </w:pPr>
      <w:r>
        <w:rPr>
          <w:rFonts w:ascii="Arial" w:cs="Arial" w:eastAsia="Arial" w:hAnsi="Arial"/>
          <w:sz w:val="16"/>
          <w:szCs w:val="16"/>
          <w:color w:val="auto"/>
        </w:rPr>
        <w:t>If an Event of Default with respect to debt securities of any series at the time outstanding occurs and is continuing, then the trustee or the holders of not less than 25% in principal amount of the outstanding debt securities of that series may, by a notice in writing to us (and to the trustee if given by the holders), declare to be due and payable immediately the principal of (or, if the debt securities of that series are discount securities, that portion of the principal amount as may be specified in the terms of that series) and accrued and unpaid interest, if any, on all debt securities of that series. In the case of an Event of Default resulting from certain events of bankruptcy, insolvency or reorganization, the principal (or such specified amount) of and accrued and unpaid interest, if any, on all outstanding debt securities will become and be immediately due and payable without any declaration or other act on the part of the trustee or any holder of outstanding debt securities. At any time after a declaration of acceleration with respect to debt securities of any series has been made, but before a judgment or decree for payment of the money due has been obtained by the trustee, the holders of a majority in principal amount of the outstanding debt securities of that series may rescind and annul the acceleration if all Events of Default, other than the non-payment of accelerated principal and interest, if any, with respect to debt securities of that series, have been cured or waived as provided in the indenture. (Section 6.2) We refer you to the prospectus supplement relating to any series of debt securities that are discount securities for the particular provisions relating to acceleration of a portion of the principal amount of such discount securities upon the occurrence of an Event of Default.</w:t>
      </w:r>
    </w:p>
    <w:p>
      <w:pPr>
        <w:spacing w:after="0" w:line="168" w:lineRule="exact"/>
        <w:rPr>
          <w:sz w:val="20"/>
          <w:szCs w:val="20"/>
          <w:color w:val="auto"/>
        </w:rPr>
      </w:pPr>
    </w:p>
    <w:p>
      <w:pPr>
        <w:ind w:right="80"/>
        <w:spacing w:after="0" w:line="275" w:lineRule="auto"/>
        <w:rPr>
          <w:sz w:val="20"/>
          <w:szCs w:val="20"/>
          <w:color w:val="auto"/>
        </w:rPr>
      </w:pPr>
      <w:r>
        <w:rPr>
          <w:rFonts w:ascii="Arial" w:cs="Arial" w:eastAsia="Arial" w:hAnsi="Arial"/>
          <w:sz w:val="17"/>
          <w:szCs w:val="17"/>
          <w:color w:val="auto"/>
        </w:rPr>
        <w:t>The indenture provides that the trustee may refuse to perform any duty or exercise any of its rights or powers under the indenture unless the trustee receives indemnity satisfactory to it against any cost, liability or expense which might be incurred by it in performing such duty or exercising such right or power. (Section 7.1(e)) Subject to certain rights of the trustee, the holders of a majority in principal amount of the outstanding debt securities of any series will have the right to direct the time, method and place of conducting any proceeding for any remedy available to the trustee or exercising any trust or power conferred on the trustee with respect to the debt securities of that series. (Section 6.12)</w:t>
      </w:r>
    </w:p>
    <w:p>
      <w:pPr>
        <w:spacing w:after="0" w:line="10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16</w:t>
      </w:r>
    </w:p>
    <w:p>
      <w:pPr>
        <w:sectPr>
          <w:pgSz w:w="11900" w:h="16838" w:orient="portrait"/>
          <w:cols w:equalWidth="0" w:num="1">
            <w:col w:w="11000"/>
          </w:cols>
          <w:pgMar w:left="440" w:top="274" w:right="459" w:bottom="1440" w:gutter="0" w:footer="0" w:header="0"/>
        </w:sectPr>
      </w:pPr>
    </w:p>
    <w:bookmarkStart w:id="21" w:name="page22"/>
    <w:bookmarkEnd w:id="21"/>
    <w:p>
      <w:pPr>
        <w:ind w:right="80"/>
        <w:spacing w:after="0" w:line="277"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50">
                      <a:extLst>
                        <a:ext uri="{28A0092B-C50C-407E-A947-70E740481C1C}"/>
                      </a:extLst>
                    </a:blip>
                    <a:srcRect/>
                    <a:stretch>
                      <a:fillRect/>
                    </a:stretch>
                  </pic:blipFill>
                  <pic:spPr bwMode="auto">
                    <a:xfrm>
                      <a:off x="0" y="0"/>
                      <a:ext cx="7149465" cy="25400"/>
                    </a:xfrm>
                    <a:prstGeom prst="rect">
                      <a:avLst/>
                    </a:prstGeom>
                    <a:noFill/>
                  </pic:spPr>
                </pic:pic>
              </a:graphicData>
            </a:graphic>
          </wp:anchor>
        </w:drawing>
        <w:t>No holder of any debt security of any series will have any right to institute any proceeding, judicial or otherwise, with respect to the indenture or for the appointment of a receiver or trustee, or for any remedy under the indenture, unless:</w:t>
      </w:r>
    </w:p>
    <w:p>
      <w:pPr>
        <w:spacing w:after="0" w:line="76" w:lineRule="exact"/>
        <w:rPr>
          <w:sz w:val="20"/>
          <w:szCs w:val="20"/>
          <w:color w:val="auto"/>
        </w:rPr>
      </w:pPr>
    </w:p>
    <w:p>
      <w:pPr>
        <w:ind w:left="960" w:right="140" w:hanging="424"/>
        <w:spacing w:after="0" w:line="277" w:lineRule="auto"/>
        <w:tabs>
          <w:tab w:leader="none" w:pos="960" w:val="left"/>
        </w:tabs>
        <w:numPr>
          <w:ilvl w:val="0"/>
          <w:numId w:val="13"/>
        </w:numPr>
        <w:rPr>
          <w:rFonts w:ascii="Arial" w:cs="Arial" w:eastAsia="Arial" w:hAnsi="Arial"/>
          <w:sz w:val="18"/>
          <w:szCs w:val="18"/>
          <w:color w:val="auto"/>
        </w:rPr>
      </w:pPr>
      <w:r>
        <w:rPr>
          <w:rFonts w:ascii="Arial" w:cs="Arial" w:eastAsia="Arial" w:hAnsi="Arial"/>
          <w:sz w:val="18"/>
          <w:szCs w:val="18"/>
          <w:color w:val="auto"/>
        </w:rPr>
        <w:t>that holder has previously given to the trustee written notice of a continuing Event of Default with respect to debt securities of that series; and</w:t>
      </w:r>
    </w:p>
    <w:p>
      <w:pPr>
        <w:spacing w:after="0" w:line="75" w:lineRule="exact"/>
        <w:rPr>
          <w:rFonts w:ascii="Arial" w:cs="Arial" w:eastAsia="Arial" w:hAnsi="Arial"/>
          <w:sz w:val="18"/>
          <w:szCs w:val="18"/>
          <w:color w:val="auto"/>
        </w:rPr>
      </w:pPr>
    </w:p>
    <w:p>
      <w:pPr>
        <w:ind w:left="960" w:right="40" w:hanging="424"/>
        <w:spacing w:after="0" w:line="259" w:lineRule="auto"/>
        <w:tabs>
          <w:tab w:leader="none" w:pos="960" w:val="left"/>
        </w:tabs>
        <w:numPr>
          <w:ilvl w:val="0"/>
          <w:numId w:val="13"/>
        </w:numPr>
        <w:rPr>
          <w:rFonts w:ascii="Arial" w:cs="Arial" w:eastAsia="Arial" w:hAnsi="Arial"/>
          <w:sz w:val="18"/>
          <w:szCs w:val="18"/>
          <w:color w:val="auto"/>
        </w:rPr>
      </w:pPr>
      <w:r>
        <w:rPr>
          <w:rFonts w:ascii="Arial" w:cs="Arial" w:eastAsia="Arial" w:hAnsi="Arial"/>
          <w:sz w:val="18"/>
          <w:szCs w:val="18"/>
          <w:color w:val="auto"/>
        </w:rPr>
        <w:t>the holders of not less than 25% in principal amount of the outstanding debt securities of that series have made written request, and offered indemnity or security satisfactory to the trustee, to the trustee to institute the proceeding as trustee, and the trustee has not received from the holders of not less than a majority in principal amount of the outstanding debt securities of that series a direction inconsistent with that request and has failed to institute the proceeding within 60 days. (Section 6.7)</w:t>
      </w:r>
    </w:p>
    <w:p>
      <w:pPr>
        <w:spacing w:after="0" w:line="187" w:lineRule="exact"/>
        <w:rPr>
          <w:sz w:val="20"/>
          <w:szCs w:val="20"/>
          <w:color w:val="auto"/>
        </w:rPr>
      </w:pPr>
    </w:p>
    <w:p>
      <w:pPr>
        <w:spacing w:after="0" w:line="263" w:lineRule="auto"/>
        <w:rPr>
          <w:sz w:val="20"/>
          <w:szCs w:val="20"/>
          <w:color w:val="auto"/>
        </w:rPr>
      </w:pPr>
      <w:r>
        <w:rPr>
          <w:rFonts w:ascii="Arial" w:cs="Arial" w:eastAsia="Arial" w:hAnsi="Arial"/>
          <w:sz w:val="18"/>
          <w:szCs w:val="18"/>
          <w:color w:val="auto"/>
        </w:rPr>
        <w:t>Notwithstanding any other provision in the indenture, the holder of any debt security will have an absolute and unconditional right to receive payment of the principal of, premium and any interest on that debt security on or after the due dates expressed in that debt security and to institute suit for the enforcement of payment. (Section 6.8)</w:t>
      </w:r>
    </w:p>
    <w:p>
      <w:pPr>
        <w:spacing w:after="0" w:line="184" w:lineRule="exact"/>
        <w:rPr>
          <w:sz w:val="20"/>
          <w:szCs w:val="20"/>
          <w:color w:val="auto"/>
        </w:rPr>
      </w:pPr>
    </w:p>
    <w:p>
      <w:pPr>
        <w:spacing w:after="0" w:line="254" w:lineRule="auto"/>
        <w:rPr>
          <w:sz w:val="20"/>
          <w:szCs w:val="20"/>
          <w:color w:val="auto"/>
        </w:rPr>
      </w:pPr>
      <w:r>
        <w:rPr>
          <w:rFonts w:ascii="Arial" w:cs="Arial" w:eastAsia="Arial" w:hAnsi="Arial"/>
          <w:sz w:val="18"/>
          <w:szCs w:val="18"/>
          <w:color w:val="auto"/>
        </w:rPr>
        <w:t>The indenture requires us, within 120 days after the end of our fiscal year, to furnish to the trustee a statement as to compliance with the indenture. (Section 4.3) If a Default or Event of Default occurs and is continuing with respect to the securities of any series and if it is known to a responsible officer of the trustee, the trustee shall mail to each securityholder of the securities of that series notice of a Default or Event of Default within 90 days after it occurs or, if later, after a responsible officer of the trustee has knowledge of such Default or Event of Default. The indenture provides that the trustee may withhold notice to the holders of debt securities of any series of any Default or Event of Default (except in payment on any debt securities of that series) with respect to debt securities of that series if the trustee determines in good faith that withholding notice is in the interest of the holders of those debt securities. (Section 7.5)</w:t>
      </w:r>
    </w:p>
    <w:p>
      <w:pPr>
        <w:spacing w:after="0" w:line="29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Modification and Waiver</w:t>
      </w:r>
    </w:p>
    <w:p>
      <w:pPr>
        <w:spacing w:after="0" w:line="121" w:lineRule="exact"/>
        <w:rPr>
          <w:sz w:val="20"/>
          <w:szCs w:val="20"/>
          <w:color w:val="auto"/>
        </w:rPr>
      </w:pPr>
    </w:p>
    <w:p>
      <w:pPr>
        <w:ind w:right="340"/>
        <w:spacing w:after="0" w:line="277" w:lineRule="auto"/>
        <w:rPr>
          <w:sz w:val="20"/>
          <w:szCs w:val="20"/>
          <w:color w:val="auto"/>
        </w:rPr>
      </w:pPr>
      <w:r>
        <w:rPr>
          <w:rFonts w:ascii="Arial" w:cs="Arial" w:eastAsia="Arial" w:hAnsi="Arial"/>
          <w:sz w:val="18"/>
          <w:szCs w:val="18"/>
          <w:color w:val="auto"/>
        </w:rPr>
        <w:t>We and the trustee may modify, amend or supplement the indenture or the debt securities of any series without the consent of any holder of any debt security:</w:t>
      </w:r>
    </w:p>
    <w:p>
      <w:pPr>
        <w:spacing w:after="0" w:line="76" w:lineRule="exact"/>
        <w:rPr>
          <w:sz w:val="20"/>
          <w:szCs w:val="20"/>
          <w:color w:val="auto"/>
        </w:rPr>
      </w:pPr>
    </w:p>
    <w:p>
      <w:pPr>
        <w:ind w:left="960" w:hanging="424"/>
        <w:spacing w:after="0"/>
        <w:tabs>
          <w:tab w:leader="none" w:pos="960" w:val="left"/>
        </w:tabs>
        <w:numPr>
          <w:ilvl w:val="0"/>
          <w:numId w:val="14"/>
        </w:numPr>
        <w:rPr>
          <w:rFonts w:ascii="Arial" w:cs="Arial" w:eastAsia="Arial" w:hAnsi="Arial"/>
          <w:sz w:val="18"/>
          <w:szCs w:val="18"/>
          <w:color w:val="auto"/>
        </w:rPr>
      </w:pPr>
      <w:r>
        <w:rPr>
          <w:rFonts w:ascii="Arial" w:cs="Arial" w:eastAsia="Arial" w:hAnsi="Arial"/>
          <w:sz w:val="18"/>
          <w:szCs w:val="18"/>
          <w:color w:val="auto"/>
        </w:rPr>
        <w:t>to cure any ambiguity, defect or inconsistency;</w:t>
      </w:r>
    </w:p>
    <w:p>
      <w:pPr>
        <w:spacing w:after="0" w:line="130" w:lineRule="exact"/>
        <w:rPr>
          <w:rFonts w:ascii="Arial" w:cs="Arial" w:eastAsia="Arial" w:hAnsi="Arial"/>
          <w:sz w:val="18"/>
          <w:szCs w:val="18"/>
          <w:color w:val="auto"/>
        </w:rPr>
      </w:pPr>
    </w:p>
    <w:p>
      <w:pPr>
        <w:ind w:left="960" w:hanging="424"/>
        <w:spacing w:after="0"/>
        <w:tabs>
          <w:tab w:leader="none" w:pos="960" w:val="left"/>
        </w:tabs>
        <w:numPr>
          <w:ilvl w:val="0"/>
          <w:numId w:val="14"/>
        </w:numPr>
        <w:rPr>
          <w:rFonts w:ascii="Arial" w:cs="Arial" w:eastAsia="Arial" w:hAnsi="Arial"/>
          <w:sz w:val="18"/>
          <w:szCs w:val="18"/>
          <w:color w:val="auto"/>
        </w:rPr>
      </w:pPr>
      <w:r>
        <w:rPr>
          <w:rFonts w:ascii="Arial" w:cs="Arial" w:eastAsia="Arial" w:hAnsi="Arial"/>
          <w:sz w:val="18"/>
          <w:szCs w:val="18"/>
          <w:color w:val="auto"/>
        </w:rPr>
        <w:t>to comply with covenants in the indenture described above under the heading “Consolidation, Merger and Sale of Assets”;</w:t>
      </w:r>
    </w:p>
    <w:p>
      <w:pPr>
        <w:spacing w:after="0" w:line="130" w:lineRule="exact"/>
        <w:rPr>
          <w:rFonts w:ascii="Arial" w:cs="Arial" w:eastAsia="Arial" w:hAnsi="Arial"/>
          <w:sz w:val="18"/>
          <w:szCs w:val="18"/>
          <w:color w:val="auto"/>
        </w:rPr>
      </w:pPr>
    </w:p>
    <w:p>
      <w:pPr>
        <w:ind w:left="960" w:hanging="424"/>
        <w:spacing w:after="0"/>
        <w:tabs>
          <w:tab w:leader="none" w:pos="960" w:val="left"/>
        </w:tabs>
        <w:numPr>
          <w:ilvl w:val="0"/>
          <w:numId w:val="14"/>
        </w:numPr>
        <w:rPr>
          <w:rFonts w:ascii="Arial" w:cs="Arial" w:eastAsia="Arial" w:hAnsi="Arial"/>
          <w:sz w:val="18"/>
          <w:szCs w:val="18"/>
          <w:color w:val="auto"/>
        </w:rPr>
      </w:pPr>
      <w:r>
        <w:rPr>
          <w:rFonts w:ascii="Arial" w:cs="Arial" w:eastAsia="Arial" w:hAnsi="Arial"/>
          <w:sz w:val="18"/>
          <w:szCs w:val="18"/>
          <w:color w:val="auto"/>
        </w:rPr>
        <w:t>to provide for uncertificated securities in addition to or in place of certificated securities;</w:t>
      </w:r>
    </w:p>
    <w:p>
      <w:pPr>
        <w:spacing w:after="0" w:line="130" w:lineRule="exact"/>
        <w:rPr>
          <w:rFonts w:ascii="Arial" w:cs="Arial" w:eastAsia="Arial" w:hAnsi="Arial"/>
          <w:sz w:val="18"/>
          <w:szCs w:val="18"/>
          <w:color w:val="auto"/>
        </w:rPr>
      </w:pPr>
    </w:p>
    <w:p>
      <w:pPr>
        <w:ind w:left="960" w:hanging="424"/>
        <w:spacing w:after="0"/>
        <w:tabs>
          <w:tab w:leader="none" w:pos="960" w:val="left"/>
        </w:tabs>
        <w:numPr>
          <w:ilvl w:val="0"/>
          <w:numId w:val="14"/>
        </w:numPr>
        <w:rPr>
          <w:rFonts w:ascii="Arial" w:cs="Arial" w:eastAsia="Arial" w:hAnsi="Arial"/>
          <w:sz w:val="18"/>
          <w:szCs w:val="18"/>
          <w:color w:val="auto"/>
        </w:rPr>
      </w:pPr>
      <w:r>
        <w:rPr>
          <w:rFonts w:ascii="Arial" w:cs="Arial" w:eastAsia="Arial" w:hAnsi="Arial"/>
          <w:sz w:val="18"/>
          <w:szCs w:val="18"/>
          <w:color w:val="auto"/>
        </w:rPr>
        <w:t>to add guarantees with respect to debt securities of any series or secure debt securities of any series;</w:t>
      </w:r>
    </w:p>
    <w:p>
      <w:pPr>
        <w:spacing w:after="0" w:line="130" w:lineRule="exact"/>
        <w:rPr>
          <w:rFonts w:ascii="Arial" w:cs="Arial" w:eastAsia="Arial" w:hAnsi="Arial"/>
          <w:sz w:val="18"/>
          <w:szCs w:val="18"/>
          <w:color w:val="auto"/>
        </w:rPr>
      </w:pPr>
    </w:p>
    <w:p>
      <w:pPr>
        <w:ind w:left="960" w:hanging="424"/>
        <w:spacing w:after="0"/>
        <w:tabs>
          <w:tab w:leader="none" w:pos="960" w:val="left"/>
        </w:tabs>
        <w:numPr>
          <w:ilvl w:val="0"/>
          <w:numId w:val="14"/>
        </w:numPr>
        <w:rPr>
          <w:rFonts w:ascii="Arial" w:cs="Arial" w:eastAsia="Arial" w:hAnsi="Arial"/>
          <w:sz w:val="18"/>
          <w:szCs w:val="18"/>
          <w:color w:val="auto"/>
        </w:rPr>
      </w:pPr>
      <w:r>
        <w:rPr>
          <w:rFonts w:ascii="Arial" w:cs="Arial" w:eastAsia="Arial" w:hAnsi="Arial"/>
          <w:sz w:val="18"/>
          <w:szCs w:val="18"/>
          <w:color w:val="auto"/>
        </w:rPr>
        <w:t>to surrender any of our rights or powers under the indenture;</w:t>
      </w:r>
    </w:p>
    <w:p>
      <w:pPr>
        <w:spacing w:after="0" w:line="130" w:lineRule="exact"/>
        <w:rPr>
          <w:rFonts w:ascii="Arial" w:cs="Arial" w:eastAsia="Arial" w:hAnsi="Arial"/>
          <w:sz w:val="18"/>
          <w:szCs w:val="18"/>
          <w:color w:val="auto"/>
        </w:rPr>
      </w:pPr>
    </w:p>
    <w:p>
      <w:pPr>
        <w:ind w:left="960" w:hanging="424"/>
        <w:spacing w:after="0"/>
        <w:tabs>
          <w:tab w:leader="none" w:pos="960" w:val="left"/>
        </w:tabs>
        <w:numPr>
          <w:ilvl w:val="0"/>
          <w:numId w:val="14"/>
        </w:numPr>
        <w:rPr>
          <w:rFonts w:ascii="Arial" w:cs="Arial" w:eastAsia="Arial" w:hAnsi="Arial"/>
          <w:sz w:val="18"/>
          <w:szCs w:val="18"/>
          <w:color w:val="auto"/>
        </w:rPr>
      </w:pPr>
      <w:r>
        <w:rPr>
          <w:rFonts w:ascii="Arial" w:cs="Arial" w:eastAsia="Arial" w:hAnsi="Arial"/>
          <w:sz w:val="18"/>
          <w:szCs w:val="18"/>
          <w:color w:val="auto"/>
        </w:rPr>
        <w:t>to add covenants or events of default for the benefit of the holders of debt securities of any series;</w:t>
      </w:r>
    </w:p>
    <w:p>
      <w:pPr>
        <w:spacing w:after="0" w:line="130" w:lineRule="exact"/>
        <w:rPr>
          <w:rFonts w:ascii="Arial" w:cs="Arial" w:eastAsia="Arial" w:hAnsi="Arial"/>
          <w:sz w:val="18"/>
          <w:szCs w:val="18"/>
          <w:color w:val="auto"/>
        </w:rPr>
      </w:pPr>
    </w:p>
    <w:p>
      <w:pPr>
        <w:ind w:left="960" w:hanging="424"/>
        <w:spacing w:after="0"/>
        <w:tabs>
          <w:tab w:leader="none" w:pos="960" w:val="left"/>
        </w:tabs>
        <w:numPr>
          <w:ilvl w:val="0"/>
          <w:numId w:val="14"/>
        </w:numPr>
        <w:rPr>
          <w:rFonts w:ascii="Arial" w:cs="Arial" w:eastAsia="Arial" w:hAnsi="Arial"/>
          <w:sz w:val="18"/>
          <w:szCs w:val="18"/>
          <w:color w:val="auto"/>
        </w:rPr>
      </w:pPr>
      <w:r>
        <w:rPr>
          <w:rFonts w:ascii="Arial" w:cs="Arial" w:eastAsia="Arial" w:hAnsi="Arial"/>
          <w:sz w:val="18"/>
          <w:szCs w:val="18"/>
          <w:color w:val="auto"/>
        </w:rPr>
        <w:t>to comply with the applicable procedures of the applicable depositary;</w:t>
      </w:r>
    </w:p>
    <w:p>
      <w:pPr>
        <w:spacing w:after="0" w:line="130" w:lineRule="exact"/>
        <w:rPr>
          <w:rFonts w:ascii="Arial" w:cs="Arial" w:eastAsia="Arial" w:hAnsi="Arial"/>
          <w:sz w:val="18"/>
          <w:szCs w:val="18"/>
          <w:color w:val="auto"/>
        </w:rPr>
      </w:pPr>
    </w:p>
    <w:p>
      <w:pPr>
        <w:ind w:left="960" w:hanging="424"/>
        <w:spacing w:after="0"/>
        <w:tabs>
          <w:tab w:leader="none" w:pos="960" w:val="left"/>
        </w:tabs>
        <w:numPr>
          <w:ilvl w:val="0"/>
          <w:numId w:val="14"/>
        </w:numPr>
        <w:rPr>
          <w:rFonts w:ascii="Arial" w:cs="Arial" w:eastAsia="Arial" w:hAnsi="Arial"/>
          <w:sz w:val="18"/>
          <w:szCs w:val="18"/>
          <w:color w:val="auto"/>
        </w:rPr>
      </w:pPr>
      <w:r>
        <w:rPr>
          <w:rFonts w:ascii="Arial" w:cs="Arial" w:eastAsia="Arial" w:hAnsi="Arial"/>
          <w:sz w:val="18"/>
          <w:szCs w:val="18"/>
          <w:color w:val="auto"/>
        </w:rPr>
        <w:t>to make any change that does not adversely affect the rights of any holder of debt securities;</w:t>
      </w:r>
    </w:p>
    <w:p>
      <w:pPr>
        <w:spacing w:after="0" w:line="130" w:lineRule="exact"/>
        <w:rPr>
          <w:rFonts w:ascii="Arial" w:cs="Arial" w:eastAsia="Arial" w:hAnsi="Arial"/>
          <w:sz w:val="18"/>
          <w:szCs w:val="18"/>
          <w:color w:val="auto"/>
        </w:rPr>
      </w:pPr>
    </w:p>
    <w:p>
      <w:pPr>
        <w:ind w:left="960" w:hanging="424"/>
        <w:spacing w:after="0"/>
        <w:tabs>
          <w:tab w:leader="none" w:pos="960" w:val="left"/>
        </w:tabs>
        <w:numPr>
          <w:ilvl w:val="0"/>
          <w:numId w:val="14"/>
        </w:numPr>
        <w:rPr>
          <w:rFonts w:ascii="Arial" w:cs="Arial" w:eastAsia="Arial" w:hAnsi="Arial"/>
          <w:sz w:val="16"/>
          <w:szCs w:val="16"/>
          <w:color w:val="auto"/>
        </w:rPr>
      </w:pPr>
      <w:r>
        <w:rPr>
          <w:rFonts w:ascii="Arial" w:cs="Arial" w:eastAsia="Arial" w:hAnsi="Arial"/>
          <w:sz w:val="16"/>
          <w:szCs w:val="16"/>
          <w:color w:val="auto"/>
        </w:rPr>
        <w:t>to provide for the issuance of and establish the form and terms and conditions of debt securities of any series as permitted by the indenture;</w:t>
      </w:r>
    </w:p>
    <w:p>
      <w:pPr>
        <w:spacing w:after="0" w:line="153" w:lineRule="exact"/>
        <w:rPr>
          <w:rFonts w:ascii="Arial" w:cs="Arial" w:eastAsia="Arial" w:hAnsi="Arial"/>
          <w:sz w:val="16"/>
          <w:szCs w:val="16"/>
          <w:color w:val="auto"/>
        </w:rPr>
      </w:pPr>
    </w:p>
    <w:p>
      <w:pPr>
        <w:ind w:left="960" w:right="760" w:hanging="424"/>
        <w:spacing w:after="0" w:line="277" w:lineRule="auto"/>
        <w:tabs>
          <w:tab w:leader="none" w:pos="960" w:val="left"/>
        </w:tabs>
        <w:numPr>
          <w:ilvl w:val="0"/>
          <w:numId w:val="14"/>
        </w:numPr>
        <w:rPr>
          <w:rFonts w:ascii="Arial" w:cs="Arial" w:eastAsia="Arial" w:hAnsi="Arial"/>
          <w:sz w:val="18"/>
          <w:szCs w:val="18"/>
          <w:color w:val="auto"/>
        </w:rPr>
      </w:pPr>
      <w:r>
        <w:rPr>
          <w:rFonts w:ascii="Arial" w:cs="Arial" w:eastAsia="Arial" w:hAnsi="Arial"/>
          <w:sz w:val="18"/>
          <w:szCs w:val="18"/>
          <w:color w:val="auto"/>
        </w:rPr>
        <w:t>to effect the appointment of a successor trustee with respect to the debt securities of any series and to add to or change any of the provisions of the indenture to provide for or facilitate administration by more than one trustee; or</w:t>
      </w:r>
    </w:p>
    <w:p>
      <w:pPr>
        <w:spacing w:after="0" w:line="75" w:lineRule="exact"/>
        <w:rPr>
          <w:rFonts w:ascii="Arial" w:cs="Arial" w:eastAsia="Arial" w:hAnsi="Arial"/>
          <w:sz w:val="18"/>
          <w:szCs w:val="18"/>
          <w:color w:val="auto"/>
        </w:rPr>
      </w:pPr>
    </w:p>
    <w:p>
      <w:pPr>
        <w:ind w:left="960" w:right="380" w:hanging="424"/>
        <w:spacing w:after="0" w:line="277" w:lineRule="auto"/>
        <w:tabs>
          <w:tab w:leader="none" w:pos="960" w:val="left"/>
        </w:tabs>
        <w:numPr>
          <w:ilvl w:val="0"/>
          <w:numId w:val="14"/>
        </w:numPr>
        <w:rPr>
          <w:rFonts w:ascii="Arial" w:cs="Arial" w:eastAsia="Arial" w:hAnsi="Arial"/>
          <w:sz w:val="18"/>
          <w:szCs w:val="18"/>
          <w:color w:val="auto"/>
        </w:rPr>
      </w:pPr>
      <w:r>
        <w:rPr>
          <w:rFonts w:ascii="Arial" w:cs="Arial" w:eastAsia="Arial" w:hAnsi="Arial"/>
          <w:sz w:val="18"/>
          <w:szCs w:val="18"/>
          <w:color w:val="auto"/>
        </w:rPr>
        <w:t>to comply with requirements of the SEC in order to effect or maintain the qualification of the indenture under the Trust Indenture Act. (Section 9.1)</w:t>
      </w:r>
    </w:p>
    <w:p>
      <w:pPr>
        <w:spacing w:after="0" w:line="10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17</w:t>
      </w:r>
    </w:p>
    <w:p>
      <w:pPr>
        <w:sectPr>
          <w:pgSz w:w="11900" w:h="16838" w:orient="portrait"/>
          <w:cols w:equalWidth="0" w:num="1">
            <w:col w:w="11000"/>
          </w:cols>
          <w:pgMar w:left="440" w:top="274" w:right="459" w:bottom="1440" w:gutter="0" w:footer="0" w:header="0"/>
        </w:sectPr>
      </w:pPr>
    </w:p>
    <w:bookmarkStart w:id="22" w:name="page23"/>
    <w:bookmarkEnd w:id="22"/>
    <w:p>
      <w:pPr>
        <w:ind w:right="40"/>
        <w:spacing w:after="0" w:line="263"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51">
                      <a:extLst>
                        <a:ext uri="{28A0092B-C50C-407E-A947-70E740481C1C}"/>
                      </a:extLst>
                    </a:blip>
                    <a:srcRect/>
                    <a:stretch>
                      <a:fillRect/>
                    </a:stretch>
                  </pic:blipFill>
                  <pic:spPr bwMode="auto">
                    <a:xfrm>
                      <a:off x="0" y="0"/>
                      <a:ext cx="7149465" cy="25400"/>
                    </a:xfrm>
                    <a:prstGeom prst="rect">
                      <a:avLst/>
                    </a:prstGeom>
                    <a:noFill/>
                  </pic:spPr>
                </pic:pic>
              </a:graphicData>
            </a:graphic>
          </wp:anchor>
        </w:drawing>
        <w:t>We may also modify and amend the indenture with the consent of the holders of at least a majority in principal amount of the outstanding debt securities of each series affected by the modifications or amendments. We may not make any modification or amendment without the consent of the holders of each affected debt security then outstanding if that amendment will:</w:t>
      </w:r>
    </w:p>
    <w:p>
      <w:pPr>
        <w:spacing w:after="0" w:line="89" w:lineRule="exact"/>
        <w:rPr>
          <w:sz w:val="20"/>
          <w:szCs w:val="20"/>
          <w:color w:val="auto"/>
        </w:rPr>
      </w:pPr>
    </w:p>
    <w:p>
      <w:pPr>
        <w:ind w:left="960" w:hanging="424"/>
        <w:spacing w:after="0"/>
        <w:tabs>
          <w:tab w:leader="none" w:pos="960" w:val="left"/>
        </w:tabs>
        <w:numPr>
          <w:ilvl w:val="0"/>
          <w:numId w:val="15"/>
        </w:numPr>
        <w:rPr>
          <w:rFonts w:ascii="Arial" w:cs="Arial" w:eastAsia="Arial" w:hAnsi="Arial"/>
          <w:sz w:val="18"/>
          <w:szCs w:val="18"/>
          <w:color w:val="auto"/>
        </w:rPr>
      </w:pPr>
      <w:r>
        <w:rPr>
          <w:rFonts w:ascii="Arial" w:cs="Arial" w:eastAsia="Arial" w:hAnsi="Arial"/>
          <w:sz w:val="18"/>
          <w:szCs w:val="18"/>
          <w:color w:val="auto"/>
        </w:rPr>
        <w:t>reduce the amount of debt securities whose holders must consent to an amendment, supplement or waiver;</w:t>
      </w:r>
    </w:p>
    <w:p>
      <w:pPr>
        <w:spacing w:after="0" w:line="130" w:lineRule="exact"/>
        <w:rPr>
          <w:rFonts w:ascii="Arial" w:cs="Arial" w:eastAsia="Arial" w:hAnsi="Arial"/>
          <w:sz w:val="18"/>
          <w:szCs w:val="18"/>
          <w:color w:val="auto"/>
        </w:rPr>
      </w:pPr>
    </w:p>
    <w:p>
      <w:pPr>
        <w:ind w:left="960" w:hanging="424"/>
        <w:spacing w:after="0"/>
        <w:tabs>
          <w:tab w:leader="none" w:pos="960" w:val="left"/>
        </w:tabs>
        <w:numPr>
          <w:ilvl w:val="0"/>
          <w:numId w:val="15"/>
        </w:numPr>
        <w:rPr>
          <w:rFonts w:ascii="Arial" w:cs="Arial" w:eastAsia="Arial" w:hAnsi="Arial"/>
          <w:sz w:val="18"/>
          <w:szCs w:val="18"/>
          <w:color w:val="auto"/>
        </w:rPr>
      </w:pPr>
      <w:r>
        <w:rPr>
          <w:rFonts w:ascii="Arial" w:cs="Arial" w:eastAsia="Arial" w:hAnsi="Arial"/>
          <w:sz w:val="18"/>
          <w:szCs w:val="18"/>
          <w:color w:val="auto"/>
        </w:rPr>
        <w:t>reduce the rate of or extend the time for payment of interest (including default interest) on any debt security;</w:t>
      </w:r>
    </w:p>
    <w:p>
      <w:pPr>
        <w:spacing w:after="0" w:line="130" w:lineRule="exact"/>
        <w:rPr>
          <w:rFonts w:ascii="Arial" w:cs="Arial" w:eastAsia="Arial" w:hAnsi="Arial"/>
          <w:sz w:val="18"/>
          <w:szCs w:val="18"/>
          <w:color w:val="auto"/>
        </w:rPr>
      </w:pPr>
    </w:p>
    <w:p>
      <w:pPr>
        <w:ind w:left="960" w:right="20" w:hanging="424"/>
        <w:spacing w:after="0" w:line="277" w:lineRule="auto"/>
        <w:tabs>
          <w:tab w:leader="none" w:pos="960" w:val="left"/>
        </w:tabs>
        <w:numPr>
          <w:ilvl w:val="0"/>
          <w:numId w:val="15"/>
        </w:numPr>
        <w:rPr>
          <w:rFonts w:ascii="Arial" w:cs="Arial" w:eastAsia="Arial" w:hAnsi="Arial"/>
          <w:sz w:val="18"/>
          <w:szCs w:val="18"/>
          <w:color w:val="auto"/>
        </w:rPr>
      </w:pPr>
      <w:r>
        <w:rPr>
          <w:rFonts w:ascii="Arial" w:cs="Arial" w:eastAsia="Arial" w:hAnsi="Arial"/>
          <w:sz w:val="18"/>
          <w:szCs w:val="18"/>
          <w:color w:val="auto"/>
        </w:rPr>
        <w:t>reduce the principal of or premium on or change the fixed maturity of any debt security or reduce the amount of, or postpone the date fixed for, the payment of any sinking fund or analogous obligation with respect to any series of debt securities;</w:t>
      </w:r>
    </w:p>
    <w:p>
      <w:pPr>
        <w:spacing w:after="0" w:line="75" w:lineRule="exact"/>
        <w:rPr>
          <w:rFonts w:ascii="Arial" w:cs="Arial" w:eastAsia="Arial" w:hAnsi="Arial"/>
          <w:sz w:val="18"/>
          <w:szCs w:val="18"/>
          <w:color w:val="auto"/>
        </w:rPr>
      </w:pPr>
    </w:p>
    <w:p>
      <w:pPr>
        <w:ind w:left="960" w:hanging="424"/>
        <w:spacing w:after="0"/>
        <w:tabs>
          <w:tab w:leader="none" w:pos="960" w:val="left"/>
        </w:tabs>
        <w:numPr>
          <w:ilvl w:val="0"/>
          <w:numId w:val="15"/>
        </w:numPr>
        <w:rPr>
          <w:rFonts w:ascii="Arial" w:cs="Arial" w:eastAsia="Arial" w:hAnsi="Arial"/>
          <w:sz w:val="18"/>
          <w:szCs w:val="18"/>
          <w:color w:val="auto"/>
        </w:rPr>
      </w:pPr>
      <w:r>
        <w:rPr>
          <w:rFonts w:ascii="Arial" w:cs="Arial" w:eastAsia="Arial" w:hAnsi="Arial"/>
          <w:sz w:val="18"/>
          <w:szCs w:val="18"/>
          <w:color w:val="auto"/>
        </w:rPr>
        <w:t>reduce the principal amount of discount securities payable upon acceleration of maturity;</w:t>
      </w:r>
    </w:p>
    <w:p>
      <w:pPr>
        <w:spacing w:after="0" w:line="130" w:lineRule="exact"/>
        <w:rPr>
          <w:rFonts w:ascii="Arial" w:cs="Arial" w:eastAsia="Arial" w:hAnsi="Arial"/>
          <w:sz w:val="18"/>
          <w:szCs w:val="18"/>
          <w:color w:val="auto"/>
        </w:rPr>
      </w:pPr>
    </w:p>
    <w:p>
      <w:pPr>
        <w:ind w:left="960" w:right="100" w:hanging="424"/>
        <w:spacing w:after="0" w:line="263" w:lineRule="auto"/>
        <w:tabs>
          <w:tab w:leader="none" w:pos="960" w:val="left"/>
        </w:tabs>
        <w:numPr>
          <w:ilvl w:val="0"/>
          <w:numId w:val="15"/>
        </w:numPr>
        <w:rPr>
          <w:rFonts w:ascii="Arial" w:cs="Arial" w:eastAsia="Arial" w:hAnsi="Arial"/>
          <w:sz w:val="18"/>
          <w:szCs w:val="18"/>
          <w:color w:val="auto"/>
        </w:rPr>
      </w:pPr>
      <w:r>
        <w:rPr>
          <w:rFonts w:ascii="Arial" w:cs="Arial" w:eastAsia="Arial" w:hAnsi="Arial"/>
          <w:sz w:val="18"/>
          <w:szCs w:val="18"/>
          <w:color w:val="auto"/>
        </w:rPr>
        <w:t>waive a default in the payment of the principal of, premium or interest on any debt security (except a rescission of acceleration of the debt securities of any series by the holders of at least a majority in aggregate principal amount of the then outstanding debt securities of that series and a waiver of the payment default that resulted from such acceleration);</w:t>
      </w:r>
    </w:p>
    <w:p>
      <w:pPr>
        <w:spacing w:after="0" w:line="89" w:lineRule="exact"/>
        <w:rPr>
          <w:rFonts w:ascii="Arial" w:cs="Arial" w:eastAsia="Arial" w:hAnsi="Arial"/>
          <w:sz w:val="18"/>
          <w:szCs w:val="18"/>
          <w:color w:val="auto"/>
        </w:rPr>
      </w:pPr>
    </w:p>
    <w:p>
      <w:pPr>
        <w:ind w:left="960" w:hanging="424"/>
        <w:spacing w:after="0"/>
        <w:tabs>
          <w:tab w:leader="none" w:pos="960" w:val="left"/>
        </w:tabs>
        <w:numPr>
          <w:ilvl w:val="0"/>
          <w:numId w:val="15"/>
        </w:numPr>
        <w:rPr>
          <w:rFonts w:ascii="Arial" w:cs="Arial" w:eastAsia="Arial" w:hAnsi="Arial"/>
          <w:sz w:val="17"/>
          <w:szCs w:val="17"/>
          <w:color w:val="auto"/>
        </w:rPr>
      </w:pPr>
      <w:r>
        <w:rPr>
          <w:rFonts w:ascii="Arial" w:cs="Arial" w:eastAsia="Arial" w:hAnsi="Arial"/>
          <w:sz w:val="17"/>
          <w:szCs w:val="17"/>
          <w:color w:val="auto"/>
        </w:rPr>
        <w:t>make the principal of or premium or interest on any debt security payable in currency other than that stated in the debt security;</w:t>
      </w:r>
    </w:p>
    <w:p>
      <w:pPr>
        <w:spacing w:after="0" w:line="142" w:lineRule="exact"/>
        <w:rPr>
          <w:rFonts w:ascii="Arial" w:cs="Arial" w:eastAsia="Arial" w:hAnsi="Arial"/>
          <w:sz w:val="17"/>
          <w:szCs w:val="17"/>
          <w:color w:val="auto"/>
        </w:rPr>
      </w:pPr>
    </w:p>
    <w:p>
      <w:pPr>
        <w:ind w:left="960" w:hanging="424"/>
        <w:spacing w:after="0" w:line="263" w:lineRule="auto"/>
        <w:tabs>
          <w:tab w:leader="none" w:pos="960" w:val="left"/>
        </w:tabs>
        <w:numPr>
          <w:ilvl w:val="0"/>
          <w:numId w:val="15"/>
        </w:numPr>
        <w:rPr>
          <w:rFonts w:ascii="Arial" w:cs="Arial" w:eastAsia="Arial" w:hAnsi="Arial"/>
          <w:sz w:val="18"/>
          <w:szCs w:val="18"/>
          <w:color w:val="auto"/>
        </w:rPr>
      </w:pPr>
      <w:r>
        <w:rPr>
          <w:rFonts w:ascii="Arial" w:cs="Arial" w:eastAsia="Arial" w:hAnsi="Arial"/>
          <w:sz w:val="18"/>
          <w:szCs w:val="18"/>
          <w:color w:val="auto"/>
        </w:rPr>
        <w:t>make any change to certain provisions of the indenture relating to, among other things, the right of holders of debt securities to receive payment of the principal of, premium and interest on those debt securities and to institute suit for the enforcement of any such payment and to waivers or amendments; or</w:t>
      </w:r>
    </w:p>
    <w:p>
      <w:pPr>
        <w:spacing w:after="0" w:line="89" w:lineRule="exact"/>
        <w:rPr>
          <w:rFonts w:ascii="Arial" w:cs="Arial" w:eastAsia="Arial" w:hAnsi="Arial"/>
          <w:sz w:val="18"/>
          <w:szCs w:val="18"/>
          <w:color w:val="auto"/>
        </w:rPr>
      </w:pPr>
    </w:p>
    <w:p>
      <w:pPr>
        <w:ind w:left="960" w:hanging="424"/>
        <w:spacing w:after="0"/>
        <w:tabs>
          <w:tab w:leader="none" w:pos="960" w:val="left"/>
        </w:tabs>
        <w:numPr>
          <w:ilvl w:val="0"/>
          <w:numId w:val="15"/>
        </w:numPr>
        <w:rPr>
          <w:rFonts w:ascii="Arial" w:cs="Arial" w:eastAsia="Arial" w:hAnsi="Arial"/>
          <w:sz w:val="18"/>
          <w:szCs w:val="18"/>
          <w:color w:val="auto"/>
        </w:rPr>
      </w:pPr>
      <w:r>
        <w:rPr>
          <w:rFonts w:ascii="Arial" w:cs="Arial" w:eastAsia="Arial" w:hAnsi="Arial"/>
          <w:sz w:val="18"/>
          <w:szCs w:val="18"/>
          <w:color w:val="auto"/>
        </w:rPr>
        <w:t>waive a redemption payment with respect to any debt security. (Section 9.3)</w:t>
      </w:r>
    </w:p>
    <w:p>
      <w:pPr>
        <w:spacing w:after="0" w:line="225" w:lineRule="exact"/>
        <w:rPr>
          <w:sz w:val="20"/>
          <w:szCs w:val="20"/>
          <w:color w:val="auto"/>
        </w:rPr>
      </w:pPr>
    </w:p>
    <w:p>
      <w:pPr>
        <w:spacing w:after="0" w:line="293" w:lineRule="auto"/>
        <w:rPr>
          <w:sz w:val="20"/>
          <w:szCs w:val="20"/>
          <w:color w:val="auto"/>
        </w:rPr>
      </w:pPr>
      <w:r>
        <w:rPr>
          <w:rFonts w:ascii="Arial" w:cs="Arial" w:eastAsia="Arial" w:hAnsi="Arial"/>
          <w:sz w:val="16"/>
          <w:szCs w:val="16"/>
          <w:color w:val="auto"/>
        </w:rPr>
        <w:t>Except for certain specified provisions, the holders of at least a majority in principal amount of the outstanding debt securities of any series may on behalf of the holders of all debt securities of that series waive our compliance with provisions of the indenture. (Section 9.2) The holders of a majority in principal amount of the outstanding debt securities of any series may on behalf of the holders of all the debt securities of such series waive any past default under the indenture with respect to that series and its consequences, except a default in the payment of the principal of, premium or any interest on any debt security of that series; provided, however, that the holders of a majority in principal amount of the outstanding debt securities of any series may rescind an acceleration and its consequences, including any related payment default that resulted from the acceleration. (Section 6.13)</w:t>
      </w:r>
    </w:p>
    <w:p>
      <w:pPr>
        <w:spacing w:after="0" w:line="26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Defeasance of Debt Securities and Certain Covenants in Certain Circumstances</w:t>
      </w:r>
    </w:p>
    <w:p>
      <w:pPr>
        <w:spacing w:after="0" w:line="121" w:lineRule="exact"/>
        <w:rPr>
          <w:sz w:val="20"/>
          <w:szCs w:val="20"/>
          <w:color w:val="auto"/>
        </w:rPr>
      </w:pPr>
    </w:p>
    <w:p>
      <w:pPr>
        <w:ind w:right="60"/>
        <w:spacing w:after="0" w:line="271" w:lineRule="auto"/>
        <w:rPr>
          <w:sz w:val="20"/>
          <w:szCs w:val="20"/>
          <w:color w:val="auto"/>
        </w:rPr>
      </w:pPr>
      <w:r>
        <w:rPr>
          <w:rFonts w:ascii="Arial" w:cs="Arial" w:eastAsia="Arial" w:hAnsi="Arial"/>
          <w:sz w:val="17"/>
          <w:szCs w:val="17"/>
          <w:i w:val="1"/>
          <w:iCs w:val="1"/>
          <w:color w:val="auto"/>
        </w:rPr>
        <w:t>Legal Defeasance</w:t>
      </w:r>
      <w:r>
        <w:rPr>
          <w:rFonts w:ascii="Arial" w:cs="Arial" w:eastAsia="Arial" w:hAnsi="Arial"/>
          <w:sz w:val="17"/>
          <w:szCs w:val="17"/>
          <w:color w:val="auto"/>
        </w:rPr>
        <w:t>. The indenture provides that, unless otherwise provided by the terms of the applicable series of debt securities, we may be discharged</w:t>
      </w:r>
      <w:r>
        <w:rPr>
          <w:rFonts w:ascii="Arial" w:cs="Arial" w:eastAsia="Arial" w:hAnsi="Arial"/>
          <w:sz w:val="17"/>
          <w:szCs w:val="17"/>
          <w:i w:val="1"/>
          <w:iCs w:val="1"/>
          <w:color w:val="auto"/>
        </w:rPr>
        <w:t xml:space="preserve"> </w:t>
      </w:r>
      <w:r>
        <w:rPr>
          <w:rFonts w:ascii="Arial" w:cs="Arial" w:eastAsia="Arial" w:hAnsi="Arial"/>
          <w:sz w:val="17"/>
          <w:szCs w:val="17"/>
          <w:color w:val="auto"/>
        </w:rPr>
        <w:t>from any and all obligations in respect of the debt securities of any series (subject to certain exceptions). We will be so discharged upon the irrevocable deposit with the trustee, in trust, of money and/or U.S. government obligations or, in the case of debt securities denominated in a single currency other than U.S. Dollars, government obligations of the government that issued or caused to be issued such currency, that, through the payment of interest and principal in accordance with their terms, will provide money or U.S. government obligations in an amount sufficient in the opinion of a nationally recognized firm of independent public accountants or investment bank to pay and discharge each installment of principal, premium and interest on and any mandatory sinking fund payments in respect of the debt securities of that series on the stated maturity of those payments in accordance with the terms of the indenture and those debt securities.</w:t>
      </w:r>
    </w:p>
    <w:p>
      <w:pPr>
        <w:spacing w:after="0" w:line="178" w:lineRule="exact"/>
        <w:rPr>
          <w:sz w:val="20"/>
          <w:szCs w:val="20"/>
          <w:color w:val="auto"/>
        </w:rPr>
      </w:pPr>
    </w:p>
    <w:p>
      <w:pPr>
        <w:spacing w:after="0" w:line="273" w:lineRule="auto"/>
        <w:rPr>
          <w:sz w:val="20"/>
          <w:szCs w:val="20"/>
          <w:color w:val="auto"/>
        </w:rPr>
      </w:pPr>
      <w:r>
        <w:rPr>
          <w:rFonts w:ascii="Arial" w:cs="Arial" w:eastAsia="Arial" w:hAnsi="Arial"/>
          <w:sz w:val="17"/>
          <w:szCs w:val="17"/>
          <w:color w:val="auto"/>
        </w:rPr>
        <w:t>This discharge may occur only if, among other things, we have delivered to the trustee an opinion of counsel stating that we have received from, or there has been published by, the United States Internal Revenue Service a ruling or, since the date of execution of the indenture, there has been a change in the applicable United States federal income tax law, in either case to the effect that, and based thereon such opinion shall confirm that, the holders of the debt securities of that series will not recognize income, gain or loss for United States federal income tax purposes as a result of the deposit, defeasance and discharge and will be subject to United States federal income tax on the same amounts and in the same manner and at the same times as would have been the case if the deposit, defeasance and discharge had not occurred. (Section 8.3)</w:t>
      </w:r>
    </w:p>
    <w:p>
      <w:pPr>
        <w:spacing w:after="0" w:line="11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18</w:t>
      </w:r>
    </w:p>
    <w:p>
      <w:pPr>
        <w:sectPr>
          <w:pgSz w:w="11900" w:h="16838" w:orient="portrait"/>
          <w:cols w:equalWidth="0" w:num="1">
            <w:col w:w="11000"/>
          </w:cols>
          <w:pgMar w:left="440" w:top="274" w:right="459" w:bottom="1440" w:gutter="0" w:footer="0" w:header="0"/>
        </w:sectPr>
      </w:pPr>
    </w:p>
    <w:bookmarkStart w:id="23" w:name="page24"/>
    <w:bookmarkEnd w:id="23"/>
    <w:p>
      <w:pPr>
        <w:ind w:right="160"/>
        <w:spacing w:after="0" w:line="277" w:lineRule="auto"/>
        <w:rPr>
          <w:sz w:val="20"/>
          <w:szCs w:val="20"/>
          <w:color w:val="auto"/>
        </w:rPr>
      </w:pPr>
      <w:r>
        <w:rPr>
          <w:rFonts w:ascii="Arial" w:cs="Arial" w:eastAsia="Arial" w:hAnsi="Arial"/>
          <w:sz w:val="18"/>
          <w:szCs w:val="18"/>
          <w:i w:val="1"/>
          <w:iCs w:val="1"/>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52">
                      <a:extLst>
                        <a:ext uri="{28A0092B-C50C-407E-A947-70E740481C1C}"/>
                      </a:extLst>
                    </a:blip>
                    <a:srcRect/>
                    <a:stretch>
                      <a:fillRect/>
                    </a:stretch>
                  </pic:blipFill>
                  <pic:spPr bwMode="auto">
                    <a:xfrm>
                      <a:off x="0" y="0"/>
                      <a:ext cx="7149465" cy="25400"/>
                    </a:xfrm>
                    <a:prstGeom prst="rect">
                      <a:avLst/>
                    </a:prstGeom>
                    <a:noFill/>
                  </pic:spPr>
                </pic:pic>
              </a:graphicData>
            </a:graphic>
          </wp:anchor>
        </w:drawing>
        <w:t>Defeasance of Certain Covenants</w:t>
      </w:r>
      <w:r>
        <w:rPr>
          <w:rFonts w:ascii="Arial" w:cs="Arial" w:eastAsia="Arial" w:hAnsi="Arial"/>
          <w:sz w:val="18"/>
          <w:szCs w:val="18"/>
          <w:color w:val="auto"/>
        </w:rPr>
        <w:t>. The indenture provides that, unless otherwise provided by the terms of the applicable series of debt securities, upon</w:t>
      </w:r>
      <w:r>
        <w:rPr>
          <w:rFonts w:ascii="Arial" w:cs="Arial" w:eastAsia="Arial" w:hAnsi="Arial"/>
          <w:sz w:val="18"/>
          <w:szCs w:val="18"/>
          <w:i w:val="1"/>
          <w:iCs w:val="1"/>
          <w:color w:val="auto"/>
        </w:rPr>
        <w:t xml:space="preserve"> </w:t>
      </w:r>
      <w:r>
        <w:rPr>
          <w:rFonts w:ascii="Arial" w:cs="Arial" w:eastAsia="Arial" w:hAnsi="Arial"/>
          <w:sz w:val="18"/>
          <w:szCs w:val="18"/>
          <w:color w:val="auto"/>
        </w:rPr>
        <w:t>compliance with certain conditions:</w:t>
      </w:r>
    </w:p>
    <w:p>
      <w:pPr>
        <w:spacing w:after="0" w:line="76" w:lineRule="exact"/>
        <w:rPr>
          <w:sz w:val="20"/>
          <w:szCs w:val="20"/>
          <w:color w:val="auto"/>
        </w:rPr>
      </w:pPr>
    </w:p>
    <w:p>
      <w:pPr>
        <w:ind w:left="960" w:right="180" w:hanging="424"/>
        <w:spacing w:after="0" w:line="263" w:lineRule="auto"/>
        <w:tabs>
          <w:tab w:leader="none" w:pos="960" w:val="left"/>
        </w:tabs>
        <w:numPr>
          <w:ilvl w:val="0"/>
          <w:numId w:val="16"/>
        </w:numPr>
        <w:rPr>
          <w:rFonts w:ascii="Arial" w:cs="Arial" w:eastAsia="Arial" w:hAnsi="Arial"/>
          <w:sz w:val="18"/>
          <w:szCs w:val="18"/>
          <w:color w:val="auto"/>
        </w:rPr>
      </w:pPr>
      <w:r>
        <w:rPr>
          <w:rFonts w:ascii="Arial" w:cs="Arial" w:eastAsia="Arial" w:hAnsi="Arial"/>
          <w:sz w:val="18"/>
          <w:szCs w:val="18"/>
          <w:color w:val="auto"/>
        </w:rPr>
        <w:t>we may omit to comply with the covenant described under the heading “Consolidation, Merger and Sale of Assets” and certain other covenants set forth in the indenture, as well as any additional covenants which may be set forth in the applicable prospectus supplement; and</w:t>
      </w:r>
    </w:p>
    <w:p>
      <w:pPr>
        <w:spacing w:after="0" w:line="89" w:lineRule="exact"/>
        <w:rPr>
          <w:rFonts w:ascii="Arial" w:cs="Arial" w:eastAsia="Arial" w:hAnsi="Arial"/>
          <w:sz w:val="18"/>
          <w:szCs w:val="18"/>
          <w:color w:val="auto"/>
        </w:rPr>
      </w:pPr>
    </w:p>
    <w:p>
      <w:pPr>
        <w:ind w:left="960" w:right="60" w:hanging="424"/>
        <w:spacing w:after="0" w:line="277" w:lineRule="auto"/>
        <w:tabs>
          <w:tab w:leader="none" w:pos="960" w:val="left"/>
        </w:tabs>
        <w:numPr>
          <w:ilvl w:val="0"/>
          <w:numId w:val="16"/>
        </w:numPr>
        <w:rPr>
          <w:rFonts w:ascii="Arial" w:cs="Arial" w:eastAsia="Arial" w:hAnsi="Arial"/>
          <w:sz w:val="18"/>
          <w:szCs w:val="18"/>
          <w:color w:val="auto"/>
        </w:rPr>
      </w:pPr>
      <w:r>
        <w:rPr>
          <w:rFonts w:ascii="Arial" w:cs="Arial" w:eastAsia="Arial" w:hAnsi="Arial"/>
          <w:sz w:val="18"/>
          <w:szCs w:val="18"/>
          <w:color w:val="auto"/>
        </w:rPr>
        <w:t>any omission to comply with those covenants will not constitute a Default or an Event of Default with respect to the debt securities of that series (“covenant defeasance”).</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color w:val="auto"/>
        </w:rPr>
        <w:t>The conditions include:</w:t>
      </w:r>
    </w:p>
    <w:p>
      <w:pPr>
        <w:spacing w:after="0" w:line="131" w:lineRule="exact"/>
        <w:rPr>
          <w:sz w:val="20"/>
          <w:szCs w:val="20"/>
          <w:color w:val="auto"/>
        </w:rPr>
      </w:pPr>
    </w:p>
    <w:p>
      <w:pPr>
        <w:ind w:left="960" w:right="80" w:hanging="424"/>
        <w:spacing w:after="0" w:line="273" w:lineRule="auto"/>
        <w:tabs>
          <w:tab w:leader="none" w:pos="960" w:val="left"/>
        </w:tabs>
        <w:numPr>
          <w:ilvl w:val="0"/>
          <w:numId w:val="17"/>
        </w:numPr>
        <w:rPr>
          <w:rFonts w:ascii="Arial" w:cs="Arial" w:eastAsia="Arial" w:hAnsi="Arial"/>
          <w:sz w:val="17"/>
          <w:szCs w:val="17"/>
          <w:color w:val="auto"/>
        </w:rPr>
      </w:pPr>
      <w:r>
        <w:rPr>
          <w:rFonts w:ascii="Arial" w:cs="Arial" w:eastAsia="Arial" w:hAnsi="Arial"/>
          <w:sz w:val="17"/>
          <w:szCs w:val="17"/>
          <w:color w:val="auto"/>
        </w:rPr>
        <w:t>depositing with the trustee money and/or U.S. government obligations or, in the case of debt securities denominated in a single currency other than U.S. Dollars, government obligations of the government that issued or caused to be issued such currency, that, through the payment of interest and principal in accordance with their terms, will provide money in an amount sufficient in the opinion of a nationally recognized firm of independent public accountants or investment bank to pay and discharge each installment of principal of, premium and interest on and any mandatory sinking fund payments in respect of the debt securities of that series on the stated maturity of those payments in accordance with the terms of the indenture and those debt securities; and</w:t>
      </w:r>
    </w:p>
    <w:p>
      <w:pPr>
        <w:spacing w:after="0" w:line="83" w:lineRule="exact"/>
        <w:rPr>
          <w:rFonts w:ascii="Arial" w:cs="Arial" w:eastAsia="Arial" w:hAnsi="Arial"/>
          <w:sz w:val="17"/>
          <w:szCs w:val="17"/>
          <w:color w:val="auto"/>
        </w:rPr>
      </w:pPr>
    </w:p>
    <w:p>
      <w:pPr>
        <w:ind w:left="960" w:hanging="424"/>
        <w:spacing w:after="0" w:line="293" w:lineRule="auto"/>
        <w:tabs>
          <w:tab w:leader="none" w:pos="960" w:val="left"/>
        </w:tabs>
        <w:numPr>
          <w:ilvl w:val="0"/>
          <w:numId w:val="17"/>
        </w:numPr>
        <w:rPr>
          <w:rFonts w:ascii="Arial" w:cs="Arial" w:eastAsia="Arial" w:hAnsi="Arial"/>
          <w:sz w:val="16"/>
          <w:szCs w:val="16"/>
          <w:color w:val="auto"/>
        </w:rPr>
      </w:pPr>
      <w:r>
        <w:rPr>
          <w:rFonts w:ascii="Arial" w:cs="Arial" w:eastAsia="Arial" w:hAnsi="Arial"/>
          <w:sz w:val="16"/>
          <w:szCs w:val="16"/>
          <w:color w:val="auto"/>
        </w:rPr>
        <w:t>delivering to the trustee an opinion of counsel to the effect that we have received from, or there has been published by, the United States Internal Revenue Service a ruling or, since the date of execution of the indenture, there has been a change in the applicable United States federal income tax law, in either case to the effect that, and based thereon such opinion shall confirm that, the beneficial owners of the debt securities of that series will not recognize income, gain or loss for United States federal income tax purposes as a result of the deposit and related covenant defeasance and will be subject to United States federal income tax on the same amounts and in the same manner and at the same times as would have been the case if the deposit and related covenant defeasance had not occurred. (Section 8.4)</w:t>
      </w:r>
    </w:p>
    <w:p>
      <w:pPr>
        <w:spacing w:after="0" w:line="26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 Personal Liability of Directors, Officers, Employees or Securityholders</w:t>
      </w:r>
    </w:p>
    <w:p>
      <w:pPr>
        <w:spacing w:after="0" w:line="121" w:lineRule="exact"/>
        <w:rPr>
          <w:sz w:val="20"/>
          <w:szCs w:val="20"/>
          <w:color w:val="auto"/>
        </w:rPr>
      </w:pPr>
    </w:p>
    <w:p>
      <w:pPr>
        <w:jc w:val="both"/>
        <w:ind w:right="100"/>
        <w:spacing w:after="0" w:line="263" w:lineRule="auto"/>
        <w:rPr>
          <w:sz w:val="20"/>
          <w:szCs w:val="20"/>
          <w:color w:val="auto"/>
        </w:rPr>
      </w:pPr>
      <w:r>
        <w:rPr>
          <w:rFonts w:ascii="Arial" w:cs="Arial" w:eastAsia="Arial" w:hAnsi="Arial"/>
          <w:sz w:val="18"/>
          <w:szCs w:val="18"/>
          <w:color w:val="auto"/>
        </w:rPr>
        <w:t>None of our past, present or future directors, officers, employees or securityholders, as such, will have any liability for any of our obligations under the debt securities or the indenture or for any claim based on, or in respect or by reason of, such obligations or their creation. By accepting a debt security, each holder waives and releases all such liability. (Section 10.8)</w:t>
      </w:r>
    </w:p>
    <w:p>
      <w:pPr>
        <w:spacing w:after="0" w:line="184" w:lineRule="exact"/>
        <w:rPr>
          <w:sz w:val="20"/>
          <w:szCs w:val="20"/>
          <w:color w:val="auto"/>
        </w:rPr>
      </w:pPr>
    </w:p>
    <w:p>
      <w:pPr>
        <w:ind w:right="200"/>
        <w:spacing w:after="0" w:line="277" w:lineRule="auto"/>
        <w:rPr>
          <w:sz w:val="20"/>
          <w:szCs w:val="20"/>
          <w:color w:val="auto"/>
        </w:rPr>
      </w:pPr>
      <w:r>
        <w:rPr>
          <w:rFonts w:ascii="Arial" w:cs="Arial" w:eastAsia="Arial" w:hAnsi="Arial"/>
          <w:sz w:val="18"/>
          <w:szCs w:val="18"/>
          <w:color w:val="auto"/>
        </w:rPr>
        <w:t>This waiver and release is part of the consideration for the issue of the debt securities. However, this waiver and release may not be effective to waive liabilities under U.S. federal securities laws, and it is the view of the SEC that such a waiver is against public policy.</w:t>
      </w:r>
    </w:p>
    <w:p>
      <w:pPr>
        <w:spacing w:after="0" w:line="27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Governing Law</w:t>
      </w:r>
    </w:p>
    <w:p>
      <w:pPr>
        <w:spacing w:after="0" w:line="121" w:lineRule="exact"/>
        <w:rPr>
          <w:sz w:val="20"/>
          <w:szCs w:val="20"/>
          <w:color w:val="auto"/>
        </w:rPr>
      </w:pPr>
    </w:p>
    <w:p>
      <w:pPr>
        <w:ind w:right="40"/>
        <w:spacing w:after="0" w:line="277" w:lineRule="auto"/>
        <w:rPr>
          <w:sz w:val="20"/>
          <w:szCs w:val="20"/>
          <w:color w:val="auto"/>
        </w:rPr>
      </w:pPr>
      <w:r>
        <w:rPr>
          <w:rFonts w:ascii="Arial" w:cs="Arial" w:eastAsia="Arial" w:hAnsi="Arial"/>
          <w:sz w:val="18"/>
          <w:szCs w:val="18"/>
          <w:color w:val="auto"/>
        </w:rPr>
        <w:t>The indenture and the debt securities, including any claim or controversy arising out of or relating to the indenture or the securities, will be governed by the laws of the State of New York.</w:t>
      </w:r>
    </w:p>
    <w:p>
      <w:pPr>
        <w:spacing w:after="0" w:line="170" w:lineRule="exact"/>
        <w:rPr>
          <w:sz w:val="20"/>
          <w:szCs w:val="20"/>
          <w:color w:val="auto"/>
        </w:rPr>
      </w:pPr>
    </w:p>
    <w:p>
      <w:pPr>
        <w:ind w:right="40"/>
        <w:spacing w:after="0" w:line="263" w:lineRule="auto"/>
        <w:rPr>
          <w:sz w:val="20"/>
          <w:szCs w:val="20"/>
          <w:color w:val="auto"/>
        </w:rPr>
      </w:pPr>
      <w:r>
        <w:rPr>
          <w:rFonts w:ascii="Arial" w:cs="Arial" w:eastAsia="Arial" w:hAnsi="Arial"/>
          <w:sz w:val="18"/>
          <w:szCs w:val="18"/>
          <w:color w:val="auto"/>
        </w:rPr>
        <w:t>The indenture will provide that we, the trustee and the holders of the debt securities (by their acceptance of the debt securities) irrevocably waive, to the fullest extent permitted by applicable law, any and all right to trial by jury in any legal proceeding arising out of or relating to the indenture, the debt securities or the transactions contemplated thereby.</w:t>
      </w:r>
    </w:p>
    <w:p>
      <w:pPr>
        <w:spacing w:after="0" w:line="184" w:lineRule="exact"/>
        <w:rPr>
          <w:sz w:val="20"/>
          <w:szCs w:val="20"/>
          <w:color w:val="auto"/>
        </w:rPr>
      </w:pPr>
    </w:p>
    <w:p>
      <w:pPr>
        <w:ind w:right="160"/>
        <w:spacing w:after="0" w:line="301" w:lineRule="auto"/>
        <w:rPr>
          <w:sz w:val="20"/>
          <w:szCs w:val="20"/>
          <w:color w:val="auto"/>
        </w:rPr>
      </w:pPr>
      <w:r>
        <w:rPr>
          <w:rFonts w:ascii="Arial" w:cs="Arial" w:eastAsia="Arial" w:hAnsi="Arial"/>
          <w:sz w:val="16"/>
          <w:szCs w:val="16"/>
          <w:color w:val="auto"/>
        </w:rPr>
        <w:t>The indenture will provide that any legal suit, action or proceeding arising out of or based upon the indenture or the transactions contemplated thereby may be instituted in the federal courts of the United States of America located in the City of New York or the courts of the State of New York in each case located in the City of New York, and we, the trustee and the holder of the debt securities (by their acceptance of the debt securities) irrevocably submit to the non-exclusive jurisdiction of such courts in any such suit, action or proceeding. The indenture will further provide that</w:t>
      </w:r>
    </w:p>
    <w:p>
      <w:pPr>
        <w:spacing w:after="0" w:line="90"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19</w:t>
      </w:r>
    </w:p>
    <w:p>
      <w:pPr>
        <w:sectPr>
          <w:pgSz w:w="11900" w:h="16838" w:orient="portrait"/>
          <w:cols w:equalWidth="0" w:num="1">
            <w:col w:w="10980"/>
          </w:cols>
          <w:pgMar w:left="440" w:top="274" w:right="479" w:bottom="1440" w:gutter="0" w:footer="0" w:header="0"/>
        </w:sectPr>
      </w:pPr>
    </w:p>
    <w:bookmarkStart w:id="24" w:name="page25"/>
    <w:bookmarkEnd w:id="24"/>
    <w:p>
      <w:pPr>
        <w:spacing w:after="0" w:line="296"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53">
                      <a:extLst>
                        <a:ext uri="{28A0092B-C50C-407E-A947-70E740481C1C}"/>
                      </a:extLst>
                    </a:blip>
                    <a:srcRect/>
                    <a:stretch>
                      <a:fillRect/>
                    </a:stretch>
                  </pic:blipFill>
                  <pic:spPr bwMode="auto">
                    <a:xfrm>
                      <a:off x="0" y="0"/>
                      <a:ext cx="7149465" cy="25400"/>
                    </a:xfrm>
                    <a:prstGeom prst="rect">
                      <a:avLst/>
                    </a:prstGeom>
                    <a:noFill/>
                  </pic:spPr>
                </pic:pic>
              </a:graphicData>
            </a:graphic>
          </wp:anchor>
        </w:drawing>
        <w:t>service of any process, summons, notice or document by mail (to the extent allowed under any applicable statute or rule of court) to such party’s address set forth in the indenture will be effective service of process for any suit, action or other proceeding brought in any such court. The indenture will further provide that we, the trustee and the holders of the debt securities (by their acceptance of the debt securities) irrevocably and unconditionally waive any objection to the laying of venue of any suit, action or other proceeding in the courts specified above and irrevocably and unconditionally waive and agree not to plead or claim any such suit, action or other proceeding has been brought in an inconvenient forum. (Section 10.10)</w:t>
      </w:r>
    </w:p>
    <w:p>
      <w:pPr>
        <w:spacing w:after="0" w:line="9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20</w:t>
      </w:r>
    </w:p>
    <w:p>
      <w:pPr>
        <w:sectPr>
          <w:pgSz w:w="11900" w:h="16838" w:orient="portrait"/>
          <w:cols w:equalWidth="0" w:num="1">
            <w:col w:w="11000"/>
          </w:cols>
          <w:pgMar w:left="440" w:top="274" w:right="459" w:bottom="1440" w:gutter="0" w:footer="0" w:header="0"/>
        </w:sectPr>
      </w:pPr>
    </w:p>
    <w:bookmarkStart w:id="25" w:name="page26"/>
    <w:bookmarkEnd w:id="25"/>
    <w:p>
      <w:pPr>
        <w:jc w:val="center"/>
        <w:ind w:right="-39"/>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54">
                      <a:extLst>
                        <a:ext uri="{28A0092B-C50C-407E-A947-70E740481C1C}"/>
                      </a:extLst>
                    </a:blip>
                    <a:srcRect/>
                    <a:stretch>
                      <a:fillRect/>
                    </a:stretch>
                  </pic:blipFill>
                  <pic:spPr bwMode="auto">
                    <a:xfrm>
                      <a:off x="0" y="0"/>
                      <a:ext cx="7149465" cy="25400"/>
                    </a:xfrm>
                    <a:prstGeom prst="rect">
                      <a:avLst/>
                    </a:prstGeom>
                    <a:noFill/>
                  </pic:spPr>
                </pic:pic>
              </a:graphicData>
            </a:graphic>
          </wp:anchor>
        </w:drawing>
        <w:t>DESCRIPTION OF WARRANTS</w:t>
      </w:r>
    </w:p>
    <w:p>
      <w:pPr>
        <w:spacing w:after="0" w:line="229" w:lineRule="exact"/>
        <w:rPr>
          <w:sz w:val="20"/>
          <w:szCs w:val="20"/>
          <w:color w:val="auto"/>
        </w:rPr>
      </w:pPr>
    </w:p>
    <w:p>
      <w:pPr>
        <w:spacing w:after="0" w:line="272" w:lineRule="auto"/>
        <w:rPr>
          <w:sz w:val="20"/>
          <w:szCs w:val="20"/>
          <w:color w:val="auto"/>
        </w:rPr>
      </w:pPr>
      <w:r>
        <w:rPr>
          <w:rFonts w:ascii="Arial" w:cs="Arial" w:eastAsia="Arial" w:hAnsi="Arial"/>
          <w:sz w:val="17"/>
          <w:szCs w:val="17"/>
          <w:color w:val="auto"/>
        </w:rPr>
        <w:t>We may issue warrants for the purchase of shares of our common stock or preferred stock or of debt securities. We may issue warrants independently or together with other securities, and the warrants may be attached to or separate from any offered securities. Each series of warrants will be issued under a separate warrant agreement to be entered into between us and the investors or a warrant agent. The following summary of material provisions of the warrants and warrant agreements are subject to, and qualified in their entirety by reference to, all the provisions of the warrant agreement and warrant certificate applicable to a particular series of warrants. The terms of any warrants offered under a prospectus supplement may differ from the terms described below. We urge you to read the applicable prospectus supplement and any related free writing prospectus, as well as the complete warrant agreements and warrant certificates that contain the terms of the warrants.</w:t>
      </w:r>
    </w:p>
    <w:p>
      <w:pPr>
        <w:spacing w:after="0" w:line="177" w:lineRule="exact"/>
        <w:rPr>
          <w:sz w:val="20"/>
          <w:szCs w:val="20"/>
          <w:color w:val="auto"/>
        </w:rPr>
      </w:pPr>
    </w:p>
    <w:p>
      <w:pPr>
        <w:spacing w:after="0"/>
        <w:rPr>
          <w:sz w:val="20"/>
          <w:szCs w:val="20"/>
          <w:color w:val="auto"/>
        </w:rPr>
      </w:pPr>
      <w:r>
        <w:rPr>
          <w:rFonts w:ascii="Arial" w:cs="Arial" w:eastAsia="Arial" w:hAnsi="Arial"/>
          <w:sz w:val="17"/>
          <w:szCs w:val="17"/>
          <w:color w:val="auto"/>
        </w:rPr>
        <w:t>The particular terms of any issue of warrants will be described in the prospectus supplement relating to the issue. Those terms may include:</w:t>
      </w:r>
    </w:p>
    <w:p>
      <w:pPr>
        <w:spacing w:after="0" w:line="142" w:lineRule="exact"/>
        <w:rPr>
          <w:sz w:val="20"/>
          <w:szCs w:val="20"/>
          <w:color w:val="auto"/>
        </w:rPr>
      </w:pPr>
    </w:p>
    <w:p>
      <w:pPr>
        <w:ind w:left="960" w:right="80" w:hanging="424"/>
        <w:spacing w:after="0" w:line="277" w:lineRule="auto"/>
        <w:tabs>
          <w:tab w:leader="none" w:pos="960" w:val="left"/>
        </w:tabs>
        <w:numPr>
          <w:ilvl w:val="0"/>
          <w:numId w:val="18"/>
        </w:numPr>
        <w:rPr>
          <w:rFonts w:ascii="Arial" w:cs="Arial" w:eastAsia="Arial" w:hAnsi="Arial"/>
          <w:sz w:val="18"/>
          <w:szCs w:val="18"/>
          <w:color w:val="auto"/>
        </w:rPr>
      </w:pPr>
      <w:r>
        <w:rPr>
          <w:rFonts w:ascii="Arial" w:cs="Arial" w:eastAsia="Arial" w:hAnsi="Arial"/>
          <w:sz w:val="18"/>
          <w:szCs w:val="18"/>
          <w:color w:val="auto"/>
        </w:rPr>
        <w:t>the number of shares of common stock or preferred stock purchasable upon the exercise of warrants to purchase such shares and the price at which such number of shares may be purchased upon such exercise;</w:t>
      </w:r>
    </w:p>
    <w:p>
      <w:pPr>
        <w:spacing w:after="0" w:line="75" w:lineRule="exact"/>
        <w:rPr>
          <w:rFonts w:ascii="Arial" w:cs="Arial" w:eastAsia="Arial" w:hAnsi="Arial"/>
          <w:sz w:val="18"/>
          <w:szCs w:val="18"/>
          <w:color w:val="auto"/>
        </w:rPr>
      </w:pPr>
    </w:p>
    <w:p>
      <w:pPr>
        <w:ind w:left="960" w:right="140" w:hanging="424"/>
        <w:spacing w:after="0" w:line="277" w:lineRule="auto"/>
        <w:tabs>
          <w:tab w:leader="none" w:pos="960" w:val="left"/>
        </w:tabs>
        <w:numPr>
          <w:ilvl w:val="0"/>
          <w:numId w:val="18"/>
        </w:numPr>
        <w:rPr>
          <w:rFonts w:ascii="Arial" w:cs="Arial" w:eastAsia="Arial" w:hAnsi="Arial"/>
          <w:sz w:val="18"/>
          <w:szCs w:val="18"/>
          <w:color w:val="auto"/>
        </w:rPr>
      </w:pPr>
      <w:r>
        <w:rPr>
          <w:rFonts w:ascii="Arial" w:cs="Arial" w:eastAsia="Arial" w:hAnsi="Arial"/>
          <w:sz w:val="18"/>
          <w:szCs w:val="18"/>
          <w:color w:val="auto"/>
        </w:rPr>
        <w:t>the designation, stated value and terms (including, without limitation, liquidation, dividend, conversion and voting rights) of the series of preferred stock purchasable upon exercise of warrants to purchase preferred stock;</w:t>
      </w:r>
    </w:p>
    <w:p>
      <w:pPr>
        <w:spacing w:after="0" w:line="75" w:lineRule="exact"/>
        <w:rPr>
          <w:rFonts w:ascii="Arial" w:cs="Arial" w:eastAsia="Arial" w:hAnsi="Arial"/>
          <w:sz w:val="18"/>
          <w:szCs w:val="18"/>
          <w:color w:val="auto"/>
        </w:rPr>
      </w:pPr>
    </w:p>
    <w:p>
      <w:pPr>
        <w:ind w:left="960" w:right="420" w:hanging="424"/>
        <w:spacing w:after="0" w:line="277" w:lineRule="auto"/>
        <w:tabs>
          <w:tab w:leader="none" w:pos="960" w:val="left"/>
        </w:tabs>
        <w:numPr>
          <w:ilvl w:val="0"/>
          <w:numId w:val="18"/>
        </w:numPr>
        <w:rPr>
          <w:rFonts w:ascii="Arial" w:cs="Arial" w:eastAsia="Arial" w:hAnsi="Arial"/>
          <w:sz w:val="18"/>
          <w:szCs w:val="18"/>
          <w:color w:val="auto"/>
        </w:rPr>
      </w:pPr>
      <w:r>
        <w:rPr>
          <w:rFonts w:ascii="Arial" w:cs="Arial" w:eastAsia="Arial" w:hAnsi="Arial"/>
          <w:sz w:val="18"/>
          <w:szCs w:val="18"/>
          <w:color w:val="auto"/>
        </w:rPr>
        <w:t>the principal amount of debt securities that may be purchased upon exercise of a debt warrant and the exercise price for the warrants, which may be payable in cash, securities or other property;</w:t>
      </w:r>
    </w:p>
    <w:p>
      <w:pPr>
        <w:spacing w:after="0" w:line="75" w:lineRule="exact"/>
        <w:rPr>
          <w:rFonts w:ascii="Arial" w:cs="Arial" w:eastAsia="Arial" w:hAnsi="Arial"/>
          <w:sz w:val="18"/>
          <w:szCs w:val="18"/>
          <w:color w:val="auto"/>
        </w:rPr>
      </w:pPr>
    </w:p>
    <w:p>
      <w:pPr>
        <w:ind w:left="960" w:right="600" w:hanging="424"/>
        <w:spacing w:after="0" w:line="277" w:lineRule="auto"/>
        <w:tabs>
          <w:tab w:leader="none" w:pos="960" w:val="left"/>
        </w:tabs>
        <w:numPr>
          <w:ilvl w:val="0"/>
          <w:numId w:val="18"/>
        </w:numPr>
        <w:rPr>
          <w:rFonts w:ascii="Arial" w:cs="Arial" w:eastAsia="Arial" w:hAnsi="Arial"/>
          <w:sz w:val="18"/>
          <w:szCs w:val="18"/>
          <w:color w:val="auto"/>
        </w:rPr>
      </w:pPr>
      <w:r>
        <w:rPr>
          <w:rFonts w:ascii="Arial" w:cs="Arial" w:eastAsia="Arial" w:hAnsi="Arial"/>
          <w:sz w:val="18"/>
          <w:szCs w:val="18"/>
          <w:color w:val="auto"/>
        </w:rPr>
        <w:t>the date, if any, on and after which the warrants and the related debt securities, preferred stock or common stock will be separately transferable;</w:t>
      </w:r>
    </w:p>
    <w:p>
      <w:pPr>
        <w:spacing w:after="0" w:line="75" w:lineRule="exact"/>
        <w:rPr>
          <w:rFonts w:ascii="Arial" w:cs="Arial" w:eastAsia="Arial" w:hAnsi="Arial"/>
          <w:sz w:val="18"/>
          <w:szCs w:val="18"/>
          <w:color w:val="auto"/>
        </w:rPr>
      </w:pPr>
    </w:p>
    <w:p>
      <w:pPr>
        <w:ind w:left="960" w:hanging="424"/>
        <w:spacing w:after="0"/>
        <w:tabs>
          <w:tab w:leader="none" w:pos="960" w:val="left"/>
        </w:tabs>
        <w:numPr>
          <w:ilvl w:val="0"/>
          <w:numId w:val="18"/>
        </w:numPr>
        <w:rPr>
          <w:rFonts w:ascii="Arial" w:cs="Arial" w:eastAsia="Arial" w:hAnsi="Arial"/>
          <w:sz w:val="18"/>
          <w:szCs w:val="18"/>
          <w:color w:val="auto"/>
        </w:rPr>
      </w:pPr>
      <w:r>
        <w:rPr>
          <w:rFonts w:ascii="Arial" w:cs="Arial" w:eastAsia="Arial" w:hAnsi="Arial"/>
          <w:sz w:val="18"/>
          <w:szCs w:val="18"/>
          <w:color w:val="auto"/>
        </w:rPr>
        <w:t>the terms of any rights to redeem or call the warrants;</w:t>
      </w:r>
    </w:p>
    <w:p>
      <w:pPr>
        <w:spacing w:after="0" w:line="130" w:lineRule="exact"/>
        <w:rPr>
          <w:rFonts w:ascii="Arial" w:cs="Arial" w:eastAsia="Arial" w:hAnsi="Arial"/>
          <w:sz w:val="18"/>
          <w:szCs w:val="18"/>
          <w:color w:val="auto"/>
        </w:rPr>
      </w:pPr>
    </w:p>
    <w:p>
      <w:pPr>
        <w:ind w:left="960" w:hanging="424"/>
        <w:spacing w:after="0"/>
        <w:tabs>
          <w:tab w:leader="none" w:pos="960" w:val="left"/>
        </w:tabs>
        <w:numPr>
          <w:ilvl w:val="0"/>
          <w:numId w:val="18"/>
        </w:numPr>
        <w:rPr>
          <w:rFonts w:ascii="Arial" w:cs="Arial" w:eastAsia="Arial" w:hAnsi="Arial"/>
          <w:sz w:val="18"/>
          <w:szCs w:val="18"/>
          <w:color w:val="auto"/>
        </w:rPr>
      </w:pPr>
      <w:r>
        <w:rPr>
          <w:rFonts w:ascii="Arial" w:cs="Arial" w:eastAsia="Arial" w:hAnsi="Arial"/>
          <w:sz w:val="18"/>
          <w:szCs w:val="18"/>
          <w:color w:val="auto"/>
        </w:rPr>
        <w:t>the date on which the right to exercise the warrants will commence and the date on which the right will expire;</w:t>
      </w:r>
    </w:p>
    <w:p>
      <w:pPr>
        <w:spacing w:after="0" w:line="130" w:lineRule="exact"/>
        <w:rPr>
          <w:rFonts w:ascii="Arial" w:cs="Arial" w:eastAsia="Arial" w:hAnsi="Arial"/>
          <w:sz w:val="18"/>
          <w:szCs w:val="18"/>
          <w:color w:val="auto"/>
        </w:rPr>
      </w:pPr>
    </w:p>
    <w:p>
      <w:pPr>
        <w:ind w:left="960" w:hanging="424"/>
        <w:spacing w:after="0"/>
        <w:tabs>
          <w:tab w:leader="none" w:pos="960" w:val="left"/>
        </w:tabs>
        <w:numPr>
          <w:ilvl w:val="0"/>
          <w:numId w:val="18"/>
        </w:numPr>
        <w:rPr>
          <w:rFonts w:ascii="Arial" w:cs="Arial" w:eastAsia="Arial" w:hAnsi="Arial"/>
          <w:sz w:val="18"/>
          <w:szCs w:val="18"/>
          <w:color w:val="auto"/>
        </w:rPr>
      </w:pPr>
      <w:r>
        <w:rPr>
          <w:rFonts w:ascii="Arial" w:cs="Arial" w:eastAsia="Arial" w:hAnsi="Arial"/>
          <w:sz w:val="18"/>
          <w:szCs w:val="18"/>
          <w:color w:val="auto"/>
        </w:rPr>
        <w:t>United States Federal income tax consequences applicable to the warrants; and</w:t>
      </w:r>
    </w:p>
    <w:p>
      <w:pPr>
        <w:spacing w:after="0" w:line="130" w:lineRule="exact"/>
        <w:rPr>
          <w:rFonts w:ascii="Arial" w:cs="Arial" w:eastAsia="Arial" w:hAnsi="Arial"/>
          <w:sz w:val="18"/>
          <w:szCs w:val="18"/>
          <w:color w:val="auto"/>
        </w:rPr>
      </w:pPr>
    </w:p>
    <w:p>
      <w:pPr>
        <w:ind w:left="960" w:right="140" w:hanging="424"/>
        <w:spacing w:after="0" w:line="277" w:lineRule="auto"/>
        <w:tabs>
          <w:tab w:leader="none" w:pos="960" w:val="left"/>
        </w:tabs>
        <w:numPr>
          <w:ilvl w:val="0"/>
          <w:numId w:val="18"/>
        </w:numPr>
        <w:rPr>
          <w:rFonts w:ascii="Arial" w:cs="Arial" w:eastAsia="Arial" w:hAnsi="Arial"/>
          <w:sz w:val="18"/>
          <w:szCs w:val="18"/>
          <w:color w:val="auto"/>
        </w:rPr>
      </w:pPr>
      <w:r>
        <w:rPr>
          <w:rFonts w:ascii="Arial" w:cs="Arial" w:eastAsia="Arial" w:hAnsi="Arial"/>
          <w:sz w:val="18"/>
          <w:szCs w:val="18"/>
          <w:color w:val="auto"/>
        </w:rPr>
        <w:t>any additional terms of the warrants, including terms, procedures, and limitations relating to the exchange, exercise and settlement of the warrants.</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color w:val="auto"/>
        </w:rPr>
        <w:t>Holders of equity warrants will not be entitled to:</w:t>
      </w:r>
    </w:p>
    <w:p>
      <w:pPr>
        <w:spacing w:after="0" w:line="131" w:lineRule="exact"/>
        <w:rPr>
          <w:sz w:val="20"/>
          <w:szCs w:val="20"/>
          <w:color w:val="auto"/>
        </w:rPr>
      </w:pPr>
    </w:p>
    <w:p>
      <w:pPr>
        <w:ind w:left="960" w:hanging="424"/>
        <w:spacing w:after="0"/>
        <w:tabs>
          <w:tab w:leader="none" w:pos="960" w:val="left"/>
        </w:tabs>
        <w:numPr>
          <w:ilvl w:val="0"/>
          <w:numId w:val="19"/>
        </w:numPr>
        <w:rPr>
          <w:rFonts w:ascii="Arial" w:cs="Arial" w:eastAsia="Arial" w:hAnsi="Arial"/>
          <w:sz w:val="18"/>
          <w:szCs w:val="18"/>
          <w:color w:val="auto"/>
        </w:rPr>
      </w:pPr>
      <w:r>
        <w:rPr>
          <w:rFonts w:ascii="Arial" w:cs="Arial" w:eastAsia="Arial" w:hAnsi="Arial"/>
          <w:sz w:val="18"/>
          <w:szCs w:val="18"/>
          <w:color w:val="auto"/>
        </w:rPr>
        <w:t>vote, consent or receive dividends;</w:t>
      </w:r>
    </w:p>
    <w:p>
      <w:pPr>
        <w:spacing w:after="0" w:line="130" w:lineRule="exact"/>
        <w:rPr>
          <w:rFonts w:ascii="Arial" w:cs="Arial" w:eastAsia="Arial" w:hAnsi="Arial"/>
          <w:sz w:val="18"/>
          <w:szCs w:val="18"/>
          <w:color w:val="auto"/>
        </w:rPr>
      </w:pPr>
    </w:p>
    <w:p>
      <w:pPr>
        <w:ind w:left="960" w:hanging="424"/>
        <w:spacing w:after="0"/>
        <w:tabs>
          <w:tab w:leader="none" w:pos="960" w:val="left"/>
        </w:tabs>
        <w:numPr>
          <w:ilvl w:val="0"/>
          <w:numId w:val="19"/>
        </w:numPr>
        <w:rPr>
          <w:rFonts w:ascii="Arial" w:cs="Arial" w:eastAsia="Arial" w:hAnsi="Arial"/>
          <w:sz w:val="17"/>
          <w:szCs w:val="17"/>
          <w:color w:val="auto"/>
        </w:rPr>
      </w:pPr>
      <w:r>
        <w:rPr>
          <w:rFonts w:ascii="Arial" w:cs="Arial" w:eastAsia="Arial" w:hAnsi="Arial"/>
          <w:sz w:val="17"/>
          <w:szCs w:val="17"/>
          <w:color w:val="auto"/>
        </w:rPr>
        <w:t>receive notice as stockholders with respect to any meeting of stockholders for the election of our directors or any other matter; or</w:t>
      </w:r>
    </w:p>
    <w:p>
      <w:pPr>
        <w:spacing w:after="0" w:line="142" w:lineRule="exact"/>
        <w:rPr>
          <w:rFonts w:ascii="Arial" w:cs="Arial" w:eastAsia="Arial" w:hAnsi="Arial"/>
          <w:sz w:val="17"/>
          <w:szCs w:val="17"/>
          <w:color w:val="auto"/>
        </w:rPr>
      </w:pPr>
    </w:p>
    <w:p>
      <w:pPr>
        <w:ind w:left="960" w:hanging="424"/>
        <w:spacing w:after="0"/>
        <w:tabs>
          <w:tab w:leader="none" w:pos="960" w:val="left"/>
        </w:tabs>
        <w:numPr>
          <w:ilvl w:val="0"/>
          <w:numId w:val="19"/>
        </w:numPr>
        <w:rPr>
          <w:rFonts w:ascii="Arial" w:cs="Arial" w:eastAsia="Arial" w:hAnsi="Arial"/>
          <w:sz w:val="18"/>
          <w:szCs w:val="18"/>
          <w:color w:val="auto"/>
        </w:rPr>
      </w:pPr>
      <w:r>
        <w:rPr>
          <w:rFonts w:ascii="Arial" w:cs="Arial" w:eastAsia="Arial" w:hAnsi="Arial"/>
          <w:sz w:val="18"/>
          <w:szCs w:val="18"/>
          <w:color w:val="auto"/>
        </w:rPr>
        <w:t>exercise any rights as our stockholders.</w:t>
      </w:r>
    </w:p>
    <w:p>
      <w:pPr>
        <w:spacing w:after="0" w:line="225" w:lineRule="exact"/>
        <w:rPr>
          <w:sz w:val="20"/>
          <w:szCs w:val="20"/>
          <w:color w:val="auto"/>
        </w:rPr>
      </w:pPr>
    </w:p>
    <w:p>
      <w:pPr>
        <w:spacing w:after="0" w:line="279" w:lineRule="auto"/>
        <w:rPr>
          <w:sz w:val="20"/>
          <w:szCs w:val="20"/>
          <w:color w:val="auto"/>
        </w:rPr>
      </w:pPr>
      <w:r>
        <w:rPr>
          <w:rFonts w:ascii="Arial" w:cs="Arial" w:eastAsia="Arial" w:hAnsi="Arial"/>
          <w:sz w:val="17"/>
          <w:szCs w:val="17"/>
          <w:color w:val="auto"/>
        </w:rPr>
        <w:t>Each warrant will entitle its holder to purchase the principal amount of debt securities or the number of shares of preferred stock or common stock at the exercise price set forth in, or calculable as set forth in, the applicable prospectus supplement. Unless we otherwise specify in the applicable prospectus supplement, holders of the warrants may exercise the warrants at any time up to the specified time on the expiration date that we set forth in the applicable prospectus supplement. After the close of business on the expiration date, unexercised warrants will become void.</w:t>
      </w:r>
    </w:p>
    <w:p>
      <w:pPr>
        <w:spacing w:after="0" w:line="171"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A holder of warrant certificates may exchange them for new warrant certificates of different denominations, present them for registration of transfer and exercise them at the corporate trust office of the warrant agent or any other office indicated in the applicable prospectus supplement. Until any warrants to purchase debt securities are exercised, the holder of the warrants will not have any rights of holders of the debt securities that can be purchased upon exercise,</w:t>
      </w:r>
    </w:p>
    <w:p>
      <w:pPr>
        <w:spacing w:after="0" w:line="119"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21</w:t>
      </w:r>
    </w:p>
    <w:p>
      <w:pPr>
        <w:sectPr>
          <w:pgSz w:w="11900" w:h="16838" w:orient="portrait"/>
          <w:cols w:equalWidth="0" w:num="1">
            <w:col w:w="10960"/>
          </w:cols>
          <w:pgMar w:left="440" w:top="270" w:right="499" w:bottom="1440" w:gutter="0" w:footer="0" w:header="0"/>
        </w:sectPr>
      </w:pPr>
    </w:p>
    <w:bookmarkStart w:id="26" w:name="page27"/>
    <w:bookmarkEnd w:id="26"/>
    <w:p>
      <w:pPr>
        <w:spacing w:after="0" w:line="259"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55">
                      <a:extLst>
                        <a:ext uri="{28A0092B-C50C-407E-A947-70E740481C1C}"/>
                      </a:extLst>
                    </a:blip>
                    <a:srcRect/>
                    <a:stretch>
                      <a:fillRect/>
                    </a:stretch>
                  </pic:blipFill>
                  <pic:spPr bwMode="auto">
                    <a:xfrm>
                      <a:off x="0" y="0"/>
                      <a:ext cx="7149465" cy="25400"/>
                    </a:xfrm>
                    <a:prstGeom prst="rect">
                      <a:avLst/>
                    </a:prstGeom>
                    <a:noFill/>
                  </pic:spPr>
                </pic:pic>
              </a:graphicData>
            </a:graphic>
          </wp:anchor>
        </w:drawing>
        <w:t>including any rights to receive payments of principal, premium or interest on the underlying debt securities or to enforce covenants in the applicable indenture. Until any warrants to purchase common stock or preferred stock are exercised, the holders of the warrants will not have any rights of holders of the underlying common stock or preferred stock, including any rights to receive dividends or payments upon any liquidation, dissolution or winding up on the common stock or preferred stock, if any.</w:t>
      </w:r>
    </w:p>
    <w:p>
      <w:pPr>
        <w:spacing w:after="0" w:line="119"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22</w:t>
      </w:r>
    </w:p>
    <w:p>
      <w:pPr>
        <w:sectPr>
          <w:pgSz w:w="11900" w:h="16838" w:orient="portrait"/>
          <w:cols w:equalWidth="0" w:num="1">
            <w:col w:w="10900"/>
          </w:cols>
          <w:pgMar w:left="440" w:top="274" w:right="559" w:bottom="1440" w:gutter="0" w:footer="0" w:header="0"/>
        </w:sectPr>
      </w:pPr>
    </w:p>
    <w:bookmarkStart w:id="27" w:name="page28"/>
    <w:bookmarkEnd w:id="27"/>
    <w:p>
      <w:pPr>
        <w:jc w:val="center"/>
        <w:ind w:right="-39"/>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56">
                      <a:extLst>
                        <a:ext uri="{28A0092B-C50C-407E-A947-70E740481C1C}"/>
                      </a:extLst>
                    </a:blip>
                    <a:srcRect/>
                    <a:stretch>
                      <a:fillRect/>
                    </a:stretch>
                  </pic:blipFill>
                  <pic:spPr bwMode="auto">
                    <a:xfrm>
                      <a:off x="0" y="0"/>
                      <a:ext cx="7149465" cy="25400"/>
                    </a:xfrm>
                    <a:prstGeom prst="rect">
                      <a:avLst/>
                    </a:prstGeom>
                    <a:noFill/>
                  </pic:spPr>
                </pic:pic>
              </a:graphicData>
            </a:graphic>
          </wp:anchor>
        </w:drawing>
        <w:t>DESCRIPTION OF UNITS</w:t>
      </w:r>
    </w:p>
    <w:p>
      <w:pPr>
        <w:spacing w:after="0" w:line="229" w:lineRule="exact"/>
        <w:rPr>
          <w:sz w:val="20"/>
          <w:szCs w:val="20"/>
          <w:color w:val="auto"/>
        </w:rPr>
      </w:pPr>
    </w:p>
    <w:p>
      <w:pPr>
        <w:ind w:right="100"/>
        <w:spacing w:after="0" w:line="259" w:lineRule="auto"/>
        <w:rPr>
          <w:sz w:val="20"/>
          <w:szCs w:val="20"/>
          <w:color w:val="auto"/>
        </w:rPr>
      </w:pPr>
      <w:r>
        <w:rPr>
          <w:rFonts w:ascii="Arial" w:cs="Arial" w:eastAsia="Arial" w:hAnsi="Arial"/>
          <w:sz w:val="18"/>
          <w:szCs w:val="18"/>
          <w:color w:val="auto"/>
        </w:rPr>
        <w:t>We may issue units consisting of any combination of the other types of securities offered under this prospectus in one or more series. We may evidence each series of units by unit certificates that we will issue under a separate agreement. We may enter into unit agreements with a unit agent. Each unit agent will be a bank or trust company that we select. We will indicate the name and address of the unit agent in the applicable prospectus supplement relating to a particular series of units.</w:t>
      </w:r>
    </w:p>
    <w:p>
      <w:pPr>
        <w:spacing w:after="0" w:line="187"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The following description, together with the additional information included in any applicable prospectus supplement, summarizes the general features of the units that we may offer under this prospectus. You should read any prospectus supplement and any free writing prospectus that we may authorize to be provided to you related to the series of units being offered, as well as the complete unit agreements that contain the terms of the units. Specific unit agreements will contain additional important terms and provisions and we will file as an exhibit to the registration statement of which this prospectus is a part, or will incorporate by reference from another report that we file with the SEC, the form of each unit agreement relating to units offered under this prospectus.</w:t>
      </w:r>
    </w:p>
    <w:p>
      <w:pPr>
        <w:spacing w:after="0" w:line="192" w:lineRule="exact"/>
        <w:rPr>
          <w:sz w:val="20"/>
          <w:szCs w:val="20"/>
          <w:color w:val="auto"/>
        </w:rPr>
      </w:pPr>
    </w:p>
    <w:p>
      <w:pPr>
        <w:ind w:right="280"/>
        <w:spacing w:after="0" w:line="277" w:lineRule="auto"/>
        <w:rPr>
          <w:sz w:val="20"/>
          <w:szCs w:val="20"/>
          <w:color w:val="auto"/>
        </w:rPr>
      </w:pPr>
      <w:r>
        <w:rPr>
          <w:rFonts w:ascii="Arial" w:cs="Arial" w:eastAsia="Arial" w:hAnsi="Arial"/>
          <w:sz w:val="18"/>
          <w:szCs w:val="18"/>
          <w:color w:val="auto"/>
        </w:rPr>
        <w:t>If we offer any units, certain terms of that series of units will be described in the applicable prospectus supplement, including, without limitation, the following, as applicable:</w:t>
      </w:r>
    </w:p>
    <w:p>
      <w:pPr>
        <w:spacing w:after="0" w:line="76" w:lineRule="exact"/>
        <w:rPr>
          <w:sz w:val="20"/>
          <w:szCs w:val="20"/>
          <w:color w:val="auto"/>
        </w:rPr>
      </w:pPr>
    </w:p>
    <w:p>
      <w:pPr>
        <w:ind w:left="960" w:right="280" w:hanging="424"/>
        <w:spacing w:after="0" w:line="277" w:lineRule="auto"/>
        <w:tabs>
          <w:tab w:leader="none" w:pos="960" w:val="left"/>
        </w:tabs>
        <w:numPr>
          <w:ilvl w:val="0"/>
          <w:numId w:val="20"/>
        </w:numPr>
        <w:rPr>
          <w:rFonts w:ascii="Arial" w:cs="Arial" w:eastAsia="Arial" w:hAnsi="Arial"/>
          <w:sz w:val="18"/>
          <w:szCs w:val="18"/>
          <w:color w:val="auto"/>
        </w:rPr>
      </w:pPr>
      <w:r>
        <w:rPr>
          <w:rFonts w:ascii="Arial" w:cs="Arial" w:eastAsia="Arial" w:hAnsi="Arial"/>
          <w:sz w:val="18"/>
          <w:szCs w:val="18"/>
          <w:color w:val="auto"/>
        </w:rPr>
        <w:t>the designation and terms of the units and of the securities comprising the units, including whether and under what circumstances those securities may be held or transferred separately;</w:t>
      </w:r>
    </w:p>
    <w:p>
      <w:pPr>
        <w:spacing w:after="0" w:line="75" w:lineRule="exact"/>
        <w:rPr>
          <w:rFonts w:ascii="Arial" w:cs="Arial" w:eastAsia="Arial" w:hAnsi="Arial"/>
          <w:sz w:val="18"/>
          <w:szCs w:val="18"/>
          <w:color w:val="auto"/>
        </w:rPr>
      </w:pPr>
    </w:p>
    <w:p>
      <w:pPr>
        <w:ind w:left="960" w:hanging="424"/>
        <w:spacing w:after="0"/>
        <w:tabs>
          <w:tab w:leader="none" w:pos="960" w:val="left"/>
        </w:tabs>
        <w:numPr>
          <w:ilvl w:val="0"/>
          <w:numId w:val="20"/>
        </w:numPr>
        <w:rPr>
          <w:rFonts w:ascii="Arial" w:cs="Arial" w:eastAsia="Arial" w:hAnsi="Arial"/>
          <w:sz w:val="18"/>
          <w:szCs w:val="18"/>
          <w:color w:val="auto"/>
        </w:rPr>
      </w:pPr>
      <w:r>
        <w:rPr>
          <w:rFonts w:ascii="Arial" w:cs="Arial" w:eastAsia="Arial" w:hAnsi="Arial"/>
          <w:sz w:val="18"/>
          <w:szCs w:val="18"/>
          <w:color w:val="auto"/>
        </w:rPr>
        <w:t>any provisions of the governing unit agreement;</w:t>
      </w:r>
    </w:p>
    <w:p>
      <w:pPr>
        <w:spacing w:after="0" w:line="130" w:lineRule="exact"/>
        <w:rPr>
          <w:rFonts w:ascii="Arial" w:cs="Arial" w:eastAsia="Arial" w:hAnsi="Arial"/>
          <w:sz w:val="18"/>
          <w:szCs w:val="18"/>
          <w:color w:val="auto"/>
        </w:rPr>
      </w:pPr>
    </w:p>
    <w:p>
      <w:pPr>
        <w:ind w:left="960" w:hanging="424"/>
        <w:spacing w:after="0"/>
        <w:tabs>
          <w:tab w:leader="none" w:pos="960" w:val="left"/>
        </w:tabs>
        <w:numPr>
          <w:ilvl w:val="0"/>
          <w:numId w:val="20"/>
        </w:numPr>
        <w:rPr>
          <w:rFonts w:ascii="Arial" w:cs="Arial" w:eastAsia="Arial" w:hAnsi="Arial"/>
          <w:sz w:val="18"/>
          <w:szCs w:val="18"/>
          <w:color w:val="auto"/>
        </w:rPr>
      </w:pPr>
      <w:r>
        <w:rPr>
          <w:rFonts w:ascii="Arial" w:cs="Arial" w:eastAsia="Arial" w:hAnsi="Arial"/>
          <w:sz w:val="18"/>
          <w:szCs w:val="18"/>
          <w:color w:val="auto"/>
        </w:rPr>
        <w:t>the price or prices at which such units will be issued;</w:t>
      </w:r>
    </w:p>
    <w:p>
      <w:pPr>
        <w:spacing w:after="0" w:line="130" w:lineRule="exact"/>
        <w:rPr>
          <w:rFonts w:ascii="Arial" w:cs="Arial" w:eastAsia="Arial" w:hAnsi="Arial"/>
          <w:sz w:val="18"/>
          <w:szCs w:val="18"/>
          <w:color w:val="auto"/>
        </w:rPr>
      </w:pPr>
    </w:p>
    <w:p>
      <w:pPr>
        <w:ind w:left="960" w:hanging="424"/>
        <w:spacing w:after="0"/>
        <w:tabs>
          <w:tab w:leader="none" w:pos="960" w:val="left"/>
        </w:tabs>
        <w:numPr>
          <w:ilvl w:val="0"/>
          <w:numId w:val="20"/>
        </w:numPr>
        <w:rPr>
          <w:rFonts w:ascii="Arial" w:cs="Arial" w:eastAsia="Arial" w:hAnsi="Arial"/>
          <w:sz w:val="18"/>
          <w:szCs w:val="18"/>
          <w:color w:val="auto"/>
        </w:rPr>
      </w:pPr>
      <w:r>
        <w:rPr>
          <w:rFonts w:ascii="Arial" w:cs="Arial" w:eastAsia="Arial" w:hAnsi="Arial"/>
          <w:sz w:val="18"/>
          <w:szCs w:val="18"/>
          <w:color w:val="auto"/>
        </w:rPr>
        <w:t>the applicable United States federal income tax considerations relating to the units;</w:t>
      </w:r>
    </w:p>
    <w:p>
      <w:pPr>
        <w:spacing w:after="0" w:line="130" w:lineRule="exact"/>
        <w:rPr>
          <w:rFonts w:ascii="Arial" w:cs="Arial" w:eastAsia="Arial" w:hAnsi="Arial"/>
          <w:sz w:val="18"/>
          <w:szCs w:val="18"/>
          <w:color w:val="auto"/>
        </w:rPr>
      </w:pPr>
    </w:p>
    <w:p>
      <w:pPr>
        <w:ind w:left="960" w:hanging="424"/>
        <w:spacing w:after="0"/>
        <w:tabs>
          <w:tab w:leader="none" w:pos="960" w:val="left"/>
        </w:tabs>
        <w:numPr>
          <w:ilvl w:val="0"/>
          <w:numId w:val="20"/>
        </w:numPr>
        <w:rPr>
          <w:rFonts w:ascii="Arial" w:cs="Arial" w:eastAsia="Arial" w:hAnsi="Arial"/>
          <w:sz w:val="17"/>
          <w:szCs w:val="17"/>
          <w:color w:val="auto"/>
        </w:rPr>
      </w:pPr>
      <w:r>
        <w:rPr>
          <w:rFonts w:ascii="Arial" w:cs="Arial" w:eastAsia="Arial" w:hAnsi="Arial"/>
          <w:sz w:val="17"/>
          <w:szCs w:val="17"/>
          <w:color w:val="auto"/>
        </w:rPr>
        <w:t>any provisions for the issuance, payment, settlement, transfer or exchange of the units or of the securities comprising the units; and</w:t>
      </w:r>
    </w:p>
    <w:p>
      <w:pPr>
        <w:spacing w:after="0" w:line="142" w:lineRule="exact"/>
        <w:rPr>
          <w:rFonts w:ascii="Arial" w:cs="Arial" w:eastAsia="Arial" w:hAnsi="Arial"/>
          <w:sz w:val="17"/>
          <w:szCs w:val="17"/>
          <w:color w:val="auto"/>
        </w:rPr>
      </w:pPr>
    </w:p>
    <w:p>
      <w:pPr>
        <w:ind w:left="960" w:hanging="424"/>
        <w:spacing w:after="0"/>
        <w:tabs>
          <w:tab w:leader="none" w:pos="960" w:val="left"/>
        </w:tabs>
        <w:numPr>
          <w:ilvl w:val="0"/>
          <w:numId w:val="20"/>
        </w:numPr>
        <w:rPr>
          <w:rFonts w:ascii="Arial" w:cs="Arial" w:eastAsia="Arial" w:hAnsi="Arial"/>
          <w:sz w:val="18"/>
          <w:szCs w:val="18"/>
          <w:color w:val="auto"/>
        </w:rPr>
      </w:pPr>
      <w:r>
        <w:rPr>
          <w:rFonts w:ascii="Arial" w:cs="Arial" w:eastAsia="Arial" w:hAnsi="Arial"/>
          <w:sz w:val="18"/>
          <w:szCs w:val="18"/>
          <w:color w:val="auto"/>
        </w:rPr>
        <w:t>any other terms of the units and of the securities comprising the units.</w:t>
      </w:r>
    </w:p>
    <w:p>
      <w:pPr>
        <w:spacing w:after="0" w:line="225" w:lineRule="exact"/>
        <w:rPr>
          <w:sz w:val="20"/>
          <w:szCs w:val="20"/>
          <w:color w:val="auto"/>
        </w:rPr>
      </w:pPr>
    </w:p>
    <w:p>
      <w:pPr>
        <w:ind w:right="20"/>
        <w:spacing w:after="0" w:line="342" w:lineRule="auto"/>
        <w:rPr>
          <w:sz w:val="20"/>
          <w:szCs w:val="20"/>
          <w:color w:val="auto"/>
        </w:rPr>
      </w:pPr>
      <w:r>
        <w:rPr>
          <w:rFonts w:ascii="Arial" w:cs="Arial" w:eastAsia="Arial" w:hAnsi="Arial"/>
          <w:sz w:val="16"/>
          <w:szCs w:val="16"/>
          <w:color w:val="auto"/>
        </w:rPr>
        <w:t>The provisions described in this section, as well as those described under “Description of Capital Stock,” “Description of Debt Securities” and “Description of Warrants” will apply to the securities included in each unit, to the extent relevant and as may be updated in any prospectus supplements.</w:t>
      </w:r>
    </w:p>
    <w:p>
      <w:pPr>
        <w:spacing w:after="0" w:line="56"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23</w:t>
      </w:r>
    </w:p>
    <w:p>
      <w:pPr>
        <w:sectPr>
          <w:pgSz w:w="11900" w:h="16838" w:orient="portrait"/>
          <w:cols w:equalWidth="0" w:num="1">
            <w:col w:w="10980"/>
          </w:cols>
          <w:pgMar w:left="440" w:top="270" w:right="479" w:bottom="1440" w:gutter="0" w:footer="0" w:header="0"/>
        </w:sectPr>
      </w:pPr>
    </w:p>
    <w:bookmarkStart w:id="28" w:name="page29"/>
    <w:bookmarkEnd w:id="28"/>
    <w:p>
      <w:pPr>
        <w:jc w:val="center"/>
        <w:ind w:right="-319"/>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57">
                      <a:extLst>
                        <a:ext uri="{28A0092B-C50C-407E-A947-70E740481C1C}"/>
                      </a:extLst>
                    </a:blip>
                    <a:srcRect/>
                    <a:stretch>
                      <a:fillRect/>
                    </a:stretch>
                  </pic:blipFill>
                  <pic:spPr bwMode="auto">
                    <a:xfrm>
                      <a:off x="0" y="0"/>
                      <a:ext cx="7149465" cy="25400"/>
                    </a:xfrm>
                    <a:prstGeom prst="rect">
                      <a:avLst/>
                    </a:prstGeom>
                    <a:noFill/>
                  </pic:spPr>
                </pic:pic>
              </a:graphicData>
            </a:graphic>
          </wp:anchor>
        </w:drawing>
        <w:t>DESCRIPTION OF OUR SUBSCRIPTION RIGHTS</w:t>
      </w:r>
    </w:p>
    <w:p>
      <w:pPr>
        <w:spacing w:after="0" w:line="229"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As specified in any applicable prospectus supplement, we may issue subscription rights consisting of one or more debt securities, shares of preferred stock, shares of common stock or any combination of such securities.</w:t>
      </w:r>
    </w:p>
    <w:p>
      <w:pPr>
        <w:spacing w:after="0" w:line="103" w:lineRule="exact"/>
        <w:rPr>
          <w:sz w:val="20"/>
          <w:szCs w:val="20"/>
          <w:color w:val="auto"/>
        </w:rPr>
      </w:pPr>
    </w:p>
    <w:p>
      <w:pPr>
        <w:jc w:val="center"/>
        <w:ind w:right="-319"/>
        <w:spacing w:after="0"/>
        <w:rPr>
          <w:sz w:val="20"/>
          <w:szCs w:val="20"/>
          <w:color w:val="auto"/>
        </w:rPr>
      </w:pPr>
      <w:r>
        <w:rPr>
          <w:rFonts w:ascii="Arial" w:cs="Arial" w:eastAsia="Arial" w:hAnsi="Arial"/>
          <w:sz w:val="18"/>
          <w:szCs w:val="18"/>
          <w:color w:val="auto"/>
        </w:rPr>
        <w:t>24</w:t>
      </w:r>
    </w:p>
    <w:p>
      <w:pPr>
        <w:sectPr>
          <w:pgSz w:w="11900" w:h="16838" w:orient="portrait"/>
          <w:cols w:equalWidth="0" w:num="1">
            <w:col w:w="10700"/>
          </w:cols>
          <w:pgMar w:left="440" w:top="270" w:right="759" w:bottom="1440" w:gutter="0" w:footer="0" w:header="0"/>
        </w:sectPr>
      </w:pPr>
    </w:p>
    <w:bookmarkStart w:id="29" w:name="page30"/>
    <w:bookmarkEnd w:id="29"/>
    <w:p>
      <w:pPr>
        <w:jc w:val="center"/>
        <w:ind w:right="-19"/>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8">
                      <a:extLst>
                        <a:ext uri="{28A0092B-C50C-407E-A947-70E740481C1C}"/>
                      </a:extLst>
                    </a:blip>
                    <a:srcRect/>
                    <a:stretch>
                      <a:fillRect/>
                    </a:stretch>
                  </pic:blipFill>
                  <pic:spPr bwMode="auto">
                    <a:xfrm>
                      <a:off x="0" y="0"/>
                      <a:ext cx="7149465" cy="25400"/>
                    </a:xfrm>
                    <a:prstGeom prst="rect">
                      <a:avLst/>
                    </a:prstGeom>
                    <a:noFill/>
                  </pic:spPr>
                </pic:pic>
              </a:graphicData>
            </a:graphic>
          </wp:anchor>
        </w:drawing>
        <w:t>GLOBAL SECURITIES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Book-Entry, Delivery and Form</w:t>
      </w:r>
    </w:p>
    <w:p>
      <w:pPr>
        <w:spacing w:after="0" w:line="121" w:lineRule="exact"/>
        <w:rPr>
          <w:sz w:val="20"/>
          <w:szCs w:val="20"/>
          <w:color w:val="auto"/>
        </w:rPr>
      </w:pPr>
    </w:p>
    <w:p>
      <w:pPr>
        <w:ind w:right="80"/>
        <w:spacing w:after="0" w:line="255" w:lineRule="auto"/>
        <w:rPr>
          <w:sz w:val="20"/>
          <w:szCs w:val="20"/>
          <w:color w:val="auto"/>
        </w:rPr>
      </w:pPr>
      <w:r>
        <w:rPr>
          <w:rFonts w:ascii="Arial" w:cs="Arial" w:eastAsia="Arial" w:hAnsi="Arial"/>
          <w:sz w:val="18"/>
          <w:szCs w:val="18"/>
          <w:color w:val="auto"/>
        </w:rPr>
        <w:t>Unless we indicate differently in any applicable prospectus supplement, the securities initially will be issued in book-entry form and represented by one or more global notes or global securities, or, collectively, global securities. The global securities will be deposited with, or on behalf of, The Depository Trust Company, New York, New York, as depositary, or DTC, and registered in the name of Cede &amp; Co., the nominee of DTC. Unless and until it is exchanged for individual certificates evidencing securities under the limited circumstances described below, a global security may not be transferred except as a whole by the depositary to its nominee or by the nominee to the depositary, or by the depositary or its nominee to a successor depositary or to a nominee of the successor depositary.</w:t>
      </w:r>
    </w:p>
    <w:p>
      <w:pPr>
        <w:spacing w:after="0" w:line="192" w:lineRule="exact"/>
        <w:rPr>
          <w:sz w:val="20"/>
          <w:szCs w:val="20"/>
          <w:color w:val="auto"/>
        </w:rPr>
      </w:pPr>
    </w:p>
    <w:p>
      <w:pPr>
        <w:spacing w:after="0"/>
        <w:rPr>
          <w:sz w:val="20"/>
          <w:szCs w:val="20"/>
          <w:color w:val="auto"/>
        </w:rPr>
      </w:pPr>
      <w:r>
        <w:rPr>
          <w:rFonts w:ascii="Arial" w:cs="Arial" w:eastAsia="Arial" w:hAnsi="Arial"/>
          <w:sz w:val="18"/>
          <w:szCs w:val="18"/>
          <w:color w:val="auto"/>
        </w:rPr>
        <w:t>DTC has advised us that it is:</w:t>
      </w:r>
    </w:p>
    <w:p>
      <w:pPr>
        <w:spacing w:after="0" w:line="131" w:lineRule="exact"/>
        <w:rPr>
          <w:sz w:val="20"/>
          <w:szCs w:val="20"/>
          <w:color w:val="auto"/>
        </w:rPr>
      </w:pPr>
    </w:p>
    <w:p>
      <w:pPr>
        <w:ind w:left="960" w:hanging="424"/>
        <w:spacing w:after="0"/>
        <w:tabs>
          <w:tab w:leader="none" w:pos="960" w:val="left"/>
        </w:tabs>
        <w:numPr>
          <w:ilvl w:val="0"/>
          <w:numId w:val="21"/>
        </w:numPr>
        <w:rPr>
          <w:rFonts w:ascii="Arial" w:cs="Arial" w:eastAsia="Arial" w:hAnsi="Arial"/>
          <w:sz w:val="18"/>
          <w:szCs w:val="18"/>
          <w:color w:val="auto"/>
        </w:rPr>
      </w:pPr>
      <w:r>
        <w:rPr>
          <w:rFonts w:ascii="Arial" w:cs="Arial" w:eastAsia="Arial" w:hAnsi="Arial"/>
          <w:sz w:val="18"/>
          <w:szCs w:val="18"/>
          <w:color w:val="auto"/>
        </w:rPr>
        <w:t>a limited-purpose trust company organized under the New York Banking Law;</w:t>
      </w:r>
    </w:p>
    <w:p>
      <w:pPr>
        <w:spacing w:after="0" w:line="130" w:lineRule="exact"/>
        <w:rPr>
          <w:rFonts w:ascii="Arial" w:cs="Arial" w:eastAsia="Arial" w:hAnsi="Arial"/>
          <w:sz w:val="18"/>
          <w:szCs w:val="18"/>
          <w:color w:val="auto"/>
        </w:rPr>
      </w:pPr>
    </w:p>
    <w:p>
      <w:pPr>
        <w:ind w:left="960" w:hanging="424"/>
        <w:spacing w:after="0"/>
        <w:tabs>
          <w:tab w:leader="none" w:pos="960" w:val="left"/>
        </w:tabs>
        <w:numPr>
          <w:ilvl w:val="0"/>
          <w:numId w:val="21"/>
        </w:numPr>
        <w:rPr>
          <w:rFonts w:ascii="Arial" w:cs="Arial" w:eastAsia="Arial" w:hAnsi="Arial"/>
          <w:sz w:val="18"/>
          <w:szCs w:val="18"/>
          <w:color w:val="auto"/>
        </w:rPr>
      </w:pPr>
      <w:r>
        <w:rPr>
          <w:rFonts w:ascii="Arial" w:cs="Arial" w:eastAsia="Arial" w:hAnsi="Arial"/>
          <w:sz w:val="18"/>
          <w:szCs w:val="18"/>
          <w:color w:val="auto"/>
        </w:rPr>
        <w:t>a “banking organization” within the meaning of the New York Banking Law;</w:t>
      </w:r>
    </w:p>
    <w:p>
      <w:pPr>
        <w:spacing w:after="0" w:line="130" w:lineRule="exact"/>
        <w:rPr>
          <w:rFonts w:ascii="Arial" w:cs="Arial" w:eastAsia="Arial" w:hAnsi="Arial"/>
          <w:sz w:val="18"/>
          <w:szCs w:val="18"/>
          <w:color w:val="auto"/>
        </w:rPr>
      </w:pPr>
    </w:p>
    <w:p>
      <w:pPr>
        <w:ind w:left="960" w:hanging="424"/>
        <w:spacing w:after="0"/>
        <w:tabs>
          <w:tab w:leader="none" w:pos="960" w:val="left"/>
        </w:tabs>
        <w:numPr>
          <w:ilvl w:val="0"/>
          <w:numId w:val="21"/>
        </w:numPr>
        <w:rPr>
          <w:rFonts w:ascii="Arial" w:cs="Arial" w:eastAsia="Arial" w:hAnsi="Arial"/>
          <w:sz w:val="18"/>
          <w:szCs w:val="18"/>
          <w:color w:val="auto"/>
        </w:rPr>
      </w:pPr>
      <w:r>
        <w:rPr>
          <w:rFonts w:ascii="Arial" w:cs="Arial" w:eastAsia="Arial" w:hAnsi="Arial"/>
          <w:sz w:val="18"/>
          <w:szCs w:val="18"/>
          <w:color w:val="auto"/>
        </w:rPr>
        <w:t>a member of the Federal Reserve System;</w:t>
      </w:r>
    </w:p>
    <w:p>
      <w:pPr>
        <w:spacing w:after="0" w:line="130" w:lineRule="exact"/>
        <w:rPr>
          <w:rFonts w:ascii="Arial" w:cs="Arial" w:eastAsia="Arial" w:hAnsi="Arial"/>
          <w:sz w:val="18"/>
          <w:szCs w:val="18"/>
          <w:color w:val="auto"/>
        </w:rPr>
      </w:pPr>
    </w:p>
    <w:p>
      <w:pPr>
        <w:ind w:left="960" w:hanging="424"/>
        <w:spacing w:after="0"/>
        <w:tabs>
          <w:tab w:leader="none" w:pos="960" w:val="left"/>
        </w:tabs>
        <w:numPr>
          <w:ilvl w:val="0"/>
          <w:numId w:val="21"/>
        </w:numPr>
        <w:rPr>
          <w:rFonts w:ascii="Arial" w:cs="Arial" w:eastAsia="Arial" w:hAnsi="Arial"/>
          <w:sz w:val="18"/>
          <w:szCs w:val="18"/>
          <w:color w:val="auto"/>
        </w:rPr>
      </w:pPr>
      <w:r>
        <w:rPr>
          <w:rFonts w:ascii="Arial" w:cs="Arial" w:eastAsia="Arial" w:hAnsi="Arial"/>
          <w:sz w:val="18"/>
          <w:szCs w:val="18"/>
          <w:color w:val="auto"/>
        </w:rPr>
        <w:t>a “clearing corporation” within the meaning of the New York Uniform Commercial Code; and</w:t>
      </w:r>
    </w:p>
    <w:p>
      <w:pPr>
        <w:spacing w:after="0" w:line="130" w:lineRule="exact"/>
        <w:rPr>
          <w:rFonts w:ascii="Arial" w:cs="Arial" w:eastAsia="Arial" w:hAnsi="Arial"/>
          <w:sz w:val="18"/>
          <w:szCs w:val="18"/>
          <w:color w:val="auto"/>
        </w:rPr>
      </w:pPr>
    </w:p>
    <w:p>
      <w:pPr>
        <w:ind w:left="960" w:hanging="424"/>
        <w:spacing w:after="0"/>
        <w:tabs>
          <w:tab w:leader="none" w:pos="960" w:val="left"/>
        </w:tabs>
        <w:numPr>
          <w:ilvl w:val="0"/>
          <w:numId w:val="21"/>
        </w:numPr>
        <w:rPr>
          <w:rFonts w:ascii="Arial" w:cs="Arial" w:eastAsia="Arial" w:hAnsi="Arial"/>
          <w:sz w:val="18"/>
          <w:szCs w:val="18"/>
          <w:color w:val="auto"/>
        </w:rPr>
      </w:pPr>
      <w:r>
        <w:rPr>
          <w:rFonts w:ascii="Arial" w:cs="Arial" w:eastAsia="Arial" w:hAnsi="Arial"/>
          <w:sz w:val="18"/>
          <w:szCs w:val="18"/>
          <w:color w:val="auto"/>
        </w:rPr>
        <w:t>a “clearing agency” registered pursuant to the provisions of Section 17A of the Exchange Act.</w:t>
      </w:r>
    </w:p>
    <w:p>
      <w:pPr>
        <w:spacing w:after="0" w:line="225" w:lineRule="exact"/>
        <w:rPr>
          <w:sz w:val="20"/>
          <w:szCs w:val="20"/>
          <w:color w:val="auto"/>
        </w:rPr>
      </w:pPr>
    </w:p>
    <w:p>
      <w:pPr>
        <w:spacing w:after="0" w:line="271" w:lineRule="auto"/>
        <w:rPr>
          <w:sz w:val="20"/>
          <w:szCs w:val="20"/>
          <w:color w:val="auto"/>
        </w:rPr>
      </w:pPr>
      <w:r>
        <w:rPr>
          <w:rFonts w:ascii="Arial" w:cs="Arial" w:eastAsia="Arial" w:hAnsi="Arial"/>
          <w:sz w:val="17"/>
          <w:szCs w:val="17"/>
          <w:color w:val="auto"/>
        </w:rPr>
        <w:t>DTC holds securities that its participants deposit with DTC. DTC also facilitates the settlement among its participants of securities transactions, such as transfers and pledges, in deposited securities through electronic computerized book-entry changes in participants’ accounts, thereby eliminating the need for physical movement of securities certificates. “Direct participants” in DTC include securities brokers and dealers, including underwriters, banks, trust companies, clearing corporations and other organizations. DTC is a wholly-owned subsidiary of The Depository Trust &amp; Clearing Corporation, or DTCC. DTCC is the holding company for DTC, National Securities Clearing Corporation and Fixed Income Clearing Corporation, all of which are registered clearing agencies. DTCC is owned by the users of its regulated subsidiaries. Access to the DTC system is also available to others, which we sometimes refer to as indirect participants, that clear through or maintain a custodial relationship with a direct participant, either directly or indirectly. The rules applicable to DTC and its participants are on file with the SEC.</w:t>
      </w:r>
    </w:p>
    <w:p>
      <w:pPr>
        <w:spacing w:after="0" w:line="178" w:lineRule="exact"/>
        <w:rPr>
          <w:sz w:val="20"/>
          <w:szCs w:val="20"/>
          <w:color w:val="auto"/>
        </w:rPr>
      </w:pPr>
    </w:p>
    <w:p>
      <w:pPr>
        <w:ind w:right="60"/>
        <w:spacing w:after="0" w:line="272" w:lineRule="auto"/>
        <w:rPr>
          <w:sz w:val="20"/>
          <w:szCs w:val="20"/>
          <w:color w:val="auto"/>
        </w:rPr>
      </w:pPr>
      <w:r>
        <w:rPr>
          <w:rFonts w:ascii="Arial" w:cs="Arial" w:eastAsia="Arial" w:hAnsi="Arial"/>
          <w:sz w:val="17"/>
          <w:szCs w:val="17"/>
          <w:color w:val="auto"/>
        </w:rPr>
        <w:t>Purchases of securities under the DTC system must be made by or through direct participants, which will receive a credit for the securities on DTC’s records. The ownership interest of the actual purchaser of a security, which we sometimes refer to as a beneficial owner, is in turn recorded on the direct and indirect participants’ records. Beneficial owners of securities will not receive written confirmation from DTC of their purchases. However, beneficial owners are expected to receive written confirmations providing details of their transactions, as well as periodic statements of their holdings, from the direct or indirect participants through which they purchased securities. Transfers of ownership interests in global securities are to be accomplished by entries made on the books of participants acting on behalf of beneficial owners. Beneficial owners will not receive certificates representing their ownership interests in the global securities, except under the limited circumstances described below.</w:t>
      </w:r>
    </w:p>
    <w:p>
      <w:pPr>
        <w:spacing w:after="0" w:line="177" w:lineRule="exact"/>
        <w:rPr>
          <w:sz w:val="20"/>
          <w:szCs w:val="20"/>
          <w:color w:val="auto"/>
        </w:rPr>
      </w:pPr>
    </w:p>
    <w:p>
      <w:pPr>
        <w:ind w:right="120"/>
        <w:spacing w:after="0" w:line="296" w:lineRule="auto"/>
        <w:rPr>
          <w:sz w:val="20"/>
          <w:szCs w:val="20"/>
          <w:color w:val="auto"/>
        </w:rPr>
      </w:pPr>
      <w:r>
        <w:rPr>
          <w:rFonts w:ascii="Arial" w:cs="Arial" w:eastAsia="Arial" w:hAnsi="Arial"/>
          <w:sz w:val="16"/>
          <w:szCs w:val="16"/>
          <w:color w:val="auto"/>
        </w:rPr>
        <w:t>To facilitate subsequent transfers, all global securities deposited by direct participants with DTC will be registered in the name of DTC’s partnership nominee, Cede &amp; Co., or such other name as may be requested by an authorized representative of DTC. The deposit of securities with DTC and their registration in the name of Cede &amp; Co. or such other nominee will not change the beneficial ownership of the securities. DTC has no knowledge of the actual beneficial owners of the securities. DTC’s records reflect only the identity of the direct participants to whose accounts the securities are credited, which may or may not be the beneficial owners. The participants are responsible for keeping account of their holdings on behalf of their customers.</w:t>
      </w:r>
    </w:p>
    <w:p>
      <w:pPr>
        <w:spacing w:after="0" w:line="161" w:lineRule="exact"/>
        <w:rPr>
          <w:sz w:val="20"/>
          <w:szCs w:val="20"/>
          <w:color w:val="auto"/>
        </w:rPr>
      </w:pPr>
    </w:p>
    <w:p>
      <w:pPr>
        <w:ind w:right="160"/>
        <w:spacing w:after="0" w:line="259" w:lineRule="auto"/>
        <w:rPr>
          <w:sz w:val="20"/>
          <w:szCs w:val="20"/>
          <w:color w:val="auto"/>
        </w:rPr>
      </w:pPr>
      <w:r>
        <w:rPr>
          <w:rFonts w:ascii="Arial" w:cs="Arial" w:eastAsia="Arial" w:hAnsi="Arial"/>
          <w:sz w:val="18"/>
          <w:szCs w:val="18"/>
          <w:color w:val="auto"/>
        </w:rPr>
        <w:t>So long as the securities are in book-entry form, you will receive payments and may transfer securities only through the facilities of the depositary and its direct and indirect participants. We will maintain an office or agency in the location specified in the prospectus supplement for the applicable securities, where notices and demands in respect of the securities and the indenture may be delivered to us and where certificated securities may be surrendered for payment, registration of transfer or exchange.</w:t>
      </w:r>
    </w:p>
    <w:p>
      <w:pPr>
        <w:spacing w:after="0" w:line="11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25</w:t>
      </w:r>
    </w:p>
    <w:p>
      <w:pPr>
        <w:sectPr>
          <w:pgSz w:w="11900" w:h="16838" w:orient="portrait"/>
          <w:cols w:equalWidth="0" w:num="1">
            <w:col w:w="11000"/>
          </w:cols>
          <w:pgMar w:left="440" w:top="270" w:right="459" w:bottom="1440" w:gutter="0" w:footer="0" w:header="0"/>
        </w:sectPr>
      </w:pPr>
    </w:p>
    <w:bookmarkStart w:id="30" w:name="page31"/>
    <w:bookmarkEnd w:id="30"/>
    <w:p>
      <w:pPr>
        <w:ind w:right="120"/>
        <w:spacing w:after="0" w:line="263"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9">
                      <a:extLst>
                        <a:ext uri="{28A0092B-C50C-407E-A947-70E740481C1C}"/>
                      </a:extLst>
                    </a:blip>
                    <a:srcRect/>
                    <a:stretch>
                      <a:fillRect/>
                    </a:stretch>
                  </pic:blipFill>
                  <pic:spPr bwMode="auto">
                    <a:xfrm>
                      <a:off x="0" y="0"/>
                      <a:ext cx="7149465" cy="25400"/>
                    </a:xfrm>
                    <a:prstGeom prst="rect">
                      <a:avLst/>
                    </a:prstGeom>
                    <a:noFill/>
                  </pic:spPr>
                </pic:pic>
              </a:graphicData>
            </a:graphic>
          </wp:anchor>
        </w:drawing>
        <w:t>Conveyance of notices and other communications by DTC to direct participants, by direct participants to indirect participants and by direct participants and indirect participants to beneficial owners will be governed by arrangements among them, subject to any legal requirements in effect from time to time.</w:t>
      </w:r>
    </w:p>
    <w:p>
      <w:pPr>
        <w:spacing w:after="0" w:line="184" w:lineRule="exact"/>
        <w:rPr>
          <w:sz w:val="20"/>
          <w:szCs w:val="20"/>
          <w:color w:val="auto"/>
        </w:rPr>
      </w:pPr>
    </w:p>
    <w:p>
      <w:pPr>
        <w:ind w:right="100"/>
        <w:spacing w:after="0" w:line="277" w:lineRule="auto"/>
        <w:rPr>
          <w:sz w:val="20"/>
          <w:szCs w:val="20"/>
          <w:color w:val="auto"/>
        </w:rPr>
      </w:pPr>
      <w:r>
        <w:rPr>
          <w:rFonts w:ascii="Arial" w:cs="Arial" w:eastAsia="Arial" w:hAnsi="Arial"/>
          <w:sz w:val="18"/>
          <w:szCs w:val="18"/>
          <w:color w:val="auto"/>
        </w:rPr>
        <w:t>Redemption notices will be sent to DTC. If less than all of the securities of a particular series are being redeemed, DTC’s practice is to determine by lot the amount of the interest of each direct participant in the securities of such series to be redeemed.</w:t>
      </w:r>
    </w:p>
    <w:p>
      <w:pPr>
        <w:spacing w:after="0" w:line="170" w:lineRule="exact"/>
        <w:rPr>
          <w:sz w:val="20"/>
          <w:szCs w:val="20"/>
          <w:color w:val="auto"/>
        </w:rPr>
      </w:pPr>
    </w:p>
    <w:p>
      <w:pPr>
        <w:ind w:right="40"/>
        <w:spacing w:after="0" w:line="311" w:lineRule="auto"/>
        <w:rPr>
          <w:sz w:val="20"/>
          <w:szCs w:val="20"/>
          <w:color w:val="auto"/>
        </w:rPr>
      </w:pPr>
      <w:r>
        <w:rPr>
          <w:rFonts w:ascii="Arial" w:cs="Arial" w:eastAsia="Arial" w:hAnsi="Arial"/>
          <w:sz w:val="16"/>
          <w:szCs w:val="16"/>
          <w:color w:val="auto"/>
        </w:rPr>
        <w:t>Neither DTC nor Cede &amp; Co. (or such other DTC nominee) will consent or vote with respect to the securities. Under its usual procedures, DTC will mail an omnibus proxy to us as soon as possible after the record date. The omnibus proxy assigns the consenting or voting rights of Cede &amp; Co. to those direct participants to whose accounts the securities of such series are credited on the record date, identified in a listing attached to the omnibus proxy.</w:t>
      </w:r>
    </w:p>
    <w:p>
      <w:pPr>
        <w:spacing w:after="0" w:line="149" w:lineRule="exact"/>
        <w:rPr>
          <w:sz w:val="20"/>
          <w:szCs w:val="20"/>
          <w:color w:val="auto"/>
        </w:rPr>
      </w:pPr>
    </w:p>
    <w:p>
      <w:pPr>
        <w:ind w:right="40"/>
        <w:spacing w:after="0" w:line="293" w:lineRule="auto"/>
        <w:rPr>
          <w:sz w:val="20"/>
          <w:szCs w:val="20"/>
          <w:color w:val="auto"/>
        </w:rPr>
      </w:pPr>
      <w:r>
        <w:rPr>
          <w:rFonts w:ascii="Arial" w:cs="Arial" w:eastAsia="Arial" w:hAnsi="Arial"/>
          <w:sz w:val="16"/>
          <w:szCs w:val="16"/>
          <w:color w:val="auto"/>
        </w:rPr>
        <w:t>So long as securities are in book-entry form, we will make payments on those securities to the depositary or its nominee, as the registered owner of such securities, by wire transfer of immediately available funds. If securities are issued in definitive certificated form under the limited circumstances described below and unless if otherwise provided in the description of the applicable securities herein or in the applicable prospectus supplement, we will have the option of making payments by check mailed to the addresses of the persons entitled to payment or by wire transfer to bank accounts in the United States designated in writing to the applicable trustee or other designated party at least 15 days before the applicable payment date by the persons entitled to payment, unless a shorter period is satisfactory to the applicable trustee or other designated party.</w:t>
      </w:r>
    </w:p>
    <w:p>
      <w:pPr>
        <w:spacing w:after="0" w:line="164" w:lineRule="exact"/>
        <w:rPr>
          <w:sz w:val="20"/>
          <w:szCs w:val="20"/>
          <w:color w:val="auto"/>
        </w:rPr>
      </w:pPr>
    </w:p>
    <w:p>
      <w:pPr>
        <w:spacing w:after="0" w:line="290" w:lineRule="auto"/>
        <w:rPr>
          <w:sz w:val="20"/>
          <w:szCs w:val="20"/>
          <w:color w:val="auto"/>
        </w:rPr>
      </w:pPr>
      <w:r>
        <w:rPr>
          <w:rFonts w:ascii="Arial" w:cs="Arial" w:eastAsia="Arial" w:hAnsi="Arial"/>
          <w:sz w:val="16"/>
          <w:szCs w:val="16"/>
          <w:color w:val="auto"/>
        </w:rPr>
        <w:t>Redemption proceeds, distributions and dividend payments on the securities will be made to Cede &amp; Co., or such other nominee as may be requested by an authorized representative of DTC. DTC’s practice is to credit direct participants’ accounts upon DTC’s receipt of funds and corresponding detail information from us on the payment date in accordance with their respective holdings shown on DTC records. Payments by participants to beneficial owners will be governed by standing instructions and customary practices, as is the case with securities held for the account of customers in bearer form or registered in “street name.” Those payments will be the responsibility of participants and not of DTC or us, subject to any statutory or regulatory requirements in effect from time to time. Payment of redemption proceeds, distributions and dividend payments to Cede &amp; Co., or such other nominee as may be requested by an authorized representative of DTC, is our responsibility, disbursement of payments to direct participants is the responsibility of DTC, and disbursement of payments to the beneficial owners is the responsibility of direct and indirect participants.</w:t>
      </w:r>
    </w:p>
    <w:p>
      <w:pPr>
        <w:spacing w:after="0" w:line="165" w:lineRule="exact"/>
        <w:rPr>
          <w:sz w:val="20"/>
          <w:szCs w:val="20"/>
          <w:color w:val="auto"/>
        </w:rPr>
      </w:pPr>
    </w:p>
    <w:p>
      <w:pPr>
        <w:ind w:right="40"/>
        <w:spacing w:after="0" w:line="263" w:lineRule="auto"/>
        <w:rPr>
          <w:sz w:val="20"/>
          <w:szCs w:val="20"/>
          <w:color w:val="auto"/>
        </w:rPr>
      </w:pPr>
      <w:r>
        <w:rPr>
          <w:rFonts w:ascii="Arial" w:cs="Arial" w:eastAsia="Arial" w:hAnsi="Arial"/>
          <w:sz w:val="18"/>
          <w:szCs w:val="18"/>
          <w:color w:val="auto"/>
        </w:rPr>
        <w:t>Except under the limited circumstances described below, purchasers of securities will not be entitled to have securities registered in their names and will not receive physical delivery of securities. Accordingly, each beneficial owner must rely on the procedures of DTC and its participants to exercise any rights under the securities and the indenture.</w:t>
      </w:r>
    </w:p>
    <w:p>
      <w:pPr>
        <w:spacing w:after="0" w:line="184" w:lineRule="exact"/>
        <w:rPr>
          <w:sz w:val="20"/>
          <w:szCs w:val="20"/>
          <w:color w:val="auto"/>
        </w:rPr>
      </w:pPr>
    </w:p>
    <w:p>
      <w:pPr>
        <w:ind w:right="300"/>
        <w:spacing w:after="0" w:line="277" w:lineRule="auto"/>
        <w:rPr>
          <w:sz w:val="20"/>
          <w:szCs w:val="20"/>
          <w:color w:val="auto"/>
        </w:rPr>
      </w:pPr>
      <w:r>
        <w:rPr>
          <w:rFonts w:ascii="Arial" w:cs="Arial" w:eastAsia="Arial" w:hAnsi="Arial"/>
          <w:sz w:val="18"/>
          <w:szCs w:val="18"/>
          <w:color w:val="auto"/>
        </w:rPr>
        <w:t>The laws of some jurisdictions may require that some purchasers of securities take physical delivery of securities in definitive form. Those laws may impair the ability to transfer or pledge beneficial interests in securities.</w:t>
      </w:r>
    </w:p>
    <w:p>
      <w:pPr>
        <w:spacing w:after="0" w:line="170" w:lineRule="exact"/>
        <w:rPr>
          <w:sz w:val="20"/>
          <w:szCs w:val="20"/>
          <w:color w:val="auto"/>
        </w:rPr>
      </w:pPr>
    </w:p>
    <w:p>
      <w:pPr>
        <w:ind w:right="220"/>
        <w:spacing w:after="0" w:line="342" w:lineRule="auto"/>
        <w:rPr>
          <w:sz w:val="20"/>
          <w:szCs w:val="20"/>
          <w:color w:val="auto"/>
        </w:rPr>
      </w:pPr>
      <w:r>
        <w:rPr>
          <w:rFonts w:ascii="Arial" w:cs="Arial" w:eastAsia="Arial" w:hAnsi="Arial"/>
          <w:sz w:val="16"/>
          <w:szCs w:val="16"/>
          <w:color w:val="auto"/>
        </w:rPr>
        <w:t>DTC may discontinue providing its services as securities depositary with respect to the securities at any time by giving reasonable notice to us. Under such circumstances, in the event that a successor depositary is not obtained, securities certificates are required to be printed and delivered.</w:t>
      </w:r>
    </w:p>
    <w:p>
      <w:pPr>
        <w:spacing w:after="0" w:line="124" w:lineRule="exact"/>
        <w:rPr>
          <w:sz w:val="20"/>
          <w:szCs w:val="20"/>
          <w:color w:val="auto"/>
        </w:rPr>
      </w:pPr>
    </w:p>
    <w:p>
      <w:pPr>
        <w:ind w:right="20"/>
        <w:spacing w:after="0" w:line="277" w:lineRule="auto"/>
        <w:rPr>
          <w:sz w:val="20"/>
          <w:szCs w:val="20"/>
          <w:color w:val="auto"/>
        </w:rPr>
      </w:pPr>
      <w:r>
        <w:rPr>
          <w:rFonts w:ascii="Arial" w:cs="Arial" w:eastAsia="Arial" w:hAnsi="Arial"/>
          <w:sz w:val="18"/>
          <w:szCs w:val="18"/>
          <w:color w:val="auto"/>
        </w:rPr>
        <w:t>As noted above, beneficial owners of a particular series of securities generally will not receive certificates representing their ownership interests in those securities. However, if:</w:t>
      </w:r>
    </w:p>
    <w:p>
      <w:pPr>
        <w:spacing w:after="0" w:line="76" w:lineRule="exact"/>
        <w:rPr>
          <w:sz w:val="20"/>
          <w:szCs w:val="20"/>
          <w:color w:val="auto"/>
        </w:rPr>
      </w:pPr>
    </w:p>
    <w:p>
      <w:pPr>
        <w:ind w:left="960" w:right="220" w:hanging="424"/>
        <w:spacing w:after="0" w:line="259" w:lineRule="auto"/>
        <w:tabs>
          <w:tab w:leader="none" w:pos="960" w:val="left"/>
        </w:tabs>
        <w:numPr>
          <w:ilvl w:val="0"/>
          <w:numId w:val="22"/>
        </w:numPr>
        <w:rPr>
          <w:rFonts w:ascii="Arial" w:cs="Arial" w:eastAsia="Arial" w:hAnsi="Arial"/>
          <w:sz w:val="18"/>
          <w:szCs w:val="18"/>
          <w:color w:val="auto"/>
        </w:rPr>
      </w:pPr>
      <w:r>
        <w:rPr>
          <w:rFonts w:ascii="Arial" w:cs="Arial" w:eastAsia="Arial" w:hAnsi="Arial"/>
          <w:sz w:val="18"/>
          <w:szCs w:val="18"/>
          <w:color w:val="auto"/>
        </w:rPr>
        <w:t>DTC notifies us that it is unwilling or unable to continue as a depositary for the global security or securities representing such series of securities or if DTC ceases to be a clearing agency registered under the Exchange Act at a time when it is required to be registered and a successor depositary is not appointed within 90 days of the notification to us or of our becoming aware of DTC’s ceasing to be so registered, as the case may be;</w:t>
      </w:r>
    </w:p>
    <w:p>
      <w:pPr>
        <w:spacing w:after="0" w:line="11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26</w:t>
      </w:r>
    </w:p>
    <w:p>
      <w:pPr>
        <w:sectPr>
          <w:pgSz w:w="11900" w:h="16838" w:orient="portrait"/>
          <w:cols w:equalWidth="0" w:num="1">
            <w:col w:w="11000"/>
          </w:cols>
          <w:pgMar w:left="440" w:top="274" w:right="459" w:bottom="1440" w:gutter="0" w:footer="0" w:header="0"/>
        </w:sectPr>
      </w:pPr>
    </w:p>
    <w:bookmarkStart w:id="31" w:name="page32"/>
    <w:bookmarkEnd w:id="31"/>
    <w:p>
      <w:pPr>
        <w:ind w:left="960" w:hanging="424"/>
        <w:spacing w:after="0"/>
        <w:tabs>
          <w:tab w:leader="none" w:pos="960" w:val="left"/>
        </w:tabs>
        <w:numPr>
          <w:ilvl w:val="0"/>
          <w:numId w:val="23"/>
        </w:numPr>
        <w:rPr>
          <w:rFonts w:ascii="Arial" w:cs="Arial" w:eastAsia="Arial" w:hAnsi="Arial"/>
          <w:sz w:val="18"/>
          <w:szCs w:val="18"/>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60">
                      <a:extLst>
                        <a:ext uri="{28A0092B-C50C-407E-A947-70E740481C1C}"/>
                      </a:extLst>
                    </a:blip>
                    <a:srcRect/>
                    <a:stretch>
                      <a:fillRect/>
                    </a:stretch>
                  </pic:blipFill>
                  <pic:spPr bwMode="auto">
                    <a:xfrm>
                      <a:off x="0" y="0"/>
                      <a:ext cx="7149465" cy="25400"/>
                    </a:xfrm>
                    <a:prstGeom prst="rect">
                      <a:avLst/>
                    </a:prstGeom>
                    <a:noFill/>
                  </pic:spPr>
                </pic:pic>
              </a:graphicData>
            </a:graphic>
          </wp:anchor>
        </w:drawing>
        <w:t>we determine, in our sole discretion, not to have such securities represented by one or more global securities; or</w:t>
      </w:r>
    </w:p>
    <w:p>
      <w:pPr>
        <w:spacing w:after="0" w:line="130" w:lineRule="exact"/>
        <w:rPr>
          <w:rFonts w:ascii="Arial" w:cs="Arial" w:eastAsia="Arial" w:hAnsi="Arial"/>
          <w:sz w:val="18"/>
          <w:szCs w:val="18"/>
          <w:color w:val="auto"/>
        </w:rPr>
      </w:pPr>
    </w:p>
    <w:p>
      <w:pPr>
        <w:ind w:left="960" w:hanging="424"/>
        <w:spacing w:after="0" w:line="277" w:lineRule="auto"/>
        <w:tabs>
          <w:tab w:leader="none" w:pos="960" w:val="left"/>
        </w:tabs>
        <w:numPr>
          <w:ilvl w:val="0"/>
          <w:numId w:val="23"/>
        </w:numPr>
        <w:rPr>
          <w:rFonts w:ascii="Arial" w:cs="Arial" w:eastAsia="Arial" w:hAnsi="Arial"/>
          <w:sz w:val="18"/>
          <w:szCs w:val="18"/>
          <w:color w:val="auto"/>
        </w:rPr>
      </w:pPr>
      <w:r>
        <w:rPr>
          <w:rFonts w:ascii="Arial" w:cs="Arial" w:eastAsia="Arial" w:hAnsi="Arial"/>
          <w:sz w:val="18"/>
          <w:szCs w:val="18"/>
          <w:color w:val="auto"/>
        </w:rPr>
        <w:t>an Event of Default has occurred and is continuing with respect to such series of securities, we will prepare and deliver certificates for such securities in exchange for beneficial interests in the global securities.</w:t>
      </w:r>
    </w:p>
    <w:p>
      <w:pPr>
        <w:spacing w:after="0" w:line="170" w:lineRule="exact"/>
        <w:rPr>
          <w:sz w:val="20"/>
          <w:szCs w:val="20"/>
          <w:color w:val="auto"/>
        </w:rPr>
      </w:pPr>
    </w:p>
    <w:p>
      <w:pPr>
        <w:ind w:right="240"/>
        <w:spacing w:after="0" w:line="311" w:lineRule="auto"/>
        <w:rPr>
          <w:sz w:val="20"/>
          <w:szCs w:val="20"/>
          <w:color w:val="auto"/>
        </w:rPr>
      </w:pPr>
      <w:r>
        <w:rPr>
          <w:rFonts w:ascii="Arial" w:cs="Arial" w:eastAsia="Arial" w:hAnsi="Arial"/>
          <w:sz w:val="16"/>
          <w:szCs w:val="16"/>
          <w:color w:val="auto"/>
        </w:rPr>
        <w:t>Any beneficial interest in a global security that is exchangeable under the circumstances described in the preceding sentence will be exchangeable for securities in definitive certificated form registered in the names that the depositary directs. It is expected that these directions will be based upon directions received by the depositary from its participants with respect to ownership of beneficial interests in the global securities.</w:t>
      </w:r>
    </w:p>
    <w:p>
      <w:pPr>
        <w:spacing w:after="0" w:line="149" w:lineRule="exact"/>
        <w:rPr>
          <w:sz w:val="20"/>
          <w:szCs w:val="20"/>
          <w:color w:val="auto"/>
        </w:rPr>
      </w:pPr>
    </w:p>
    <w:p>
      <w:pPr>
        <w:ind w:right="120"/>
        <w:spacing w:after="0" w:line="277" w:lineRule="auto"/>
        <w:rPr>
          <w:sz w:val="20"/>
          <w:szCs w:val="20"/>
          <w:color w:val="auto"/>
        </w:rPr>
      </w:pPr>
      <w:r>
        <w:rPr>
          <w:rFonts w:ascii="Arial" w:cs="Arial" w:eastAsia="Arial" w:hAnsi="Arial"/>
          <w:sz w:val="18"/>
          <w:szCs w:val="18"/>
          <w:color w:val="auto"/>
        </w:rPr>
        <w:t>We have obtained the information in this section and elsewhere in this prospectus concerning DTC and DTC’s book-entry system from sources that are believed to be reliable, but we take no responsibility for the accuracy of this information.</w:t>
      </w:r>
    </w:p>
    <w:p>
      <w:pPr>
        <w:spacing w:after="0" w:line="27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Euroclear and Clearstream</w:t>
      </w:r>
    </w:p>
    <w:p>
      <w:pPr>
        <w:spacing w:after="0" w:line="117" w:lineRule="exact"/>
        <w:rPr>
          <w:sz w:val="20"/>
          <w:szCs w:val="20"/>
          <w:color w:val="auto"/>
        </w:rPr>
      </w:pPr>
    </w:p>
    <w:p>
      <w:pPr>
        <w:ind w:right="40"/>
        <w:spacing w:after="0" w:line="255" w:lineRule="auto"/>
        <w:rPr>
          <w:sz w:val="20"/>
          <w:szCs w:val="20"/>
          <w:color w:val="auto"/>
        </w:rPr>
      </w:pPr>
      <w:r>
        <w:rPr>
          <w:rFonts w:ascii="Arial" w:cs="Arial" w:eastAsia="Arial" w:hAnsi="Arial"/>
          <w:sz w:val="18"/>
          <w:szCs w:val="18"/>
          <w:color w:val="auto"/>
        </w:rPr>
        <w:t>If so provided in the applicable prospectus supplement, you may hold interests in a global security through Clearstream Banking S.A., which we refer to as “Clearstream,” or Euroclear Bank S.A./N.V., as operator of the Euroclear System, which we refer to as “Euroclear,” either directly if you are a participant in Clearstream or Euroclear or indirectly through organizations which are participants in Clearstream or Euroclear. Clearstream and Euroclear will hold interests on behalf of their respective participants through customers’ securities accounts in the names of Clearstream and Euroclear, respectively, on the books of their respective U.S. depositaries, which in turn will hold such interests in customers’ securities accounts in such depositaries’ names on DTC’s books.</w:t>
      </w:r>
    </w:p>
    <w:p>
      <w:pPr>
        <w:spacing w:after="0" w:line="192" w:lineRule="exact"/>
        <w:rPr>
          <w:sz w:val="20"/>
          <w:szCs w:val="20"/>
          <w:color w:val="auto"/>
        </w:rPr>
      </w:pPr>
    </w:p>
    <w:p>
      <w:pPr>
        <w:ind w:right="200"/>
        <w:spacing w:after="0" w:line="263" w:lineRule="auto"/>
        <w:rPr>
          <w:sz w:val="20"/>
          <w:szCs w:val="20"/>
          <w:color w:val="auto"/>
        </w:rPr>
      </w:pPr>
      <w:r>
        <w:rPr>
          <w:rFonts w:ascii="Arial" w:cs="Arial" w:eastAsia="Arial" w:hAnsi="Arial"/>
          <w:sz w:val="18"/>
          <w:szCs w:val="18"/>
          <w:color w:val="auto"/>
        </w:rPr>
        <w:t>Clearstream and Euroclear are securities clearance systems in Europe. Clearstream and Euroclear hold securities for their respective participating organizations and facilitate the clearance and settlement of securities transactions between those participants through electronic book-entry changes in their accounts, thereby eliminating the need for physical movement of certificates.</w:t>
      </w:r>
    </w:p>
    <w:p>
      <w:pPr>
        <w:spacing w:after="0" w:line="184" w:lineRule="exact"/>
        <w:rPr>
          <w:sz w:val="20"/>
          <w:szCs w:val="20"/>
          <w:color w:val="auto"/>
        </w:rPr>
      </w:pPr>
    </w:p>
    <w:p>
      <w:pPr>
        <w:ind w:right="180"/>
        <w:spacing w:after="0" w:line="263" w:lineRule="auto"/>
        <w:rPr>
          <w:sz w:val="20"/>
          <w:szCs w:val="20"/>
          <w:color w:val="auto"/>
        </w:rPr>
      </w:pPr>
      <w:r>
        <w:rPr>
          <w:rFonts w:ascii="Arial" w:cs="Arial" w:eastAsia="Arial" w:hAnsi="Arial"/>
          <w:sz w:val="18"/>
          <w:szCs w:val="18"/>
          <w:color w:val="auto"/>
        </w:rPr>
        <w:t>Payments, deliveries, transfers, exchanges, notices and other matters relating to beneficial interests in global securities owned through Euroclear or Clearstream must comply with the rules and procedures of those systems. Transactions between participants in Euroclear or Clearstream, on one hand, and other participants in DTC, on the other hand, are also subject to DTC’s rules and procedures.</w:t>
      </w:r>
    </w:p>
    <w:p>
      <w:pPr>
        <w:spacing w:after="0" w:line="184" w:lineRule="exact"/>
        <w:rPr>
          <w:sz w:val="20"/>
          <w:szCs w:val="20"/>
          <w:color w:val="auto"/>
        </w:rPr>
      </w:pPr>
    </w:p>
    <w:p>
      <w:pPr>
        <w:ind w:right="240"/>
        <w:spacing w:after="0" w:line="286" w:lineRule="auto"/>
        <w:rPr>
          <w:sz w:val="20"/>
          <w:szCs w:val="20"/>
          <w:color w:val="auto"/>
        </w:rPr>
      </w:pPr>
      <w:r>
        <w:rPr>
          <w:rFonts w:ascii="Arial" w:cs="Arial" w:eastAsia="Arial" w:hAnsi="Arial"/>
          <w:sz w:val="17"/>
          <w:szCs w:val="17"/>
          <w:color w:val="auto"/>
        </w:rPr>
        <w:t>Investors will be able to make and receive through Euroclear and Clearstream payments, deliveries, transfers and other transactions involving any beneficial interests in global securities held through those systems only on days when those systems are open for business. Those systems may not be open for business on days when banks, brokers and other institutions are open for business in the United States.</w:t>
      </w:r>
    </w:p>
    <w:p>
      <w:pPr>
        <w:spacing w:after="0" w:line="165" w:lineRule="exact"/>
        <w:rPr>
          <w:sz w:val="20"/>
          <w:szCs w:val="20"/>
          <w:color w:val="auto"/>
        </w:rPr>
      </w:pPr>
    </w:p>
    <w:p>
      <w:pPr>
        <w:spacing w:after="0" w:line="254" w:lineRule="auto"/>
        <w:rPr>
          <w:sz w:val="20"/>
          <w:szCs w:val="20"/>
          <w:color w:val="auto"/>
        </w:rPr>
      </w:pPr>
      <w:r>
        <w:rPr>
          <w:rFonts w:ascii="Arial" w:cs="Arial" w:eastAsia="Arial" w:hAnsi="Arial"/>
          <w:sz w:val="18"/>
          <w:szCs w:val="18"/>
          <w:color w:val="auto"/>
        </w:rPr>
        <w:t>Cross-market transfers between participants in DTC, on the one hand, and participants in Euroclear or Clearstream, on the other hand, will be effected through DTC in accordance with the DTC’s rules on behalf of Euroclear or Clearstream, as the case may be, by their respective U.S. depositaries; however, such cross-market transactions will require delivery of instructions to Euroclear or Clearstream, as the case may be, by the counterparty in such system in accordance with the rules and procedures and within the established deadlines (European time) of such system. Euroclear or Clearstream, as the case may be, will, if the transaction meets its settlement requirements, deliver instructions to its U.S. depositary to take DTC, and making or receiving payment in accordance with normal procedures for same-day fund settlement. Participants in Euroclear or Clearstream may not deliver instructions directly to their respective U.S. depositaries.</w:t>
      </w:r>
    </w:p>
    <w:p>
      <w:pPr>
        <w:spacing w:after="0" w:line="195" w:lineRule="exact"/>
        <w:rPr>
          <w:sz w:val="20"/>
          <w:szCs w:val="20"/>
          <w:color w:val="auto"/>
        </w:rPr>
      </w:pPr>
    </w:p>
    <w:p>
      <w:pPr>
        <w:ind w:right="40"/>
        <w:spacing w:after="0" w:line="273" w:lineRule="auto"/>
        <w:rPr>
          <w:sz w:val="20"/>
          <w:szCs w:val="20"/>
          <w:color w:val="auto"/>
        </w:rPr>
      </w:pPr>
      <w:r>
        <w:rPr>
          <w:rFonts w:ascii="Arial" w:cs="Arial" w:eastAsia="Arial" w:hAnsi="Arial"/>
          <w:sz w:val="17"/>
          <w:szCs w:val="17"/>
          <w:color w:val="auto"/>
        </w:rPr>
        <w:t>Due to time zone differences, the securities accounts of a participant in Euroclear or Clearstream purchasing an interest in a global security from a direct participant in DTC will be credited, and any such crediting will be reported to the relevant participant in Euroclear or Clearstream, during the securities settlement processing day (which must be a business day for Euroclear or Clearstream) immediately following the settlement date of DTC. Cash received in Euroclear or Clearstream as a result of sales of interests in a global security by or through a participant in Euroclear or Clearstream to a direct participant in DTC will be received with value on the settlement date of DTC but will be available in the relevant Euroclear or Clearstream cash account only as of the business day for Euroclear or Clearstream following DTC’s settlement date.</w:t>
      </w:r>
    </w:p>
    <w:p>
      <w:pPr>
        <w:spacing w:after="0" w:line="11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27</w:t>
      </w:r>
    </w:p>
    <w:p>
      <w:pPr>
        <w:sectPr>
          <w:pgSz w:w="11900" w:h="16838" w:orient="portrait"/>
          <w:cols w:equalWidth="0" w:num="1">
            <w:col w:w="11000"/>
          </w:cols>
          <w:pgMar w:left="440" w:top="274" w:right="459" w:bottom="1440" w:gutter="0" w:footer="0" w:header="0"/>
        </w:sectPr>
      </w:pPr>
    </w:p>
    <w:bookmarkStart w:id="32" w:name="page33"/>
    <w:bookmarkEnd w:id="32"/>
    <w:p>
      <w:pPr>
        <w:spacing w:after="0"/>
        <w:rPr>
          <w:sz w:val="20"/>
          <w:szCs w:val="20"/>
          <w:color w:val="auto"/>
        </w:rPr>
      </w:pPr>
      <w:r>
        <w:rPr>
          <w:rFonts w:ascii="Arial" w:cs="Arial" w:eastAsia="Arial" w:hAnsi="Arial"/>
          <w:sz w:val="18"/>
          <w:szCs w:val="18"/>
          <w:b w:val="1"/>
          <w:bCs w:val="1"/>
          <w:i w:val="1"/>
          <w:iCs w:val="1"/>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61">
                      <a:extLst>
                        <a:ext uri="{28A0092B-C50C-407E-A947-70E740481C1C}"/>
                      </a:extLst>
                    </a:blip>
                    <a:srcRect/>
                    <a:stretch>
                      <a:fillRect/>
                    </a:stretch>
                  </pic:blipFill>
                  <pic:spPr bwMode="auto">
                    <a:xfrm>
                      <a:off x="0" y="0"/>
                      <a:ext cx="7149465" cy="25400"/>
                    </a:xfrm>
                    <a:prstGeom prst="rect">
                      <a:avLst/>
                    </a:prstGeom>
                    <a:noFill/>
                  </pic:spPr>
                </pic:pic>
              </a:graphicData>
            </a:graphic>
          </wp:anchor>
        </w:drawing>
        <w:t>Other</w:t>
      </w:r>
    </w:p>
    <w:p>
      <w:pPr>
        <w:spacing w:after="0" w:line="117" w:lineRule="exact"/>
        <w:rPr>
          <w:sz w:val="20"/>
          <w:szCs w:val="20"/>
          <w:color w:val="auto"/>
        </w:rPr>
      </w:pPr>
    </w:p>
    <w:p>
      <w:pPr>
        <w:spacing w:after="0" w:line="270" w:lineRule="auto"/>
        <w:rPr>
          <w:sz w:val="20"/>
          <w:szCs w:val="20"/>
          <w:color w:val="auto"/>
        </w:rPr>
      </w:pPr>
      <w:r>
        <w:rPr>
          <w:rFonts w:ascii="Arial" w:cs="Arial" w:eastAsia="Arial" w:hAnsi="Arial"/>
          <w:sz w:val="17"/>
          <w:szCs w:val="17"/>
          <w:color w:val="auto"/>
        </w:rPr>
        <w:t>The information in this section of this prospectus concerning DTC, Clearstream, Euroclear and their respective book-entry systems has been obtained from sources that we believe to be reliable, but we do not take responsibility for this information. This information has been provided solely as a matter of convenience. The rules and procedures of DTC, Clearstream and Euroclear are solely within the control of those organizations and could change at any time. Neither we nor the trustee nor any agent of ours or of the trustee has any control over those entities and none of us takes any responsibility for their activities. You are urged to contact DTC, Clearstream and Euroclear or their respective participants directly to discuss those matters. In addition, although we expect that DTC, Clearstream and Euroclear will perform the foregoing procedures, none of them is under any obligation to perform or continue to perform such procedures and such procedures may be discontinued at any time. Neither we nor any agent of ours will have any responsibility for the performance or nonperformance by DTC, Clearstream and Euroclear or their respective participants of these or any other rules or procedures governing their respective operations.</w:t>
      </w:r>
    </w:p>
    <w:p>
      <w:pPr>
        <w:spacing w:after="0" w:line="113"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28</w:t>
      </w:r>
    </w:p>
    <w:p>
      <w:pPr>
        <w:sectPr>
          <w:pgSz w:w="11900" w:h="16838" w:orient="portrait"/>
          <w:cols w:equalWidth="0" w:num="1">
            <w:col w:w="10920"/>
          </w:cols>
          <w:pgMar w:left="440" w:top="274" w:right="539" w:bottom="1440" w:gutter="0" w:footer="0" w:header="0"/>
        </w:sectPr>
      </w:pPr>
    </w:p>
    <w:bookmarkStart w:id="33" w:name="page34"/>
    <w:bookmarkEnd w:id="33"/>
    <w:p>
      <w:pPr>
        <w:jc w:val="center"/>
        <w:ind w:right="-39"/>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62">
                      <a:extLst>
                        <a:ext uri="{28A0092B-C50C-407E-A947-70E740481C1C}"/>
                      </a:extLst>
                    </a:blip>
                    <a:srcRect/>
                    <a:stretch>
                      <a:fillRect/>
                    </a:stretch>
                  </pic:blipFill>
                  <pic:spPr bwMode="auto">
                    <a:xfrm>
                      <a:off x="0" y="0"/>
                      <a:ext cx="7149465" cy="25400"/>
                    </a:xfrm>
                    <a:prstGeom prst="rect">
                      <a:avLst/>
                    </a:prstGeom>
                    <a:noFill/>
                  </pic:spPr>
                </pic:pic>
              </a:graphicData>
            </a:graphic>
          </wp:anchor>
        </w:drawing>
        <w:t>PLAN OF DISTRIBUTION</w:t>
      </w:r>
    </w:p>
    <w:p>
      <w:pPr>
        <w:spacing w:after="0" w:line="229" w:lineRule="exact"/>
        <w:rPr>
          <w:sz w:val="20"/>
          <w:szCs w:val="20"/>
          <w:color w:val="auto"/>
        </w:rPr>
      </w:pPr>
    </w:p>
    <w:p>
      <w:pPr>
        <w:spacing w:after="0" w:line="263" w:lineRule="auto"/>
        <w:rPr>
          <w:sz w:val="20"/>
          <w:szCs w:val="20"/>
          <w:color w:val="auto"/>
        </w:rPr>
      </w:pPr>
      <w:r>
        <w:rPr>
          <w:rFonts w:ascii="Arial" w:cs="Arial" w:eastAsia="Arial" w:hAnsi="Arial"/>
          <w:sz w:val="18"/>
          <w:szCs w:val="18"/>
          <w:color w:val="auto"/>
        </w:rPr>
        <w:t>We may sell the securities from time to time pursuant to underwritten public offerings, “at the market offerings,” negotiated transactions, block trades or a combination of these methods or through underwriters or dealers, through agents and/or directly to one or more purchasers. The securities may be distributed from time to time in one or more transactions:</w:t>
      </w:r>
    </w:p>
    <w:p>
      <w:pPr>
        <w:spacing w:after="0" w:line="89" w:lineRule="exact"/>
        <w:rPr>
          <w:sz w:val="20"/>
          <w:szCs w:val="20"/>
          <w:color w:val="auto"/>
        </w:rPr>
      </w:pPr>
    </w:p>
    <w:p>
      <w:pPr>
        <w:ind w:left="960" w:hanging="424"/>
        <w:spacing w:after="0"/>
        <w:tabs>
          <w:tab w:leader="none" w:pos="960" w:val="left"/>
        </w:tabs>
        <w:numPr>
          <w:ilvl w:val="0"/>
          <w:numId w:val="24"/>
        </w:numPr>
        <w:rPr>
          <w:rFonts w:ascii="Arial" w:cs="Arial" w:eastAsia="Arial" w:hAnsi="Arial"/>
          <w:sz w:val="18"/>
          <w:szCs w:val="18"/>
          <w:color w:val="auto"/>
        </w:rPr>
      </w:pPr>
      <w:r>
        <w:rPr>
          <w:rFonts w:ascii="Arial" w:cs="Arial" w:eastAsia="Arial" w:hAnsi="Arial"/>
          <w:sz w:val="18"/>
          <w:szCs w:val="18"/>
          <w:color w:val="auto"/>
        </w:rPr>
        <w:t>at a fixed price or prices, which may be changed;</w:t>
      </w:r>
    </w:p>
    <w:p>
      <w:pPr>
        <w:spacing w:after="0" w:line="130" w:lineRule="exact"/>
        <w:rPr>
          <w:rFonts w:ascii="Arial" w:cs="Arial" w:eastAsia="Arial" w:hAnsi="Arial"/>
          <w:sz w:val="18"/>
          <w:szCs w:val="18"/>
          <w:color w:val="auto"/>
        </w:rPr>
      </w:pPr>
    </w:p>
    <w:p>
      <w:pPr>
        <w:ind w:left="960" w:hanging="424"/>
        <w:spacing w:after="0"/>
        <w:tabs>
          <w:tab w:leader="none" w:pos="960" w:val="left"/>
        </w:tabs>
        <w:numPr>
          <w:ilvl w:val="0"/>
          <w:numId w:val="24"/>
        </w:numPr>
        <w:rPr>
          <w:rFonts w:ascii="Arial" w:cs="Arial" w:eastAsia="Arial" w:hAnsi="Arial"/>
          <w:sz w:val="18"/>
          <w:szCs w:val="18"/>
          <w:color w:val="auto"/>
        </w:rPr>
      </w:pPr>
      <w:r>
        <w:rPr>
          <w:rFonts w:ascii="Arial" w:cs="Arial" w:eastAsia="Arial" w:hAnsi="Arial"/>
          <w:sz w:val="18"/>
          <w:szCs w:val="18"/>
          <w:color w:val="auto"/>
        </w:rPr>
        <w:t>at market prices prevailing at the time of sale;</w:t>
      </w:r>
    </w:p>
    <w:p>
      <w:pPr>
        <w:spacing w:after="0" w:line="130" w:lineRule="exact"/>
        <w:rPr>
          <w:rFonts w:ascii="Arial" w:cs="Arial" w:eastAsia="Arial" w:hAnsi="Arial"/>
          <w:sz w:val="18"/>
          <w:szCs w:val="18"/>
          <w:color w:val="auto"/>
        </w:rPr>
      </w:pPr>
    </w:p>
    <w:p>
      <w:pPr>
        <w:ind w:left="960" w:hanging="424"/>
        <w:spacing w:after="0"/>
        <w:tabs>
          <w:tab w:leader="none" w:pos="960" w:val="left"/>
        </w:tabs>
        <w:numPr>
          <w:ilvl w:val="0"/>
          <w:numId w:val="24"/>
        </w:numPr>
        <w:rPr>
          <w:rFonts w:ascii="Arial" w:cs="Arial" w:eastAsia="Arial" w:hAnsi="Arial"/>
          <w:sz w:val="18"/>
          <w:szCs w:val="18"/>
          <w:color w:val="auto"/>
        </w:rPr>
      </w:pPr>
      <w:r>
        <w:rPr>
          <w:rFonts w:ascii="Arial" w:cs="Arial" w:eastAsia="Arial" w:hAnsi="Arial"/>
          <w:sz w:val="18"/>
          <w:szCs w:val="18"/>
          <w:color w:val="auto"/>
        </w:rPr>
        <w:t>at prices related to such prevailing market prices;</w:t>
      </w:r>
    </w:p>
    <w:p>
      <w:pPr>
        <w:spacing w:after="0" w:line="130" w:lineRule="exact"/>
        <w:rPr>
          <w:rFonts w:ascii="Arial" w:cs="Arial" w:eastAsia="Arial" w:hAnsi="Arial"/>
          <w:sz w:val="18"/>
          <w:szCs w:val="18"/>
          <w:color w:val="auto"/>
        </w:rPr>
      </w:pPr>
    </w:p>
    <w:p>
      <w:pPr>
        <w:ind w:left="960" w:hanging="424"/>
        <w:spacing w:after="0"/>
        <w:tabs>
          <w:tab w:leader="none" w:pos="960" w:val="left"/>
        </w:tabs>
        <w:numPr>
          <w:ilvl w:val="0"/>
          <w:numId w:val="24"/>
        </w:numPr>
        <w:rPr>
          <w:rFonts w:ascii="Arial" w:cs="Arial" w:eastAsia="Arial" w:hAnsi="Arial"/>
          <w:sz w:val="18"/>
          <w:szCs w:val="18"/>
          <w:color w:val="auto"/>
        </w:rPr>
      </w:pPr>
      <w:r>
        <w:rPr>
          <w:rFonts w:ascii="Arial" w:cs="Arial" w:eastAsia="Arial" w:hAnsi="Arial"/>
          <w:sz w:val="18"/>
          <w:szCs w:val="18"/>
          <w:color w:val="auto"/>
        </w:rPr>
        <w:t>in “at-the-market” offerings (as defined in Rule 415 under the Securities Act);</w:t>
      </w:r>
    </w:p>
    <w:p>
      <w:pPr>
        <w:spacing w:after="0" w:line="130" w:lineRule="exact"/>
        <w:rPr>
          <w:rFonts w:ascii="Arial" w:cs="Arial" w:eastAsia="Arial" w:hAnsi="Arial"/>
          <w:sz w:val="18"/>
          <w:szCs w:val="18"/>
          <w:color w:val="auto"/>
        </w:rPr>
      </w:pPr>
    </w:p>
    <w:p>
      <w:pPr>
        <w:ind w:left="960" w:hanging="424"/>
        <w:spacing w:after="0"/>
        <w:tabs>
          <w:tab w:leader="none" w:pos="960" w:val="left"/>
        </w:tabs>
        <w:numPr>
          <w:ilvl w:val="0"/>
          <w:numId w:val="24"/>
        </w:numPr>
        <w:rPr>
          <w:rFonts w:ascii="Arial" w:cs="Arial" w:eastAsia="Arial" w:hAnsi="Arial"/>
          <w:sz w:val="18"/>
          <w:szCs w:val="18"/>
          <w:color w:val="auto"/>
        </w:rPr>
      </w:pPr>
      <w:r>
        <w:rPr>
          <w:rFonts w:ascii="Arial" w:cs="Arial" w:eastAsia="Arial" w:hAnsi="Arial"/>
          <w:sz w:val="18"/>
          <w:szCs w:val="18"/>
          <w:color w:val="auto"/>
        </w:rPr>
        <w:t>at negotiated prices; or</w:t>
      </w:r>
    </w:p>
    <w:p>
      <w:pPr>
        <w:spacing w:after="0" w:line="130" w:lineRule="exact"/>
        <w:rPr>
          <w:rFonts w:ascii="Arial" w:cs="Arial" w:eastAsia="Arial" w:hAnsi="Arial"/>
          <w:sz w:val="18"/>
          <w:szCs w:val="18"/>
          <w:color w:val="auto"/>
        </w:rPr>
      </w:pPr>
    </w:p>
    <w:p>
      <w:pPr>
        <w:ind w:left="960" w:hanging="424"/>
        <w:spacing w:after="0"/>
        <w:tabs>
          <w:tab w:leader="none" w:pos="960" w:val="left"/>
        </w:tabs>
        <w:numPr>
          <w:ilvl w:val="0"/>
          <w:numId w:val="24"/>
        </w:numPr>
        <w:rPr>
          <w:rFonts w:ascii="Arial" w:cs="Arial" w:eastAsia="Arial" w:hAnsi="Arial"/>
          <w:sz w:val="18"/>
          <w:szCs w:val="18"/>
          <w:color w:val="auto"/>
        </w:rPr>
      </w:pPr>
      <w:r>
        <w:rPr>
          <w:rFonts w:ascii="Arial" w:cs="Arial" w:eastAsia="Arial" w:hAnsi="Arial"/>
          <w:sz w:val="18"/>
          <w:szCs w:val="18"/>
          <w:color w:val="auto"/>
        </w:rPr>
        <w:t>through any method permitted by applicable law and described in a prospectus supplement.</w:t>
      </w:r>
    </w:p>
    <w:p>
      <w:pPr>
        <w:spacing w:after="0" w:line="225" w:lineRule="exact"/>
        <w:rPr>
          <w:sz w:val="20"/>
          <w:szCs w:val="20"/>
          <w:color w:val="auto"/>
        </w:rPr>
      </w:pPr>
    </w:p>
    <w:p>
      <w:pPr>
        <w:ind w:right="80"/>
        <w:spacing w:after="0" w:line="263" w:lineRule="auto"/>
        <w:rPr>
          <w:sz w:val="20"/>
          <w:szCs w:val="20"/>
          <w:color w:val="auto"/>
        </w:rPr>
      </w:pPr>
      <w:r>
        <w:rPr>
          <w:rFonts w:ascii="Arial" w:cs="Arial" w:eastAsia="Arial" w:hAnsi="Arial"/>
          <w:sz w:val="18"/>
          <w:szCs w:val="18"/>
          <w:color w:val="auto"/>
        </w:rPr>
        <w:t>Each time that we sell securities covered by this prospectus, we will provide a prospectus supplement or supplements that will describe the method of distribution and set forth the terms and conditions of the offering of such securities, including the offering price of the securities and the proceeds to us, if applicable.</w:t>
      </w:r>
    </w:p>
    <w:p>
      <w:pPr>
        <w:spacing w:after="0" w:line="184" w:lineRule="exact"/>
        <w:rPr>
          <w:sz w:val="20"/>
          <w:szCs w:val="20"/>
          <w:color w:val="auto"/>
        </w:rPr>
      </w:pPr>
    </w:p>
    <w:p>
      <w:pPr>
        <w:ind w:right="180"/>
        <w:spacing w:after="0" w:line="308" w:lineRule="auto"/>
        <w:rPr>
          <w:sz w:val="20"/>
          <w:szCs w:val="20"/>
          <w:color w:val="auto"/>
        </w:rPr>
      </w:pPr>
      <w:r>
        <w:rPr>
          <w:rFonts w:ascii="Arial" w:cs="Arial" w:eastAsia="Arial" w:hAnsi="Arial"/>
          <w:sz w:val="17"/>
          <w:szCs w:val="17"/>
          <w:color w:val="auto"/>
        </w:rPr>
        <w:t>Offers to purchase the securities being offered by this prospectus may be solicited directly. Agents may also be designated to solicit offers to purchase the securities from time to time. Any agent involved in the offer or sale of our securities will be identified in a prospectus supplement.</w:t>
      </w:r>
    </w:p>
    <w:p>
      <w:pPr>
        <w:spacing w:after="0" w:line="146" w:lineRule="exact"/>
        <w:rPr>
          <w:sz w:val="20"/>
          <w:szCs w:val="20"/>
          <w:color w:val="auto"/>
        </w:rPr>
      </w:pPr>
    </w:p>
    <w:p>
      <w:pPr>
        <w:ind w:right="200"/>
        <w:spacing w:after="0" w:line="277" w:lineRule="auto"/>
        <w:rPr>
          <w:sz w:val="20"/>
          <w:szCs w:val="20"/>
          <w:color w:val="auto"/>
        </w:rPr>
      </w:pPr>
      <w:r>
        <w:rPr>
          <w:rFonts w:ascii="Arial" w:cs="Arial" w:eastAsia="Arial" w:hAnsi="Arial"/>
          <w:sz w:val="18"/>
          <w:szCs w:val="18"/>
          <w:color w:val="auto"/>
        </w:rPr>
        <w:t>If a dealer is utilized in the sale of the securities being offered by this prospectus, the securities will be sold to the dealer, as principal. The dealer may then resell the securities to the public at varying prices to be determined by the dealer at the time of resale.</w:t>
      </w:r>
    </w:p>
    <w:p>
      <w:pPr>
        <w:spacing w:after="0" w:line="170" w:lineRule="exact"/>
        <w:rPr>
          <w:sz w:val="20"/>
          <w:szCs w:val="20"/>
          <w:color w:val="auto"/>
        </w:rPr>
      </w:pPr>
    </w:p>
    <w:p>
      <w:pPr>
        <w:ind w:right="140"/>
        <w:spacing w:after="0" w:line="291" w:lineRule="auto"/>
        <w:rPr>
          <w:sz w:val="20"/>
          <w:szCs w:val="20"/>
          <w:color w:val="auto"/>
        </w:rPr>
      </w:pPr>
      <w:r>
        <w:rPr>
          <w:rFonts w:ascii="Arial" w:cs="Arial" w:eastAsia="Arial" w:hAnsi="Arial"/>
          <w:sz w:val="16"/>
          <w:szCs w:val="16"/>
          <w:color w:val="auto"/>
        </w:rPr>
        <w:t>If an underwriter is utilized in the sale of the securities being offered by this prospectus, an underwriting agreement will be executed with the underwriter at the time of sale and the name of any underwriter will be provided in the prospectus supplement that the underwriter will use to make resales of the securities to the public. In connection with the sale of the securities, we or the purchasers of securities for whom the underwriter may act as agent, may compensate the underwriter in the form of underwriting discounts or commissions. The underwriter may sell the securities to or through dealers, and those dealers may receive compensation in the form of discounts, concessions or commissions from the underwriters and/or commissions from the purchasers for which they may act as agent. Unless otherwise indicated in a prospectus supplement, an agent will be acting on a best efforts basis and a dealer will purchase securities as a principal, and may then resell the securities at varying prices to be determined by the dealer.</w:t>
      </w:r>
    </w:p>
    <w:p>
      <w:pPr>
        <w:spacing w:after="0" w:line="166" w:lineRule="exact"/>
        <w:rPr>
          <w:sz w:val="20"/>
          <w:szCs w:val="20"/>
          <w:color w:val="auto"/>
        </w:rPr>
      </w:pPr>
    </w:p>
    <w:p>
      <w:pPr>
        <w:ind w:right="180"/>
        <w:spacing w:after="0" w:line="293" w:lineRule="auto"/>
        <w:rPr>
          <w:sz w:val="20"/>
          <w:szCs w:val="20"/>
          <w:color w:val="auto"/>
        </w:rPr>
      </w:pPr>
      <w:r>
        <w:rPr>
          <w:rFonts w:ascii="Arial" w:cs="Arial" w:eastAsia="Arial" w:hAnsi="Arial"/>
          <w:sz w:val="16"/>
          <w:szCs w:val="16"/>
          <w:color w:val="auto"/>
        </w:rPr>
        <w:t>Any compensation paid to underwriters, dealers or agents in connection with the offering of the securities, and any discounts, concessions or commissions allowed by underwriters to participating dealers will be provided in the applicable prospectus supplement. Underwriters, dealers and agents participating in the distribution of the securities may be deemed to be underwriters within the meaning of the Securities Act, and any discounts and commissions received by them and any profit realized by them on resale of the securities may be deemed to be underwriting discounts and commissions. We may enter into agreements to indemnify underwriters, dealers and agents against civil liabilities, including liabilities under the Securities Act, or to contribute to payments they may be required to make in respect thereof and to reimburse those persons for certain expenses.</w:t>
      </w:r>
    </w:p>
    <w:p>
      <w:pPr>
        <w:spacing w:after="0" w:line="164" w:lineRule="exact"/>
        <w:rPr>
          <w:sz w:val="20"/>
          <w:szCs w:val="20"/>
          <w:color w:val="auto"/>
        </w:rPr>
      </w:pPr>
    </w:p>
    <w:p>
      <w:pPr>
        <w:ind w:right="520"/>
        <w:spacing w:after="0" w:line="277" w:lineRule="auto"/>
        <w:rPr>
          <w:sz w:val="20"/>
          <w:szCs w:val="20"/>
          <w:color w:val="auto"/>
        </w:rPr>
      </w:pPr>
      <w:r>
        <w:rPr>
          <w:rFonts w:ascii="Arial" w:cs="Arial" w:eastAsia="Arial" w:hAnsi="Arial"/>
          <w:sz w:val="18"/>
          <w:szCs w:val="18"/>
          <w:color w:val="auto"/>
        </w:rPr>
        <w:t>Any common stock or preferred stock will be listed on the Nasdaq Global Market, but any other securities may or may not be listed on a national securities exchange.</w:t>
      </w:r>
    </w:p>
    <w:p>
      <w:pPr>
        <w:spacing w:after="0" w:line="170" w:lineRule="exact"/>
        <w:rPr>
          <w:sz w:val="20"/>
          <w:szCs w:val="20"/>
          <w:color w:val="auto"/>
        </w:rPr>
      </w:pPr>
    </w:p>
    <w:p>
      <w:pPr>
        <w:jc w:val="both"/>
        <w:ind w:right="220"/>
        <w:spacing w:after="0" w:line="301" w:lineRule="auto"/>
        <w:rPr>
          <w:sz w:val="20"/>
          <w:szCs w:val="20"/>
          <w:color w:val="auto"/>
        </w:rPr>
      </w:pPr>
      <w:r>
        <w:rPr>
          <w:rFonts w:ascii="Arial" w:cs="Arial" w:eastAsia="Arial" w:hAnsi="Arial"/>
          <w:sz w:val="16"/>
          <w:szCs w:val="16"/>
          <w:color w:val="auto"/>
        </w:rPr>
        <w:t>To facilitate the offering of securities, and to the extent permitted by and in accordance with Regulation M under the Exchange Act, certain persons participating in the offering may engage in transactions that stabilize, maintain or otherwise affect the price of the securities. This may include over-allotments or short sales of the securities, which involve the sale by persons participating in the offering of more securities than were sold to them. In these circumstances, these persons would cover such over-allotments or short positions by making purchases in the open</w:t>
      </w:r>
    </w:p>
    <w:p>
      <w:pPr>
        <w:spacing w:after="0" w:line="90"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29</w:t>
      </w:r>
    </w:p>
    <w:p>
      <w:pPr>
        <w:sectPr>
          <w:pgSz w:w="11900" w:h="16838" w:orient="portrait"/>
          <w:cols w:equalWidth="0" w:num="1">
            <w:col w:w="10960"/>
          </w:cols>
          <w:pgMar w:left="440" w:top="270" w:right="499" w:bottom="1440" w:gutter="0" w:footer="0" w:header="0"/>
        </w:sectPr>
      </w:pPr>
    </w:p>
    <w:bookmarkStart w:id="34" w:name="page35"/>
    <w:bookmarkEnd w:id="34"/>
    <w:p>
      <w:pPr>
        <w:ind w:right="20"/>
        <w:spacing w:after="0" w:line="257"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63">
                      <a:extLst>
                        <a:ext uri="{28A0092B-C50C-407E-A947-70E740481C1C}"/>
                      </a:extLst>
                    </a:blip>
                    <a:srcRect/>
                    <a:stretch>
                      <a:fillRect/>
                    </a:stretch>
                  </pic:blipFill>
                  <pic:spPr bwMode="auto">
                    <a:xfrm>
                      <a:off x="0" y="0"/>
                      <a:ext cx="7149465" cy="25400"/>
                    </a:xfrm>
                    <a:prstGeom prst="rect">
                      <a:avLst/>
                    </a:prstGeom>
                    <a:noFill/>
                  </pic:spPr>
                </pic:pic>
              </a:graphicData>
            </a:graphic>
          </wp:anchor>
        </w:drawing>
        <w:t>market or by exercising their over-allotment option, if any. In addition, these persons may stabilize or maintain the price of the securities by bidding for or purchasing securities in the open market or by imposing penalty bids, whereby selling concessions allowed to dealers participating in the offering may be reclaimed if securities sold by them are repurchased in connection with stabilization transactions. The effect of these transactions may be to stabilize or maintain the market price of the securities at a level above that which might otherwise prevail in the open market. These transactions may be discontinued at any time.</w:t>
      </w:r>
    </w:p>
    <w:p>
      <w:pPr>
        <w:spacing w:after="0" w:line="188" w:lineRule="exact"/>
        <w:rPr>
          <w:sz w:val="20"/>
          <w:szCs w:val="20"/>
          <w:color w:val="auto"/>
        </w:rPr>
      </w:pPr>
    </w:p>
    <w:p>
      <w:pPr>
        <w:ind w:right="40"/>
        <w:spacing w:after="0" w:line="255" w:lineRule="auto"/>
        <w:rPr>
          <w:sz w:val="20"/>
          <w:szCs w:val="20"/>
          <w:color w:val="auto"/>
        </w:rPr>
      </w:pPr>
      <w:r>
        <w:rPr>
          <w:rFonts w:ascii="Arial" w:cs="Arial" w:eastAsia="Arial" w:hAnsi="Arial"/>
          <w:sz w:val="18"/>
          <w:szCs w:val="18"/>
          <w:color w:val="auto"/>
        </w:rPr>
        <w:t>To the extent permitted by and in accordance with Regulation M under the Exchange Act, any underwriters who are qualified market makers on Nasdaq may engage in passive market making transactions in the securities on Nasdaq during the business day prior to the pricing of an offering, before the commencement of offers or sales of the securities. Passive market makers must comply with applicable volume and price limitations and must be identified as passive market makers. In general, a passive market maker must display its bid at a price not in excess of the highest independent bid for such security; if all independent bids are lowered below the passive market maker’s bid, however, the passive market maker’s bid must then be lowered when certain purchase limits are exceeded.</w:t>
      </w:r>
    </w:p>
    <w:p>
      <w:pPr>
        <w:spacing w:after="0" w:line="192" w:lineRule="exact"/>
        <w:rPr>
          <w:sz w:val="20"/>
          <w:szCs w:val="20"/>
          <w:color w:val="auto"/>
        </w:rPr>
      </w:pPr>
    </w:p>
    <w:p>
      <w:pPr>
        <w:spacing w:after="0" w:line="272" w:lineRule="auto"/>
        <w:rPr>
          <w:sz w:val="20"/>
          <w:szCs w:val="20"/>
          <w:color w:val="auto"/>
        </w:rPr>
      </w:pPr>
      <w:r>
        <w:rPr>
          <w:rFonts w:ascii="Arial" w:cs="Arial" w:eastAsia="Arial" w:hAnsi="Arial"/>
          <w:sz w:val="17"/>
          <w:szCs w:val="17"/>
          <w:color w:val="auto"/>
        </w:rPr>
        <w:t>If indicated in the applicable prospectus supplement, underwriters or other persons acting as agents may be authorized to solicit offers by institutions or other suitable purchasers to purchase the securities at the public offering price set forth in the prospectus supplement, pursuant to delayed delivery contracts providing for payment and delivery on the date or dates stated in the prospectus supplement. These purchasers may include, among others, commercial and savings banks, insurance companies, pension funds, investment companies and educational and charitable institutions. Delayed delivery contracts will be subject to the condition that the purchase of the securities covered by the delayed delivery contracts will not at the time of delivery be prohibited under the laws of any jurisdiction in the United States to which the purchaser is subject. The underwriters and agents will not have any responsibility with respect to the validity or performance of these contracts.</w:t>
      </w:r>
    </w:p>
    <w:p>
      <w:pPr>
        <w:spacing w:after="0" w:line="177" w:lineRule="exact"/>
        <w:rPr>
          <w:sz w:val="20"/>
          <w:szCs w:val="20"/>
          <w:color w:val="auto"/>
        </w:rPr>
      </w:pPr>
    </w:p>
    <w:p>
      <w:pPr>
        <w:ind w:right="60"/>
        <w:spacing w:after="0" w:line="269" w:lineRule="auto"/>
        <w:rPr>
          <w:sz w:val="20"/>
          <w:szCs w:val="20"/>
          <w:color w:val="auto"/>
        </w:rPr>
      </w:pPr>
      <w:r>
        <w:rPr>
          <w:rFonts w:ascii="Arial" w:cs="Arial" w:eastAsia="Arial" w:hAnsi="Arial"/>
          <w:sz w:val="17"/>
          <w:szCs w:val="17"/>
          <w:color w:val="auto"/>
        </w:rPr>
        <w:t>We may engage in at the market offerings into an existing trading market in accordance with Rule 415(a)(4) under the Securities Act. In addition, we may enter into derivative transactions with third parties, or sell securities not covered by this prospectus to third parties in privately negotiated transactions. If the applicable prospectus supplement so indicates, in connection with those derivatives, the third parties may sell securities covered by this prospectus and the applicable prospectus supplement, including in short sale transactions. If so, the third party may use securities pledged by us or borrowed from us or others to settle those sales or to close out any related open borrowings of stock, and may use securities received from us in settlement of those derivatives to close out any related open borrowings of stock. The third party in such sale transactions will be an underwriter and, if not identified in this prospectus, will be named in the applicable prospectus supplement (or a post-effective amendment). In addition, we may otherwise loan or pledge securities to a financial institution or other third party that in turn may sell the securities short using this prospectus and an applicable prospectus supplement. Such financial institution or other third party may transfer its economic short position to investors in our securities or in connection with a concurrent offering of other securities.</w:t>
      </w:r>
    </w:p>
    <w:p>
      <w:pPr>
        <w:spacing w:after="0" w:line="185" w:lineRule="exact"/>
        <w:rPr>
          <w:sz w:val="20"/>
          <w:szCs w:val="20"/>
          <w:color w:val="auto"/>
        </w:rPr>
      </w:pPr>
    </w:p>
    <w:p>
      <w:pPr>
        <w:spacing w:after="0"/>
        <w:rPr>
          <w:sz w:val="20"/>
          <w:szCs w:val="20"/>
          <w:color w:val="auto"/>
        </w:rPr>
      </w:pPr>
      <w:r>
        <w:rPr>
          <w:rFonts w:ascii="Arial" w:cs="Arial" w:eastAsia="Arial" w:hAnsi="Arial"/>
          <w:sz w:val="18"/>
          <w:szCs w:val="18"/>
          <w:color w:val="auto"/>
        </w:rPr>
        <w:t>The specific terms of any lock-up provisions in respect of any given offering will be described in the applicable prospectus supplement.</w:t>
      </w:r>
    </w:p>
    <w:p>
      <w:pPr>
        <w:spacing w:after="0" w:line="225" w:lineRule="exact"/>
        <w:rPr>
          <w:sz w:val="20"/>
          <w:szCs w:val="20"/>
          <w:color w:val="auto"/>
        </w:rPr>
      </w:pPr>
    </w:p>
    <w:p>
      <w:pPr>
        <w:ind w:right="220"/>
        <w:spacing w:after="0" w:line="277" w:lineRule="auto"/>
        <w:rPr>
          <w:sz w:val="20"/>
          <w:szCs w:val="20"/>
          <w:color w:val="auto"/>
        </w:rPr>
      </w:pPr>
      <w:r>
        <w:rPr>
          <w:rFonts w:ascii="Arial" w:cs="Arial" w:eastAsia="Arial" w:hAnsi="Arial"/>
          <w:sz w:val="18"/>
          <w:szCs w:val="18"/>
          <w:color w:val="auto"/>
        </w:rPr>
        <w:t>The underwriters, dealers and agents may engage in transactions with us, or perform services for us, in the ordinary course of business for which they receive compensation.</w:t>
      </w:r>
    </w:p>
    <w:p>
      <w:pPr>
        <w:spacing w:after="0" w:line="170" w:lineRule="exact"/>
        <w:rPr>
          <w:sz w:val="20"/>
          <w:szCs w:val="20"/>
          <w:color w:val="auto"/>
        </w:rPr>
      </w:pPr>
    </w:p>
    <w:p>
      <w:pPr>
        <w:ind w:right="760"/>
        <w:spacing w:after="0" w:line="277" w:lineRule="auto"/>
        <w:rPr>
          <w:sz w:val="20"/>
          <w:szCs w:val="20"/>
          <w:color w:val="auto"/>
        </w:rPr>
      </w:pPr>
      <w:r>
        <w:rPr>
          <w:rFonts w:ascii="Arial" w:cs="Arial" w:eastAsia="Arial" w:hAnsi="Arial"/>
          <w:sz w:val="18"/>
          <w:szCs w:val="18"/>
          <w:color w:val="auto"/>
        </w:rPr>
        <w:t>No securities may be sold under this prospectus without delivery, in paper format or in electronic format, or both, of the applicable prospectus supplement describing the method and terms of the offering.</w:t>
      </w:r>
    </w:p>
    <w:p>
      <w:pPr>
        <w:spacing w:after="0" w:line="10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30</w:t>
      </w:r>
    </w:p>
    <w:p>
      <w:pPr>
        <w:sectPr>
          <w:pgSz w:w="11900" w:h="16838" w:orient="portrait"/>
          <w:cols w:equalWidth="0" w:num="1">
            <w:col w:w="10980"/>
          </w:cols>
          <w:pgMar w:left="440" w:top="274" w:right="479" w:bottom="1440" w:gutter="0" w:footer="0" w:header="0"/>
        </w:sectPr>
      </w:pPr>
    </w:p>
    <w:bookmarkStart w:id="35" w:name="page36"/>
    <w:bookmarkEnd w:id="35"/>
    <w:p>
      <w:pPr>
        <w:jc w:val="center"/>
        <w:ind w:right="-79"/>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64">
                      <a:extLst>
                        <a:ext uri="{28A0092B-C50C-407E-A947-70E740481C1C}"/>
                      </a:extLst>
                    </a:blip>
                    <a:srcRect/>
                    <a:stretch>
                      <a:fillRect/>
                    </a:stretch>
                  </pic:blipFill>
                  <pic:spPr bwMode="auto">
                    <a:xfrm>
                      <a:off x="0" y="0"/>
                      <a:ext cx="7149465" cy="25400"/>
                    </a:xfrm>
                    <a:prstGeom prst="rect">
                      <a:avLst/>
                    </a:prstGeom>
                    <a:noFill/>
                  </pic:spPr>
                </pic:pic>
              </a:graphicData>
            </a:graphic>
          </wp:anchor>
        </w:drawing>
        <w:t>LEGAL MATTERS</w:t>
      </w:r>
    </w:p>
    <w:p>
      <w:pPr>
        <w:spacing w:after="0" w:line="229"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Troutman Pepper Sanders Hamilton LLP will pass upon certain legal matters relating to the issuance and sale of the securities offered hereby on behalf of Larimar Therapeutics, Inc. Additional legal matters may be passed upon for us or any underwriters, dealers or agents by counsel that we will name in the applicable prospectus supplement.</w:t>
      </w:r>
    </w:p>
    <w:p>
      <w:pPr>
        <w:spacing w:after="0" w:line="116"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31</w:t>
      </w:r>
    </w:p>
    <w:p>
      <w:pPr>
        <w:sectPr>
          <w:pgSz w:w="11900" w:h="16838" w:orient="portrait"/>
          <w:cols w:equalWidth="0" w:num="1">
            <w:col w:w="10940"/>
          </w:cols>
          <w:pgMar w:left="440" w:top="270" w:right="519" w:bottom="1440" w:gutter="0" w:footer="0" w:header="0"/>
        </w:sectPr>
      </w:pPr>
    </w:p>
    <w:bookmarkStart w:id="36" w:name="page37"/>
    <w:bookmarkEnd w:id="36"/>
    <w:p>
      <w:pPr>
        <w:jc w:val="center"/>
        <w:ind w:right="-39"/>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65">
                      <a:extLst>
                        <a:ext uri="{28A0092B-C50C-407E-A947-70E740481C1C}"/>
                      </a:extLst>
                    </a:blip>
                    <a:srcRect/>
                    <a:stretch>
                      <a:fillRect/>
                    </a:stretch>
                  </pic:blipFill>
                  <pic:spPr bwMode="auto">
                    <a:xfrm>
                      <a:off x="0" y="0"/>
                      <a:ext cx="7149465" cy="25400"/>
                    </a:xfrm>
                    <a:prstGeom prst="rect">
                      <a:avLst/>
                    </a:prstGeom>
                    <a:noFill/>
                  </pic:spPr>
                </pic:pic>
              </a:graphicData>
            </a:graphic>
          </wp:anchor>
        </w:drawing>
        <w:t>EXPERTS</w:t>
      </w:r>
    </w:p>
    <w:p>
      <w:pPr>
        <w:spacing w:after="0" w:line="229" w:lineRule="exact"/>
        <w:rPr>
          <w:sz w:val="20"/>
          <w:szCs w:val="20"/>
          <w:color w:val="auto"/>
        </w:rPr>
      </w:pPr>
    </w:p>
    <w:p>
      <w:pPr>
        <w:ind w:right="240"/>
        <w:spacing w:after="0" w:line="263" w:lineRule="auto"/>
        <w:rPr>
          <w:sz w:val="20"/>
          <w:szCs w:val="20"/>
          <w:color w:val="auto"/>
        </w:rPr>
      </w:pPr>
      <w:r>
        <w:rPr>
          <w:rFonts w:ascii="Arial" w:cs="Arial" w:eastAsia="Arial" w:hAnsi="Arial"/>
          <w:sz w:val="18"/>
          <w:szCs w:val="18"/>
          <w:color w:val="auto"/>
        </w:rPr>
        <w:t>The financial statements incorporated in this Prospectus by reference to the Annual Report on Form 10-K of Zafgen, Inc. for the year ended December 31, 2019 have been so incorporated in reliance on the report of PricewaterhouseCoopers LLP, an independent registered public accounting firm, given on the authority of said firm as experts in auditing and accounting.</w:t>
      </w:r>
    </w:p>
    <w:p>
      <w:pPr>
        <w:spacing w:after="0" w:line="184" w:lineRule="exact"/>
        <w:rPr>
          <w:sz w:val="20"/>
          <w:szCs w:val="20"/>
          <w:color w:val="auto"/>
        </w:rPr>
      </w:pPr>
    </w:p>
    <w:p>
      <w:pPr>
        <w:spacing w:after="0" w:line="257" w:lineRule="auto"/>
        <w:rPr>
          <w:sz w:val="20"/>
          <w:szCs w:val="20"/>
          <w:color w:val="auto"/>
        </w:rPr>
      </w:pPr>
      <w:r>
        <w:rPr>
          <w:rFonts w:ascii="Arial" w:cs="Arial" w:eastAsia="Arial" w:hAnsi="Arial"/>
          <w:sz w:val="18"/>
          <w:szCs w:val="18"/>
          <w:color w:val="auto"/>
        </w:rPr>
        <w:t>The audited historical financial statements of Chondrial Therapeutics, Inc. included in Exhibit 99.3 of Larimar Therapeutics, Inc.’s Current Report on Form 8-K/A filed June 26, 2020 have been so incorporated in reliance on the report (which contains an explanatory paragraph describing conditions that raise substantial doubt about Chondrial Therapeutics, Inc.’s ability to continue as a going concern as described in Note 2 to the financial statements) of PricewaterhouseCoopers LLP, an independent registered public accounting firm, given on the authority of said firm as experts in auditing and accounting.</w:t>
      </w:r>
    </w:p>
    <w:p>
      <w:pPr>
        <w:spacing w:after="0" w:line="120"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32</w:t>
      </w:r>
    </w:p>
    <w:p>
      <w:pPr>
        <w:sectPr>
          <w:pgSz w:w="11900" w:h="16838" w:orient="portrait"/>
          <w:cols w:equalWidth="0" w:num="1">
            <w:col w:w="10980"/>
          </w:cols>
          <w:pgMar w:left="440" w:top="270" w:right="479" w:bottom="1440" w:gutter="0" w:footer="0" w:header="0"/>
        </w:sectPr>
      </w:pPr>
    </w:p>
    <w:bookmarkStart w:id="37" w:name="page38"/>
    <w:bookmarkEnd w:id="37"/>
    <w:p>
      <w:pPr>
        <w:jc w:val="center"/>
        <w:ind w:right="-59"/>
        <w:spacing w:after="0"/>
        <w:rPr>
          <w:sz w:val="20"/>
          <w:szCs w:val="20"/>
          <w:color w:val="auto"/>
        </w:rPr>
      </w:pPr>
      <w:r>
        <w:rPr>
          <w:rFonts w:ascii="Arial" w:cs="Arial" w:eastAsia="Arial" w:hAnsi="Arial"/>
          <w:sz w:val="29"/>
          <w:szCs w:val="29"/>
          <w:b w:val="1"/>
          <w:bCs w:val="1"/>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66">
                      <a:extLst>
                        <a:ext uri="{28A0092B-C50C-407E-A947-70E740481C1C}"/>
                      </a:extLst>
                    </a:blip>
                    <a:srcRect/>
                    <a:stretch>
                      <a:fillRect/>
                    </a:stretch>
                  </pic:blipFill>
                  <pic:spPr bwMode="auto">
                    <a:xfrm>
                      <a:off x="0" y="0"/>
                      <a:ext cx="7149465" cy="25400"/>
                    </a:xfrm>
                    <a:prstGeom prst="rect">
                      <a:avLst/>
                    </a:prstGeom>
                    <a:noFill/>
                  </pic:spPr>
                </pic:pic>
              </a:graphicData>
            </a:graphic>
          </wp:anchor>
        </w:drawing>
        <w:drawing>
          <wp:anchor simplePos="0" relativeHeight="251657728" behindDoc="1" locked="0" layoutInCell="0" allowOverlap="1">
            <wp:simplePos x="0" y="0"/>
            <wp:positionH relativeFrom="page">
              <wp:posOffset>276860</wp:posOffset>
            </wp:positionH>
            <wp:positionV relativeFrom="page">
              <wp:posOffset>200025</wp:posOffset>
            </wp:positionV>
            <wp:extent cx="6995160" cy="25400"/>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67">
                      <a:extLst>
                        <a:ext uri="{28A0092B-C50C-407E-A947-70E740481C1C}"/>
                      </a:extLst>
                    </a:blip>
                    <a:srcRect/>
                    <a:stretch>
                      <a:fillRect/>
                    </a:stretch>
                  </pic:blipFill>
                  <pic:spPr bwMode="auto">
                    <a:xfrm>
                      <a:off x="0" y="0"/>
                      <a:ext cx="6995160" cy="25400"/>
                    </a:xfrm>
                    <a:prstGeom prst="rect">
                      <a:avLst/>
                    </a:prstGeom>
                    <a:noFill/>
                  </pic:spPr>
                </pic:pic>
              </a:graphicData>
            </a:graphic>
          </wp:anchor>
        </w:drawing>
        <w:drawing>
          <wp:anchor simplePos="0" relativeHeight="251657728" behindDoc="1" locked="0" layoutInCell="0" allowOverlap="1">
            <wp:simplePos x="0" y="0"/>
            <wp:positionH relativeFrom="page">
              <wp:posOffset>276860</wp:posOffset>
            </wp:positionH>
            <wp:positionV relativeFrom="page">
              <wp:posOffset>260350</wp:posOffset>
            </wp:positionV>
            <wp:extent cx="6995160" cy="825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8">
                      <a:extLst>
                        <a:ext uri="{28A0092B-C50C-407E-A947-70E740481C1C}"/>
                      </a:extLst>
                    </a:blip>
                    <a:srcRect/>
                    <a:stretch>
                      <a:fillRect/>
                    </a:stretch>
                  </pic:blipFill>
                  <pic:spPr bwMode="auto">
                    <a:xfrm>
                      <a:off x="0" y="0"/>
                      <a:ext cx="6995160" cy="8255"/>
                    </a:xfrm>
                    <a:prstGeom prst="rect">
                      <a:avLst/>
                    </a:prstGeom>
                    <a:noFill/>
                  </pic:spPr>
                </pic:pic>
              </a:graphicData>
            </a:graphic>
          </wp:anchor>
        </w:drawing>
        <w:t>$200,000,000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2234565</wp:posOffset>
            </wp:positionH>
            <wp:positionV relativeFrom="paragraph">
              <wp:posOffset>177165</wp:posOffset>
            </wp:positionV>
            <wp:extent cx="2520315" cy="951230"/>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9">
                      <a:extLst>
                        <a:ext uri="{28A0092B-C50C-407E-A947-70E740481C1C}"/>
                      </a:extLst>
                    </a:blip>
                    <a:srcRect/>
                    <a:stretch>
                      <a:fillRect/>
                    </a:stretch>
                  </pic:blipFill>
                  <pic:spPr bwMode="auto">
                    <a:xfrm>
                      <a:off x="0" y="0"/>
                      <a:ext cx="2520315" cy="95123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7" w:lineRule="exact"/>
        <w:rPr>
          <w:sz w:val="20"/>
          <w:szCs w:val="20"/>
          <w:color w:val="auto"/>
        </w:rPr>
      </w:pPr>
    </w:p>
    <w:p>
      <w:pPr>
        <w:jc w:val="center"/>
        <w:ind w:right="-59"/>
        <w:spacing w:after="0"/>
        <w:rPr>
          <w:sz w:val="20"/>
          <w:szCs w:val="20"/>
          <w:color w:val="auto"/>
        </w:rPr>
      </w:pPr>
      <w:r>
        <w:rPr>
          <w:rFonts w:ascii="Arial" w:cs="Arial" w:eastAsia="Arial" w:hAnsi="Arial"/>
          <w:sz w:val="25"/>
          <w:szCs w:val="25"/>
          <w:b w:val="1"/>
          <w:bCs w:val="1"/>
          <w:color w:val="auto"/>
        </w:rPr>
        <w:t>Common Stock</w:t>
      </w:r>
    </w:p>
    <w:p>
      <w:pPr>
        <w:spacing w:after="0" w:line="38" w:lineRule="exact"/>
        <w:rPr>
          <w:sz w:val="20"/>
          <w:szCs w:val="20"/>
          <w:color w:val="auto"/>
        </w:rPr>
      </w:pPr>
    </w:p>
    <w:p>
      <w:pPr>
        <w:jc w:val="center"/>
        <w:ind w:right="-59"/>
        <w:spacing w:after="0"/>
        <w:rPr>
          <w:sz w:val="20"/>
          <w:szCs w:val="20"/>
          <w:color w:val="auto"/>
        </w:rPr>
      </w:pPr>
      <w:r>
        <w:rPr>
          <w:rFonts w:ascii="Arial" w:cs="Arial" w:eastAsia="Arial" w:hAnsi="Arial"/>
          <w:sz w:val="25"/>
          <w:szCs w:val="25"/>
          <w:b w:val="1"/>
          <w:bCs w:val="1"/>
          <w:color w:val="auto"/>
        </w:rPr>
        <w:t>Preferred Stock</w:t>
      </w:r>
    </w:p>
    <w:p>
      <w:pPr>
        <w:spacing w:after="0" w:line="10" w:lineRule="exact"/>
        <w:rPr>
          <w:sz w:val="20"/>
          <w:szCs w:val="20"/>
          <w:color w:val="auto"/>
        </w:rPr>
      </w:pPr>
    </w:p>
    <w:p>
      <w:pPr>
        <w:jc w:val="center"/>
        <w:ind w:right="-59"/>
        <w:spacing w:after="0"/>
        <w:rPr>
          <w:sz w:val="20"/>
          <w:szCs w:val="20"/>
          <w:color w:val="auto"/>
        </w:rPr>
      </w:pPr>
      <w:r>
        <w:rPr>
          <w:rFonts w:ascii="Arial" w:cs="Arial" w:eastAsia="Arial" w:hAnsi="Arial"/>
          <w:sz w:val="25"/>
          <w:szCs w:val="25"/>
          <w:b w:val="1"/>
          <w:bCs w:val="1"/>
          <w:color w:val="auto"/>
        </w:rPr>
        <w:t>Debt Securities</w:t>
      </w:r>
    </w:p>
    <w:p>
      <w:pPr>
        <w:spacing w:after="0" w:line="10" w:lineRule="exact"/>
        <w:rPr>
          <w:sz w:val="20"/>
          <w:szCs w:val="20"/>
          <w:color w:val="auto"/>
        </w:rPr>
      </w:pPr>
    </w:p>
    <w:p>
      <w:pPr>
        <w:jc w:val="center"/>
        <w:ind w:right="-59"/>
        <w:spacing w:after="0"/>
        <w:rPr>
          <w:sz w:val="20"/>
          <w:szCs w:val="20"/>
          <w:color w:val="auto"/>
        </w:rPr>
      </w:pPr>
      <w:r>
        <w:rPr>
          <w:rFonts w:ascii="Arial" w:cs="Arial" w:eastAsia="Arial" w:hAnsi="Arial"/>
          <w:sz w:val="25"/>
          <w:szCs w:val="25"/>
          <w:b w:val="1"/>
          <w:bCs w:val="1"/>
          <w:color w:val="auto"/>
        </w:rPr>
        <w:t>Warrants</w:t>
      </w:r>
    </w:p>
    <w:p>
      <w:pPr>
        <w:spacing w:after="0" w:line="10" w:lineRule="exact"/>
        <w:rPr>
          <w:sz w:val="20"/>
          <w:szCs w:val="20"/>
          <w:color w:val="auto"/>
        </w:rPr>
      </w:pPr>
    </w:p>
    <w:p>
      <w:pPr>
        <w:jc w:val="center"/>
        <w:ind w:right="-59"/>
        <w:spacing w:after="0"/>
        <w:rPr>
          <w:sz w:val="20"/>
          <w:szCs w:val="20"/>
          <w:color w:val="auto"/>
        </w:rPr>
      </w:pPr>
      <w:r>
        <w:rPr>
          <w:rFonts w:ascii="Arial" w:cs="Arial" w:eastAsia="Arial" w:hAnsi="Arial"/>
          <w:sz w:val="25"/>
          <w:szCs w:val="25"/>
          <w:b w:val="1"/>
          <w:bCs w:val="1"/>
          <w:color w:val="auto"/>
        </w:rPr>
        <w:t>Units</w:t>
      </w:r>
    </w:p>
    <w:p>
      <w:pPr>
        <w:spacing w:after="0" w:line="10" w:lineRule="exact"/>
        <w:rPr>
          <w:sz w:val="20"/>
          <w:szCs w:val="20"/>
          <w:color w:val="auto"/>
        </w:rPr>
      </w:pPr>
    </w:p>
    <w:p>
      <w:pPr>
        <w:jc w:val="center"/>
        <w:ind w:right="-59"/>
        <w:spacing w:after="0"/>
        <w:rPr>
          <w:sz w:val="20"/>
          <w:szCs w:val="20"/>
          <w:color w:val="auto"/>
        </w:rPr>
      </w:pPr>
      <w:r>
        <w:rPr>
          <w:rFonts w:ascii="Arial" w:cs="Arial" w:eastAsia="Arial" w:hAnsi="Arial"/>
          <w:sz w:val="25"/>
          <w:szCs w:val="25"/>
          <w:b w:val="1"/>
          <w:bCs w:val="1"/>
          <w:color w:val="auto"/>
        </w:rPr>
        <w:t>Subscription Rights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2757805</wp:posOffset>
            </wp:positionH>
            <wp:positionV relativeFrom="paragraph">
              <wp:posOffset>225425</wp:posOffset>
            </wp:positionV>
            <wp:extent cx="1474470" cy="8255"/>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70">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200" w:lineRule="exact"/>
        <w:rPr>
          <w:sz w:val="20"/>
          <w:szCs w:val="20"/>
          <w:color w:val="auto"/>
        </w:rPr>
      </w:pPr>
    </w:p>
    <w:p>
      <w:pPr>
        <w:spacing w:after="0" w:line="338" w:lineRule="exact"/>
        <w:rPr>
          <w:sz w:val="20"/>
          <w:szCs w:val="20"/>
          <w:color w:val="auto"/>
        </w:rPr>
      </w:pPr>
    </w:p>
    <w:p>
      <w:pPr>
        <w:jc w:val="center"/>
        <w:ind w:right="-59"/>
        <w:spacing w:after="0"/>
        <w:rPr>
          <w:sz w:val="20"/>
          <w:szCs w:val="20"/>
          <w:color w:val="auto"/>
        </w:rPr>
      </w:pPr>
      <w:r>
        <w:rPr>
          <w:rFonts w:ascii="Arial" w:cs="Arial" w:eastAsia="Arial" w:hAnsi="Arial"/>
          <w:sz w:val="22"/>
          <w:szCs w:val="22"/>
          <w:b w:val="1"/>
          <w:bCs w:val="1"/>
          <w:color w:val="auto"/>
        </w:rPr>
        <w:t>Prospectus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2757805</wp:posOffset>
            </wp:positionH>
            <wp:positionV relativeFrom="paragraph">
              <wp:posOffset>233680</wp:posOffset>
            </wp:positionV>
            <wp:extent cx="1474470" cy="8890"/>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71">
                      <a:extLst>
                        <a:ext uri="{28A0092B-C50C-407E-A947-70E740481C1C}"/>
                      </a:extLst>
                    </a:blip>
                    <a:srcRect/>
                    <a:stretch>
                      <a:fillRect/>
                    </a:stretch>
                  </pic:blipFill>
                  <pic:spPr bwMode="auto">
                    <a:xfrm>
                      <a:off x="0" y="0"/>
                      <a:ext cx="1474470" cy="8890"/>
                    </a:xfrm>
                    <a:prstGeom prst="rect">
                      <a:avLst/>
                    </a:prstGeom>
                    <a:noFill/>
                  </pic:spPr>
                </pic:pic>
              </a:graphicData>
            </a:graphic>
          </wp:anchor>
        </w:drawing>
      </w:r>
    </w:p>
    <w:p>
      <w:pPr>
        <w:spacing w:after="0" w:line="200" w:lineRule="exact"/>
        <w:rPr>
          <w:sz w:val="20"/>
          <w:szCs w:val="20"/>
          <w:color w:val="auto"/>
        </w:rPr>
      </w:pPr>
    </w:p>
    <w:p>
      <w:pPr>
        <w:spacing w:after="0" w:line="360" w:lineRule="exact"/>
        <w:rPr>
          <w:sz w:val="20"/>
          <w:szCs w:val="20"/>
          <w:color w:val="auto"/>
        </w:rPr>
      </w:pPr>
    </w:p>
    <w:p>
      <w:pPr>
        <w:ind w:left="5720"/>
        <w:spacing w:after="0"/>
        <w:rPr>
          <w:sz w:val="20"/>
          <w:szCs w:val="20"/>
          <w:color w:val="auto"/>
        </w:rPr>
      </w:pPr>
      <w:r>
        <w:rPr>
          <w:rFonts w:ascii="Arial" w:cs="Arial" w:eastAsia="Arial" w:hAnsi="Arial"/>
          <w:sz w:val="18"/>
          <w:szCs w:val="18"/>
          <w:b w:val="1"/>
          <w:bCs w:val="1"/>
          <w:color w:val="auto"/>
        </w:rPr>
        <w:t>, 2020</w:t>
      </w:r>
    </w:p>
    <w:p>
      <w:pPr>
        <w:spacing w:after="0" w:line="229" w:lineRule="exact"/>
        <w:rPr>
          <w:sz w:val="20"/>
          <w:szCs w:val="20"/>
          <w:color w:val="auto"/>
        </w:rPr>
      </w:pPr>
    </w:p>
    <w:p>
      <w:pPr>
        <w:spacing w:after="0" w:line="279" w:lineRule="auto"/>
        <w:rPr>
          <w:sz w:val="20"/>
          <w:szCs w:val="20"/>
          <w:color w:val="auto"/>
        </w:rPr>
      </w:pPr>
      <w:r>
        <w:rPr>
          <w:rFonts w:ascii="Arial" w:cs="Arial" w:eastAsia="Arial" w:hAnsi="Arial"/>
          <w:sz w:val="17"/>
          <w:szCs w:val="17"/>
          <w:color w:val="auto"/>
        </w:rPr>
        <w:t>We have not authorized any dealer, salesperson or other person to give any information or represent anything not contained in this prospectus. You must not rely on any unauthorized information. If anyone provides you with different or inconsistent information, you should not rely on it. This prospectus does not offer to sell any securities in any jurisdiction where it is unlawful. Neither the delivery of this prospectus, nor any sale made hereunder, shall create any implication that the information in this prospectus is correct after the date hereof.</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391795</wp:posOffset>
            </wp:positionV>
            <wp:extent cx="6995160" cy="8255"/>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72">
                      <a:extLst>
                        <a:ext uri="{28A0092B-C50C-407E-A947-70E740481C1C}"/>
                      </a:extLst>
                    </a:blip>
                    <a:srcRect/>
                    <a:stretch>
                      <a:fillRect/>
                    </a:stretch>
                  </pic:blipFill>
                  <pic:spPr bwMode="auto">
                    <a:xfrm>
                      <a:off x="0" y="0"/>
                      <a:ext cx="6995160" cy="8255"/>
                    </a:xfrm>
                    <a:prstGeom prst="rect">
                      <a:avLst/>
                    </a:prstGeom>
                    <a:noFill/>
                  </pic:spPr>
                </pic:pic>
              </a:graphicData>
            </a:graphic>
          </wp:anchor>
        </w:drawing>
        <w:drawing>
          <wp:anchor simplePos="0" relativeHeight="251657728" behindDoc="1" locked="0" layoutInCell="0" allowOverlap="1">
            <wp:simplePos x="0" y="0"/>
            <wp:positionH relativeFrom="column">
              <wp:posOffset>-1905</wp:posOffset>
            </wp:positionH>
            <wp:positionV relativeFrom="paragraph">
              <wp:posOffset>452120</wp:posOffset>
            </wp:positionV>
            <wp:extent cx="6995160" cy="26035"/>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73">
                      <a:extLst>
                        <a:ext uri="{28A0092B-C50C-407E-A947-70E740481C1C}"/>
                      </a:extLst>
                    </a:blip>
                    <a:srcRect/>
                    <a:stretch>
                      <a:fillRect/>
                    </a:stretch>
                  </pic:blipFill>
                  <pic:spPr bwMode="auto">
                    <a:xfrm>
                      <a:off x="0" y="0"/>
                      <a:ext cx="6995160" cy="26035"/>
                    </a:xfrm>
                    <a:prstGeom prst="rect">
                      <a:avLst/>
                    </a:prstGeom>
                    <a:noFill/>
                  </pic:spPr>
                </pic:pic>
              </a:graphicData>
            </a:graphic>
          </wp:anchor>
        </w:drawing>
      </w:r>
    </w:p>
    <w:p>
      <w:pPr>
        <w:sectPr>
          <w:pgSz w:w="11900" w:h="16838" w:orient="portrait"/>
          <w:cols w:equalWidth="0" w:num="1">
            <w:col w:w="10940"/>
          </w:cols>
          <w:pgMar w:left="440" w:top="823" w:right="519" w:bottom="1440" w:gutter="0" w:footer="0" w:header="0"/>
        </w:sectPr>
      </w:pPr>
    </w:p>
    <w:bookmarkStart w:id="38" w:name="page39"/>
    <w:bookmarkEnd w:id="38"/>
    <w:p>
      <w:pPr>
        <w:ind w:right="80"/>
        <w:spacing w:after="0" w:line="266" w:lineRule="auto"/>
        <w:rPr>
          <w:sz w:val="20"/>
          <w:szCs w:val="20"/>
          <w:color w:val="auto"/>
        </w:rPr>
      </w:pPr>
      <w:r>
        <w:rPr>
          <w:rFonts w:ascii="Arial" w:cs="Arial" w:eastAsia="Arial" w:hAnsi="Arial"/>
          <w:sz w:val="18"/>
          <w:szCs w:val="18"/>
          <w:b w:val="1"/>
          <w:bCs w:val="1"/>
          <w:color w:val="FF4338"/>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74">
                      <a:extLst>
                        <a:ext uri="{28A0092B-C50C-407E-A947-70E740481C1C}"/>
                      </a:extLst>
                    </a:blip>
                    <a:srcRect/>
                    <a:stretch>
                      <a:fillRect/>
                    </a:stretch>
                  </pic:blipFill>
                  <pic:spPr bwMode="auto">
                    <a:xfrm>
                      <a:off x="0" y="0"/>
                      <a:ext cx="7149465" cy="26035"/>
                    </a:xfrm>
                    <a:prstGeom prst="rect">
                      <a:avLst/>
                    </a:prstGeom>
                    <a:noFill/>
                  </pic:spPr>
                </pic:pic>
              </a:graphicData>
            </a:graphic>
          </wp:anchor>
        </w:drawing>
        <w:t>The information in this preliminary prospectus is not complete and may be changed. These securities may not be sold until the registration statement filed with the Securities and Exchange Commission is effective. This preliminary prospectus is not an offer to sell nor does it seek an offer to buy these securities in any jurisdiction where the offer or sale is not permitted.</w:t>
      </w:r>
    </w:p>
    <w:p>
      <w:pPr>
        <w:spacing w:after="0" w:line="108"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FF4338"/>
        </w:rPr>
        <w:t>Subject to Completion, dated August 14, 2020.</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PROSPECTUS</w:t>
      </w:r>
    </w:p>
    <w:p>
      <w:pPr>
        <w:spacing w:after="0" w:line="202" w:lineRule="exact"/>
        <w:rPr>
          <w:sz w:val="20"/>
          <w:szCs w:val="20"/>
          <w:color w:val="auto"/>
        </w:rPr>
      </w:pPr>
    </w:p>
    <w:p>
      <w:pPr>
        <w:jc w:val="center"/>
        <w:ind w:right="-39"/>
        <w:spacing w:after="0"/>
        <w:rPr>
          <w:sz w:val="20"/>
          <w:szCs w:val="20"/>
          <w:color w:val="auto"/>
        </w:rPr>
      </w:pPr>
      <w:r>
        <w:rPr>
          <w:rFonts w:ascii="Arial" w:cs="Arial" w:eastAsia="Arial" w:hAnsi="Arial"/>
          <w:sz w:val="32"/>
          <w:szCs w:val="32"/>
          <w:b w:val="1"/>
          <w:bCs w:val="1"/>
          <w:color w:val="auto"/>
        </w:rPr>
        <w:t>$50,000,000 Common Stock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2757805</wp:posOffset>
            </wp:positionH>
            <wp:positionV relativeFrom="paragraph">
              <wp:posOffset>1352550</wp:posOffset>
            </wp:positionV>
            <wp:extent cx="1474470" cy="8255"/>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75">
                      <a:extLst>
                        <a:ext uri="{28A0092B-C50C-407E-A947-70E740481C1C}"/>
                      </a:extLst>
                    </a:blip>
                    <a:srcRect/>
                    <a:stretch>
                      <a:fillRect/>
                    </a:stretch>
                  </pic:blipFill>
                  <pic:spPr bwMode="auto">
                    <a:xfrm>
                      <a:off x="0" y="0"/>
                      <a:ext cx="1474470" cy="8255"/>
                    </a:xfrm>
                    <a:prstGeom prst="rect">
                      <a:avLst/>
                    </a:prstGeom>
                    <a:noFill/>
                  </pic:spPr>
                </pic:pic>
              </a:graphicData>
            </a:graphic>
          </wp:anchor>
        </w:drawing>
        <w:drawing>
          <wp:anchor simplePos="0" relativeHeight="251657728" behindDoc="1" locked="0" layoutInCell="0" allowOverlap="1">
            <wp:simplePos x="0" y="0"/>
            <wp:positionH relativeFrom="column">
              <wp:posOffset>2234565</wp:posOffset>
            </wp:positionH>
            <wp:positionV relativeFrom="paragraph">
              <wp:posOffset>178435</wp:posOffset>
            </wp:positionV>
            <wp:extent cx="2520315" cy="951230"/>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76">
                      <a:extLst>
                        <a:ext uri="{28A0092B-C50C-407E-A947-70E740481C1C}"/>
                      </a:extLst>
                    </a:blip>
                    <a:srcRect/>
                    <a:stretch>
                      <a:fillRect/>
                    </a:stretch>
                  </pic:blipFill>
                  <pic:spPr bwMode="auto">
                    <a:xfrm>
                      <a:off x="0" y="0"/>
                      <a:ext cx="2520315" cy="95123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5" w:lineRule="exact"/>
        <w:rPr>
          <w:sz w:val="20"/>
          <w:szCs w:val="20"/>
          <w:color w:val="auto"/>
        </w:rPr>
      </w:pPr>
    </w:p>
    <w:p>
      <w:pPr>
        <w:ind w:right="100"/>
        <w:spacing w:after="0" w:line="259" w:lineRule="auto"/>
        <w:rPr>
          <w:sz w:val="20"/>
          <w:szCs w:val="20"/>
          <w:color w:val="auto"/>
        </w:rPr>
      </w:pPr>
      <w:r>
        <w:rPr>
          <w:rFonts w:ascii="Arial" w:cs="Arial" w:eastAsia="Arial" w:hAnsi="Arial"/>
          <w:sz w:val="18"/>
          <w:szCs w:val="18"/>
          <w:color w:val="auto"/>
        </w:rPr>
        <w:t>We have entered into an equity distribution agreement (the “Equity Distribution Agreement”) with Piper Sandler &amp; Co. (“Piper Sandler”) as our sales agent, relating to shares of our common stock, par value $0.001 per share, offered by this prospectus. In accordance with the terms of the Equity Distribution Agreement, we may offer and sell shares of our common stock having an aggregate offering price of up to $50.0 million from time to time through Piper Sandler.</w:t>
      </w:r>
    </w:p>
    <w:p>
      <w:pPr>
        <w:spacing w:after="0" w:line="187"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Our common stock trades on The Nasdaq Global Market (“Nasdaq”) under the symbol “LRMR.” On August 13, 2020, the last sale price of the common stock reported on Nasdaq was $11.89 per share.</w:t>
      </w:r>
    </w:p>
    <w:p>
      <w:pPr>
        <w:spacing w:after="0" w:line="170" w:lineRule="exact"/>
        <w:rPr>
          <w:sz w:val="20"/>
          <w:szCs w:val="20"/>
          <w:color w:val="auto"/>
        </w:rPr>
      </w:pPr>
    </w:p>
    <w:p>
      <w:pPr>
        <w:ind w:right="100"/>
        <w:spacing w:after="0" w:line="255" w:lineRule="auto"/>
        <w:rPr>
          <w:sz w:val="20"/>
          <w:szCs w:val="20"/>
          <w:color w:val="auto"/>
        </w:rPr>
      </w:pPr>
      <w:r>
        <w:rPr>
          <w:rFonts w:ascii="Arial" w:cs="Arial" w:eastAsia="Arial" w:hAnsi="Arial"/>
          <w:sz w:val="18"/>
          <w:szCs w:val="18"/>
          <w:color w:val="auto"/>
        </w:rPr>
        <w:t>Sales of our common stock, if any, under this prospectus may be made in sales deemed to be in negotiated transactions or transactions that are deemed “at the market offerings” as defined in Rule 415 promulgated under the Securities Act of 1933, as amended (the “Securities Act”) including sales made directly on Nasdaq or sales made to or through a market maker other than on an exchange. Piper Sandler is not required to sell any specific number or dollar amount of our common stock, but will act as a sales agent using commercially reasonable efforts consistent with its normal trading and sales practices, on mutually agreed terms between Piper Sandler and us. There is no arrangement for funds to be received in any escrow, trust or similar arrangement.</w:t>
      </w:r>
    </w:p>
    <w:p>
      <w:pPr>
        <w:spacing w:after="0" w:line="192" w:lineRule="exact"/>
        <w:rPr>
          <w:sz w:val="20"/>
          <w:szCs w:val="20"/>
          <w:color w:val="auto"/>
        </w:rPr>
      </w:pPr>
    </w:p>
    <w:p>
      <w:pPr>
        <w:ind w:right="20"/>
        <w:spacing w:after="0" w:line="273" w:lineRule="auto"/>
        <w:rPr>
          <w:sz w:val="20"/>
          <w:szCs w:val="20"/>
          <w:color w:val="auto"/>
        </w:rPr>
      </w:pPr>
      <w:r>
        <w:rPr>
          <w:rFonts w:ascii="Arial" w:cs="Arial" w:eastAsia="Arial" w:hAnsi="Arial"/>
          <w:sz w:val="17"/>
          <w:szCs w:val="17"/>
          <w:color w:val="auto"/>
        </w:rPr>
        <w:t>The compensation to Piper Sandler for sales of common stock sold pursuant to the Equity Distribution Agreement will be an amount of up to 3.0% of the gross proceeds of any shares of common stock sold thereunder. In connection with the sale of the common stock on our behalf, Piper Sandler will be deemed to be an “underwriter” within the meaning of the Securities Act, and the compensation of Piper Sandler will be deemed to be underwriting commissions or discounts. We have also agreed to provide indemnification and contribution to Piper Sandler with respect to certain liabilities, including liabilities under the Securities Act or the Securities Exchange Act of 1934, as amended (the “Exchange Act”). The net proceeds we receive from any sales under this prospectus will be used as described under “Use of Proceeds” in this prospectus.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2757805</wp:posOffset>
            </wp:positionH>
            <wp:positionV relativeFrom="paragraph">
              <wp:posOffset>216535</wp:posOffset>
            </wp:positionV>
            <wp:extent cx="1474470" cy="8255"/>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77">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200" w:lineRule="exact"/>
        <w:rPr>
          <w:sz w:val="20"/>
          <w:szCs w:val="20"/>
          <w:color w:val="auto"/>
        </w:rPr>
      </w:pPr>
    </w:p>
    <w:p>
      <w:pPr>
        <w:spacing w:after="0" w:line="323" w:lineRule="exact"/>
        <w:rPr>
          <w:sz w:val="20"/>
          <w:szCs w:val="20"/>
          <w:color w:val="auto"/>
        </w:rPr>
      </w:pPr>
    </w:p>
    <w:p>
      <w:pPr>
        <w:ind w:right="180"/>
        <w:spacing w:after="0" w:line="243" w:lineRule="auto"/>
        <w:rPr>
          <w:rFonts w:ascii="Arial" w:cs="Arial" w:eastAsia="Arial" w:hAnsi="Arial"/>
          <w:sz w:val="22"/>
          <w:szCs w:val="22"/>
          <w:b w:val="1"/>
          <w:bCs w:val="1"/>
          <w:color w:val="auto"/>
        </w:rPr>
      </w:pPr>
      <w:r>
        <w:rPr>
          <w:rFonts w:ascii="Arial" w:cs="Arial" w:eastAsia="Arial" w:hAnsi="Arial"/>
          <w:sz w:val="22"/>
          <w:szCs w:val="22"/>
          <w:b w:val="1"/>
          <w:bCs w:val="1"/>
          <w:color w:val="auto"/>
        </w:rPr>
        <w:t>INVESTING IN OUR SECURITIES INVOLVES RISKS. SEE THE “</w:t>
      </w:r>
      <w:hyperlink w:anchor="page48">
        <w:r>
          <w:rPr>
            <w:rFonts w:ascii="Arial" w:cs="Arial" w:eastAsia="Arial" w:hAnsi="Arial"/>
            <w:sz w:val="22"/>
            <w:szCs w:val="22"/>
            <w:b w:val="1"/>
            <w:bCs w:val="1"/>
            <w:u w:val="single" w:color="auto"/>
            <w:color w:val="0000EE"/>
          </w:rPr>
          <w:t>RISK FACTORS</w:t>
        </w:r>
      </w:hyperlink>
      <w:r>
        <w:rPr>
          <w:rFonts w:ascii="Arial" w:cs="Arial" w:eastAsia="Arial" w:hAnsi="Arial"/>
          <w:sz w:val="22"/>
          <w:szCs w:val="22"/>
          <w:b w:val="1"/>
          <w:bCs w:val="1"/>
          <w:color w:val="auto"/>
        </w:rPr>
        <w:t>” ON BEGINNING ON PAGE 7 OF THIS PROSPECTUS AND IN THE DOCUMENTS INCOPRPORATED BY REFERENCE INTO THIS PROSPCTUS.</w:t>
      </w:r>
    </w:p>
    <w:p>
      <w:pPr>
        <w:spacing w:after="0" w:line="186" w:lineRule="exact"/>
        <w:rPr>
          <w:sz w:val="20"/>
          <w:szCs w:val="20"/>
          <w:color w:val="auto"/>
        </w:rPr>
      </w:pPr>
    </w:p>
    <w:p>
      <w:pPr>
        <w:ind w:right="400"/>
        <w:spacing w:after="0" w:line="266" w:lineRule="auto"/>
        <w:rPr>
          <w:sz w:val="20"/>
          <w:szCs w:val="20"/>
          <w:color w:val="auto"/>
        </w:rPr>
      </w:pPr>
      <w:r>
        <w:rPr>
          <w:rFonts w:ascii="Arial" w:cs="Arial" w:eastAsia="Arial" w:hAnsi="Arial"/>
          <w:sz w:val="18"/>
          <w:szCs w:val="18"/>
          <w:b w:val="1"/>
          <w:bCs w:val="1"/>
          <w:color w:val="auto"/>
        </w:rPr>
        <w:t>Neither the Securities and Exchange Commission (the “SEC”), nor any state securities commission has approved or disapproved of these securities or determined if this prospectus, or determined if this prospectus is truthful or complete. Any representation to the contrary is a criminal offense.</w:t>
      </w:r>
    </w:p>
    <w:p>
      <w:pPr>
        <w:sectPr>
          <w:pgSz w:w="11900" w:h="16838" w:orient="portrait"/>
          <w:cols w:equalWidth="0" w:num="1">
            <w:col w:w="10980"/>
          </w:cols>
          <w:pgMar w:left="440" w:top="270" w:right="479" w:bottom="1440" w:gutter="0" w:footer="0" w:header="0"/>
        </w:sectPr>
      </w:pPr>
    </w:p>
    <w:bookmarkStart w:id="39" w:name="page40"/>
    <w:bookmarkEnd w:id="39"/>
    <w:p>
      <w:pPr>
        <w:jc w:val="center"/>
        <w:ind w:right="19"/>
        <w:spacing w:after="0"/>
        <w:rPr>
          <w:sz w:val="20"/>
          <w:szCs w:val="20"/>
          <w:color w:val="auto"/>
        </w:rPr>
      </w:pPr>
      <w:r>
        <w:rPr>
          <w:rFonts w:ascii="Arial" w:cs="Arial" w:eastAsia="Arial" w:hAnsi="Arial"/>
          <w:sz w:val="32"/>
          <w:szCs w:val="32"/>
          <w:b w:val="1"/>
          <w:bCs w:val="1"/>
          <w:color w:val="auto"/>
        </w:rPr>
        <w:drawing>
          <wp:anchor simplePos="0" relativeHeight="251657728" behindDoc="1" locked="0" layoutInCell="0" allowOverlap="1">
            <wp:simplePos x="0" y="0"/>
            <wp:positionH relativeFrom="page">
              <wp:posOffset>3037205</wp:posOffset>
            </wp:positionH>
            <wp:positionV relativeFrom="page">
              <wp:posOffset>311785</wp:posOffset>
            </wp:positionV>
            <wp:extent cx="1474470" cy="8255"/>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8">
                      <a:extLst>
                        <a:ext uri="{28A0092B-C50C-407E-A947-70E740481C1C}"/>
                      </a:extLst>
                    </a:blip>
                    <a:srcRect/>
                    <a:stretch>
                      <a:fillRect/>
                    </a:stretch>
                  </pic:blipFill>
                  <pic:spPr bwMode="auto">
                    <a:xfrm>
                      <a:off x="0" y="0"/>
                      <a:ext cx="1474470" cy="8255"/>
                    </a:xfrm>
                    <a:prstGeom prst="rect">
                      <a:avLst/>
                    </a:prstGeom>
                    <a:noFill/>
                  </pic:spPr>
                </pic:pic>
              </a:graphicData>
            </a:graphic>
          </wp:anchor>
        </w:drawing>
        <w:t>Piper Sandler</w:t>
      </w:r>
    </w:p>
    <w:p>
      <w:pPr>
        <w:spacing w:after="0" w:line="235" w:lineRule="exact"/>
        <w:rPr>
          <w:sz w:val="20"/>
          <w:szCs w:val="20"/>
          <w:color w:val="auto"/>
        </w:rPr>
      </w:pPr>
    </w:p>
    <w:tbl>
      <w:tblPr>
        <w:tblLayout w:type="fixed"/>
        <w:tblInd w:w="2840" w:type="dxa"/>
        <w:tblCellMar>
          <w:top w:w="0" w:type="dxa"/>
          <w:left w:w="0" w:type="dxa"/>
          <w:bottom w:w="0" w:type="dxa"/>
          <w:right w:w="0" w:type="dxa"/>
        </w:tblCellMar>
      </w:tblPr>
      <w:tr>
        <w:trPr>
          <w:trHeight w:val="234"/>
        </w:trPr>
        <w:tc>
          <w:tcPr>
            <w:tcW w:w="2540" w:type="dxa"/>
            <w:vAlign w:val="bottom"/>
          </w:tcPr>
          <w:p>
            <w:pPr>
              <w:spacing w:after="0"/>
              <w:rPr>
                <w:sz w:val="20"/>
                <w:szCs w:val="20"/>
                <w:color w:val="auto"/>
              </w:rPr>
            </w:pPr>
            <w:r>
              <w:rPr>
                <w:rFonts w:ascii="Arial" w:cs="Arial" w:eastAsia="Arial" w:hAnsi="Arial"/>
                <w:sz w:val="18"/>
                <w:szCs w:val="18"/>
                <w:b w:val="1"/>
                <w:bCs w:val="1"/>
                <w:color w:val="auto"/>
                <w:w w:val="98"/>
              </w:rPr>
              <w:t>The date of this prospectus is</w:t>
            </w:r>
          </w:p>
        </w:tc>
        <w:tc>
          <w:tcPr>
            <w:tcW w:w="780" w:type="dxa"/>
            <w:vAlign w:val="bottom"/>
          </w:tcPr>
          <w:p>
            <w:pPr>
              <w:jc w:val="right"/>
              <w:spacing w:after="0"/>
              <w:rPr>
                <w:sz w:val="20"/>
                <w:szCs w:val="20"/>
                <w:color w:val="auto"/>
              </w:rPr>
            </w:pPr>
            <w:r>
              <w:rPr>
                <w:rFonts w:ascii="Arial" w:cs="Arial" w:eastAsia="Arial" w:hAnsi="Arial"/>
                <w:sz w:val="18"/>
                <w:szCs w:val="18"/>
                <w:b w:val="1"/>
                <w:bCs w:val="1"/>
                <w:color w:val="auto"/>
              </w:rPr>
              <w:t>, 2020.</w:t>
            </w:r>
          </w:p>
        </w:tc>
      </w:tr>
    </w:tbl>
    <w:p>
      <w:pPr>
        <w:sectPr>
          <w:pgSz w:w="11900" w:h="16838" w:orient="portrait"/>
          <w:cols w:equalWidth="0" w:num="1">
            <w:col w:w="9019"/>
          </w:cols>
          <w:pgMar w:left="1440" w:top="679" w:right="1440" w:bottom="1440" w:gutter="0" w:footer="0" w:header="0"/>
        </w:sectPr>
      </w:pPr>
    </w:p>
    <w:bookmarkStart w:id="40" w:name="page41"/>
    <w:bookmarkEnd w:id="40"/>
    <w:p>
      <w:pPr>
        <w:spacing w:after="0" w:line="1"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9">
                      <a:extLst>
                        <a:ext uri="{28A0092B-C50C-407E-A947-70E740481C1C}"/>
                      </a:extLst>
                    </a:blip>
                    <a:srcRect/>
                    <a:stretch>
                      <a:fillRect/>
                    </a:stretch>
                  </pic:blipFill>
                  <pic:spPr bwMode="auto">
                    <a:xfrm>
                      <a:off x="0" y="0"/>
                      <a:ext cx="7149465" cy="26035"/>
                    </a:xfrm>
                    <a:prstGeom prst="rect">
                      <a:avLst/>
                    </a:prstGeom>
                    <a:noFill/>
                  </pic:spPr>
                </pic:pic>
              </a:graphicData>
            </a:graphic>
          </wp:anchor>
        </w:drawing>
      </w:r>
    </w:p>
    <w:tbl>
      <w:tblPr>
        <w:tblLayout w:type="fixed"/>
        <w:tblInd w:w="0" w:type="dxa"/>
        <w:tblCellMar>
          <w:top w:w="0" w:type="dxa"/>
          <w:left w:w="0" w:type="dxa"/>
          <w:bottom w:w="0" w:type="dxa"/>
          <w:right w:w="0" w:type="dxa"/>
        </w:tblCellMar>
      </w:tblPr>
      <w:tr>
        <w:trPr>
          <w:trHeight w:val="234"/>
        </w:trPr>
        <w:tc>
          <w:tcPr>
            <w:tcW w:w="8620" w:type="dxa"/>
            <w:vAlign w:val="bottom"/>
          </w:tcPr>
          <w:p>
            <w:pPr>
              <w:ind w:left="4540"/>
              <w:spacing w:after="0"/>
              <w:rPr>
                <w:sz w:val="20"/>
                <w:szCs w:val="20"/>
                <w:color w:val="auto"/>
              </w:rPr>
            </w:pPr>
            <w:r>
              <w:rPr>
                <w:rFonts w:ascii="Arial" w:cs="Arial" w:eastAsia="Arial" w:hAnsi="Arial"/>
                <w:sz w:val="18"/>
                <w:szCs w:val="18"/>
                <w:b w:val="1"/>
                <w:bCs w:val="1"/>
                <w:color w:val="auto"/>
              </w:rPr>
              <w:t>TABLE OF CONTENTS</w:t>
            </w:r>
          </w:p>
        </w:tc>
        <w:tc>
          <w:tcPr>
            <w:tcW w:w="2340" w:type="dxa"/>
            <w:vAlign w:val="bottom"/>
          </w:tcPr>
          <w:p>
            <w:pPr>
              <w:spacing w:after="0"/>
              <w:rPr>
                <w:sz w:val="20"/>
                <w:szCs w:val="20"/>
                <w:color w:val="auto"/>
              </w:rPr>
            </w:pPr>
          </w:p>
        </w:tc>
      </w:tr>
      <w:tr>
        <w:trPr>
          <w:trHeight w:val="634"/>
        </w:trPr>
        <w:tc>
          <w:tcPr>
            <w:tcW w:w="8620" w:type="dxa"/>
            <w:vAlign w:val="bottom"/>
          </w:tcPr>
          <w:p>
            <w:pPr>
              <w:spacing w:after="0"/>
              <w:rPr>
                <w:rFonts w:ascii="Arial" w:cs="Arial" w:eastAsia="Arial" w:hAnsi="Arial"/>
                <w:sz w:val="18"/>
                <w:szCs w:val="18"/>
                <w:u w:val="single" w:color="auto"/>
                <w:color w:val="0000EE"/>
              </w:rPr>
            </w:pPr>
            <w:hyperlink w:anchor="page42">
              <w:r>
                <w:rPr>
                  <w:rFonts w:ascii="Arial" w:cs="Arial" w:eastAsia="Arial" w:hAnsi="Arial"/>
                  <w:sz w:val="18"/>
                  <w:szCs w:val="18"/>
                  <w:u w:val="single" w:color="auto"/>
                  <w:color w:val="0000EE"/>
                </w:rPr>
                <w:t>ABOUT THIS PROSPECTUS</w:t>
              </w:r>
            </w:hyperlink>
          </w:p>
        </w:tc>
        <w:tc>
          <w:tcPr>
            <w:tcW w:w="2340" w:type="dxa"/>
            <w:vAlign w:val="bottom"/>
          </w:tcPr>
          <w:p>
            <w:pPr>
              <w:jc w:val="right"/>
              <w:spacing w:after="0"/>
              <w:rPr>
                <w:sz w:val="20"/>
                <w:szCs w:val="20"/>
                <w:color w:val="auto"/>
              </w:rPr>
            </w:pPr>
            <w:r>
              <w:rPr>
                <w:rFonts w:ascii="Arial" w:cs="Arial" w:eastAsia="Arial" w:hAnsi="Arial"/>
                <w:sz w:val="18"/>
                <w:szCs w:val="18"/>
                <w:color w:val="auto"/>
              </w:rPr>
              <w:t>1</w:t>
            </w:r>
          </w:p>
        </w:tc>
      </w:tr>
      <w:tr>
        <w:trPr>
          <w:trHeight w:val="392"/>
        </w:trPr>
        <w:tc>
          <w:tcPr>
            <w:tcW w:w="8620" w:type="dxa"/>
            <w:vAlign w:val="bottom"/>
          </w:tcPr>
          <w:p>
            <w:pPr>
              <w:spacing w:after="0"/>
              <w:rPr>
                <w:rFonts w:ascii="Arial" w:cs="Arial" w:eastAsia="Arial" w:hAnsi="Arial"/>
                <w:sz w:val="18"/>
                <w:szCs w:val="18"/>
                <w:u w:val="single" w:color="auto"/>
                <w:color w:val="0000EE"/>
              </w:rPr>
            </w:pPr>
            <w:hyperlink w:anchor="page43">
              <w:r>
                <w:rPr>
                  <w:rFonts w:ascii="Arial" w:cs="Arial" w:eastAsia="Arial" w:hAnsi="Arial"/>
                  <w:sz w:val="18"/>
                  <w:szCs w:val="18"/>
                  <w:u w:val="single" w:color="auto"/>
                  <w:color w:val="0000EE"/>
                </w:rPr>
                <w:t>WHERE YOU CAN FIND MORE INFORMATION</w:t>
              </w:r>
            </w:hyperlink>
          </w:p>
        </w:tc>
        <w:tc>
          <w:tcPr>
            <w:tcW w:w="2340" w:type="dxa"/>
            <w:vAlign w:val="bottom"/>
          </w:tcPr>
          <w:p>
            <w:pPr>
              <w:jc w:val="right"/>
              <w:spacing w:after="0"/>
              <w:rPr>
                <w:sz w:val="20"/>
                <w:szCs w:val="20"/>
                <w:color w:val="auto"/>
              </w:rPr>
            </w:pPr>
            <w:r>
              <w:rPr>
                <w:rFonts w:ascii="Arial" w:cs="Arial" w:eastAsia="Arial" w:hAnsi="Arial"/>
                <w:sz w:val="18"/>
                <w:szCs w:val="18"/>
                <w:color w:val="auto"/>
              </w:rPr>
              <w:t>2</w:t>
            </w:r>
          </w:p>
        </w:tc>
      </w:tr>
      <w:tr>
        <w:trPr>
          <w:trHeight w:val="392"/>
        </w:trPr>
        <w:tc>
          <w:tcPr>
            <w:tcW w:w="8620" w:type="dxa"/>
            <w:vAlign w:val="bottom"/>
          </w:tcPr>
          <w:p>
            <w:pPr>
              <w:spacing w:after="0"/>
              <w:rPr>
                <w:rFonts w:ascii="Arial" w:cs="Arial" w:eastAsia="Arial" w:hAnsi="Arial"/>
                <w:sz w:val="18"/>
                <w:szCs w:val="18"/>
                <w:u w:val="single" w:color="auto"/>
                <w:color w:val="0000EE"/>
              </w:rPr>
            </w:pPr>
            <w:hyperlink w:anchor="page43">
              <w:r>
                <w:rPr>
                  <w:rFonts w:ascii="Arial" w:cs="Arial" w:eastAsia="Arial" w:hAnsi="Arial"/>
                  <w:sz w:val="18"/>
                  <w:szCs w:val="18"/>
                  <w:u w:val="single" w:color="auto"/>
                  <w:color w:val="0000EE"/>
                </w:rPr>
                <w:t>INCORPORATION OF CERTAIN INFORMATION BY REFERENCE</w:t>
              </w:r>
            </w:hyperlink>
          </w:p>
        </w:tc>
        <w:tc>
          <w:tcPr>
            <w:tcW w:w="2340" w:type="dxa"/>
            <w:vAlign w:val="bottom"/>
          </w:tcPr>
          <w:p>
            <w:pPr>
              <w:jc w:val="right"/>
              <w:spacing w:after="0"/>
              <w:rPr>
                <w:sz w:val="20"/>
                <w:szCs w:val="20"/>
                <w:color w:val="auto"/>
              </w:rPr>
            </w:pPr>
            <w:r>
              <w:rPr>
                <w:rFonts w:ascii="Arial" w:cs="Arial" w:eastAsia="Arial" w:hAnsi="Arial"/>
                <w:sz w:val="18"/>
                <w:szCs w:val="18"/>
                <w:color w:val="auto"/>
              </w:rPr>
              <w:t>2</w:t>
            </w:r>
          </w:p>
        </w:tc>
      </w:tr>
      <w:tr>
        <w:trPr>
          <w:trHeight w:val="392"/>
        </w:trPr>
        <w:tc>
          <w:tcPr>
            <w:tcW w:w="8620" w:type="dxa"/>
            <w:vAlign w:val="bottom"/>
          </w:tcPr>
          <w:p>
            <w:pPr>
              <w:spacing w:after="0"/>
              <w:rPr>
                <w:rFonts w:ascii="Arial" w:cs="Arial" w:eastAsia="Arial" w:hAnsi="Arial"/>
                <w:sz w:val="18"/>
                <w:szCs w:val="18"/>
                <w:u w:val="single" w:color="auto"/>
                <w:color w:val="0000EE"/>
              </w:rPr>
            </w:pPr>
            <w:hyperlink w:anchor="page45">
              <w:r>
                <w:rPr>
                  <w:rFonts w:ascii="Arial" w:cs="Arial" w:eastAsia="Arial" w:hAnsi="Arial"/>
                  <w:sz w:val="18"/>
                  <w:szCs w:val="18"/>
                  <w:u w:val="single" w:color="auto"/>
                  <w:color w:val="0000EE"/>
                </w:rPr>
                <w:t>PROSPECTUS SUMMARY</w:t>
              </w:r>
            </w:hyperlink>
          </w:p>
        </w:tc>
        <w:tc>
          <w:tcPr>
            <w:tcW w:w="2340" w:type="dxa"/>
            <w:vAlign w:val="bottom"/>
          </w:tcPr>
          <w:p>
            <w:pPr>
              <w:jc w:val="right"/>
              <w:spacing w:after="0"/>
              <w:rPr>
                <w:sz w:val="20"/>
                <w:szCs w:val="20"/>
                <w:color w:val="auto"/>
              </w:rPr>
            </w:pPr>
            <w:r>
              <w:rPr>
                <w:rFonts w:ascii="Arial" w:cs="Arial" w:eastAsia="Arial" w:hAnsi="Arial"/>
                <w:sz w:val="18"/>
                <w:szCs w:val="18"/>
                <w:color w:val="auto"/>
              </w:rPr>
              <w:t>4</w:t>
            </w:r>
          </w:p>
        </w:tc>
      </w:tr>
      <w:tr>
        <w:trPr>
          <w:trHeight w:val="391"/>
        </w:trPr>
        <w:tc>
          <w:tcPr>
            <w:tcW w:w="8620" w:type="dxa"/>
            <w:vAlign w:val="bottom"/>
          </w:tcPr>
          <w:p>
            <w:pPr>
              <w:spacing w:after="0"/>
              <w:rPr>
                <w:rFonts w:ascii="Arial" w:cs="Arial" w:eastAsia="Arial" w:hAnsi="Arial"/>
                <w:sz w:val="18"/>
                <w:szCs w:val="18"/>
                <w:u w:val="single" w:color="auto"/>
                <w:color w:val="0000EE"/>
              </w:rPr>
            </w:pPr>
            <w:hyperlink w:anchor="page47">
              <w:r>
                <w:rPr>
                  <w:rFonts w:ascii="Arial" w:cs="Arial" w:eastAsia="Arial" w:hAnsi="Arial"/>
                  <w:sz w:val="18"/>
                  <w:szCs w:val="18"/>
                  <w:u w:val="single" w:color="auto"/>
                  <w:color w:val="0000EE"/>
                </w:rPr>
                <w:t>THE OFFERING</w:t>
              </w:r>
            </w:hyperlink>
          </w:p>
        </w:tc>
        <w:tc>
          <w:tcPr>
            <w:tcW w:w="2340" w:type="dxa"/>
            <w:vAlign w:val="bottom"/>
          </w:tcPr>
          <w:p>
            <w:pPr>
              <w:jc w:val="right"/>
              <w:spacing w:after="0"/>
              <w:rPr>
                <w:sz w:val="20"/>
                <w:szCs w:val="20"/>
                <w:color w:val="auto"/>
              </w:rPr>
            </w:pPr>
            <w:r>
              <w:rPr>
                <w:rFonts w:ascii="Arial" w:cs="Arial" w:eastAsia="Arial" w:hAnsi="Arial"/>
                <w:sz w:val="18"/>
                <w:szCs w:val="18"/>
                <w:color w:val="auto"/>
              </w:rPr>
              <w:t>6</w:t>
            </w:r>
          </w:p>
        </w:tc>
      </w:tr>
      <w:tr>
        <w:trPr>
          <w:trHeight w:val="392"/>
        </w:trPr>
        <w:tc>
          <w:tcPr>
            <w:tcW w:w="8620" w:type="dxa"/>
            <w:vAlign w:val="bottom"/>
          </w:tcPr>
          <w:p>
            <w:pPr>
              <w:spacing w:after="0"/>
              <w:rPr>
                <w:rFonts w:ascii="Arial" w:cs="Arial" w:eastAsia="Arial" w:hAnsi="Arial"/>
                <w:sz w:val="18"/>
                <w:szCs w:val="18"/>
                <w:u w:val="single" w:color="auto"/>
                <w:color w:val="0000EE"/>
              </w:rPr>
            </w:pPr>
            <w:hyperlink w:anchor="page48">
              <w:r>
                <w:rPr>
                  <w:rFonts w:ascii="Arial" w:cs="Arial" w:eastAsia="Arial" w:hAnsi="Arial"/>
                  <w:sz w:val="18"/>
                  <w:szCs w:val="18"/>
                  <w:u w:val="single" w:color="auto"/>
                  <w:color w:val="0000EE"/>
                </w:rPr>
                <w:t>RISK FACTORS</w:t>
              </w:r>
            </w:hyperlink>
          </w:p>
        </w:tc>
        <w:tc>
          <w:tcPr>
            <w:tcW w:w="2340" w:type="dxa"/>
            <w:vAlign w:val="bottom"/>
          </w:tcPr>
          <w:p>
            <w:pPr>
              <w:jc w:val="right"/>
              <w:spacing w:after="0"/>
              <w:rPr>
                <w:sz w:val="20"/>
                <w:szCs w:val="20"/>
                <w:color w:val="auto"/>
              </w:rPr>
            </w:pPr>
            <w:r>
              <w:rPr>
                <w:rFonts w:ascii="Arial" w:cs="Arial" w:eastAsia="Arial" w:hAnsi="Arial"/>
                <w:sz w:val="18"/>
                <w:szCs w:val="18"/>
                <w:color w:val="auto"/>
              </w:rPr>
              <w:t>7</w:t>
            </w:r>
          </w:p>
        </w:tc>
      </w:tr>
      <w:tr>
        <w:trPr>
          <w:trHeight w:val="392"/>
        </w:trPr>
        <w:tc>
          <w:tcPr>
            <w:tcW w:w="8620" w:type="dxa"/>
            <w:vAlign w:val="bottom"/>
          </w:tcPr>
          <w:p>
            <w:pPr>
              <w:spacing w:after="0"/>
              <w:rPr>
                <w:rFonts w:ascii="Arial" w:cs="Arial" w:eastAsia="Arial" w:hAnsi="Arial"/>
                <w:sz w:val="18"/>
                <w:szCs w:val="18"/>
                <w:u w:val="single" w:color="auto"/>
                <w:color w:val="0000EE"/>
              </w:rPr>
            </w:pPr>
            <w:hyperlink w:anchor="page51">
              <w:r>
                <w:rPr>
                  <w:rFonts w:ascii="Arial" w:cs="Arial" w:eastAsia="Arial" w:hAnsi="Arial"/>
                  <w:sz w:val="18"/>
                  <w:szCs w:val="18"/>
                  <w:u w:val="single" w:color="auto"/>
                  <w:color w:val="0000EE"/>
                </w:rPr>
                <w:t>CAUTIONARY NOTE REGARDING FORWARD-LOOKING STATEMENTS</w:t>
              </w:r>
            </w:hyperlink>
          </w:p>
        </w:tc>
        <w:tc>
          <w:tcPr>
            <w:tcW w:w="2340" w:type="dxa"/>
            <w:vAlign w:val="bottom"/>
          </w:tcPr>
          <w:p>
            <w:pPr>
              <w:jc w:val="right"/>
              <w:spacing w:after="0"/>
              <w:rPr>
                <w:sz w:val="20"/>
                <w:szCs w:val="20"/>
                <w:color w:val="auto"/>
              </w:rPr>
            </w:pPr>
            <w:r>
              <w:rPr>
                <w:rFonts w:ascii="Arial" w:cs="Arial" w:eastAsia="Arial" w:hAnsi="Arial"/>
                <w:sz w:val="18"/>
                <w:szCs w:val="18"/>
                <w:color w:val="auto"/>
              </w:rPr>
              <w:t>10</w:t>
            </w:r>
          </w:p>
        </w:tc>
      </w:tr>
      <w:tr>
        <w:trPr>
          <w:trHeight w:val="392"/>
        </w:trPr>
        <w:tc>
          <w:tcPr>
            <w:tcW w:w="8620" w:type="dxa"/>
            <w:vAlign w:val="bottom"/>
          </w:tcPr>
          <w:p>
            <w:pPr>
              <w:spacing w:after="0"/>
              <w:rPr>
                <w:rFonts w:ascii="Arial" w:cs="Arial" w:eastAsia="Arial" w:hAnsi="Arial"/>
                <w:sz w:val="18"/>
                <w:szCs w:val="18"/>
                <w:u w:val="single" w:color="auto"/>
                <w:color w:val="0000EE"/>
              </w:rPr>
            </w:pPr>
            <w:hyperlink w:anchor="page53">
              <w:r>
                <w:rPr>
                  <w:rFonts w:ascii="Arial" w:cs="Arial" w:eastAsia="Arial" w:hAnsi="Arial"/>
                  <w:sz w:val="18"/>
                  <w:szCs w:val="18"/>
                  <w:u w:val="single" w:color="auto"/>
                  <w:color w:val="0000EE"/>
                </w:rPr>
                <w:t>USE OF PROCEEDS</w:t>
              </w:r>
            </w:hyperlink>
          </w:p>
        </w:tc>
        <w:tc>
          <w:tcPr>
            <w:tcW w:w="2340" w:type="dxa"/>
            <w:vAlign w:val="bottom"/>
          </w:tcPr>
          <w:p>
            <w:pPr>
              <w:jc w:val="right"/>
              <w:spacing w:after="0"/>
              <w:rPr>
                <w:sz w:val="20"/>
                <w:szCs w:val="20"/>
                <w:color w:val="auto"/>
              </w:rPr>
            </w:pPr>
            <w:r>
              <w:rPr>
                <w:rFonts w:ascii="Arial" w:cs="Arial" w:eastAsia="Arial" w:hAnsi="Arial"/>
                <w:sz w:val="18"/>
                <w:szCs w:val="18"/>
                <w:color w:val="auto"/>
              </w:rPr>
              <w:t>12</w:t>
            </w:r>
          </w:p>
        </w:tc>
      </w:tr>
      <w:tr>
        <w:trPr>
          <w:trHeight w:val="391"/>
        </w:trPr>
        <w:tc>
          <w:tcPr>
            <w:tcW w:w="8620" w:type="dxa"/>
            <w:vAlign w:val="bottom"/>
          </w:tcPr>
          <w:p>
            <w:pPr>
              <w:spacing w:after="0"/>
              <w:rPr>
                <w:rFonts w:ascii="Arial" w:cs="Arial" w:eastAsia="Arial" w:hAnsi="Arial"/>
                <w:sz w:val="18"/>
                <w:szCs w:val="18"/>
                <w:u w:val="single" w:color="auto"/>
                <w:color w:val="0000EE"/>
              </w:rPr>
            </w:pPr>
            <w:hyperlink w:anchor="page54">
              <w:r>
                <w:rPr>
                  <w:rFonts w:ascii="Arial" w:cs="Arial" w:eastAsia="Arial" w:hAnsi="Arial"/>
                  <w:sz w:val="18"/>
                  <w:szCs w:val="18"/>
                  <w:u w:val="single" w:color="auto"/>
                  <w:color w:val="0000EE"/>
                </w:rPr>
                <w:t>DILUTION</w:t>
              </w:r>
            </w:hyperlink>
          </w:p>
        </w:tc>
        <w:tc>
          <w:tcPr>
            <w:tcW w:w="2340" w:type="dxa"/>
            <w:vAlign w:val="bottom"/>
          </w:tcPr>
          <w:p>
            <w:pPr>
              <w:jc w:val="right"/>
              <w:spacing w:after="0"/>
              <w:rPr>
                <w:sz w:val="20"/>
                <w:szCs w:val="20"/>
                <w:color w:val="auto"/>
              </w:rPr>
            </w:pPr>
            <w:r>
              <w:rPr>
                <w:rFonts w:ascii="Arial" w:cs="Arial" w:eastAsia="Arial" w:hAnsi="Arial"/>
                <w:sz w:val="18"/>
                <w:szCs w:val="18"/>
                <w:color w:val="auto"/>
              </w:rPr>
              <w:t>13</w:t>
            </w:r>
          </w:p>
        </w:tc>
      </w:tr>
      <w:tr>
        <w:trPr>
          <w:trHeight w:val="392"/>
        </w:trPr>
        <w:tc>
          <w:tcPr>
            <w:tcW w:w="8620" w:type="dxa"/>
            <w:vAlign w:val="bottom"/>
          </w:tcPr>
          <w:p>
            <w:pPr>
              <w:spacing w:after="0"/>
              <w:rPr>
                <w:rFonts w:ascii="Arial" w:cs="Arial" w:eastAsia="Arial" w:hAnsi="Arial"/>
                <w:sz w:val="18"/>
                <w:szCs w:val="18"/>
                <w:u w:val="single" w:color="auto"/>
                <w:color w:val="0000EE"/>
              </w:rPr>
            </w:pPr>
            <w:hyperlink w:anchor="page56">
              <w:r>
                <w:rPr>
                  <w:rFonts w:ascii="Arial" w:cs="Arial" w:eastAsia="Arial" w:hAnsi="Arial"/>
                  <w:sz w:val="18"/>
                  <w:szCs w:val="18"/>
                  <w:u w:val="single" w:color="auto"/>
                  <w:color w:val="0000EE"/>
                </w:rPr>
                <w:t>DESCRIPTION OF CAPITAL STOCK</w:t>
              </w:r>
            </w:hyperlink>
          </w:p>
        </w:tc>
        <w:tc>
          <w:tcPr>
            <w:tcW w:w="2340" w:type="dxa"/>
            <w:vAlign w:val="bottom"/>
          </w:tcPr>
          <w:p>
            <w:pPr>
              <w:jc w:val="right"/>
              <w:spacing w:after="0"/>
              <w:rPr>
                <w:sz w:val="20"/>
                <w:szCs w:val="20"/>
                <w:color w:val="auto"/>
              </w:rPr>
            </w:pPr>
            <w:r>
              <w:rPr>
                <w:rFonts w:ascii="Arial" w:cs="Arial" w:eastAsia="Arial" w:hAnsi="Arial"/>
                <w:sz w:val="18"/>
                <w:szCs w:val="18"/>
                <w:color w:val="auto"/>
              </w:rPr>
              <w:t>15</w:t>
            </w:r>
          </w:p>
        </w:tc>
      </w:tr>
      <w:tr>
        <w:trPr>
          <w:trHeight w:val="392"/>
        </w:trPr>
        <w:tc>
          <w:tcPr>
            <w:tcW w:w="8620" w:type="dxa"/>
            <w:vAlign w:val="bottom"/>
          </w:tcPr>
          <w:p>
            <w:pPr>
              <w:spacing w:after="0"/>
              <w:rPr>
                <w:rFonts w:ascii="Arial" w:cs="Arial" w:eastAsia="Arial" w:hAnsi="Arial"/>
                <w:sz w:val="18"/>
                <w:szCs w:val="18"/>
                <w:u w:val="single" w:color="auto"/>
                <w:color w:val="0000EE"/>
              </w:rPr>
            </w:pPr>
            <w:hyperlink w:anchor="page60">
              <w:r>
                <w:rPr>
                  <w:rFonts w:ascii="Arial" w:cs="Arial" w:eastAsia="Arial" w:hAnsi="Arial"/>
                  <w:sz w:val="18"/>
                  <w:szCs w:val="18"/>
                  <w:u w:val="single" w:color="auto"/>
                  <w:color w:val="0000EE"/>
                </w:rPr>
                <w:t>PLAN OF DISTRIBUTION</w:t>
              </w:r>
            </w:hyperlink>
          </w:p>
        </w:tc>
        <w:tc>
          <w:tcPr>
            <w:tcW w:w="2340" w:type="dxa"/>
            <w:vAlign w:val="bottom"/>
          </w:tcPr>
          <w:p>
            <w:pPr>
              <w:jc w:val="right"/>
              <w:spacing w:after="0"/>
              <w:rPr>
                <w:sz w:val="20"/>
                <w:szCs w:val="20"/>
                <w:color w:val="auto"/>
              </w:rPr>
            </w:pPr>
            <w:r>
              <w:rPr>
                <w:rFonts w:ascii="Arial" w:cs="Arial" w:eastAsia="Arial" w:hAnsi="Arial"/>
                <w:sz w:val="18"/>
                <w:szCs w:val="18"/>
                <w:color w:val="auto"/>
              </w:rPr>
              <w:t>19</w:t>
            </w:r>
          </w:p>
        </w:tc>
      </w:tr>
      <w:tr>
        <w:trPr>
          <w:trHeight w:val="392"/>
        </w:trPr>
        <w:tc>
          <w:tcPr>
            <w:tcW w:w="8620" w:type="dxa"/>
            <w:vAlign w:val="bottom"/>
          </w:tcPr>
          <w:p>
            <w:pPr>
              <w:spacing w:after="0"/>
              <w:rPr>
                <w:rFonts w:ascii="Arial" w:cs="Arial" w:eastAsia="Arial" w:hAnsi="Arial"/>
                <w:sz w:val="18"/>
                <w:szCs w:val="18"/>
                <w:u w:val="single" w:color="auto"/>
                <w:color w:val="0000EE"/>
              </w:rPr>
            </w:pPr>
            <w:hyperlink w:anchor="page62">
              <w:r>
                <w:rPr>
                  <w:rFonts w:ascii="Arial" w:cs="Arial" w:eastAsia="Arial" w:hAnsi="Arial"/>
                  <w:sz w:val="18"/>
                  <w:szCs w:val="18"/>
                  <w:u w:val="single" w:color="auto"/>
                  <w:color w:val="0000EE"/>
                </w:rPr>
                <w:t>LEGAL MATTERS</w:t>
              </w:r>
            </w:hyperlink>
          </w:p>
        </w:tc>
        <w:tc>
          <w:tcPr>
            <w:tcW w:w="2340" w:type="dxa"/>
            <w:vAlign w:val="bottom"/>
          </w:tcPr>
          <w:p>
            <w:pPr>
              <w:jc w:val="right"/>
              <w:spacing w:after="0"/>
              <w:rPr>
                <w:sz w:val="20"/>
                <w:szCs w:val="20"/>
                <w:color w:val="auto"/>
              </w:rPr>
            </w:pPr>
            <w:r>
              <w:rPr>
                <w:rFonts w:ascii="Arial" w:cs="Arial" w:eastAsia="Arial" w:hAnsi="Arial"/>
                <w:sz w:val="18"/>
                <w:szCs w:val="18"/>
                <w:color w:val="auto"/>
              </w:rPr>
              <w:t>21</w:t>
            </w:r>
          </w:p>
        </w:tc>
      </w:tr>
      <w:tr>
        <w:trPr>
          <w:trHeight w:val="391"/>
        </w:trPr>
        <w:tc>
          <w:tcPr>
            <w:tcW w:w="8620" w:type="dxa"/>
            <w:vAlign w:val="bottom"/>
          </w:tcPr>
          <w:p>
            <w:pPr>
              <w:spacing w:after="0"/>
              <w:rPr>
                <w:rFonts w:ascii="Arial" w:cs="Arial" w:eastAsia="Arial" w:hAnsi="Arial"/>
                <w:sz w:val="18"/>
                <w:szCs w:val="18"/>
                <w:u w:val="single" w:color="auto"/>
                <w:color w:val="0000EE"/>
              </w:rPr>
            </w:pPr>
            <w:hyperlink w:anchor="page62">
              <w:r>
                <w:rPr>
                  <w:rFonts w:ascii="Arial" w:cs="Arial" w:eastAsia="Arial" w:hAnsi="Arial"/>
                  <w:sz w:val="18"/>
                  <w:szCs w:val="18"/>
                  <w:u w:val="single" w:color="auto"/>
                  <w:color w:val="0000EE"/>
                </w:rPr>
                <w:t>EXPERTS</w:t>
              </w:r>
            </w:hyperlink>
          </w:p>
        </w:tc>
        <w:tc>
          <w:tcPr>
            <w:tcW w:w="2340" w:type="dxa"/>
            <w:vAlign w:val="bottom"/>
          </w:tcPr>
          <w:p>
            <w:pPr>
              <w:jc w:val="right"/>
              <w:spacing w:after="0"/>
              <w:rPr>
                <w:sz w:val="20"/>
                <w:szCs w:val="20"/>
                <w:color w:val="auto"/>
              </w:rPr>
            </w:pPr>
            <w:r>
              <w:rPr>
                <w:rFonts w:ascii="Arial" w:cs="Arial" w:eastAsia="Arial" w:hAnsi="Arial"/>
                <w:sz w:val="18"/>
                <w:szCs w:val="18"/>
                <w:color w:val="auto"/>
              </w:rPr>
              <w:t>21</w:t>
            </w:r>
          </w:p>
        </w:tc>
      </w:tr>
    </w:tbl>
    <w:p>
      <w:pPr>
        <w:sectPr>
          <w:pgSz w:w="11900" w:h="16838" w:orient="portrait"/>
          <w:cols w:equalWidth="0" w:num="1">
            <w:col w:w="10960"/>
          </w:cols>
          <w:pgMar w:left="440" w:top="270" w:right="499" w:bottom="1440" w:gutter="0" w:footer="0" w:header="0"/>
        </w:sectPr>
      </w:pPr>
    </w:p>
    <w:bookmarkStart w:id="41" w:name="page42"/>
    <w:bookmarkEnd w:id="41"/>
    <w:p>
      <w:pPr>
        <w:jc w:val="cente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80">
                      <a:extLst>
                        <a:ext uri="{28A0092B-C50C-407E-A947-70E740481C1C}"/>
                      </a:extLst>
                    </a:blip>
                    <a:srcRect/>
                    <a:stretch>
                      <a:fillRect/>
                    </a:stretch>
                  </pic:blipFill>
                  <pic:spPr bwMode="auto">
                    <a:xfrm>
                      <a:off x="0" y="0"/>
                      <a:ext cx="7149465" cy="26035"/>
                    </a:xfrm>
                    <a:prstGeom prst="rect">
                      <a:avLst/>
                    </a:prstGeom>
                    <a:noFill/>
                  </pic:spPr>
                </pic:pic>
              </a:graphicData>
            </a:graphic>
          </wp:anchor>
        </w:drawing>
        <w:t>ABOUT THIS PROSPECTUS</w:t>
      </w:r>
    </w:p>
    <w:p>
      <w:pPr>
        <w:spacing w:after="0" w:line="229" w:lineRule="exact"/>
        <w:rPr>
          <w:sz w:val="20"/>
          <w:szCs w:val="20"/>
          <w:color w:val="auto"/>
        </w:rPr>
      </w:pPr>
    </w:p>
    <w:p>
      <w:pPr>
        <w:ind w:right="180"/>
        <w:spacing w:after="0" w:line="263" w:lineRule="auto"/>
        <w:rPr>
          <w:sz w:val="20"/>
          <w:szCs w:val="20"/>
          <w:color w:val="auto"/>
        </w:rPr>
      </w:pPr>
      <w:r>
        <w:rPr>
          <w:rFonts w:ascii="Arial" w:cs="Arial" w:eastAsia="Arial" w:hAnsi="Arial"/>
          <w:sz w:val="18"/>
          <w:szCs w:val="18"/>
          <w:color w:val="auto"/>
        </w:rPr>
        <w:t>This prospectus is part of a registration statement on Form S-3 that we filed with the SEC utilizing a “shelf” registration process. Under this shelf registration process, we may offer shares of our common stock having an aggregate offering price of up to $50,000,000 under this prospectus at prices and on terms to be determined by market conditions at the time of offering.</w:t>
      </w:r>
    </w:p>
    <w:p>
      <w:pPr>
        <w:spacing w:after="0" w:line="184" w:lineRule="exact"/>
        <w:rPr>
          <w:sz w:val="20"/>
          <w:szCs w:val="20"/>
          <w:color w:val="auto"/>
        </w:rPr>
      </w:pPr>
    </w:p>
    <w:p>
      <w:pPr>
        <w:ind w:right="20"/>
        <w:spacing w:after="0" w:line="272" w:lineRule="auto"/>
        <w:rPr>
          <w:sz w:val="20"/>
          <w:szCs w:val="20"/>
          <w:color w:val="auto"/>
        </w:rPr>
      </w:pPr>
      <w:r>
        <w:rPr>
          <w:rFonts w:ascii="Arial" w:cs="Arial" w:eastAsia="Arial" w:hAnsi="Arial"/>
          <w:sz w:val="17"/>
          <w:szCs w:val="17"/>
          <w:color w:val="auto"/>
        </w:rPr>
        <w:t>To the extent that any statement we make in this prospectus is inconsistent with statements made in any documents incorporated by reference herein that was filed with the SEC before the date of this prospectus, the statements made in this prospectus will be deemed to modify or supersede those made in the documents incorporated by reference herein and therein. However, if any statement in one of these documents is inconsistent with a statement in another document having a later date—for example, a document incorporated by reference in this prospectus—the statement in the document having the later date modifies or supersedes the earlier statement as our business, financial condition, results of operations and prospects may have changed since the earlier dates. You should read this prospectus and the accompanying prospectus, including the information incorporated by reference herein and therein before deciding to invest in our common stock.</w:t>
      </w:r>
    </w:p>
    <w:p>
      <w:pPr>
        <w:spacing w:after="0" w:line="177" w:lineRule="exact"/>
        <w:rPr>
          <w:sz w:val="20"/>
          <w:szCs w:val="20"/>
          <w:color w:val="auto"/>
        </w:rPr>
      </w:pPr>
    </w:p>
    <w:p>
      <w:pPr>
        <w:ind w:right="140"/>
        <w:spacing w:after="0" w:line="273" w:lineRule="auto"/>
        <w:rPr>
          <w:sz w:val="20"/>
          <w:szCs w:val="20"/>
          <w:color w:val="auto"/>
        </w:rPr>
      </w:pPr>
      <w:r>
        <w:rPr>
          <w:rFonts w:ascii="Arial" w:cs="Arial" w:eastAsia="Arial" w:hAnsi="Arial"/>
          <w:sz w:val="17"/>
          <w:szCs w:val="17"/>
          <w:color w:val="auto"/>
        </w:rPr>
        <w:t>You should rely only on the information that we have included or incorporated by reference in this prospectus. We have not, and Piper Sandler has not, authorized any dealer, salesman or other person to give any information or to make any representation other than those contained or incorporated by reference in this prospectus. You must not rely upon any information or representation not contained or incorporated by reference in this prospectus. This prospectus does not constitute an offer to sell or the solicitation of an offer to buy any securities other than the registered securities to which they relate, nor does this prospectus constitute an offer to sell or the solicitation of an offer to buy securities in any jurisdiction to any person to whom it is unlawful to make such offer or solicitation in such jurisdiction.</w:t>
      </w:r>
    </w:p>
    <w:p>
      <w:pPr>
        <w:spacing w:after="0" w:line="178" w:lineRule="exact"/>
        <w:rPr>
          <w:sz w:val="20"/>
          <w:szCs w:val="20"/>
          <w:color w:val="auto"/>
        </w:rPr>
      </w:pPr>
    </w:p>
    <w:p>
      <w:pPr>
        <w:ind w:right="380"/>
        <w:spacing w:after="0" w:line="286" w:lineRule="auto"/>
        <w:rPr>
          <w:sz w:val="20"/>
          <w:szCs w:val="20"/>
          <w:color w:val="auto"/>
        </w:rPr>
      </w:pPr>
      <w:r>
        <w:rPr>
          <w:rFonts w:ascii="Arial" w:cs="Arial" w:eastAsia="Arial" w:hAnsi="Arial"/>
          <w:sz w:val="17"/>
          <w:szCs w:val="17"/>
          <w:color w:val="auto"/>
        </w:rPr>
        <w:t>You should not assume that the information contained in this prospectus is accurate on any date subsequent to the date set forth on the front of the document or that any information we have incorporated by reference herein or therein is correct on any date subsequent to the date of the document incorporated by reference, even though this prospectus is delivered, or securities are sold, on a later date.</w:t>
      </w:r>
    </w:p>
    <w:p>
      <w:pPr>
        <w:spacing w:after="0" w:line="165" w:lineRule="exact"/>
        <w:rPr>
          <w:sz w:val="20"/>
          <w:szCs w:val="20"/>
          <w:color w:val="auto"/>
        </w:rPr>
      </w:pPr>
    </w:p>
    <w:p>
      <w:pPr>
        <w:ind w:right="200"/>
        <w:spacing w:after="0" w:line="277" w:lineRule="auto"/>
        <w:rPr>
          <w:sz w:val="20"/>
          <w:szCs w:val="20"/>
          <w:color w:val="auto"/>
        </w:rPr>
      </w:pPr>
      <w:r>
        <w:rPr>
          <w:rFonts w:ascii="Arial" w:cs="Arial" w:eastAsia="Arial" w:hAnsi="Arial"/>
          <w:sz w:val="18"/>
          <w:szCs w:val="18"/>
          <w:color w:val="auto"/>
        </w:rPr>
        <w:t>When we refer to “Larimar,” “we,” “our,” “us” and the “Company” in this prospectus, we mean Larimar Therapeutics, Inc., and its subsidiaries unless otherwise specified. When we refer to “you,” we mean the potential holders of the applicable series of securities.</w:t>
      </w:r>
    </w:p>
    <w:p>
      <w:pPr>
        <w:spacing w:after="0" w:line="170"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Larimar</w:t>
      </w:r>
      <w:r>
        <w:rPr>
          <w:rFonts w:ascii="Arial" w:cs="Arial" w:eastAsia="Arial" w:hAnsi="Arial"/>
          <w:sz w:val="15"/>
          <w:szCs w:val="15"/>
          <w:color w:val="auto"/>
        </w:rPr>
        <w:t>®</w:t>
      </w:r>
      <w:r>
        <w:rPr>
          <w:rFonts w:ascii="Arial" w:cs="Arial" w:eastAsia="Arial" w:hAnsi="Arial"/>
          <w:sz w:val="18"/>
          <w:szCs w:val="18"/>
          <w:color w:val="auto"/>
        </w:rPr>
        <w:t xml:space="preserve"> and our logo are some of our trademarks used in this prospectus. This prospectus also includes trademarks, tradenames, and service marks that are the property of other organizations. Solely for convenience, our trademarks and tradenames referred to in this prospectus appear without the </w:t>
      </w:r>
      <w:r>
        <w:rPr>
          <w:rFonts w:ascii="Arial" w:cs="Arial" w:eastAsia="Arial" w:hAnsi="Arial"/>
          <w:sz w:val="15"/>
          <w:szCs w:val="15"/>
          <w:color w:val="auto"/>
        </w:rPr>
        <w:t>®</w:t>
      </w:r>
      <w:r>
        <w:rPr>
          <w:rFonts w:ascii="Arial" w:cs="Arial" w:eastAsia="Arial" w:hAnsi="Arial"/>
          <w:sz w:val="18"/>
          <w:szCs w:val="18"/>
          <w:color w:val="auto"/>
        </w:rPr>
        <w:t xml:space="preserve"> and </w:t>
      </w:r>
      <w:r>
        <w:rPr>
          <w:rFonts w:ascii="Arial" w:cs="Arial" w:eastAsia="Arial" w:hAnsi="Arial"/>
          <w:sz w:val="15"/>
          <w:szCs w:val="15"/>
          <w:color w:val="auto"/>
        </w:rPr>
        <w:t>™</w:t>
      </w:r>
      <w:r>
        <w:rPr>
          <w:rFonts w:ascii="Arial" w:cs="Arial" w:eastAsia="Arial" w:hAnsi="Arial"/>
          <w:sz w:val="18"/>
          <w:szCs w:val="18"/>
          <w:color w:val="auto"/>
        </w:rPr>
        <w:t xml:space="preserve"> symbols, but those references are not intended to indicate, in any way, that we will not assert, to the fullest extent under applicable law, our rights, or the right of the applicable licensor to these trademarks and tradenames.</w:t>
      </w:r>
    </w:p>
    <w:p>
      <w:pPr>
        <w:spacing w:after="0" w:line="187" w:lineRule="exact"/>
        <w:rPr>
          <w:sz w:val="20"/>
          <w:szCs w:val="20"/>
          <w:color w:val="auto"/>
        </w:rPr>
      </w:pPr>
    </w:p>
    <w:p>
      <w:pPr>
        <w:ind w:right="40"/>
        <w:spacing w:after="0" w:line="257" w:lineRule="auto"/>
        <w:rPr>
          <w:sz w:val="20"/>
          <w:szCs w:val="20"/>
          <w:color w:val="auto"/>
        </w:rPr>
      </w:pPr>
      <w:r>
        <w:rPr>
          <w:rFonts w:ascii="Arial" w:cs="Arial" w:eastAsia="Arial" w:hAnsi="Arial"/>
          <w:sz w:val="18"/>
          <w:szCs w:val="18"/>
          <w:color w:val="auto"/>
        </w:rPr>
        <w:t>This prospectus contains or incorporates by reference summaries of certain provisions contained in some of the documents described herein, but reference is made to the actual documents for complete information. All of the summaries are qualified in their entirety by the actual documents. Copies of some of the documents referred to herein have been or will be filed or have been or will be incorporated by reference as exhibits to the registration statement of which this prospectus forms a part, and you may obtain copies of those documents as described in this prospectus under the heading “Where You Can Find More Information.”</w:t>
      </w:r>
    </w:p>
    <w:p>
      <w:pPr>
        <w:spacing w:after="0" w:line="12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w:t>
      </w:r>
    </w:p>
    <w:p>
      <w:pPr>
        <w:sectPr>
          <w:pgSz w:w="11900" w:h="16838" w:orient="portrait"/>
          <w:cols w:equalWidth="0" w:num="1">
            <w:col w:w="11000"/>
          </w:cols>
          <w:pgMar w:left="440" w:top="270" w:right="459" w:bottom="1440" w:gutter="0" w:footer="0" w:header="0"/>
        </w:sectPr>
      </w:pPr>
    </w:p>
    <w:bookmarkStart w:id="42" w:name="page43"/>
    <w:bookmarkEnd w:id="42"/>
    <w:p>
      <w:pPr>
        <w:jc w:val="center"/>
        <w:ind w:right="-59"/>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81">
                      <a:extLst>
                        <a:ext uri="{28A0092B-C50C-407E-A947-70E740481C1C}"/>
                      </a:extLst>
                    </a:blip>
                    <a:srcRect/>
                    <a:stretch>
                      <a:fillRect/>
                    </a:stretch>
                  </pic:blipFill>
                  <pic:spPr bwMode="auto">
                    <a:xfrm>
                      <a:off x="0" y="0"/>
                      <a:ext cx="7149465" cy="26035"/>
                    </a:xfrm>
                    <a:prstGeom prst="rect">
                      <a:avLst/>
                    </a:prstGeom>
                    <a:noFill/>
                  </pic:spPr>
                </pic:pic>
              </a:graphicData>
            </a:graphic>
          </wp:anchor>
        </w:drawing>
        <w:t>WHERE YOU CAN FIND MORE INFORMATION</w:t>
      </w:r>
    </w:p>
    <w:p>
      <w:pPr>
        <w:spacing w:after="0" w:line="229" w:lineRule="exact"/>
        <w:rPr>
          <w:sz w:val="20"/>
          <w:szCs w:val="20"/>
          <w:color w:val="auto"/>
        </w:rPr>
      </w:pPr>
    </w:p>
    <w:p>
      <w:pPr>
        <w:spacing w:after="0" w:line="271" w:lineRule="auto"/>
        <w:rPr>
          <w:sz w:val="20"/>
          <w:szCs w:val="20"/>
          <w:color w:val="auto"/>
        </w:rPr>
      </w:pPr>
      <w:r>
        <w:rPr>
          <w:rFonts w:ascii="Arial" w:cs="Arial" w:eastAsia="Arial" w:hAnsi="Arial"/>
          <w:sz w:val="17"/>
          <w:szCs w:val="17"/>
          <w:color w:val="auto"/>
        </w:rPr>
        <w:t>This prospectus forms part of a registration statement on Form S-3 filed with the SEC under the Securities Act. This prospectus does not contain all the information set forth in the registration statement and the exhibits to the registration statement or the documents incorporated by reference herein and therein. For further information with respect to us and the securities that we are offering under this prospectus, we refer you to the registration statement and the exhibits and schedules filed as a part of the registration statement and the documents incorporated by reference herein and therein. You should rely only on the information contained in this prospectus or incorporated by reference herein or therein. We have not authorized anyone else to provide you with different information. We are not making an offer of these securities in any state where the offer is not permitted. You should not assume that the information in this prospectus is accurate as of any date other than the date on the front page of this prospectus, regardless of the time of delivery of this prospectus or any sale of the securities offered hereby.</w:t>
      </w:r>
    </w:p>
    <w:p>
      <w:pPr>
        <w:spacing w:after="0" w:line="178" w:lineRule="exact"/>
        <w:rPr>
          <w:sz w:val="20"/>
          <w:szCs w:val="20"/>
          <w:color w:val="auto"/>
        </w:rPr>
      </w:pPr>
    </w:p>
    <w:p>
      <w:pPr>
        <w:ind w:right="80"/>
        <w:spacing w:after="0" w:line="259" w:lineRule="auto"/>
        <w:rPr>
          <w:sz w:val="20"/>
          <w:szCs w:val="20"/>
          <w:color w:val="auto"/>
        </w:rPr>
      </w:pPr>
      <w:r>
        <w:rPr>
          <w:rFonts w:ascii="Arial" w:cs="Arial" w:eastAsia="Arial" w:hAnsi="Arial"/>
          <w:sz w:val="18"/>
          <w:szCs w:val="18"/>
          <w:color w:val="auto"/>
        </w:rPr>
        <w:t>We are currently subject to the reporting requirements of the Exchange Act, and in accordance therewith files periodic reports, proxy statements and other information with the SEC. Our SEC filings are available to you on the SEC’s website at http://www.sec.gov and in the “Investors” section of our website at www.larimartx.com. Our website and the information contained on that site, or connected to that site, are not incorporated into and are not a part of this prospectus.</w:t>
      </w:r>
    </w:p>
    <w:p>
      <w:pPr>
        <w:spacing w:after="0" w:line="399"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color w:val="auto"/>
        </w:rPr>
        <w:t>INCORPORATION OF CERTAIN INFORMATION BY REFERENCE</w:t>
      </w:r>
    </w:p>
    <w:p>
      <w:pPr>
        <w:spacing w:after="0" w:line="229" w:lineRule="exact"/>
        <w:rPr>
          <w:sz w:val="20"/>
          <w:szCs w:val="20"/>
          <w:color w:val="auto"/>
        </w:rPr>
      </w:pPr>
    </w:p>
    <w:p>
      <w:pPr>
        <w:spacing w:after="0" w:line="273" w:lineRule="auto"/>
        <w:rPr>
          <w:sz w:val="20"/>
          <w:szCs w:val="20"/>
          <w:color w:val="auto"/>
        </w:rPr>
      </w:pPr>
      <w:r>
        <w:rPr>
          <w:rFonts w:ascii="Arial" w:cs="Arial" w:eastAsia="Arial" w:hAnsi="Arial"/>
          <w:sz w:val="17"/>
          <w:szCs w:val="17"/>
          <w:color w:val="auto"/>
        </w:rPr>
        <w:t>This prospectus is part of a registration statement filed with the SEC. The SEC allows us to “incorporate by reference” information from other documents that we file with it, which means that we can disclose important information to you by referring you to those documents. The information incorporated by reference is considered to be part of this prospectus. Information in this prospectus supersedes information incorporated by reference that we filed with the SEC prior to the date of this prospectus, while information that we file later with the SEC will automatically update and supersede the information in this prospectus. We incorporate by reference into this prospectus and the registration statement of which this prospectus is a part the information or documents listed below that we have filed with the SEC:</w:t>
      </w:r>
    </w:p>
    <w:p>
      <w:pPr>
        <w:spacing w:after="0" w:line="83" w:lineRule="exact"/>
        <w:rPr>
          <w:sz w:val="20"/>
          <w:szCs w:val="20"/>
          <w:color w:val="auto"/>
        </w:rPr>
      </w:pPr>
    </w:p>
    <w:p>
      <w:pPr>
        <w:ind w:left="960" w:hanging="424"/>
        <w:spacing w:after="0"/>
        <w:tabs>
          <w:tab w:leader="none" w:pos="960" w:val="left"/>
        </w:tabs>
        <w:numPr>
          <w:ilvl w:val="0"/>
          <w:numId w:val="25"/>
        </w:numPr>
        <w:rPr>
          <w:rFonts w:ascii="Arial" w:cs="Arial" w:eastAsia="Arial" w:hAnsi="Arial"/>
          <w:sz w:val="18"/>
          <w:szCs w:val="18"/>
          <w:color w:val="auto"/>
        </w:rPr>
      </w:pPr>
      <w:r>
        <w:rPr>
          <w:rFonts w:ascii="Arial" w:cs="Arial" w:eastAsia="Arial" w:hAnsi="Arial"/>
          <w:sz w:val="18"/>
          <w:szCs w:val="18"/>
          <w:color w:val="auto"/>
        </w:rPr>
        <w:t xml:space="preserve">Our Annual Report on </w:t>
      </w:r>
      <w:hyperlink r:id="rId28">
        <w:r>
          <w:rPr>
            <w:rFonts w:ascii="Arial" w:cs="Arial" w:eastAsia="Arial" w:hAnsi="Arial"/>
            <w:sz w:val="18"/>
            <w:szCs w:val="18"/>
            <w:u w:val="single" w:color="auto"/>
            <w:color w:val="0000EE"/>
          </w:rPr>
          <w:t>Form 10-K</w:t>
        </w:r>
        <w:r>
          <w:rPr>
            <w:rFonts w:ascii="Arial" w:cs="Arial" w:eastAsia="Arial" w:hAnsi="Arial"/>
            <w:sz w:val="18"/>
            <w:szCs w:val="18"/>
            <w:u w:val="single" w:color="auto"/>
            <w:color w:val="auto"/>
          </w:rPr>
          <w:t xml:space="preserve"> </w:t>
        </w:r>
      </w:hyperlink>
      <w:r>
        <w:rPr>
          <w:rFonts w:ascii="Arial" w:cs="Arial" w:eastAsia="Arial" w:hAnsi="Arial"/>
          <w:sz w:val="18"/>
          <w:szCs w:val="18"/>
          <w:color w:val="auto"/>
        </w:rPr>
        <w:t>for the year ended December 31, 2019 filed with the SEC on March 5, 2020;</w:t>
      </w:r>
    </w:p>
    <w:p>
      <w:pPr>
        <w:spacing w:after="0" w:line="130" w:lineRule="exact"/>
        <w:rPr>
          <w:rFonts w:ascii="Arial" w:cs="Arial" w:eastAsia="Arial" w:hAnsi="Arial"/>
          <w:sz w:val="18"/>
          <w:szCs w:val="18"/>
          <w:color w:val="auto"/>
        </w:rPr>
      </w:pPr>
    </w:p>
    <w:p>
      <w:pPr>
        <w:ind w:left="960" w:right="40" w:hanging="424"/>
        <w:spacing w:after="0" w:line="277" w:lineRule="auto"/>
        <w:tabs>
          <w:tab w:leader="none" w:pos="960" w:val="left"/>
        </w:tabs>
        <w:numPr>
          <w:ilvl w:val="0"/>
          <w:numId w:val="25"/>
        </w:numPr>
        <w:rPr>
          <w:rFonts w:ascii="Arial" w:cs="Arial" w:eastAsia="Arial" w:hAnsi="Arial"/>
          <w:sz w:val="18"/>
          <w:szCs w:val="18"/>
          <w:color w:val="auto"/>
        </w:rPr>
      </w:pPr>
      <w:r>
        <w:rPr>
          <w:rFonts w:ascii="Arial" w:cs="Arial" w:eastAsia="Arial" w:hAnsi="Arial"/>
          <w:sz w:val="18"/>
          <w:szCs w:val="18"/>
          <w:color w:val="auto"/>
        </w:rPr>
        <w:t xml:space="preserve">Our Quarterly Reports on </w:t>
      </w:r>
      <w:hyperlink r:id="rId29">
        <w:r>
          <w:rPr>
            <w:rFonts w:ascii="Arial" w:cs="Arial" w:eastAsia="Arial" w:hAnsi="Arial"/>
            <w:sz w:val="18"/>
            <w:szCs w:val="18"/>
            <w:u w:val="single" w:color="auto"/>
            <w:color w:val="0000EE"/>
          </w:rPr>
          <w:t>Form 10-Q</w:t>
        </w:r>
        <w:r>
          <w:rPr>
            <w:rFonts w:ascii="Arial" w:cs="Arial" w:eastAsia="Arial" w:hAnsi="Arial"/>
            <w:sz w:val="18"/>
            <w:szCs w:val="18"/>
            <w:u w:val="single" w:color="auto"/>
            <w:color w:val="auto"/>
          </w:rPr>
          <w:t xml:space="preserve"> </w:t>
        </w:r>
      </w:hyperlink>
      <w:r>
        <w:rPr>
          <w:rFonts w:ascii="Arial" w:cs="Arial" w:eastAsia="Arial" w:hAnsi="Arial"/>
          <w:sz w:val="18"/>
          <w:szCs w:val="18"/>
          <w:color w:val="auto"/>
        </w:rPr>
        <w:t xml:space="preserve">for the quarter ended March 31, 2020, filed with the SEC on May 7, 2020 and for the quarter ended June 30, 2020, filed with the SEC on </w:t>
      </w:r>
      <w:hyperlink r:id="rId30">
        <w:r>
          <w:rPr>
            <w:rFonts w:ascii="Arial" w:cs="Arial" w:eastAsia="Arial" w:hAnsi="Arial"/>
            <w:sz w:val="18"/>
            <w:szCs w:val="18"/>
            <w:u w:val="single" w:color="auto"/>
            <w:color w:val="0000EE"/>
          </w:rPr>
          <w:t>August 14, 2020</w:t>
        </w:r>
      </w:hyperlink>
      <w:r>
        <w:rPr>
          <w:rFonts w:ascii="Arial" w:cs="Arial" w:eastAsia="Arial" w:hAnsi="Arial"/>
          <w:sz w:val="18"/>
          <w:szCs w:val="18"/>
          <w:color w:val="auto"/>
        </w:rPr>
        <w:t>;</w:t>
      </w:r>
    </w:p>
    <w:p>
      <w:pPr>
        <w:spacing w:after="0" w:line="75" w:lineRule="exact"/>
        <w:rPr>
          <w:rFonts w:ascii="Arial" w:cs="Arial" w:eastAsia="Arial" w:hAnsi="Arial"/>
          <w:sz w:val="18"/>
          <w:szCs w:val="18"/>
          <w:color w:val="auto"/>
        </w:rPr>
      </w:pPr>
    </w:p>
    <w:p>
      <w:pPr>
        <w:ind w:left="960" w:right="40" w:hanging="424"/>
        <w:spacing w:after="0" w:line="277" w:lineRule="auto"/>
        <w:tabs>
          <w:tab w:leader="none" w:pos="960" w:val="left"/>
        </w:tabs>
        <w:numPr>
          <w:ilvl w:val="0"/>
          <w:numId w:val="25"/>
        </w:numPr>
        <w:rPr>
          <w:rFonts w:ascii="Arial" w:cs="Arial" w:eastAsia="Arial" w:hAnsi="Arial"/>
          <w:sz w:val="18"/>
          <w:szCs w:val="18"/>
          <w:color w:val="auto"/>
        </w:rPr>
      </w:pPr>
      <w:r>
        <w:rPr>
          <w:rFonts w:ascii="Arial" w:cs="Arial" w:eastAsia="Arial" w:hAnsi="Arial"/>
          <w:sz w:val="18"/>
          <w:szCs w:val="18"/>
          <w:color w:val="auto"/>
        </w:rPr>
        <w:t xml:space="preserve">The information specifically incorporated by reference into our Annual Report on </w:t>
      </w:r>
      <w:hyperlink r:id="rId28">
        <w:r>
          <w:rPr>
            <w:rFonts w:ascii="Arial" w:cs="Arial" w:eastAsia="Arial" w:hAnsi="Arial"/>
            <w:sz w:val="18"/>
            <w:szCs w:val="18"/>
            <w:u w:val="single" w:color="auto"/>
            <w:color w:val="0000EE"/>
          </w:rPr>
          <w:t>Form 10-K</w:t>
        </w:r>
        <w:r>
          <w:rPr>
            <w:rFonts w:ascii="Arial" w:cs="Arial" w:eastAsia="Arial" w:hAnsi="Arial"/>
            <w:sz w:val="18"/>
            <w:szCs w:val="18"/>
            <w:u w:val="single" w:color="auto"/>
            <w:color w:val="auto"/>
          </w:rPr>
          <w:t xml:space="preserve"> </w:t>
        </w:r>
      </w:hyperlink>
      <w:r>
        <w:rPr>
          <w:rFonts w:ascii="Arial" w:cs="Arial" w:eastAsia="Arial" w:hAnsi="Arial"/>
          <w:sz w:val="18"/>
          <w:szCs w:val="18"/>
          <w:color w:val="auto"/>
        </w:rPr>
        <w:t xml:space="preserve">for the year ended December 31, 2019 from our Definitive Proxy Statement on </w:t>
      </w:r>
      <w:hyperlink r:id="rId31">
        <w:r>
          <w:rPr>
            <w:rFonts w:ascii="Arial" w:cs="Arial" w:eastAsia="Arial" w:hAnsi="Arial"/>
            <w:sz w:val="18"/>
            <w:szCs w:val="18"/>
            <w:u w:val="single" w:color="auto"/>
            <w:color w:val="0000EE"/>
          </w:rPr>
          <w:t>Form DEFM-14A</w:t>
        </w:r>
      </w:hyperlink>
      <w:r>
        <w:rPr>
          <w:rFonts w:ascii="Arial" w:cs="Arial" w:eastAsia="Arial" w:hAnsi="Arial"/>
          <w:sz w:val="18"/>
          <w:szCs w:val="18"/>
          <w:color w:val="auto"/>
        </w:rPr>
        <w:t>, filed on April 29, 2020;</w:t>
      </w:r>
    </w:p>
    <w:p>
      <w:pPr>
        <w:spacing w:after="0" w:line="75" w:lineRule="exact"/>
        <w:rPr>
          <w:rFonts w:ascii="Arial" w:cs="Arial" w:eastAsia="Arial" w:hAnsi="Arial"/>
          <w:sz w:val="18"/>
          <w:szCs w:val="18"/>
          <w:color w:val="auto"/>
        </w:rPr>
      </w:pPr>
    </w:p>
    <w:p>
      <w:pPr>
        <w:ind w:left="960" w:right="100" w:hanging="424"/>
        <w:spacing w:after="0" w:line="342" w:lineRule="auto"/>
        <w:tabs>
          <w:tab w:leader="none" w:pos="960" w:val="left"/>
        </w:tabs>
        <w:numPr>
          <w:ilvl w:val="0"/>
          <w:numId w:val="25"/>
        </w:numPr>
        <w:rPr>
          <w:rFonts w:ascii="Arial" w:cs="Arial" w:eastAsia="Arial" w:hAnsi="Arial"/>
          <w:sz w:val="16"/>
          <w:szCs w:val="16"/>
          <w:color w:val="0000EE"/>
        </w:rPr>
      </w:pPr>
      <w:hyperlink r:id="rId32">
        <w:r>
          <w:rPr>
            <w:rFonts w:ascii="Arial" w:cs="Arial" w:eastAsia="Arial" w:hAnsi="Arial"/>
            <w:sz w:val="16"/>
            <w:szCs w:val="16"/>
            <w:color w:val="auto"/>
          </w:rPr>
          <w:t xml:space="preserve">Our Current Reports on Form 8-K and 8-K/A filed with the SEC on </w:t>
        </w:r>
        <w:r>
          <w:rPr>
            <w:rFonts w:ascii="Arial" w:cs="Arial" w:eastAsia="Arial" w:hAnsi="Arial"/>
            <w:sz w:val="16"/>
            <w:szCs w:val="16"/>
            <w:u w:val="single" w:color="auto"/>
            <w:color w:val="0000EE"/>
          </w:rPr>
          <w:t>August 14, 2020</w:t>
        </w:r>
        <w:r>
          <w:rPr>
            <w:rFonts w:ascii="Arial" w:cs="Arial" w:eastAsia="Arial" w:hAnsi="Arial"/>
            <w:sz w:val="16"/>
            <w:szCs w:val="16"/>
            <w:color w:val="auto"/>
          </w:rPr>
          <w:t xml:space="preserve">, </w:t>
        </w:r>
        <w:r>
          <w:rPr>
            <w:rFonts w:ascii="Arial" w:cs="Arial" w:eastAsia="Arial" w:hAnsi="Arial"/>
            <w:sz w:val="16"/>
            <w:szCs w:val="16"/>
            <w:u w:val="single" w:color="auto"/>
            <w:color w:val="0000EE"/>
          </w:rPr>
          <w:t>August 6, 2020 June 26, 2020</w:t>
        </w:r>
        <w:r>
          <w:rPr>
            <w:rFonts w:ascii="Arial" w:cs="Arial" w:eastAsia="Arial" w:hAnsi="Arial"/>
            <w:sz w:val="16"/>
            <w:szCs w:val="16"/>
            <w:color w:val="auto"/>
          </w:rPr>
          <w:t xml:space="preserve">, </w:t>
        </w:r>
        <w:r>
          <w:rPr>
            <w:rFonts w:ascii="Arial" w:cs="Arial" w:eastAsia="Arial" w:hAnsi="Arial"/>
            <w:sz w:val="16"/>
            <w:szCs w:val="16"/>
            <w:u w:val="single" w:color="auto"/>
            <w:color w:val="0000EE"/>
          </w:rPr>
          <w:t>June 2, 2020</w:t>
        </w:r>
        <w:r>
          <w:rPr>
            <w:rFonts w:ascii="Arial" w:cs="Arial" w:eastAsia="Arial" w:hAnsi="Arial"/>
            <w:sz w:val="16"/>
            <w:szCs w:val="16"/>
            <w:color w:val="auto"/>
          </w:rPr>
          <w:t xml:space="preserve">, </w:t>
        </w:r>
        <w:r>
          <w:rPr>
            <w:rFonts w:ascii="Arial" w:cs="Arial" w:eastAsia="Arial" w:hAnsi="Arial"/>
            <w:sz w:val="16"/>
            <w:szCs w:val="16"/>
            <w:u w:val="single" w:color="auto"/>
            <w:color w:val="0000EE"/>
          </w:rPr>
          <w:t>April</w:t>
        </w:r>
      </w:hyperlink>
      <w:r>
        <w:rPr>
          <w:rFonts w:ascii="Arial" w:cs="Arial" w:eastAsia="Arial" w:hAnsi="Arial"/>
          <w:sz w:val="16"/>
          <w:szCs w:val="16"/>
          <w:color w:val="auto"/>
        </w:rPr>
        <w:t xml:space="preserve"> </w:t>
      </w:r>
      <w:hyperlink r:id="rId32">
        <w:r>
          <w:rPr>
            <w:rFonts w:ascii="Arial" w:cs="Arial" w:eastAsia="Arial" w:hAnsi="Arial"/>
            <w:sz w:val="16"/>
            <w:szCs w:val="16"/>
            <w:u w:val="single" w:color="auto"/>
            <w:color w:val="0000EE"/>
          </w:rPr>
          <w:t>24, 2020</w:t>
        </w:r>
        <w:r>
          <w:rPr>
            <w:rFonts w:ascii="Arial" w:cs="Arial" w:eastAsia="Arial" w:hAnsi="Arial"/>
            <w:sz w:val="16"/>
            <w:szCs w:val="16"/>
            <w:color w:val="000000"/>
          </w:rPr>
          <w:t>,</w:t>
        </w:r>
        <w:r>
          <w:rPr>
            <w:rFonts w:ascii="Arial" w:cs="Arial" w:eastAsia="Arial" w:hAnsi="Arial"/>
            <w:sz w:val="16"/>
            <w:szCs w:val="16"/>
            <w:color w:val="0000EE"/>
          </w:rPr>
          <w:t xml:space="preserve"> </w:t>
        </w:r>
      </w:hyperlink>
      <w:hyperlink r:id="rId33">
        <w:r>
          <w:rPr>
            <w:rFonts w:ascii="Arial" w:cs="Arial" w:eastAsia="Arial" w:hAnsi="Arial"/>
            <w:sz w:val="16"/>
            <w:szCs w:val="16"/>
            <w:u w:val="single" w:color="auto"/>
            <w:color w:val="0000EE"/>
          </w:rPr>
          <w:t xml:space="preserve">March 9, 2020 </w:t>
        </w:r>
      </w:hyperlink>
      <w:hyperlink r:id="rId32">
        <w:r>
          <w:rPr>
            <w:rFonts w:ascii="Arial" w:cs="Arial" w:eastAsia="Arial" w:hAnsi="Arial"/>
            <w:sz w:val="16"/>
            <w:szCs w:val="16"/>
            <w:color w:val="000000"/>
          </w:rPr>
          <w:t>and</w:t>
        </w:r>
        <w:r>
          <w:rPr>
            <w:rFonts w:ascii="Arial" w:cs="Arial" w:eastAsia="Arial" w:hAnsi="Arial"/>
            <w:sz w:val="16"/>
            <w:szCs w:val="16"/>
            <w:color w:val="0000EE"/>
          </w:rPr>
          <w:t xml:space="preserve"> </w:t>
        </w:r>
      </w:hyperlink>
      <w:hyperlink r:id="rId34">
        <w:r>
          <w:rPr>
            <w:rFonts w:ascii="Arial" w:cs="Arial" w:eastAsia="Arial" w:hAnsi="Arial"/>
            <w:sz w:val="16"/>
            <w:szCs w:val="16"/>
            <w:u w:val="single" w:color="auto"/>
            <w:color w:val="0000EE"/>
          </w:rPr>
          <w:t xml:space="preserve">January 13, 2020 </w:t>
        </w:r>
      </w:hyperlink>
      <w:hyperlink r:id="rId32">
        <w:r>
          <w:rPr>
            <w:rFonts w:ascii="Arial" w:cs="Arial" w:eastAsia="Arial" w:hAnsi="Arial"/>
            <w:sz w:val="16"/>
            <w:szCs w:val="16"/>
            <w:color w:val="000000"/>
          </w:rPr>
          <w:t>(in each case other than any portions thereof deemed furnished and not filed); and</w:t>
        </w:r>
      </w:hyperlink>
    </w:p>
    <w:p>
      <w:pPr>
        <w:spacing w:after="0" w:line="29" w:lineRule="exact"/>
        <w:rPr>
          <w:rFonts w:ascii="Arial" w:cs="Arial" w:eastAsia="Arial" w:hAnsi="Arial"/>
          <w:sz w:val="16"/>
          <w:szCs w:val="16"/>
          <w:color w:val="0000EE"/>
        </w:rPr>
      </w:pPr>
    </w:p>
    <w:p>
      <w:pPr>
        <w:ind w:left="960" w:right="240" w:hanging="424"/>
        <w:spacing w:after="0" w:line="308" w:lineRule="auto"/>
        <w:tabs>
          <w:tab w:leader="none" w:pos="960" w:val="left"/>
        </w:tabs>
        <w:numPr>
          <w:ilvl w:val="0"/>
          <w:numId w:val="25"/>
        </w:numPr>
        <w:rPr>
          <w:rFonts w:ascii="Arial" w:cs="Arial" w:eastAsia="Arial" w:hAnsi="Arial"/>
          <w:sz w:val="17"/>
          <w:szCs w:val="17"/>
          <w:color w:val="auto"/>
        </w:rPr>
      </w:pPr>
      <w:r>
        <w:rPr>
          <w:rFonts w:ascii="Arial" w:cs="Arial" w:eastAsia="Arial" w:hAnsi="Arial"/>
          <w:sz w:val="17"/>
          <w:szCs w:val="17"/>
          <w:color w:val="auto"/>
        </w:rPr>
        <w:t xml:space="preserve">The description of our common stock contained in our registration statement on </w:t>
      </w:r>
      <w:hyperlink r:id="rId35">
        <w:r>
          <w:rPr>
            <w:rFonts w:ascii="Arial" w:cs="Arial" w:eastAsia="Arial" w:hAnsi="Arial"/>
            <w:sz w:val="17"/>
            <w:szCs w:val="17"/>
            <w:u w:val="single" w:color="auto"/>
            <w:color w:val="0000EE"/>
          </w:rPr>
          <w:t>Form 8-A</w:t>
        </w:r>
        <w:r>
          <w:rPr>
            <w:rFonts w:ascii="Arial" w:cs="Arial" w:eastAsia="Arial" w:hAnsi="Arial"/>
            <w:sz w:val="17"/>
            <w:szCs w:val="17"/>
            <w:u w:val="single" w:color="auto"/>
            <w:color w:val="auto"/>
          </w:rPr>
          <w:t xml:space="preserve"> </w:t>
        </w:r>
      </w:hyperlink>
      <w:r>
        <w:rPr>
          <w:rFonts w:ascii="Arial" w:cs="Arial" w:eastAsia="Arial" w:hAnsi="Arial"/>
          <w:sz w:val="17"/>
          <w:szCs w:val="17"/>
          <w:color w:val="auto"/>
        </w:rPr>
        <w:t>(File No. 001-36510) filed with the SEC on June 18, 2014, under the Exchange Act, including any amendment or report filed for the purpose of updating such description.</w:t>
      </w:r>
    </w:p>
    <w:p>
      <w:pPr>
        <w:spacing w:after="0" w:line="146" w:lineRule="exact"/>
        <w:rPr>
          <w:rFonts w:ascii="Arial" w:cs="Arial" w:eastAsia="Arial" w:hAnsi="Arial"/>
          <w:sz w:val="16"/>
          <w:szCs w:val="16"/>
          <w:color w:val="0000EE"/>
        </w:rPr>
      </w:pPr>
    </w:p>
    <w:p>
      <w:pPr>
        <w:ind w:right="40"/>
        <w:spacing w:after="0" w:line="279" w:lineRule="auto"/>
        <w:rPr>
          <w:sz w:val="20"/>
          <w:szCs w:val="20"/>
          <w:color w:val="auto"/>
        </w:rPr>
      </w:pPr>
      <w:r>
        <w:rPr>
          <w:rFonts w:ascii="Arial" w:cs="Arial" w:eastAsia="Arial" w:hAnsi="Arial"/>
          <w:sz w:val="17"/>
          <w:szCs w:val="17"/>
          <w:color w:val="auto"/>
        </w:rPr>
        <w:t>In addition, all documents that we file with the SEC pursuant to Sections 13(a), 13(c), 14 or 15(d) of the Exchange Act after the date of the initial registration statement of which this prospectus is a part and prior to the effectiveness of such registration statement and all such documents that we file with the SEC after the date of this prospectus and before the termination of the offering of our securities shall be deemed incorporated by reference into this prospectus and to be a part of this prospectus from the respective dates of filing such documents.</w:t>
      </w:r>
    </w:p>
    <w:p>
      <w:pPr>
        <w:spacing w:after="0" w:line="104" w:lineRule="exact"/>
        <w:rPr>
          <w:rFonts w:ascii="Arial" w:cs="Arial" w:eastAsia="Arial" w:hAnsi="Arial"/>
          <w:sz w:val="16"/>
          <w:szCs w:val="16"/>
          <w:color w:val="0000EE"/>
        </w:rPr>
      </w:pPr>
    </w:p>
    <w:p>
      <w:pPr>
        <w:jc w:val="center"/>
        <w:ind w:right="-59"/>
        <w:spacing w:after="0"/>
        <w:rPr>
          <w:sz w:val="20"/>
          <w:szCs w:val="20"/>
          <w:color w:val="auto"/>
        </w:rPr>
      </w:pPr>
      <w:r>
        <w:rPr>
          <w:rFonts w:ascii="Arial" w:cs="Arial" w:eastAsia="Arial" w:hAnsi="Arial"/>
          <w:sz w:val="18"/>
          <w:szCs w:val="18"/>
          <w:color w:val="auto"/>
        </w:rPr>
        <w:t>2</w:t>
      </w:r>
    </w:p>
    <w:p>
      <w:pPr>
        <w:sectPr>
          <w:pgSz w:w="11900" w:h="16838" w:orient="portrait"/>
          <w:cols w:equalWidth="0" w:num="1">
            <w:col w:w="10940"/>
          </w:cols>
          <w:pgMar w:left="440" w:top="270" w:right="519" w:bottom="1440" w:gutter="0" w:footer="0" w:header="0"/>
        </w:sectPr>
      </w:pPr>
    </w:p>
    <w:bookmarkStart w:id="43" w:name="page44"/>
    <w:bookmarkEnd w:id="43"/>
    <w:p>
      <w:pPr>
        <w:spacing w:after="0" w:line="308" w:lineRule="auto"/>
        <w:rPr>
          <w:sz w:val="20"/>
          <w:szCs w:val="20"/>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82">
                      <a:extLst>
                        <a:ext uri="{28A0092B-C50C-407E-A947-70E740481C1C}"/>
                      </a:extLst>
                    </a:blip>
                    <a:srcRect/>
                    <a:stretch>
                      <a:fillRect/>
                    </a:stretch>
                  </pic:blipFill>
                  <pic:spPr bwMode="auto">
                    <a:xfrm>
                      <a:off x="0" y="0"/>
                      <a:ext cx="7149465" cy="26035"/>
                    </a:xfrm>
                    <a:prstGeom prst="rect">
                      <a:avLst/>
                    </a:prstGeom>
                    <a:noFill/>
                  </pic:spPr>
                </pic:pic>
              </a:graphicData>
            </a:graphic>
          </wp:anchor>
        </w:drawing>
        <w:t>Documents that are incorporated by reference in this prospectus but were filed under the Exchange Act before May 28, 2020 do not reflect the Merger or the resulting change in our name or capital structure. We describe these matters below under the section entitled “About Larimar.”</w:t>
      </w:r>
    </w:p>
    <w:p>
      <w:pPr>
        <w:spacing w:after="0" w:line="146" w:lineRule="exact"/>
        <w:rPr>
          <w:sz w:val="20"/>
          <w:szCs w:val="20"/>
          <w:color w:val="auto"/>
        </w:rPr>
      </w:pPr>
    </w:p>
    <w:p>
      <w:pPr>
        <w:ind w:right="200"/>
        <w:spacing w:after="0" w:line="259" w:lineRule="auto"/>
        <w:rPr>
          <w:sz w:val="20"/>
          <w:szCs w:val="20"/>
          <w:color w:val="auto"/>
        </w:rPr>
      </w:pPr>
      <w:r>
        <w:rPr>
          <w:rFonts w:ascii="Arial" w:cs="Arial" w:eastAsia="Arial" w:hAnsi="Arial"/>
          <w:sz w:val="18"/>
          <w:szCs w:val="18"/>
          <w:color w:val="auto"/>
        </w:rPr>
        <w:t>We additionally incorporate by reference to the Company’s Definitive Proxy Statement on Form DEFM 14-A, filed on April 29, 2020 and prepared in connection with the solicitation of the proxies from the Company’s stockholders to approve the Merger, the description of the business of Chondrial Therapeutics, Inc., or Chondrial, contained under the heading “Chondrial’s Business,” and the description of management of the Company contained under the heading “Executive Officers and Directors Following the Merger.”</w:t>
      </w:r>
    </w:p>
    <w:p>
      <w:pPr>
        <w:spacing w:after="0" w:line="187" w:lineRule="exact"/>
        <w:rPr>
          <w:sz w:val="20"/>
          <w:szCs w:val="20"/>
          <w:color w:val="auto"/>
        </w:rPr>
      </w:pPr>
    </w:p>
    <w:p>
      <w:pPr>
        <w:ind w:right="180"/>
        <w:spacing w:after="0" w:line="259" w:lineRule="auto"/>
        <w:rPr>
          <w:sz w:val="20"/>
          <w:szCs w:val="20"/>
          <w:color w:val="auto"/>
        </w:rPr>
      </w:pPr>
      <w:r>
        <w:rPr>
          <w:rFonts w:ascii="Arial" w:cs="Arial" w:eastAsia="Arial" w:hAnsi="Arial"/>
          <w:sz w:val="18"/>
          <w:szCs w:val="18"/>
          <w:color w:val="auto"/>
        </w:rPr>
        <w:t>Any statement contained in a document incorporated by reference in this prospectus shall be deemed to be modified or superseded for purposes of this prospectus to the extent that a statement contained in this prospectus or in any other subsequently filed document that also is or is deemed to be incorporated by reference in this prospectus modifies or supersedes such statement. Any statement so modified or superseded shall not be deemed, except as so modified or superseded, to constitute a part of this prospectus.</w:t>
      </w:r>
    </w:p>
    <w:p>
      <w:pPr>
        <w:spacing w:after="0" w:line="187" w:lineRule="exact"/>
        <w:rPr>
          <w:sz w:val="20"/>
          <w:szCs w:val="20"/>
          <w:color w:val="auto"/>
        </w:rPr>
      </w:pPr>
    </w:p>
    <w:p>
      <w:pPr>
        <w:ind w:right="580"/>
        <w:spacing w:after="0" w:line="263" w:lineRule="auto"/>
        <w:rPr>
          <w:sz w:val="20"/>
          <w:szCs w:val="20"/>
          <w:color w:val="auto"/>
        </w:rPr>
      </w:pPr>
      <w:r>
        <w:rPr>
          <w:rFonts w:ascii="Arial" w:cs="Arial" w:eastAsia="Arial" w:hAnsi="Arial"/>
          <w:sz w:val="18"/>
          <w:szCs w:val="18"/>
          <w:color w:val="auto"/>
        </w:rPr>
        <w:t>You may obtain copies of any of these filings by contacting us at the address and telephone number indicated below. Documents incorporated by reference are available from us without charge, excluding all exhibits unless an exhibit has been specifically incorporated by reference into this prospectus, by requesting them in writing or by telephone at:</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color w:val="auto"/>
        </w:rPr>
        <w:t>Larimar Therapeutics, Inc.</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Three Bala Plaza East, Suite 506</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Bala Cynwyd, PA 19004</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(844) 511-9056</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Attention: Vice President of Regulatory Affairs and Counsel</w:t>
      </w:r>
    </w:p>
    <w:p>
      <w:pPr>
        <w:spacing w:after="0" w:line="14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w:t>
      </w:r>
    </w:p>
    <w:p>
      <w:pPr>
        <w:sectPr>
          <w:pgSz w:w="11900" w:h="16838" w:orient="portrait"/>
          <w:cols w:equalWidth="0" w:num="1">
            <w:col w:w="11000"/>
          </w:cols>
          <w:pgMar w:left="440" w:top="274" w:right="459" w:bottom="1440" w:gutter="0" w:footer="0" w:header="0"/>
        </w:sectPr>
      </w:pPr>
    </w:p>
    <w:bookmarkStart w:id="44" w:name="page45"/>
    <w:bookmarkEnd w:id="44"/>
    <w:p>
      <w:pPr>
        <w:jc w:val="cente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5591175"/>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83">
                      <a:extLst>
                        <a:ext uri="{28A0092B-C50C-407E-A947-70E740481C1C}"/>
                      </a:extLst>
                    </a:blip>
                    <a:srcRect/>
                    <a:stretch>
                      <a:fillRect/>
                    </a:stretch>
                  </pic:blipFill>
                  <pic:spPr bwMode="auto">
                    <a:xfrm>
                      <a:off x="0" y="0"/>
                      <a:ext cx="7149465" cy="5591175"/>
                    </a:xfrm>
                    <a:prstGeom prst="rect">
                      <a:avLst/>
                    </a:prstGeom>
                    <a:noFill/>
                  </pic:spPr>
                </pic:pic>
              </a:graphicData>
            </a:graphic>
          </wp:anchor>
        </w:drawing>
        <w:t>PROSPECTUS SUMMARY</w:t>
      </w:r>
    </w:p>
    <w:p>
      <w:pPr>
        <w:spacing w:after="0" w:line="229" w:lineRule="exact"/>
        <w:rPr>
          <w:sz w:val="20"/>
          <w:szCs w:val="20"/>
          <w:color w:val="auto"/>
        </w:rPr>
      </w:pPr>
    </w:p>
    <w:p>
      <w:pPr>
        <w:ind w:right="60"/>
        <w:spacing w:after="0" w:line="296" w:lineRule="auto"/>
        <w:rPr>
          <w:sz w:val="20"/>
          <w:szCs w:val="20"/>
          <w:color w:val="auto"/>
        </w:rPr>
      </w:pPr>
      <w:r>
        <w:rPr>
          <w:rFonts w:ascii="Arial" w:cs="Arial" w:eastAsia="Arial" w:hAnsi="Arial"/>
          <w:sz w:val="16"/>
          <w:szCs w:val="16"/>
          <w:i w:val="1"/>
          <w:iCs w:val="1"/>
          <w:color w:val="auto"/>
        </w:rPr>
        <w:t>This summary description about us, our business and this offering highlights selected information contained elsewhere in this prospectus or incorporated in this prospectus by reference. This summary does not contain all of the information you should consider before deciding to invest in our common stock. You should carefully read this entire prospectus and any free writing prospectus with respect to this offering filed by us with the SEC, including each of the documents incorporated herein or therein by reference, before making an investment decision. Investors should carefully consider the information set forth under “Risk Factors” on page 7 and in the documents incorporated by reference into this prospectus.</w:t>
      </w:r>
    </w:p>
    <w:p>
      <w:pPr>
        <w:spacing w:after="0" w:line="26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The Company</w:t>
      </w:r>
    </w:p>
    <w:p>
      <w:pPr>
        <w:spacing w:after="0" w:line="121" w:lineRule="exact"/>
        <w:rPr>
          <w:sz w:val="20"/>
          <w:szCs w:val="20"/>
          <w:color w:val="auto"/>
        </w:rPr>
      </w:pPr>
    </w:p>
    <w:p>
      <w:pPr>
        <w:spacing w:after="0" w:line="269" w:lineRule="auto"/>
        <w:rPr>
          <w:sz w:val="20"/>
          <w:szCs w:val="20"/>
          <w:color w:val="auto"/>
        </w:rPr>
      </w:pPr>
      <w:r>
        <w:rPr>
          <w:rFonts w:ascii="Arial" w:cs="Arial" w:eastAsia="Arial" w:hAnsi="Arial"/>
          <w:sz w:val="17"/>
          <w:szCs w:val="17"/>
          <w:color w:val="auto"/>
        </w:rPr>
        <w:t>We are a clinical-stage biotechnology company focused on developing treatments for patients suffering from complex rare diseases using our novel cell penetrating peptide technology platform. Our lead product candidate, CTI-1601, is a subcutaneously administered, recombinant fusion protein intended to deliver human frataxin, or FXN, an essential protein, to the mitochondria of patients with Friedreich’s Ataxia. Friedreich’s Ataxia is a rare, progressive and fatal disease in which patients are unable to produce enough FXN due to a genetic abnormality. There is currently no effective therapy for Friedreich’s Ataxia. CTI-1601 is currently being evaluated in Phase 1 clinical trials in patients with Friedreich’s Ataxia. We have received orphan drug status, fast track designation and rare pediatric disease designation, from the U.S. Food and Drug Administration, or the FDA, for CTI-1601. In addition, the European Medicines Agency, or EMA, Committee for Orphan Medicinal Products issued a positive opinion on the Company’s application for orphan drug designation for CTI-1601. The receipt of such designations or positive opinions may not result in a faster development process, review or approval compared to products considered for approval under conventional FDA or EMA procedures and does not assure ultimate approval by the FDA or EMA.</w:t>
      </w:r>
    </w:p>
    <w:p>
      <w:pPr>
        <w:spacing w:after="0" w:line="185" w:lineRule="exact"/>
        <w:rPr>
          <w:sz w:val="20"/>
          <w:szCs w:val="20"/>
          <w:color w:val="auto"/>
        </w:rPr>
      </w:pPr>
    </w:p>
    <w:p>
      <w:pPr>
        <w:jc w:val="both"/>
        <w:ind w:right="300"/>
        <w:spacing w:after="0" w:line="286" w:lineRule="auto"/>
        <w:rPr>
          <w:sz w:val="20"/>
          <w:szCs w:val="20"/>
          <w:color w:val="auto"/>
        </w:rPr>
      </w:pPr>
      <w:r>
        <w:rPr>
          <w:rFonts w:ascii="Arial" w:cs="Arial" w:eastAsia="Arial" w:hAnsi="Arial"/>
          <w:sz w:val="17"/>
          <w:szCs w:val="17"/>
          <w:color w:val="auto"/>
        </w:rPr>
        <w:t>Our cell penetrating peptide technology platform, which enables a therapeutic molecule to cross a cell membrane in order to reach intracellular targets, has the potential to enable the treatment of other rare and orphan diseases. We intend to use our proprietary platform to target additional orphan indications characterized by deficiencies in or alterations of intracellular content or activity.</w:t>
      </w:r>
    </w:p>
    <w:p>
      <w:pPr>
        <w:spacing w:after="0" w:line="26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The Merger, Reverse Stock Split and Name Change</w:t>
      </w:r>
    </w:p>
    <w:p>
      <w:pPr>
        <w:spacing w:after="0" w:line="121" w:lineRule="exact"/>
        <w:rPr>
          <w:sz w:val="20"/>
          <w:szCs w:val="20"/>
          <w:color w:val="auto"/>
        </w:rPr>
      </w:pPr>
    </w:p>
    <w:p>
      <w:pPr>
        <w:ind w:right="160"/>
        <w:spacing w:after="0" w:line="279" w:lineRule="auto"/>
        <w:rPr>
          <w:sz w:val="20"/>
          <w:szCs w:val="20"/>
          <w:color w:val="auto"/>
        </w:rPr>
      </w:pPr>
      <w:r>
        <w:rPr>
          <w:rFonts w:ascii="Arial" w:cs="Arial" w:eastAsia="Arial" w:hAnsi="Arial"/>
          <w:sz w:val="17"/>
          <w:szCs w:val="17"/>
          <w:color w:val="auto"/>
        </w:rPr>
        <w:t>On May 28, 2020, we completed our business combination with Chondrial Therapeutics, Inc., or Chondrial, in accordance with the terms of the Agreement and Plan of Merger, or the Merger Agreement, dated as of December 17, 2019, as amended, by and among ourselves, Chondrial, Chondrial Therapeutics Holdings, LLC, and Zordich Merger Sub, or Merger Sub, pursuant to which Merger Sub merged with and into Chondrial, with Chondrial surviving as our wholly owned subsidiary. We refer to this transaction as the “Merger.”</w:t>
      </w:r>
    </w:p>
    <w:p>
      <w:pPr>
        <w:spacing w:after="0" w:line="171" w:lineRule="exact"/>
        <w:rPr>
          <w:sz w:val="20"/>
          <w:szCs w:val="20"/>
          <w:color w:val="auto"/>
        </w:rPr>
      </w:pPr>
    </w:p>
    <w:p>
      <w:pPr>
        <w:ind w:right="60"/>
        <w:spacing w:after="0" w:line="255" w:lineRule="auto"/>
        <w:rPr>
          <w:sz w:val="20"/>
          <w:szCs w:val="20"/>
          <w:color w:val="auto"/>
        </w:rPr>
      </w:pPr>
      <w:r>
        <w:rPr>
          <w:rFonts w:ascii="Arial" w:cs="Arial" w:eastAsia="Arial" w:hAnsi="Arial"/>
          <w:sz w:val="18"/>
          <w:szCs w:val="18"/>
          <w:color w:val="auto"/>
        </w:rPr>
        <w:t>In connection with, and immediately prior to the completion of, the Merger, we effected a reverse stock split of our common shares, at a ratio of 1-for-12, or the Reverse Stock Split. Under the terms of the Merger Agreement, we issued common shares to Chondrial Therapeutics Holdings, LLC at an exchange rate of 60,912.5005 common shares, after taking into account the Reverse Stock Split, for each unit of Chondrial Therapeutics Holdings, LLC outstanding immediately prior to the Merger. Immediately after completion of the Merger, we changed our name from “Zafgen, Inc.” to “Larimar Therapeutics, Inc.” Chondrial was determined to be the accounting acquirer, our historical financials became those of Chondrial and the business conducted by Chondrial became our business.</w:t>
      </w:r>
    </w:p>
    <w:p>
      <w:pPr>
        <w:spacing w:after="0" w:line="200" w:lineRule="exact"/>
        <w:rPr>
          <w:sz w:val="20"/>
          <w:szCs w:val="20"/>
          <w:color w:val="auto"/>
        </w:rPr>
      </w:pPr>
    </w:p>
    <w:p>
      <w:pPr>
        <w:spacing w:after="0" w:line="200" w:lineRule="exact"/>
        <w:rPr>
          <w:sz w:val="20"/>
          <w:szCs w:val="20"/>
          <w:color w:val="auto"/>
        </w:rPr>
      </w:pPr>
    </w:p>
    <w:p>
      <w:pPr>
        <w:spacing w:after="0" w:line="22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w:t>
      </w:r>
    </w:p>
    <w:p>
      <w:pPr>
        <w:sectPr>
          <w:pgSz w:w="11900" w:h="16838" w:orient="portrait"/>
          <w:cols w:equalWidth="0" w:num="1">
            <w:col w:w="10640"/>
          </w:cols>
          <w:pgMar w:left="620" w:top="459" w:right="639" w:bottom="1440" w:gutter="0" w:footer="0" w:header="0"/>
        </w:sectPr>
      </w:pPr>
    </w:p>
    <w:bookmarkStart w:id="45" w:name="page46"/>
    <w:bookmarkEnd w:id="45"/>
    <w:p>
      <w:pP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4150995"/>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84">
                      <a:extLst>
                        <a:ext uri="{28A0092B-C50C-407E-A947-70E740481C1C}"/>
                      </a:extLst>
                    </a:blip>
                    <a:srcRect/>
                    <a:stretch>
                      <a:fillRect/>
                    </a:stretch>
                  </pic:blipFill>
                  <pic:spPr bwMode="auto">
                    <a:xfrm>
                      <a:off x="0" y="0"/>
                      <a:ext cx="7149465" cy="4150995"/>
                    </a:xfrm>
                    <a:prstGeom prst="rect">
                      <a:avLst/>
                    </a:prstGeom>
                    <a:noFill/>
                  </pic:spPr>
                </pic:pic>
              </a:graphicData>
            </a:graphic>
          </wp:anchor>
        </w:drawing>
        <w:t>COVID-19 Update</w:t>
      </w:r>
    </w:p>
    <w:p>
      <w:pPr>
        <w:spacing w:after="0" w:line="121" w:lineRule="exact"/>
        <w:rPr>
          <w:sz w:val="20"/>
          <w:szCs w:val="20"/>
          <w:color w:val="auto"/>
        </w:rPr>
      </w:pPr>
    </w:p>
    <w:p>
      <w:pPr>
        <w:ind w:right="20"/>
        <w:spacing w:after="0" w:line="255" w:lineRule="auto"/>
        <w:rPr>
          <w:sz w:val="20"/>
          <w:szCs w:val="20"/>
          <w:color w:val="auto"/>
        </w:rPr>
      </w:pPr>
      <w:r>
        <w:rPr>
          <w:rFonts w:ascii="Arial" w:cs="Arial" w:eastAsia="Arial" w:hAnsi="Arial"/>
          <w:sz w:val="18"/>
          <w:szCs w:val="18"/>
          <w:color w:val="auto"/>
        </w:rPr>
        <w:t>In March 2020, the World Health Organization declared the outbreak of COVID-19, a novel strain of Coronavirus, a global pandemic. This outbreak is causing major disruptions to businesses and markets worldwide as the virus spreads. The extent of the effect on our operational and financial performance will depend on future developments, including the duration, spread and intensity of the pandemic, and governmental, regulatory and private sector responses, all of which are uncertain and difficult to predict. Although we are unable to estimate the financial effect of the pandemic at this time, if the pandemic continues to evolve into a severe worldwide crisis, it could have a material adverse effect on our business, results of operations, financial condition and cash flows.</w:t>
      </w:r>
    </w:p>
    <w:p>
      <w:pPr>
        <w:spacing w:after="0" w:line="192" w:lineRule="exact"/>
        <w:rPr>
          <w:sz w:val="20"/>
          <w:szCs w:val="20"/>
          <w:color w:val="auto"/>
        </w:rPr>
      </w:pPr>
    </w:p>
    <w:p>
      <w:pPr>
        <w:spacing w:after="0" w:line="287" w:lineRule="auto"/>
        <w:rPr>
          <w:sz w:val="20"/>
          <w:szCs w:val="20"/>
          <w:color w:val="auto"/>
        </w:rPr>
      </w:pPr>
      <w:r>
        <w:rPr>
          <w:rFonts w:ascii="Arial" w:cs="Arial" w:eastAsia="Arial" w:hAnsi="Arial"/>
          <w:sz w:val="16"/>
          <w:szCs w:val="16"/>
          <w:color w:val="auto"/>
        </w:rPr>
        <w:t>The pandemic resulted in the temporary stoppage of our CTI-1601 in a single ascending dose (referred to as “SAD”) Phase 1 clinical trial in patients with Friedreich’s Ataxia. We have since resumed the SAD Phase 1 clinical trial. We are conducting the clinical trial at one clinical trial site. Because Friedreich’s Ataxia is a rare disease, there are a limited number of patients in close proximity to the clinical trial site and clinical trial patients travel from throughout the United States to the clinical trial site to participate. After dosing, patients remain in isolation in the clinical research unit for a period of time. The travel advisories and risk of infection related to COVID-19 have presented increased risks to patients traveling to our clinical trial site for dosing and we expect to incur additional clinical trial costs to safely transport and isolate patients participating in the trial. In addition, additional stoppages or delays in the trial could result from new developments with respect to COVID-19. While top line results from the SAD and the planned multiple ascending dose ongoing Phase 1 clinical trials were originally expected by the end of 2020, the delay in the clinical trial timeline caused by the ongoing impact of COVID-19 resulted in top line results now being expected in the first half of 2021. We may experience additional delays in clinical trial timelines as a result of additional travel and hospital restrictions related to the COVID-19 pandemic which may be imposed, including as a result of resurgences of COVID-19 cases in certain geographic areas.</w:t>
      </w:r>
    </w:p>
    <w:p>
      <w:pPr>
        <w:spacing w:after="0" w:line="27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Corporate Information</w:t>
      </w:r>
    </w:p>
    <w:p>
      <w:pPr>
        <w:spacing w:after="0" w:line="121" w:lineRule="exact"/>
        <w:rPr>
          <w:sz w:val="20"/>
          <w:szCs w:val="20"/>
          <w:color w:val="auto"/>
        </w:rPr>
      </w:pPr>
    </w:p>
    <w:p>
      <w:pPr>
        <w:ind w:right="80"/>
        <w:spacing w:after="0" w:line="275" w:lineRule="auto"/>
        <w:rPr>
          <w:sz w:val="20"/>
          <w:szCs w:val="20"/>
          <w:color w:val="auto"/>
        </w:rPr>
      </w:pPr>
      <w:r>
        <w:rPr>
          <w:rFonts w:ascii="Arial" w:cs="Arial" w:eastAsia="Arial" w:hAnsi="Arial"/>
          <w:sz w:val="17"/>
          <w:szCs w:val="17"/>
          <w:color w:val="auto"/>
        </w:rPr>
        <w:t xml:space="preserve">We were founded in 2005 as a Delaware corporation under the name Zafgen, Inc. Our principal executive offices are located at Three Bala Plaza East, Suite 506, Bala Cynwyd, PA 19004, and our telephone number is (844) 511-9056. Our website address is </w:t>
      </w:r>
      <w:r>
        <w:rPr>
          <w:rFonts w:ascii="Arial" w:cs="Arial" w:eastAsia="Arial" w:hAnsi="Arial"/>
          <w:sz w:val="17"/>
          <w:szCs w:val="17"/>
          <w:i w:val="1"/>
          <w:iCs w:val="1"/>
          <w:color w:val="auto"/>
        </w:rPr>
        <w:t>www.larimartx.com</w:t>
      </w:r>
      <w:r>
        <w:rPr>
          <w:rFonts w:ascii="Arial" w:cs="Arial" w:eastAsia="Arial" w:hAnsi="Arial"/>
          <w:sz w:val="17"/>
          <w:szCs w:val="17"/>
          <w:color w:val="auto"/>
        </w:rPr>
        <w:t>. The information on, or that can be accessed through, our website is not part of this prospectus and is not incorporated by reference herein. We have included our website address as an inactive textual reference only. References in this prospectus to “we,” “us,” “our,” “our company” or “Larimar” refer to Larimar Therapeutics, Inc. and our subsidiary, Chondrial Therapeutics, Inc.</w:t>
      </w:r>
    </w:p>
    <w:p>
      <w:pPr>
        <w:spacing w:after="0" w:line="200" w:lineRule="exact"/>
        <w:rPr>
          <w:sz w:val="20"/>
          <w:szCs w:val="20"/>
          <w:color w:val="auto"/>
        </w:rPr>
      </w:pPr>
    </w:p>
    <w:p>
      <w:pPr>
        <w:spacing w:after="0" w:line="200" w:lineRule="exact"/>
        <w:rPr>
          <w:sz w:val="20"/>
          <w:szCs w:val="20"/>
          <w:color w:val="auto"/>
        </w:rPr>
      </w:pPr>
    </w:p>
    <w:p>
      <w:pPr>
        <w:spacing w:after="0" w:line="20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w:t>
      </w:r>
    </w:p>
    <w:p>
      <w:pPr>
        <w:sectPr>
          <w:pgSz w:w="11900" w:h="16838" w:orient="portrait"/>
          <w:cols w:equalWidth="0" w:num="1">
            <w:col w:w="10640"/>
          </w:cols>
          <w:pgMar w:left="620" w:top="459" w:right="639" w:bottom="1440" w:gutter="0" w:footer="0" w:header="0"/>
        </w:sectPr>
      </w:pPr>
    </w:p>
    <w:bookmarkStart w:id="46" w:name="page47"/>
    <w:bookmarkEnd w:id="46"/>
    <w:p>
      <w:pPr>
        <w:jc w:val="center"/>
        <w:ind w:right="-19"/>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5822950"/>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85">
                      <a:extLst>
                        <a:ext uri="{28A0092B-C50C-407E-A947-70E740481C1C}"/>
                      </a:extLst>
                    </a:blip>
                    <a:srcRect/>
                    <a:stretch>
                      <a:fillRect/>
                    </a:stretch>
                  </pic:blipFill>
                  <pic:spPr bwMode="auto">
                    <a:xfrm>
                      <a:off x="0" y="0"/>
                      <a:ext cx="7149465" cy="5822950"/>
                    </a:xfrm>
                    <a:prstGeom prst="rect">
                      <a:avLst/>
                    </a:prstGeom>
                    <a:noFill/>
                  </pic:spPr>
                </pic:pic>
              </a:graphicData>
            </a:graphic>
          </wp:anchor>
        </w:drawing>
        <w:t>THE OFFERING</w:t>
      </w:r>
    </w:p>
    <w:p>
      <w:pPr>
        <w:spacing w:after="0" w:line="252" w:lineRule="exact"/>
        <w:rPr>
          <w:sz w:val="20"/>
          <w:szCs w:val="20"/>
          <w:color w:val="auto"/>
        </w:rPr>
      </w:pPr>
    </w:p>
    <w:p>
      <w:pPr>
        <w:spacing w:after="0"/>
        <w:tabs>
          <w:tab w:leader="none" w:pos="4020" w:val="left"/>
        </w:tabs>
        <w:rPr>
          <w:sz w:val="20"/>
          <w:szCs w:val="20"/>
          <w:color w:val="auto"/>
        </w:rPr>
      </w:pPr>
      <w:r>
        <w:rPr>
          <w:rFonts w:ascii="Arial" w:cs="Arial" w:eastAsia="Arial" w:hAnsi="Arial"/>
          <w:sz w:val="18"/>
          <w:szCs w:val="18"/>
          <w:b w:val="1"/>
          <w:bCs w:val="1"/>
          <w:color w:val="auto"/>
        </w:rPr>
        <w:t>Common stock to be offered by us</w:t>
      </w:r>
      <w:r>
        <w:rPr>
          <w:sz w:val="20"/>
          <w:szCs w:val="20"/>
          <w:color w:val="auto"/>
        </w:rPr>
        <w:tab/>
      </w:r>
      <w:r>
        <w:rPr>
          <w:rFonts w:ascii="Arial" w:cs="Arial" w:eastAsia="Arial" w:hAnsi="Arial"/>
          <w:sz w:val="16"/>
          <w:szCs w:val="16"/>
          <w:color w:val="auto"/>
        </w:rPr>
        <w:t>Shares of our common stock having an aggregate offering price of up to $50,000,000.</w:t>
      </w:r>
    </w:p>
    <w:p>
      <w:pPr>
        <w:spacing w:after="0" w:line="266" w:lineRule="exact"/>
        <w:rPr>
          <w:sz w:val="20"/>
          <w:szCs w:val="20"/>
          <w:color w:val="auto"/>
        </w:rPr>
      </w:pPr>
    </w:p>
    <w:p>
      <w:pPr>
        <w:jc w:val="both"/>
        <w:ind w:left="4040" w:right="120" w:hanging="4034"/>
        <w:spacing w:after="0" w:line="314" w:lineRule="auto"/>
        <w:rPr>
          <w:sz w:val="20"/>
          <w:szCs w:val="20"/>
          <w:color w:val="auto"/>
        </w:rPr>
      </w:pPr>
      <w:r>
        <w:rPr>
          <w:rFonts w:ascii="Arial" w:cs="Arial" w:eastAsia="Arial" w:hAnsi="Arial"/>
          <w:sz w:val="16"/>
          <w:szCs w:val="16"/>
          <w:b w:val="1"/>
          <w:bCs w:val="1"/>
          <w:color w:val="auto"/>
        </w:rPr>
        <w:t xml:space="preserve">Common stock to be outstanding after this offering </w:t>
      </w:r>
      <w:r>
        <w:rPr>
          <w:rFonts w:ascii="Arial" w:cs="Arial" w:eastAsia="Arial" w:hAnsi="Arial"/>
          <w:sz w:val="16"/>
          <w:szCs w:val="16"/>
          <w:color w:val="auto"/>
        </w:rPr>
        <w:t>Up to 4,205,214 shares, assuming a sales price of $11.89 per share, which was the closing</w:t>
      </w:r>
      <w:r>
        <w:rPr>
          <w:rFonts w:ascii="Arial" w:cs="Arial" w:eastAsia="Arial" w:hAnsi="Arial"/>
          <w:sz w:val="16"/>
          <w:szCs w:val="16"/>
          <w:b w:val="1"/>
          <w:bCs w:val="1"/>
          <w:color w:val="auto"/>
        </w:rPr>
        <w:t xml:space="preserve"> </w:t>
      </w:r>
      <w:r>
        <w:rPr>
          <w:rFonts w:ascii="Arial" w:cs="Arial" w:eastAsia="Arial" w:hAnsi="Arial"/>
          <w:sz w:val="16"/>
          <w:szCs w:val="16"/>
          <w:color w:val="auto"/>
        </w:rPr>
        <w:t>price of our common stock on the Nasdaq Global Market on August 13, 2020. The actual number of shares issued will vary depending on the sales price under this offering.</w:t>
      </w:r>
    </w:p>
    <w:p>
      <w:pPr>
        <w:sectPr>
          <w:pgSz w:w="11900" w:h="16838" w:orient="portrait"/>
          <w:cols w:equalWidth="0" w:num="1">
            <w:col w:w="10620"/>
          </w:cols>
          <w:pgMar w:left="620" w:top="459" w:right="659" w:bottom="1440" w:gutter="0" w:footer="0" w:header="0"/>
        </w:sectPr>
      </w:pPr>
    </w:p>
    <w:p>
      <w:pPr>
        <w:spacing w:after="0" w:line="169"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Plan of Distribution</w:t>
      </w:r>
    </w:p>
    <w:p>
      <w:pPr>
        <w:spacing w:after="0" w:line="20" w:lineRule="exact"/>
        <w:rPr>
          <w:sz w:val="20"/>
          <w:szCs w:val="20"/>
          <w:color w:val="auto"/>
        </w:rPr>
      </w:pPr>
      <w:r>
        <w:rPr>
          <w:sz w:val="20"/>
          <w:szCs w:val="20"/>
          <w:color w:val="auto"/>
        </w:rPr>
        <w:br w:type="column"/>
      </w:r>
    </w:p>
    <w:p>
      <w:pPr>
        <w:spacing w:after="0" w:line="153"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“At the market offering” that may be made from time to time through our sales agent, Piper Sandler. See “Plan of Distribution” on page 19 of this prospectus.</w:t>
      </w:r>
    </w:p>
    <w:p>
      <w:pPr>
        <w:spacing w:after="0" w:line="193" w:lineRule="exact"/>
        <w:rPr>
          <w:sz w:val="20"/>
          <w:szCs w:val="20"/>
          <w:color w:val="auto"/>
        </w:rPr>
      </w:pPr>
    </w:p>
    <w:p>
      <w:pPr>
        <w:sectPr>
          <w:pgSz w:w="11900" w:h="16838" w:orient="portrait"/>
          <w:cols w:equalWidth="0" w:num="2">
            <w:col w:w="3320" w:space="720"/>
            <w:col w:w="6580"/>
          </w:cols>
          <w:pgMar w:left="620" w:top="459" w:right="659" w:bottom="1440" w:gutter="0" w:footer="0" w:header="0"/>
          <w:type w:val="continuous"/>
        </w:sectPr>
      </w:pPr>
    </w:p>
    <w:p>
      <w:pPr>
        <w:spacing w:after="0"/>
        <w:rPr>
          <w:sz w:val="20"/>
          <w:szCs w:val="20"/>
          <w:color w:val="auto"/>
        </w:rPr>
      </w:pPr>
      <w:r>
        <w:rPr>
          <w:rFonts w:ascii="Arial" w:cs="Arial" w:eastAsia="Arial" w:hAnsi="Arial"/>
          <w:sz w:val="15"/>
          <w:szCs w:val="15"/>
          <w:b w:val="1"/>
          <w:bCs w:val="1"/>
          <w:color w:val="auto"/>
        </w:rPr>
        <w:t>Use of Proceeds</w:t>
      </w:r>
    </w:p>
    <w:p>
      <w:pPr>
        <w:spacing w:after="0" w:line="20" w:lineRule="exact"/>
        <w:rPr>
          <w:sz w:val="20"/>
          <w:szCs w:val="20"/>
          <w:color w:val="auto"/>
        </w:rPr>
      </w:pPr>
      <w:r>
        <w:rPr>
          <w:sz w:val="20"/>
          <w:szCs w:val="20"/>
          <w:color w:val="auto"/>
        </w:rPr>
        <w:br w:type="column"/>
      </w:r>
    </w:p>
    <w:p>
      <w:pPr>
        <w:spacing w:after="0" w:line="263" w:lineRule="auto"/>
        <w:rPr>
          <w:sz w:val="20"/>
          <w:szCs w:val="20"/>
          <w:color w:val="auto"/>
        </w:rPr>
      </w:pPr>
      <w:r>
        <w:rPr>
          <w:rFonts w:ascii="Arial" w:cs="Arial" w:eastAsia="Arial" w:hAnsi="Arial"/>
          <w:sz w:val="18"/>
          <w:szCs w:val="18"/>
          <w:color w:val="auto"/>
        </w:rPr>
        <w:t>We intend to use the net proceeds from this offering for working capital and general corporate purposes, including research and development expenses and capital expenditures. See “Use of Proceeds” on page 12 of this prospectus.</w:t>
      </w:r>
    </w:p>
    <w:p>
      <w:pPr>
        <w:spacing w:after="0" w:line="200" w:lineRule="exact"/>
        <w:rPr>
          <w:sz w:val="20"/>
          <w:szCs w:val="20"/>
          <w:color w:val="auto"/>
        </w:rPr>
      </w:pPr>
    </w:p>
    <w:p>
      <w:pPr>
        <w:sectPr>
          <w:pgSz w:w="11900" w:h="16838" w:orient="portrait"/>
          <w:cols w:equalWidth="0" w:num="2">
            <w:col w:w="3320" w:space="720"/>
            <w:col w:w="6580"/>
          </w:cols>
          <w:pgMar w:left="620" w:top="459" w:right="659" w:bottom="1440" w:gutter="0" w:footer="0" w:header="0"/>
          <w:type w:val="continuous"/>
        </w:sectPr>
      </w:pPr>
    </w:p>
    <w:p>
      <w:pPr>
        <w:spacing w:after="0" w:line="7"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Risk Factors</w:t>
      </w:r>
    </w:p>
    <w:p>
      <w:pPr>
        <w:spacing w:after="0" w:line="20" w:lineRule="exact"/>
        <w:rPr>
          <w:sz w:val="20"/>
          <w:szCs w:val="20"/>
          <w:color w:val="auto"/>
        </w:rPr>
      </w:pPr>
      <w:r>
        <w:rPr>
          <w:sz w:val="20"/>
          <w:szCs w:val="20"/>
          <w:color w:val="auto"/>
        </w:rPr>
        <w:br w:type="column"/>
      </w:r>
    </w:p>
    <w:p>
      <w:pPr>
        <w:ind w:right="140"/>
        <w:spacing w:after="0" w:line="301" w:lineRule="auto"/>
        <w:rPr>
          <w:sz w:val="20"/>
          <w:szCs w:val="20"/>
          <w:color w:val="auto"/>
        </w:rPr>
      </w:pPr>
      <w:r>
        <w:rPr>
          <w:rFonts w:ascii="Arial" w:cs="Arial" w:eastAsia="Arial" w:hAnsi="Arial"/>
          <w:sz w:val="16"/>
          <w:szCs w:val="16"/>
          <w:color w:val="auto"/>
        </w:rPr>
        <w:t>Investing in our common stock involves a high degree of risk. See “Risk Factors” beginning on page 7 of this prospectus and other information included in this prospectus and the documents incorporated by reference in this prospectus for a discussion of factors you should carefully consider before deciding to invest in shares of our common stock.</w:t>
      </w:r>
    </w:p>
    <w:p>
      <w:pPr>
        <w:spacing w:after="0" w:line="180" w:lineRule="exact"/>
        <w:rPr>
          <w:sz w:val="20"/>
          <w:szCs w:val="20"/>
          <w:color w:val="auto"/>
        </w:rPr>
      </w:pPr>
    </w:p>
    <w:p>
      <w:pPr>
        <w:sectPr>
          <w:pgSz w:w="11900" w:h="16838" w:orient="portrait"/>
          <w:cols w:equalWidth="0" w:num="2">
            <w:col w:w="3320" w:space="720"/>
            <w:col w:w="6580"/>
          </w:cols>
          <w:pgMar w:left="620" w:top="459" w:right="659" w:bottom="1440" w:gutter="0" w:footer="0" w:header="0"/>
          <w:type w:val="continuous"/>
        </w:sectPr>
      </w:pPr>
    </w:p>
    <w:p>
      <w:pPr>
        <w:spacing w:after="0"/>
        <w:rPr>
          <w:sz w:val="20"/>
          <w:szCs w:val="20"/>
          <w:color w:val="auto"/>
        </w:rPr>
      </w:pPr>
      <w:r>
        <w:rPr>
          <w:rFonts w:ascii="Arial" w:cs="Arial" w:eastAsia="Arial" w:hAnsi="Arial"/>
          <w:sz w:val="16"/>
          <w:szCs w:val="16"/>
          <w:b w:val="1"/>
          <w:bCs w:val="1"/>
          <w:color w:val="auto"/>
        </w:rPr>
        <w:t>Nasdaq Global Market symbol</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8"/>
          <w:szCs w:val="18"/>
          <w:color w:val="auto"/>
        </w:rPr>
        <w:t>“LRMR”</w:t>
      </w:r>
    </w:p>
    <w:p>
      <w:pPr>
        <w:spacing w:after="0" w:line="200" w:lineRule="exact"/>
        <w:rPr>
          <w:sz w:val="20"/>
          <w:szCs w:val="20"/>
          <w:color w:val="auto"/>
        </w:rPr>
      </w:pPr>
    </w:p>
    <w:p>
      <w:pPr>
        <w:sectPr>
          <w:pgSz w:w="11900" w:h="16838" w:orient="portrait"/>
          <w:cols w:equalWidth="0" w:num="2">
            <w:col w:w="3320" w:space="720"/>
            <w:col w:w="6580"/>
          </w:cols>
          <w:pgMar w:left="620" w:top="459" w:right="659" w:bottom="1440" w:gutter="0" w:footer="0" w:header="0"/>
          <w:type w:val="continuous"/>
        </w:sectPr>
      </w:pPr>
    </w:p>
    <w:p>
      <w:pPr>
        <w:spacing w:after="0" w:line="39" w:lineRule="exact"/>
        <w:rPr>
          <w:sz w:val="20"/>
          <w:szCs w:val="20"/>
          <w:color w:val="auto"/>
        </w:rPr>
      </w:pPr>
    </w:p>
    <w:p>
      <w:pPr>
        <w:ind w:right="160"/>
        <w:spacing w:after="0" w:line="277" w:lineRule="auto"/>
        <w:rPr>
          <w:sz w:val="20"/>
          <w:szCs w:val="20"/>
          <w:color w:val="auto"/>
        </w:rPr>
      </w:pPr>
      <w:r>
        <w:rPr>
          <w:rFonts w:ascii="Arial" w:cs="Arial" w:eastAsia="Arial" w:hAnsi="Arial"/>
          <w:sz w:val="18"/>
          <w:szCs w:val="18"/>
          <w:color w:val="auto"/>
        </w:rPr>
        <w:t>The number of shares of common stock that will be outstanding after this offering is based on 15,356,206 shares of common stock outstanding as of June 30, 2020, and excludes the following:</w:t>
      </w:r>
    </w:p>
    <w:p>
      <w:pPr>
        <w:spacing w:after="0" w:line="76" w:lineRule="exact"/>
        <w:rPr>
          <w:sz w:val="20"/>
          <w:szCs w:val="20"/>
          <w:color w:val="auto"/>
        </w:rPr>
      </w:pPr>
    </w:p>
    <w:p>
      <w:pPr>
        <w:ind w:left="940" w:right="520" w:hanging="415"/>
        <w:spacing w:after="0" w:line="308" w:lineRule="auto"/>
        <w:tabs>
          <w:tab w:leader="none" w:pos="940" w:val="left"/>
        </w:tabs>
        <w:numPr>
          <w:ilvl w:val="0"/>
          <w:numId w:val="26"/>
        </w:numPr>
        <w:rPr>
          <w:rFonts w:ascii="Arial" w:cs="Arial" w:eastAsia="Arial" w:hAnsi="Arial"/>
          <w:sz w:val="17"/>
          <w:szCs w:val="17"/>
          <w:color w:val="auto"/>
        </w:rPr>
      </w:pPr>
      <w:r>
        <w:rPr>
          <w:rFonts w:ascii="Arial" w:cs="Arial" w:eastAsia="Arial" w:hAnsi="Arial"/>
          <w:sz w:val="17"/>
          <w:szCs w:val="17"/>
          <w:color w:val="auto"/>
        </w:rPr>
        <w:t>720,067 shares of our common stock issuable upon the exercise of stock options outstanding as of June 30, 2020 at a weighted-average exercise price of $40.73 per share, of which 535,922 options were vested as of June 30, 2020;</w:t>
      </w:r>
    </w:p>
    <w:p>
      <w:pPr>
        <w:spacing w:after="0" w:line="51" w:lineRule="exact"/>
        <w:rPr>
          <w:rFonts w:ascii="Arial" w:cs="Arial" w:eastAsia="Arial" w:hAnsi="Arial"/>
          <w:sz w:val="17"/>
          <w:szCs w:val="17"/>
          <w:color w:val="auto"/>
        </w:rPr>
      </w:pPr>
    </w:p>
    <w:p>
      <w:pPr>
        <w:ind w:left="940" w:right="360" w:hanging="415"/>
        <w:spacing w:after="0" w:line="277" w:lineRule="auto"/>
        <w:tabs>
          <w:tab w:leader="none" w:pos="940" w:val="left"/>
        </w:tabs>
        <w:numPr>
          <w:ilvl w:val="0"/>
          <w:numId w:val="26"/>
        </w:numPr>
        <w:rPr>
          <w:rFonts w:ascii="Arial" w:cs="Arial" w:eastAsia="Arial" w:hAnsi="Arial"/>
          <w:sz w:val="18"/>
          <w:szCs w:val="18"/>
          <w:color w:val="auto"/>
        </w:rPr>
      </w:pPr>
      <w:r>
        <w:rPr>
          <w:rFonts w:ascii="Arial" w:cs="Arial" w:eastAsia="Arial" w:hAnsi="Arial"/>
          <w:sz w:val="18"/>
          <w:szCs w:val="18"/>
          <w:color w:val="auto"/>
        </w:rPr>
        <w:t>505,893 shares of our common stock available for future issuance as of June 30, 2020 under our 2014 Stock Option and Incentive Plan, or the 2014 Plan;</w:t>
      </w:r>
    </w:p>
    <w:p>
      <w:pPr>
        <w:spacing w:after="0" w:line="75" w:lineRule="exact"/>
        <w:rPr>
          <w:rFonts w:ascii="Arial" w:cs="Arial" w:eastAsia="Arial" w:hAnsi="Arial"/>
          <w:sz w:val="18"/>
          <w:szCs w:val="18"/>
          <w:color w:val="auto"/>
        </w:rPr>
      </w:pPr>
    </w:p>
    <w:p>
      <w:pPr>
        <w:ind w:left="940" w:right="80" w:hanging="415"/>
        <w:spacing w:after="0" w:line="277" w:lineRule="auto"/>
        <w:tabs>
          <w:tab w:leader="none" w:pos="940" w:val="left"/>
        </w:tabs>
        <w:numPr>
          <w:ilvl w:val="0"/>
          <w:numId w:val="26"/>
        </w:numPr>
        <w:rPr>
          <w:rFonts w:ascii="Arial" w:cs="Arial" w:eastAsia="Arial" w:hAnsi="Arial"/>
          <w:sz w:val="18"/>
          <w:szCs w:val="18"/>
          <w:color w:val="auto"/>
        </w:rPr>
      </w:pPr>
      <w:r>
        <w:rPr>
          <w:rFonts w:ascii="Arial" w:cs="Arial" w:eastAsia="Arial" w:hAnsi="Arial"/>
          <w:sz w:val="18"/>
          <w:szCs w:val="18"/>
          <w:color w:val="auto"/>
        </w:rPr>
        <w:t>628,403 shares of our common stock issuable upon the exercise of warrants outstanding as of June 30, 2020, with a weighted average exercise price of $0.01 per share;</w:t>
      </w:r>
    </w:p>
    <w:p>
      <w:pPr>
        <w:spacing w:after="0" w:line="75" w:lineRule="exact"/>
        <w:rPr>
          <w:rFonts w:ascii="Arial" w:cs="Arial" w:eastAsia="Arial" w:hAnsi="Arial"/>
          <w:sz w:val="18"/>
          <w:szCs w:val="18"/>
          <w:color w:val="auto"/>
        </w:rPr>
      </w:pPr>
    </w:p>
    <w:p>
      <w:pPr>
        <w:ind w:left="940" w:right="340" w:hanging="415"/>
        <w:spacing w:after="0" w:line="342" w:lineRule="auto"/>
        <w:tabs>
          <w:tab w:leader="none" w:pos="940" w:val="left"/>
        </w:tabs>
        <w:numPr>
          <w:ilvl w:val="0"/>
          <w:numId w:val="26"/>
        </w:numPr>
        <w:rPr>
          <w:rFonts w:ascii="Arial" w:cs="Arial" w:eastAsia="Arial" w:hAnsi="Arial"/>
          <w:sz w:val="16"/>
          <w:szCs w:val="16"/>
          <w:color w:val="auto"/>
        </w:rPr>
      </w:pPr>
      <w:r>
        <w:rPr>
          <w:rFonts w:ascii="Arial" w:cs="Arial" w:eastAsia="Arial" w:hAnsi="Arial"/>
          <w:sz w:val="16"/>
          <w:szCs w:val="16"/>
          <w:color w:val="auto"/>
        </w:rPr>
        <w:t>735,100 shares of our common stock issuable upon exercise of stock options granted under our 2020 Equity Incentive Plan, or the 2020 Plan, on July 16, 2020, with a weighted average exercise price of $11.90, which are subject to stockholder approval; and</w:t>
      </w:r>
    </w:p>
    <w:p>
      <w:pPr>
        <w:spacing w:after="0" w:line="29" w:lineRule="exact"/>
        <w:rPr>
          <w:rFonts w:ascii="Arial" w:cs="Arial" w:eastAsia="Arial" w:hAnsi="Arial"/>
          <w:sz w:val="16"/>
          <w:szCs w:val="16"/>
          <w:color w:val="auto"/>
        </w:rPr>
      </w:pPr>
    </w:p>
    <w:p>
      <w:pPr>
        <w:ind w:left="940" w:right="40" w:hanging="415"/>
        <w:spacing w:after="0" w:line="277" w:lineRule="auto"/>
        <w:tabs>
          <w:tab w:leader="none" w:pos="940" w:val="left"/>
        </w:tabs>
        <w:numPr>
          <w:ilvl w:val="0"/>
          <w:numId w:val="26"/>
        </w:numPr>
        <w:rPr>
          <w:rFonts w:ascii="Arial" w:cs="Arial" w:eastAsia="Arial" w:hAnsi="Arial"/>
          <w:sz w:val="18"/>
          <w:szCs w:val="18"/>
          <w:color w:val="auto"/>
        </w:rPr>
      </w:pPr>
      <w:r>
        <w:rPr>
          <w:rFonts w:ascii="Arial" w:cs="Arial" w:eastAsia="Arial" w:hAnsi="Arial"/>
          <w:sz w:val="18"/>
          <w:szCs w:val="18"/>
          <w:color w:val="auto"/>
        </w:rPr>
        <w:t>964,900 shares of our common stock available for future issuance under our 2020 Plan, which was approved by our Board on July 16, 2020 and is subject to stockholder approval.</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color w:val="auto"/>
        </w:rPr>
        <w:t>Unless otherwise indicated, all information in this prospectus assumes no exercise of the outstanding options described above.</w:t>
      </w:r>
    </w:p>
    <w:p>
      <w:pPr>
        <w:spacing w:after="0" w:line="200" w:lineRule="exact"/>
        <w:rPr>
          <w:sz w:val="20"/>
          <w:szCs w:val="20"/>
          <w:color w:val="auto"/>
        </w:rPr>
      </w:pPr>
    </w:p>
    <w:p>
      <w:pPr>
        <w:spacing w:after="0" w:line="200" w:lineRule="exact"/>
        <w:rPr>
          <w:sz w:val="20"/>
          <w:szCs w:val="20"/>
          <w:color w:val="auto"/>
        </w:rPr>
      </w:pPr>
    </w:p>
    <w:p>
      <w:pPr>
        <w:spacing w:after="0" w:line="25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w:t>
      </w:r>
    </w:p>
    <w:p>
      <w:pPr>
        <w:sectPr>
          <w:pgSz w:w="11900" w:h="16838" w:orient="portrait"/>
          <w:cols w:equalWidth="0" w:num="1">
            <w:col w:w="10620"/>
          </w:cols>
          <w:pgMar w:left="620" w:top="459" w:right="659" w:bottom="1440" w:gutter="0" w:footer="0" w:header="0"/>
          <w:type w:val="continuous"/>
        </w:sectPr>
      </w:pPr>
    </w:p>
    <w:bookmarkStart w:id="47" w:name="page48"/>
    <w:bookmarkEnd w:id="47"/>
    <w:p>
      <w:pPr>
        <w:jc w:val="cente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86">
                      <a:extLst>
                        <a:ext uri="{28A0092B-C50C-407E-A947-70E740481C1C}"/>
                      </a:extLst>
                    </a:blip>
                    <a:srcRect/>
                    <a:stretch>
                      <a:fillRect/>
                    </a:stretch>
                  </pic:blipFill>
                  <pic:spPr bwMode="auto">
                    <a:xfrm>
                      <a:off x="0" y="0"/>
                      <a:ext cx="7149465" cy="25400"/>
                    </a:xfrm>
                    <a:prstGeom prst="rect">
                      <a:avLst/>
                    </a:prstGeom>
                    <a:noFill/>
                  </pic:spPr>
                </pic:pic>
              </a:graphicData>
            </a:graphic>
          </wp:anchor>
        </w:drawing>
        <w:t>RISK FACTORS</w:t>
      </w:r>
    </w:p>
    <w:p>
      <w:pPr>
        <w:spacing w:after="0" w:line="229" w:lineRule="exact"/>
        <w:rPr>
          <w:sz w:val="20"/>
          <w:szCs w:val="20"/>
          <w:color w:val="auto"/>
        </w:rPr>
      </w:pPr>
    </w:p>
    <w:p>
      <w:pPr>
        <w:spacing w:after="0" w:line="255" w:lineRule="auto"/>
        <w:rPr>
          <w:sz w:val="20"/>
          <w:szCs w:val="20"/>
          <w:color w:val="auto"/>
        </w:rPr>
      </w:pPr>
      <w:r>
        <w:rPr>
          <w:rFonts w:ascii="Arial" w:cs="Arial" w:eastAsia="Arial" w:hAnsi="Arial"/>
          <w:sz w:val="18"/>
          <w:szCs w:val="18"/>
          <w:color w:val="auto"/>
        </w:rPr>
        <w:t>Investment in any securities offered pursuant to this prospectus involves risks. You should carefully consider the risk factors included in our most recent Annual Report on Form 10-K, our most recent Quarterly Report on Form 10-Q, our current report on Form 8-K/A filed on June 26, 2020 and any subsequent Quarterly Reports on Form 10-Q or Current Reports on Form 8-K we file after the date of this prospectus, and all other information contained or incorporated by reference into this prospectus, as updated by our subsequent filings under the Exchange Act, and the risk factors and other information contained in any applicable free writing prospectus before acquiring any of such securities. The occurrence of any of these risks might cause you to lose all or part of your investment in the offered securities.</w:t>
      </w:r>
    </w:p>
    <w:p>
      <w:pPr>
        <w:spacing w:after="0" w:line="296"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Risks Related to This Offering</w:t>
      </w:r>
    </w:p>
    <w:p>
      <w:pPr>
        <w:spacing w:after="0" w:line="117"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Management will have broad discretion over the use of the proceeds from this offering, and may not use the proceeds effectively.</w:t>
      </w:r>
    </w:p>
    <w:p>
      <w:pPr>
        <w:spacing w:after="0" w:line="133" w:lineRule="exact"/>
        <w:rPr>
          <w:sz w:val="20"/>
          <w:szCs w:val="20"/>
          <w:color w:val="auto"/>
        </w:rPr>
      </w:pPr>
    </w:p>
    <w:p>
      <w:pPr>
        <w:ind w:right="120"/>
        <w:spacing w:after="0" w:line="257" w:lineRule="auto"/>
        <w:rPr>
          <w:sz w:val="20"/>
          <w:szCs w:val="20"/>
          <w:color w:val="auto"/>
        </w:rPr>
      </w:pPr>
      <w:r>
        <w:rPr>
          <w:rFonts w:ascii="Arial" w:cs="Arial" w:eastAsia="Arial" w:hAnsi="Arial"/>
          <w:sz w:val="18"/>
          <w:szCs w:val="18"/>
          <w:color w:val="auto"/>
        </w:rPr>
        <w:t>Because we have not designated the amount of net proceeds from this offering to be used for any particular purpose, our management will have broad discretion as to the application of the net proceeds from this offering and could use them for purposes other than those contemplated at the time of the offering. Our management may use the net proceeds for corporate purposes that may not improve our financial condition or market value. Pending use, we may invest any net proceeds from this offering in a manner that does not produce income or loses value. Please see the section entitled “Use of Proceeds” on page 12 of this prospectus for further information.</w:t>
      </w:r>
    </w:p>
    <w:p>
      <w:pPr>
        <w:spacing w:after="0" w:line="292"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You may experience immediate and substantial dilution in the net tangible book value per share of the common stock you purchase.</w:t>
      </w:r>
    </w:p>
    <w:p>
      <w:pPr>
        <w:spacing w:after="0" w:line="133" w:lineRule="exact"/>
        <w:rPr>
          <w:sz w:val="20"/>
          <w:szCs w:val="20"/>
          <w:color w:val="auto"/>
        </w:rPr>
      </w:pPr>
    </w:p>
    <w:p>
      <w:pPr>
        <w:ind w:right="60"/>
        <w:spacing w:after="0" w:line="271" w:lineRule="auto"/>
        <w:rPr>
          <w:sz w:val="20"/>
          <w:szCs w:val="20"/>
          <w:color w:val="auto"/>
        </w:rPr>
      </w:pPr>
      <w:r>
        <w:rPr>
          <w:rFonts w:ascii="Arial" w:cs="Arial" w:eastAsia="Arial" w:hAnsi="Arial"/>
          <w:sz w:val="17"/>
          <w:szCs w:val="17"/>
          <w:color w:val="auto"/>
        </w:rPr>
        <w:t>The price per share of our common stock being offered may be higher than the net tangible book value per share of our common stock outstanding prior to this offering. Assuming that an aggregate of 4,205,214 shares are sold at a price of $11.89 per share, the last reported sale price of our common stock on the Nasdaq Global Market on August 13, 2020, for aggregate gross proceeds of approximately $50,000,000 in this offering, and after deducting commissions and estimated aggregate offering expenses payable by us, you will suffer immediate and substantial dilution of $3.93 per share, representing the difference between the pro forma as adjusted net tangible book value per share of our common stock as of June 30, 2020 after giving effect to the exercise of all outstanding pre-funded warrants at an exercise price of $0.01 per share and after giving effect to this offering at the assumed offering price. Please see the section entitled “Dilution” on page 13 of this prospectus for a more detailed illustration of the dilution you would incur if you participate in this offering.</w:t>
      </w:r>
    </w:p>
    <w:p>
      <w:pPr>
        <w:spacing w:after="0" w:line="282" w:lineRule="exact"/>
        <w:rPr>
          <w:sz w:val="20"/>
          <w:szCs w:val="20"/>
          <w:color w:val="auto"/>
        </w:rPr>
      </w:pPr>
    </w:p>
    <w:p>
      <w:pPr>
        <w:ind w:right="180"/>
        <w:spacing w:after="0" w:line="266" w:lineRule="auto"/>
        <w:rPr>
          <w:sz w:val="20"/>
          <w:szCs w:val="20"/>
          <w:color w:val="auto"/>
        </w:rPr>
      </w:pPr>
      <w:r>
        <w:rPr>
          <w:rFonts w:ascii="Arial" w:cs="Arial" w:eastAsia="Arial" w:hAnsi="Arial"/>
          <w:sz w:val="18"/>
          <w:szCs w:val="18"/>
          <w:b w:val="1"/>
          <w:bCs w:val="1"/>
          <w:color w:val="auto"/>
        </w:rPr>
        <w:t>Issuances of shares of common stock or securities convertible into or exercisable for shares of common stock following this offering, as well as the exercise of options and warrants, will dilute your ownership interests and may adversely affect the future market price of our common stock.</w:t>
      </w:r>
    </w:p>
    <w:p>
      <w:pPr>
        <w:spacing w:after="0" w:line="72" w:lineRule="exact"/>
        <w:rPr>
          <w:sz w:val="20"/>
          <w:szCs w:val="20"/>
          <w:color w:val="auto"/>
        </w:rPr>
      </w:pPr>
    </w:p>
    <w:p>
      <w:pPr>
        <w:ind w:right="60"/>
        <w:spacing w:after="0" w:line="291" w:lineRule="auto"/>
        <w:rPr>
          <w:sz w:val="20"/>
          <w:szCs w:val="20"/>
          <w:color w:val="auto"/>
        </w:rPr>
      </w:pPr>
      <w:r>
        <w:rPr>
          <w:rFonts w:ascii="Arial" w:cs="Arial" w:eastAsia="Arial" w:hAnsi="Arial"/>
          <w:sz w:val="16"/>
          <w:szCs w:val="16"/>
          <w:color w:val="auto"/>
        </w:rPr>
        <w:t>As a development stage company we will need additional capital to fund the development and commercialization of our product candidates. We may seek additional capital through a combination of private and public equity offerings, debt financings, strategic partnerships and alliances and licensing arrangements, which may cause your ownership interest to be diluted. In addition, as of June 30, 2020, there were options to purchase 720,067 shares of our common stock outstanding at a weighted average exercise price of $40.73 and 628,403 shares of our common stock issuable upon the exercise of warrants outstanding as of June 30, 2020, with a weighted average exercise price of $0.01 per share. If these securities are exercised, you may incur further dilution. Moreover, to the extent that we issue additional options to purchase, or securities convertible into or exchangeable for, shares of our common stock in the future and those options or other securities are exercised, converted or exchanged, stockholders may experience further dilution.</w:t>
      </w:r>
    </w:p>
    <w:p>
      <w:pPr>
        <w:spacing w:after="0" w:line="270"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A substantial number of shares may be sold in the market following this offering, which may depress the market price for our common stock.</w:t>
      </w:r>
    </w:p>
    <w:p>
      <w:pPr>
        <w:spacing w:after="0" w:line="144" w:lineRule="exact"/>
        <w:rPr>
          <w:sz w:val="20"/>
          <w:szCs w:val="20"/>
          <w:color w:val="auto"/>
        </w:rPr>
      </w:pPr>
    </w:p>
    <w:p>
      <w:pPr>
        <w:ind w:right="200"/>
        <w:spacing w:after="0" w:line="277" w:lineRule="auto"/>
        <w:rPr>
          <w:sz w:val="20"/>
          <w:szCs w:val="20"/>
          <w:color w:val="auto"/>
        </w:rPr>
      </w:pPr>
      <w:r>
        <w:rPr>
          <w:rFonts w:ascii="Arial" w:cs="Arial" w:eastAsia="Arial" w:hAnsi="Arial"/>
          <w:sz w:val="18"/>
          <w:szCs w:val="18"/>
          <w:color w:val="auto"/>
        </w:rPr>
        <w:t>Sales of a substantial number of shares of our common stock in the public market following this offering could cause the market price of our common stock to decline. A substantial majority of the outstanding shares of our common</w:t>
      </w:r>
    </w:p>
    <w:p>
      <w:pPr>
        <w:spacing w:after="0" w:line="10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w:t>
      </w:r>
    </w:p>
    <w:p>
      <w:pPr>
        <w:sectPr>
          <w:pgSz w:w="11900" w:h="16838" w:orient="portrait"/>
          <w:cols w:equalWidth="0" w:num="1">
            <w:col w:w="11000"/>
          </w:cols>
          <w:pgMar w:left="440" w:top="270" w:right="459" w:bottom="1440" w:gutter="0" w:footer="0" w:header="0"/>
        </w:sectPr>
      </w:pPr>
    </w:p>
    <w:bookmarkStart w:id="48" w:name="page49"/>
    <w:bookmarkEnd w:id="48"/>
    <w:p>
      <w:pPr>
        <w:ind w:right="180"/>
        <w:spacing w:after="0" w:line="293"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87">
                      <a:extLst>
                        <a:ext uri="{28A0092B-C50C-407E-A947-70E740481C1C}"/>
                      </a:extLst>
                    </a:blip>
                    <a:srcRect/>
                    <a:stretch>
                      <a:fillRect/>
                    </a:stretch>
                  </pic:blipFill>
                  <pic:spPr bwMode="auto">
                    <a:xfrm>
                      <a:off x="0" y="0"/>
                      <a:ext cx="7149465" cy="25400"/>
                    </a:xfrm>
                    <a:prstGeom prst="rect">
                      <a:avLst/>
                    </a:prstGeom>
                    <a:noFill/>
                  </pic:spPr>
                </pic:pic>
              </a:graphicData>
            </a:graphic>
          </wp:anchor>
        </w:drawing>
        <w:t>stock are, and all of the shares sold in this offering upon issuance will be, freely tradable without restriction or further registration under the Securities Act, unless these shares are owned or purchased by “affiliates” as that term is defined in Rule 144 under the Securities Act. As of June 30, 2020, more than 50% of our outstanding shares of our common stock are subject to lock-up agreements that restrict the transfer or sale of these shares of common stock. The lock-up agreement will expire on November 24, 2020 and, once the lock-up agreements expire, these shares will be freely tradable in the public market. In addition, we have also registered the shares of common stock that we may issue under our equity incentive plans. As a result, these shares can be freely sold in the public market upon issuance, subject to restrictions under securities laws.</w:t>
      </w:r>
    </w:p>
    <w:p>
      <w:pPr>
        <w:spacing w:after="0" w:line="268" w:lineRule="exact"/>
        <w:rPr>
          <w:sz w:val="20"/>
          <w:szCs w:val="20"/>
          <w:color w:val="auto"/>
        </w:rPr>
      </w:pPr>
    </w:p>
    <w:p>
      <w:pPr>
        <w:ind w:right="260"/>
        <w:spacing w:after="0" w:line="282" w:lineRule="auto"/>
        <w:rPr>
          <w:sz w:val="20"/>
          <w:szCs w:val="20"/>
          <w:color w:val="auto"/>
        </w:rPr>
      </w:pPr>
      <w:r>
        <w:rPr>
          <w:rFonts w:ascii="Arial" w:cs="Arial" w:eastAsia="Arial" w:hAnsi="Arial"/>
          <w:sz w:val="18"/>
          <w:szCs w:val="18"/>
          <w:b w:val="1"/>
          <w:bCs w:val="1"/>
          <w:color w:val="auto"/>
        </w:rPr>
        <w:t>It is not possible to predict the actual number of shares we will sell under the Equity Distribution Agreement, or the gross proceeds resulting from those sales.</w:t>
      </w:r>
    </w:p>
    <w:p>
      <w:pPr>
        <w:spacing w:after="0" w:line="58" w:lineRule="exact"/>
        <w:rPr>
          <w:sz w:val="20"/>
          <w:szCs w:val="20"/>
          <w:color w:val="auto"/>
        </w:rPr>
      </w:pPr>
    </w:p>
    <w:p>
      <w:pPr>
        <w:ind w:right="40"/>
        <w:spacing w:after="0" w:line="254" w:lineRule="auto"/>
        <w:rPr>
          <w:sz w:val="20"/>
          <w:szCs w:val="20"/>
          <w:color w:val="auto"/>
        </w:rPr>
      </w:pPr>
      <w:r>
        <w:rPr>
          <w:rFonts w:ascii="Arial" w:cs="Arial" w:eastAsia="Arial" w:hAnsi="Arial"/>
          <w:sz w:val="18"/>
          <w:szCs w:val="18"/>
          <w:color w:val="auto"/>
        </w:rPr>
        <w:t>Subject to certain limitations in the Equity Distribution Agreement and compliance with applicable laws, we have the discretion to deliver a placement notice to Piper Sandler at any time throughout the term of the sales agreement. The number of shares that are sold through Piper Sandler after delivering a placement notice will fluctuate based on a number of factors, including the market price of our common stock during the term of the sales agreement, the limits we set with Piper Sandler in any applicable placement notice, and the demand for our common stock during the term of the Equity Distribution Agreement. Because the price per share of each share sold will fluctuate during the term of the sales agreement, it is not currently possible to predict the number of shares that will be sold or the gross proceeds to be raised in connection with the sales of shares of common stock offered under this prospectus.</w:t>
      </w:r>
    </w:p>
    <w:p>
      <w:pPr>
        <w:spacing w:after="0" w:line="29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The market price and trading volume of our stock may be volatile.</w:t>
      </w:r>
    </w:p>
    <w:p>
      <w:pPr>
        <w:spacing w:after="0" w:line="121" w:lineRule="exact"/>
        <w:rPr>
          <w:sz w:val="20"/>
          <w:szCs w:val="20"/>
          <w:color w:val="auto"/>
        </w:rPr>
      </w:pPr>
    </w:p>
    <w:p>
      <w:pPr>
        <w:ind w:right="100"/>
        <w:spacing w:after="0" w:line="263" w:lineRule="auto"/>
        <w:rPr>
          <w:sz w:val="20"/>
          <w:szCs w:val="20"/>
          <w:color w:val="auto"/>
        </w:rPr>
      </w:pPr>
      <w:r>
        <w:rPr>
          <w:rFonts w:ascii="Arial" w:cs="Arial" w:eastAsia="Arial" w:hAnsi="Arial"/>
          <w:sz w:val="18"/>
          <w:szCs w:val="18"/>
          <w:color w:val="auto"/>
        </w:rPr>
        <w:t>The market price of our common stock could be subject to significant fluctuations. Market prices for securities of early-stage pharmaceutical, biotechnology, and other life sciences companies have historically been particularly volatile. Some of the factors that may cause the market price of our common stock to fluctuate include:</w:t>
      </w:r>
    </w:p>
    <w:p>
      <w:pPr>
        <w:spacing w:after="0" w:line="89" w:lineRule="exact"/>
        <w:rPr>
          <w:sz w:val="20"/>
          <w:szCs w:val="20"/>
          <w:color w:val="auto"/>
        </w:rPr>
      </w:pPr>
    </w:p>
    <w:p>
      <w:pPr>
        <w:ind w:left="960" w:hanging="424"/>
        <w:spacing w:after="0"/>
        <w:tabs>
          <w:tab w:leader="none" w:pos="960" w:val="left"/>
        </w:tabs>
        <w:numPr>
          <w:ilvl w:val="0"/>
          <w:numId w:val="27"/>
        </w:numPr>
        <w:rPr>
          <w:rFonts w:ascii="Arial" w:cs="Arial" w:eastAsia="Arial" w:hAnsi="Arial"/>
          <w:sz w:val="18"/>
          <w:szCs w:val="18"/>
          <w:color w:val="auto"/>
        </w:rPr>
      </w:pPr>
      <w:r>
        <w:rPr>
          <w:rFonts w:ascii="Arial" w:cs="Arial" w:eastAsia="Arial" w:hAnsi="Arial"/>
          <w:sz w:val="18"/>
          <w:szCs w:val="18"/>
          <w:color w:val="auto"/>
        </w:rPr>
        <w:t>Our ability to obtain regulatory approvals for product candidates, and delays or failures to obtain such approvals;</w:t>
      </w:r>
    </w:p>
    <w:p>
      <w:pPr>
        <w:spacing w:after="0" w:line="130" w:lineRule="exact"/>
        <w:rPr>
          <w:rFonts w:ascii="Arial" w:cs="Arial" w:eastAsia="Arial" w:hAnsi="Arial"/>
          <w:sz w:val="18"/>
          <w:szCs w:val="18"/>
          <w:color w:val="auto"/>
        </w:rPr>
      </w:pPr>
    </w:p>
    <w:p>
      <w:pPr>
        <w:ind w:left="960" w:hanging="424"/>
        <w:spacing w:after="0"/>
        <w:tabs>
          <w:tab w:leader="none" w:pos="960" w:val="left"/>
        </w:tabs>
        <w:numPr>
          <w:ilvl w:val="0"/>
          <w:numId w:val="27"/>
        </w:numPr>
        <w:rPr>
          <w:rFonts w:ascii="Arial" w:cs="Arial" w:eastAsia="Arial" w:hAnsi="Arial"/>
          <w:sz w:val="18"/>
          <w:szCs w:val="18"/>
          <w:color w:val="auto"/>
        </w:rPr>
      </w:pPr>
      <w:r>
        <w:rPr>
          <w:rFonts w:ascii="Arial" w:cs="Arial" w:eastAsia="Arial" w:hAnsi="Arial"/>
          <w:sz w:val="18"/>
          <w:szCs w:val="18"/>
          <w:color w:val="auto"/>
        </w:rPr>
        <w:t>The result of current, and any future, nonclinical or clinical trials of CTI-1601 or any of our future product candidates;</w:t>
      </w:r>
    </w:p>
    <w:p>
      <w:pPr>
        <w:spacing w:after="0" w:line="130" w:lineRule="exact"/>
        <w:rPr>
          <w:rFonts w:ascii="Arial" w:cs="Arial" w:eastAsia="Arial" w:hAnsi="Arial"/>
          <w:sz w:val="18"/>
          <w:szCs w:val="18"/>
          <w:color w:val="auto"/>
        </w:rPr>
      </w:pPr>
    </w:p>
    <w:p>
      <w:pPr>
        <w:ind w:left="960" w:hanging="424"/>
        <w:spacing w:after="0"/>
        <w:tabs>
          <w:tab w:leader="none" w:pos="960" w:val="left"/>
        </w:tabs>
        <w:numPr>
          <w:ilvl w:val="0"/>
          <w:numId w:val="27"/>
        </w:numPr>
        <w:rPr>
          <w:rFonts w:ascii="Arial" w:cs="Arial" w:eastAsia="Arial" w:hAnsi="Arial"/>
          <w:sz w:val="18"/>
          <w:szCs w:val="18"/>
          <w:color w:val="auto"/>
        </w:rPr>
      </w:pPr>
      <w:r>
        <w:rPr>
          <w:rFonts w:ascii="Arial" w:cs="Arial" w:eastAsia="Arial" w:hAnsi="Arial"/>
          <w:sz w:val="18"/>
          <w:szCs w:val="18"/>
          <w:color w:val="auto"/>
        </w:rPr>
        <w:t>the entry into, or termination of, key agreements, including key licensing or collaboration agreements;</w:t>
      </w:r>
    </w:p>
    <w:p>
      <w:pPr>
        <w:spacing w:after="0" w:line="130" w:lineRule="exact"/>
        <w:rPr>
          <w:rFonts w:ascii="Arial" w:cs="Arial" w:eastAsia="Arial" w:hAnsi="Arial"/>
          <w:sz w:val="18"/>
          <w:szCs w:val="18"/>
          <w:color w:val="auto"/>
        </w:rPr>
      </w:pPr>
    </w:p>
    <w:p>
      <w:pPr>
        <w:ind w:left="960" w:right="140" w:hanging="424"/>
        <w:spacing w:after="0" w:line="277" w:lineRule="auto"/>
        <w:tabs>
          <w:tab w:leader="none" w:pos="960" w:val="left"/>
        </w:tabs>
        <w:numPr>
          <w:ilvl w:val="0"/>
          <w:numId w:val="27"/>
        </w:numPr>
        <w:rPr>
          <w:rFonts w:ascii="Arial" w:cs="Arial" w:eastAsia="Arial" w:hAnsi="Arial"/>
          <w:sz w:val="18"/>
          <w:szCs w:val="18"/>
          <w:color w:val="auto"/>
        </w:rPr>
      </w:pPr>
      <w:r>
        <w:rPr>
          <w:rFonts w:ascii="Arial" w:cs="Arial" w:eastAsia="Arial" w:hAnsi="Arial"/>
          <w:sz w:val="18"/>
          <w:szCs w:val="18"/>
          <w:color w:val="auto"/>
        </w:rPr>
        <w:t>the failure of CTI-1601 or any of our future product candidates, if approved for marketing and commercialization, to achieve commercial success;</w:t>
      </w:r>
    </w:p>
    <w:p>
      <w:pPr>
        <w:spacing w:after="0" w:line="75" w:lineRule="exact"/>
        <w:rPr>
          <w:rFonts w:ascii="Arial" w:cs="Arial" w:eastAsia="Arial" w:hAnsi="Arial"/>
          <w:sz w:val="18"/>
          <w:szCs w:val="18"/>
          <w:color w:val="auto"/>
        </w:rPr>
      </w:pPr>
    </w:p>
    <w:p>
      <w:pPr>
        <w:ind w:left="960" w:hanging="424"/>
        <w:spacing w:after="0"/>
        <w:tabs>
          <w:tab w:leader="none" w:pos="960" w:val="left"/>
        </w:tabs>
        <w:numPr>
          <w:ilvl w:val="0"/>
          <w:numId w:val="27"/>
        </w:numPr>
        <w:rPr>
          <w:rFonts w:ascii="Arial" w:cs="Arial" w:eastAsia="Arial" w:hAnsi="Arial"/>
          <w:sz w:val="18"/>
          <w:szCs w:val="18"/>
          <w:color w:val="auto"/>
        </w:rPr>
      </w:pPr>
      <w:r>
        <w:rPr>
          <w:rFonts w:ascii="Arial" w:cs="Arial" w:eastAsia="Arial" w:hAnsi="Arial"/>
          <w:sz w:val="18"/>
          <w:szCs w:val="18"/>
          <w:color w:val="auto"/>
        </w:rPr>
        <w:t>issues in manufacturing our approved products, if any, or product candidates;</w:t>
      </w:r>
    </w:p>
    <w:p>
      <w:pPr>
        <w:spacing w:after="0" w:line="130" w:lineRule="exact"/>
        <w:rPr>
          <w:rFonts w:ascii="Arial" w:cs="Arial" w:eastAsia="Arial" w:hAnsi="Arial"/>
          <w:sz w:val="18"/>
          <w:szCs w:val="18"/>
          <w:color w:val="auto"/>
        </w:rPr>
      </w:pPr>
    </w:p>
    <w:p>
      <w:pPr>
        <w:ind w:left="960" w:hanging="424"/>
        <w:spacing w:after="0" w:line="277" w:lineRule="auto"/>
        <w:tabs>
          <w:tab w:leader="none" w:pos="960" w:val="left"/>
        </w:tabs>
        <w:numPr>
          <w:ilvl w:val="0"/>
          <w:numId w:val="27"/>
        </w:numPr>
        <w:rPr>
          <w:rFonts w:ascii="Arial" w:cs="Arial" w:eastAsia="Arial" w:hAnsi="Arial"/>
          <w:sz w:val="18"/>
          <w:szCs w:val="18"/>
          <w:color w:val="auto"/>
        </w:rPr>
      </w:pPr>
      <w:r>
        <w:rPr>
          <w:rFonts w:ascii="Arial" w:cs="Arial" w:eastAsia="Arial" w:hAnsi="Arial"/>
          <w:sz w:val="18"/>
          <w:szCs w:val="18"/>
          <w:color w:val="auto"/>
        </w:rPr>
        <w:t>the initiation of material developments in, or conclusion of, disputes or litigation to enforce or defend any of our intellectual property rights or defend against the intellectual property rights of others;</w:t>
      </w:r>
    </w:p>
    <w:p>
      <w:pPr>
        <w:spacing w:after="0" w:line="75" w:lineRule="exact"/>
        <w:rPr>
          <w:rFonts w:ascii="Arial" w:cs="Arial" w:eastAsia="Arial" w:hAnsi="Arial"/>
          <w:sz w:val="18"/>
          <w:szCs w:val="18"/>
          <w:color w:val="auto"/>
        </w:rPr>
      </w:pPr>
    </w:p>
    <w:p>
      <w:pPr>
        <w:ind w:left="960" w:right="380" w:hanging="424"/>
        <w:spacing w:after="0" w:line="277" w:lineRule="auto"/>
        <w:tabs>
          <w:tab w:leader="none" w:pos="960" w:val="left"/>
        </w:tabs>
        <w:numPr>
          <w:ilvl w:val="0"/>
          <w:numId w:val="27"/>
        </w:numPr>
        <w:rPr>
          <w:rFonts w:ascii="Arial" w:cs="Arial" w:eastAsia="Arial" w:hAnsi="Arial"/>
          <w:sz w:val="18"/>
          <w:szCs w:val="18"/>
          <w:color w:val="auto"/>
        </w:rPr>
      </w:pPr>
      <w:r>
        <w:rPr>
          <w:rFonts w:ascii="Arial" w:cs="Arial" w:eastAsia="Arial" w:hAnsi="Arial"/>
          <w:sz w:val="18"/>
          <w:szCs w:val="18"/>
          <w:color w:val="auto"/>
        </w:rPr>
        <w:t>announcements by commercial partners or competitors of new commercial products, clinical progress (or the lack thereof), significant contracts, commercial relationships, or capital commitments;</w:t>
      </w:r>
    </w:p>
    <w:p>
      <w:pPr>
        <w:spacing w:after="0" w:line="75" w:lineRule="exact"/>
        <w:rPr>
          <w:rFonts w:ascii="Arial" w:cs="Arial" w:eastAsia="Arial" w:hAnsi="Arial"/>
          <w:sz w:val="18"/>
          <w:szCs w:val="18"/>
          <w:color w:val="auto"/>
        </w:rPr>
      </w:pPr>
    </w:p>
    <w:p>
      <w:pPr>
        <w:ind w:left="960" w:hanging="424"/>
        <w:spacing w:after="0"/>
        <w:tabs>
          <w:tab w:leader="none" w:pos="960" w:val="left"/>
        </w:tabs>
        <w:numPr>
          <w:ilvl w:val="0"/>
          <w:numId w:val="27"/>
        </w:numPr>
        <w:rPr>
          <w:rFonts w:ascii="Arial" w:cs="Arial" w:eastAsia="Arial" w:hAnsi="Arial"/>
          <w:sz w:val="18"/>
          <w:szCs w:val="18"/>
          <w:color w:val="auto"/>
        </w:rPr>
      </w:pPr>
      <w:r>
        <w:rPr>
          <w:rFonts w:ascii="Arial" w:cs="Arial" w:eastAsia="Arial" w:hAnsi="Arial"/>
          <w:sz w:val="18"/>
          <w:szCs w:val="18"/>
          <w:color w:val="auto"/>
        </w:rPr>
        <w:t>adverse publicity relating to our markets, including with respect to other products and potential products in such markets;</w:t>
      </w:r>
    </w:p>
    <w:p>
      <w:pPr>
        <w:spacing w:after="0" w:line="130" w:lineRule="exact"/>
        <w:rPr>
          <w:rFonts w:ascii="Arial" w:cs="Arial" w:eastAsia="Arial" w:hAnsi="Arial"/>
          <w:sz w:val="18"/>
          <w:szCs w:val="18"/>
          <w:color w:val="auto"/>
        </w:rPr>
      </w:pPr>
    </w:p>
    <w:p>
      <w:pPr>
        <w:ind w:left="960" w:hanging="424"/>
        <w:spacing w:after="0"/>
        <w:tabs>
          <w:tab w:leader="none" w:pos="960" w:val="left"/>
        </w:tabs>
        <w:numPr>
          <w:ilvl w:val="0"/>
          <w:numId w:val="27"/>
        </w:numPr>
        <w:rPr>
          <w:rFonts w:ascii="Arial" w:cs="Arial" w:eastAsia="Arial" w:hAnsi="Arial"/>
          <w:sz w:val="18"/>
          <w:szCs w:val="18"/>
          <w:color w:val="auto"/>
        </w:rPr>
      </w:pPr>
      <w:r>
        <w:rPr>
          <w:rFonts w:ascii="Arial" w:cs="Arial" w:eastAsia="Arial" w:hAnsi="Arial"/>
          <w:sz w:val="18"/>
          <w:szCs w:val="18"/>
          <w:color w:val="auto"/>
        </w:rPr>
        <w:t>the introduction of technological innovations or new therapies competing with our potential products;</w:t>
      </w:r>
    </w:p>
    <w:p>
      <w:pPr>
        <w:spacing w:after="0" w:line="130" w:lineRule="exact"/>
        <w:rPr>
          <w:rFonts w:ascii="Arial" w:cs="Arial" w:eastAsia="Arial" w:hAnsi="Arial"/>
          <w:sz w:val="18"/>
          <w:szCs w:val="18"/>
          <w:color w:val="auto"/>
        </w:rPr>
      </w:pPr>
    </w:p>
    <w:p>
      <w:pPr>
        <w:ind w:left="960" w:hanging="424"/>
        <w:spacing w:after="0"/>
        <w:tabs>
          <w:tab w:leader="none" w:pos="960" w:val="left"/>
        </w:tabs>
        <w:numPr>
          <w:ilvl w:val="0"/>
          <w:numId w:val="27"/>
        </w:numPr>
        <w:rPr>
          <w:rFonts w:ascii="Arial" w:cs="Arial" w:eastAsia="Arial" w:hAnsi="Arial"/>
          <w:sz w:val="18"/>
          <w:szCs w:val="18"/>
          <w:color w:val="auto"/>
        </w:rPr>
      </w:pPr>
      <w:r>
        <w:rPr>
          <w:rFonts w:ascii="Arial" w:cs="Arial" w:eastAsia="Arial" w:hAnsi="Arial"/>
          <w:sz w:val="18"/>
          <w:szCs w:val="18"/>
          <w:color w:val="auto"/>
        </w:rPr>
        <w:t>the loss of key employees;</w:t>
      </w:r>
    </w:p>
    <w:p>
      <w:pPr>
        <w:spacing w:after="0" w:line="130" w:lineRule="exact"/>
        <w:rPr>
          <w:rFonts w:ascii="Arial" w:cs="Arial" w:eastAsia="Arial" w:hAnsi="Arial"/>
          <w:sz w:val="18"/>
          <w:szCs w:val="18"/>
          <w:color w:val="auto"/>
        </w:rPr>
      </w:pPr>
    </w:p>
    <w:p>
      <w:pPr>
        <w:ind w:left="960" w:hanging="424"/>
        <w:spacing w:after="0"/>
        <w:tabs>
          <w:tab w:leader="none" w:pos="960" w:val="left"/>
        </w:tabs>
        <w:numPr>
          <w:ilvl w:val="0"/>
          <w:numId w:val="27"/>
        </w:numPr>
        <w:rPr>
          <w:rFonts w:ascii="Arial" w:cs="Arial" w:eastAsia="Arial" w:hAnsi="Arial"/>
          <w:sz w:val="18"/>
          <w:szCs w:val="18"/>
          <w:color w:val="auto"/>
        </w:rPr>
      </w:pPr>
      <w:r>
        <w:rPr>
          <w:rFonts w:ascii="Arial" w:cs="Arial" w:eastAsia="Arial" w:hAnsi="Arial"/>
          <w:sz w:val="18"/>
          <w:szCs w:val="18"/>
          <w:color w:val="auto"/>
        </w:rPr>
        <w:t>general and industry-specific economic conditions potentially affecting our research and development expenditures;</w:t>
      </w:r>
    </w:p>
    <w:p>
      <w:pPr>
        <w:spacing w:after="0" w:line="130" w:lineRule="exact"/>
        <w:rPr>
          <w:rFonts w:ascii="Arial" w:cs="Arial" w:eastAsia="Arial" w:hAnsi="Arial"/>
          <w:sz w:val="18"/>
          <w:szCs w:val="18"/>
          <w:color w:val="auto"/>
        </w:rPr>
      </w:pPr>
    </w:p>
    <w:p>
      <w:pPr>
        <w:ind w:left="960" w:hanging="424"/>
        <w:spacing w:after="0"/>
        <w:tabs>
          <w:tab w:leader="none" w:pos="960" w:val="left"/>
        </w:tabs>
        <w:numPr>
          <w:ilvl w:val="0"/>
          <w:numId w:val="27"/>
        </w:numPr>
        <w:rPr>
          <w:rFonts w:ascii="Arial" w:cs="Arial" w:eastAsia="Arial" w:hAnsi="Arial"/>
          <w:sz w:val="18"/>
          <w:szCs w:val="18"/>
          <w:color w:val="auto"/>
        </w:rPr>
      </w:pPr>
      <w:r>
        <w:rPr>
          <w:rFonts w:ascii="Arial" w:cs="Arial" w:eastAsia="Arial" w:hAnsi="Arial"/>
          <w:sz w:val="18"/>
          <w:szCs w:val="18"/>
          <w:color w:val="auto"/>
        </w:rPr>
        <w:t>the impact of the novel coronavirus, or COVID-19, pandemic on our business, operations or on the global economy in general;</w:t>
      </w:r>
    </w:p>
    <w:p>
      <w:pPr>
        <w:spacing w:after="0" w:line="130" w:lineRule="exact"/>
        <w:rPr>
          <w:rFonts w:ascii="Arial" w:cs="Arial" w:eastAsia="Arial" w:hAnsi="Arial"/>
          <w:sz w:val="18"/>
          <w:szCs w:val="18"/>
          <w:color w:val="auto"/>
        </w:rPr>
      </w:pPr>
    </w:p>
    <w:p>
      <w:pPr>
        <w:ind w:left="960" w:hanging="424"/>
        <w:spacing w:after="0"/>
        <w:tabs>
          <w:tab w:leader="none" w:pos="960" w:val="left"/>
        </w:tabs>
        <w:numPr>
          <w:ilvl w:val="0"/>
          <w:numId w:val="27"/>
        </w:numPr>
        <w:rPr>
          <w:rFonts w:ascii="Arial" w:cs="Arial" w:eastAsia="Arial" w:hAnsi="Arial"/>
          <w:sz w:val="18"/>
          <w:szCs w:val="18"/>
          <w:color w:val="auto"/>
        </w:rPr>
      </w:pPr>
      <w:r>
        <w:rPr>
          <w:rFonts w:ascii="Arial" w:cs="Arial" w:eastAsia="Arial" w:hAnsi="Arial"/>
          <w:sz w:val="18"/>
          <w:szCs w:val="18"/>
          <w:color w:val="auto"/>
        </w:rPr>
        <w:t>changes in the structure of health care payment systems;</w:t>
      </w:r>
    </w:p>
    <w:p>
      <w:pPr>
        <w:spacing w:after="0" w:line="130" w:lineRule="exact"/>
        <w:rPr>
          <w:rFonts w:ascii="Arial" w:cs="Arial" w:eastAsia="Arial" w:hAnsi="Arial"/>
          <w:sz w:val="18"/>
          <w:szCs w:val="18"/>
          <w:color w:val="auto"/>
        </w:rPr>
      </w:pPr>
    </w:p>
    <w:p>
      <w:pPr>
        <w:ind w:left="960" w:hanging="424"/>
        <w:spacing w:after="0"/>
        <w:tabs>
          <w:tab w:leader="none" w:pos="960" w:val="left"/>
        </w:tabs>
        <w:numPr>
          <w:ilvl w:val="0"/>
          <w:numId w:val="27"/>
        </w:numPr>
        <w:rPr>
          <w:rFonts w:ascii="Arial" w:cs="Arial" w:eastAsia="Arial" w:hAnsi="Arial"/>
          <w:sz w:val="18"/>
          <w:szCs w:val="18"/>
          <w:color w:val="auto"/>
        </w:rPr>
      </w:pPr>
      <w:r>
        <w:rPr>
          <w:rFonts w:ascii="Arial" w:cs="Arial" w:eastAsia="Arial" w:hAnsi="Arial"/>
          <w:sz w:val="18"/>
          <w:szCs w:val="18"/>
          <w:color w:val="auto"/>
        </w:rPr>
        <w:t>adverse regulatory decisions;</w:t>
      </w:r>
    </w:p>
    <w:p>
      <w:pPr>
        <w:spacing w:after="0" w:line="15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w:t>
      </w:r>
    </w:p>
    <w:p>
      <w:pPr>
        <w:sectPr>
          <w:pgSz w:w="11900" w:h="16838" w:orient="portrait"/>
          <w:cols w:equalWidth="0" w:num="1">
            <w:col w:w="11000"/>
          </w:cols>
          <w:pgMar w:left="440" w:top="274" w:right="459" w:bottom="1440" w:gutter="0" w:footer="0" w:header="0"/>
        </w:sectPr>
      </w:pPr>
    </w:p>
    <w:bookmarkStart w:id="49" w:name="page50"/>
    <w:bookmarkEnd w:id="49"/>
    <w:p>
      <w:pPr>
        <w:ind w:left="960" w:hanging="424"/>
        <w:spacing w:after="0"/>
        <w:tabs>
          <w:tab w:leader="none" w:pos="960" w:val="left"/>
        </w:tabs>
        <w:numPr>
          <w:ilvl w:val="0"/>
          <w:numId w:val="28"/>
        </w:numPr>
        <w:rPr>
          <w:rFonts w:ascii="Arial" w:cs="Arial" w:eastAsia="Arial" w:hAnsi="Arial"/>
          <w:sz w:val="18"/>
          <w:szCs w:val="18"/>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8">
                      <a:extLst>
                        <a:ext uri="{28A0092B-C50C-407E-A947-70E740481C1C}"/>
                      </a:extLst>
                    </a:blip>
                    <a:srcRect/>
                    <a:stretch>
                      <a:fillRect/>
                    </a:stretch>
                  </pic:blipFill>
                  <pic:spPr bwMode="auto">
                    <a:xfrm>
                      <a:off x="0" y="0"/>
                      <a:ext cx="7149465" cy="26035"/>
                    </a:xfrm>
                    <a:prstGeom prst="rect">
                      <a:avLst/>
                    </a:prstGeom>
                    <a:noFill/>
                  </pic:spPr>
                </pic:pic>
              </a:graphicData>
            </a:graphic>
          </wp:anchor>
        </w:drawing>
        <w:t>trading volume of our common stock; and</w:t>
      </w:r>
    </w:p>
    <w:p>
      <w:pPr>
        <w:spacing w:after="0" w:line="130" w:lineRule="exact"/>
        <w:rPr>
          <w:rFonts w:ascii="Arial" w:cs="Arial" w:eastAsia="Arial" w:hAnsi="Arial"/>
          <w:sz w:val="18"/>
          <w:szCs w:val="18"/>
          <w:color w:val="auto"/>
        </w:rPr>
      </w:pPr>
    </w:p>
    <w:p>
      <w:pPr>
        <w:ind w:left="960" w:hanging="424"/>
        <w:spacing w:after="0"/>
        <w:tabs>
          <w:tab w:leader="none" w:pos="960" w:val="left"/>
        </w:tabs>
        <w:numPr>
          <w:ilvl w:val="0"/>
          <w:numId w:val="28"/>
        </w:numPr>
        <w:rPr>
          <w:rFonts w:ascii="Arial" w:cs="Arial" w:eastAsia="Arial" w:hAnsi="Arial"/>
          <w:sz w:val="18"/>
          <w:szCs w:val="18"/>
          <w:color w:val="auto"/>
        </w:rPr>
      </w:pPr>
      <w:r>
        <w:rPr>
          <w:rFonts w:ascii="Arial" w:cs="Arial" w:eastAsia="Arial" w:hAnsi="Arial"/>
          <w:sz w:val="18"/>
          <w:szCs w:val="18"/>
          <w:color w:val="auto"/>
        </w:rPr>
        <w:t>period-to-period fluctuations in our financial results.</w:t>
      </w:r>
    </w:p>
    <w:p>
      <w:pPr>
        <w:spacing w:after="0" w:line="225" w:lineRule="exact"/>
        <w:rPr>
          <w:sz w:val="20"/>
          <w:szCs w:val="20"/>
          <w:color w:val="auto"/>
        </w:rPr>
      </w:pPr>
    </w:p>
    <w:p>
      <w:pPr>
        <w:ind w:right="60"/>
        <w:spacing w:after="0" w:line="342" w:lineRule="auto"/>
        <w:rPr>
          <w:sz w:val="20"/>
          <w:szCs w:val="20"/>
          <w:color w:val="auto"/>
        </w:rPr>
      </w:pPr>
      <w:r>
        <w:rPr>
          <w:rFonts w:ascii="Arial" w:cs="Arial" w:eastAsia="Arial" w:hAnsi="Arial"/>
          <w:sz w:val="16"/>
          <w:szCs w:val="16"/>
          <w:color w:val="auto"/>
        </w:rPr>
        <w:t>Moreover, the stock markets in general have experienced substantial volatility that has often been unrelated to the operating performance of individual companies or the biotechnology sector. These broad market fluctuations may also adversely affect the trading price of our common stock.</w:t>
      </w:r>
    </w:p>
    <w:p>
      <w:pPr>
        <w:spacing w:after="0" w:line="124" w:lineRule="exact"/>
        <w:rPr>
          <w:sz w:val="20"/>
          <w:szCs w:val="20"/>
          <w:color w:val="auto"/>
        </w:rPr>
      </w:pPr>
    </w:p>
    <w:p>
      <w:pPr>
        <w:spacing w:after="0" w:line="263" w:lineRule="auto"/>
        <w:rPr>
          <w:sz w:val="20"/>
          <w:szCs w:val="20"/>
          <w:color w:val="auto"/>
        </w:rPr>
      </w:pPr>
      <w:r>
        <w:rPr>
          <w:rFonts w:ascii="Arial" w:cs="Arial" w:eastAsia="Arial" w:hAnsi="Arial"/>
          <w:sz w:val="18"/>
          <w:szCs w:val="18"/>
          <w:color w:val="auto"/>
        </w:rPr>
        <w:t>In the past, following periods of volatility in the market price of a company’s securities, stockholders have often instituted class action securities litigation against those companies. Such litigation, if instituted, could result in substantial costs and diversion of management’s attention and resources, which could significantly impact our profitability and reputation.</w:t>
      </w:r>
    </w:p>
    <w:p>
      <w:pPr>
        <w:spacing w:after="0" w:line="116"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9</w:t>
      </w:r>
    </w:p>
    <w:p>
      <w:pPr>
        <w:sectPr>
          <w:pgSz w:w="11900" w:h="16838" w:orient="portrait"/>
          <w:cols w:equalWidth="0" w:num="1">
            <w:col w:w="10880"/>
          </w:cols>
          <w:pgMar w:left="440" w:top="274" w:right="579" w:bottom="1440" w:gutter="0" w:footer="0" w:header="0"/>
        </w:sectPr>
      </w:pPr>
    </w:p>
    <w:bookmarkStart w:id="50" w:name="page51"/>
    <w:bookmarkEnd w:id="50"/>
    <w:p>
      <w:pPr>
        <w:jc w:val="center"/>
        <w:ind w:right="-39"/>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9">
                      <a:extLst>
                        <a:ext uri="{28A0092B-C50C-407E-A947-70E740481C1C}"/>
                      </a:extLst>
                    </a:blip>
                    <a:srcRect/>
                    <a:stretch>
                      <a:fillRect/>
                    </a:stretch>
                  </pic:blipFill>
                  <pic:spPr bwMode="auto">
                    <a:xfrm>
                      <a:off x="0" y="0"/>
                      <a:ext cx="7149465" cy="25400"/>
                    </a:xfrm>
                    <a:prstGeom prst="rect">
                      <a:avLst/>
                    </a:prstGeom>
                    <a:noFill/>
                  </pic:spPr>
                </pic:pic>
              </a:graphicData>
            </a:graphic>
          </wp:anchor>
        </w:drawing>
        <w:t>CAUTIONARY NOTE REGARDING FORWARD-LOOKING STATEMENTS</w:t>
      </w:r>
    </w:p>
    <w:p>
      <w:pPr>
        <w:spacing w:after="0" w:line="229" w:lineRule="exact"/>
        <w:rPr>
          <w:sz w:val="20"/>
          <w:szCs w:val="20"/>
          <w:color w:val="auto"/>
        </w:rPr>
      </w:pPr>
    </w:p>
    <w:p>
      <w:pPr>
        <w:ind w:right="80"/>
        <w:spacing w:after="0" w:line="273" w:lineRule="auto"/>
        <w:rPr>
          <w:sz w:val="20"/>
          <w:szCs w:val="20"/>
          <w:color w:val="auto"/>
        </w:rPr>
      </w:pPr>
      <w:r>
        <w:rPr>
          <w:rFonts w:ascii="Arial" w:cs="Arial" w:eastAsia="Arial" w:hAnsi="Arial"/>
          <w:sz w:val="17"/>
          <w:szCs w:val="17"/>
          <w:color w:val="auto"/>
        </w:rPr>
        <w:t>This prospectus and the documents incorporated by reference may contain forward-looking statements within the meaning of Section 27A of the Securities Act and Section 21E of the Exchange Act, about us and our subsidiaries. These forward-looking statements are intended to be covered by the safe harbor for forward-looking statements provided by the Private Securities Litigation Reform Act of 1995. Forward-looking statements are not statements of historical fact, and can be identified by the use of forward-looking terminology such as “believes,” “expects,” “may,” “will,” “could,” “should,” “projects,” “plans,” “goal,” “targets,” “potential,” “estimates,” “pro forma,” “seeks,” “intends” or “anticipates” or the negative thereof or comparable terminology. Forward-looking statements include, but are not limited to, statements concerning:</w:t>
      </w:r>
    </w:p>
    <w:p>
      <w:pPr>
        <w:spacing w:after="0" w:line="83" w:lineRule="exact"/>
        <w:rPr>
          <w:sz w:val="20"/>
          <w:szCs w:val="20"/>
          <w:color w:val="auto"/>
        </w:rPr>
      </w:pPr>
    </w:p>
    <w:p>
      <w:pPr>
        <w:ind w:left="960" w:right="20" w:hanging="424"/>
        <w:spacing w:after="0" w:line="277" w:lineRule="auto"/>
        <w:tabs>
          <w:tab w:leader="none" w:pos="960" w:val="left"/>
        </w:tabs>
        <w:numPr>
          <w:ilvl w:val="0"/>
          <w:numId w:val="29"/>
        </w:numPr>
        <w:rPr>
          <w:rFonts w:ascii="Arial" w:cs="Arial" w:eastAsia="Arial" w:hAnsi="Arial"/>
          <w:sz w:val="18"/>
          <w:szCs w:val="18"/>
          <w:color w:val="auto"/>
        </w:rPr>
      </w:pPr>
      <w:r>
        <w:rPr>
          <w:rFonts w:ascii="Arial" w:cs="Arial" w:eastAsia="Arial" w:hAnsi="Arial"/>
          <w:sz w:val="18"/>
          <w:szCs w:val="18"/>
          <w:color w:val="auto"/>
        </w:rPr>
        <w:t>our estimates regarding future results of operations, financial position, research and development costs, capital requirements and our needs for additional financing;</w:t>
      </w:r>
    </w:p>
    <w:p>
      <w:pPr>
        <w:spacing w:after="0" w:line="75" w:lineRule="exact"/>
        <w:rPr>
          <w:rFonts w:ascii="Arial" w:cs="Arial" w:eastAsia="Arial" w:hAnsi="Arial"/>
          <w:sz w:val="18"/>
          <w:szCs w:val="18"/>
          <w:color w:val="auto"/>
        </w:rPr>
      </w:pPr>
    </w:p>
    <w:p>
      <w:pPr>
        <w:ind w:left="960" w:hanging="424"/>
        <w:spacing w:after="0"/>
        <w:tabs>
          <w:tab w:leader="none" w:pos="960" w:val="left"/>
        </w:tabs>
        <w:numPr>
          <w:ilvl w:val="0"/>
          <w:numId w:val="29"/>
        </w:numPr>
        <w:rPr>
          <w:rFonts w:ascii="Arial" w:cs="Arial" w:eastAsia="Arial" w:hAnsi="Arial"/>
          <w:sz w:val="18"/>
          <w:szCs w:val="18"/>
          <w:color w:val="auto"/>
        </w:rPr>
      </w:pPr>
      <w:r>
        <w:rPr>
          <w:rFonts w:ascii="Arial" w:cs="Arial" w:eastAsia="Arial" w:hAnsi="Arial"/>
          <w:sz w:val="18"/>
          <w:szCs w:val="18"/>
          <w:color w:val="auto"/>
        </w:rPr>
        <w:t>how long we can continue to fund our operations with our existing cash, cash equivalents and marketable securities;</w:t>
      </w:r>
    </w:p>
    <w:p>
      <w:pPr>
        <w:spacing w:after="0" w:line="130" w:lineRule="exact"/>
        <w:rPr>
          <w:rFonts w:ascii="Arial" w:cs="Arial" w:eastAsia="Arial" w:hAnsi="Arial"/>
          <w:sz w:val="18"/>
          <w:szCs w:val="18"/>
          <w:color w:val="auto"/>
        </w:rPr>
      </w:pPr>
    </w:p>
    <w:p>
      <w:pPr>
        <w:ind w:left="960" w:hanging="424"/>
        <w:spacing w:after="0" w:line="277" w:lineRule="auto"/>
        <w:tabs>
          <w:tab w:leader="none" w:pos="960" w:val="left"/>
        </w:tabs>
        <w:numPr>
          <w:ilvl w:val="0"/>
          <w:numId w:val="29"/>
        </w:numPr>
        <w:rPr>
          <w:rFonts w:ascii="Arial" w:cs="Arial" w:eastAsia="Arial" w:hAnsi="Arial"/>
          <w:sz w:val="18"/>
          <w:szCs w:val="18"/>
          <w:color w:val="auto"/>
        </w:rPr>
      </w:pPr>
      <w:r>
        <w:rPr>
          <w:rFonts w:ascii="Arial" w:cs="Arial" w:eastAsia="Arial" w:hAnsi="Arial"/>
          <w:sz w:val="18"/>
          <w:szCs w:val="18"/>
          <w:color w:val="auto"/>
        </w:rPr>
        <w:t>our ability to optimize and scale CTI-1601 or any other product candidate’s manufacturing process and to manufacture sufficient quantities of clinical and, if approved, commercial supplies of CTI-1601;</w:t>
      </w:r>
    </w:p>
    <w:p>
      <w:pPr>
        <w:spacing w:after="0" w:line="75" w:lineRule="exact"/>
        <w:rPr>
          <w:rFonts w:ascii="Arial" w:cs="Arial" w:eastAsia="Arial" w:hAnsi="Arial"/>
          <w:sz w:val="18"/>
          <w:szCs w:val="18"/>
          <w:color w:val="auto"/>
        </w:rPr>
      </w:pPr>
    </w:p>
    <w:p>
      <w:pPr>
        <w:ind w:left="960" w:right="300" w:hanging="424"/>
        <w:spacing w:after="0" w:line="263" w:lineRule="auto"/>
        <w:tabs>
          <w:tab w:leader="none" w:pos="960" w:val="left"/>
        </w:tabs>
        <w:numPr>
          <w:ilvl w:val="0"/>
          <w:numId w:val="29"/>
        </w:numPr>
        <w:rPr>
          <w:rFonts w:ascii="Arial" w:cs="Arial" w:eastAsia="Arial" w:hAnsi="Arial"/>
          <w:sz w:val="18"/>
          <w:szCs w:val="18"/>
          <w:color w:val="auto"/>
        </w:rPr>
      </w:pPr>
      <w:r>
        <w:rPr>
          <w:rFonts w:ascii="Arial" w:cs="Arial" w:eastAsia="Arial" w:hAnsi="Arial"/>
          <w:sz w:val="18"/>
          <w:szCs w:val="18"/>
          <w:color w:val="auto"/>
        </w:rPr>
        <w:t>our ability to realize any value from CTI-1601 and any other product candidate we may develop in the future and nonclinical programs being developed and anticipated to be developed in light of inherent risks and difficulties involved in successfully bringing product candidates to market and the risk that products will not achieve broad market acceptance;</w:t>
      </w:r>
    </w:p>
    <w:p>
      <w:pPr>
        <w:spacing w:after="0" w:line="89" w:lineRule="exact"/>
        <w:rPr>
          <w:rFonts w:ascii="Arial" w:cs="Arial" w:eastAsia="Arial" w:hAnsi="Arial"/>
          <w:sz w:val="18"/>
          <w:szCs w:val="18"/>
          <w:color w:val="auto"/>
        </w:rPr>
      </w:pPr>
    </w:p>
    <w:p>
      <w:pPr>
        <w:ind w:left="960" w:hanging="424"/>
        <w:spacing w:after="0"/>
        <w:tabs>
          <w:tab w:leader="none" w:pos="960" w:val="left"/>
        </w:tabs>
        <w:numPr>
          <w:ilvl w:val="0"/>
          <w:numId w:val="29"/>
        </w:numPr>
        <w:rPr>
          <w:rFonts w:ascii="Arial" w:cs="Arial" w:eastAsia="Arial" w:hAnsi="Arial"/>
          <w:sz w:val="16"/>
          <w:szCs w:val="16"/>
          <w:color w:val="auto"/>
        </w:rPr>
      </w:pPr>
      <w:r>
        <w:rPr>
          <w:rFonts w:ascii="Arial" w:cs="Arial" w:eastAsia="Arial" w:hAnsi="Arial"/>
          <w:sz w:val="16"/>
          <w:szCs w:val="16"/>
          <w:color w:val="auto"/>
        </w:rPr>
        <w:t>delays in our anticipated clinical timelines, patient recruitment and milestones for CTI-1601, including those associated with COVID-19;</w:t>
      </w:r>
    </w:p>
    <w:p>
      <w:pPr>
        <w:spacing w:after="0" w:line="153" w:lineRule="exact"/>
        <w:rPr>
          <w:rFonts w:ascii="Arial" w:cs="Arial" w:eastAsia="Arial" w:hAnsi="Arial"/>
          <w:sz w:val="16"/>
          <w:szCs w:val="16"/>
          <w:color w:val="auto"/>
        </w:rPr>
      </w:pPr>
    </w:p>
    <w:p>
      <w:pPr>
        <w:ind w:left="960" w:right="280" w:hanging="424"/>
        <w:spacing w:after="0" w:line="277" w:lineRule="auto"/>
        <w:tabs>
          <w:tab w:leader="none" w:pos="960" w:val="left"/>
        </w:tabs>
        <w:numPr>
          <w:ilvl w:val="0"/>
          <w:numId w:val="29"/>
        </w:numPr>
        <w:rPr>
          <w:rFonts w:ascii="Arial" w:cs="Arial" w:eastAsia="Arial" w:hAnsi="Arial"/>
          <w:sz w:val="18"/>
          <w:szCs w:val="18"/>
          <w:color w:val="auto"/>
        </w:rPr>
      </w:pPr>
      <w:r>
        <w:rPr>
          <w:rFonts w:ascii="Arial" w:cs="Arial" w:eastAsia="Arial" w:hAnsi="Arial"/>
          <w:sz w:val="18"/>
          <w:szCs w:val="18"/>
          <w:color w:val="auto"/>
        </w:rPr>
        <w:t>uncertainties in obtaining successful clinical results for CTI-1601 or any other product candidate that we may develop in the future and unexpected costs that may result therefrom;</w:t>
      </w:r>
    </w:p>
    <w:p>
      <w:pPr>
        <w:spacing w:after="0" w:line="75" w:lineRule="exact"/>
        <w:rPr>
          <w:rFonts w:ascii="Arial" w:cs="Arial" w:eastAsia="Arial" w:hAnsi="Arial"/>
          <w:sz w:val="18"/>
          <w:szCs w:val="18"/>
          <w:color w:val="auto"/>
        </w:rPr>
      </w:pPr>
    </w:p>
    <w:p>
      <w:pPr>
        <w:ind w:left="960" w:right="140" w:hanging="424"/>
        <w:spacing w:after="0" w:line="277" w:lineRule="auto"/>
        <w:tabs>
          <w:tab w:leader="none" w:pos="960" w:val="left"/>
        </w:tabs>
        <w:numPr>
          <w:ilvl w:val="0"/>
          <w:numId w:val="29"/>
        </w:numPr>
        <w:rPr>
          <w:rFonts w:ascii="Arial" w:cs="Arial" w:eastAsia="Arial" w:hAnsi="Arial"/>
          <w:sz w:val="18"/>
          <w:szCs w:val="18"/>
          <w:color w:val="auto"/>
        </w:rPr>
      </w:pPr>
      <w:r>
        <w:rPr>
          <w:rFonts w:ascii="Arial" w:cs="Arial" w:eastAsia="Arial" w:hAnsi="Arial"/>
          <w:sz w:val="18"/>
          <w:szCs w:val="18"/>
          <w:color w:val="auto"/>
        </w:rPr>
        <w:t>our ability to comply with regulatory requirements applicable to our business and other regulatory developments in the United States and foreign countries;</w:t>
      </w:r>
    </w:p>
    <w:p>
      <w:pPr>
        <w:spacing w:after="0" w:line="75" w:lineRule="exact"/>
        <w:rPr>
          <w:rFonts w:ascii="Arial" w:cs="Arial" w:eastAsia="Arial" w:hAnsi="Arial"/>
          <w:sz w:val="18"/>
          <w:szCs w:val="18"/>
          <w:color w:val="auto"/>
        </w:rPr>
      </w:pPr>
    </w:p>
    <w:p>
      <w:pPr>
        <w:ind w:left="960" w:right="280" w:hanging="424"/>
        <w:spacing w:after="0" w:line="308" w:lineRule="auto"/>
        <w:tabs>
          <w:tab w:leader="none" w:pos="960" w:val="left"/>
        </w:tabs>
        <w:numPr>
          <w:ilvl w:val="0"/>
          <w:numId w:val="29"/>
        </w:numPr>
        <w:rPr>
          <w:rFonts w:ascii="Arial" w:cs="Arial" w:eastAsia="Arial" w:hAnsi="Arial"/>
          <w:sz w:val="17"/>
          <w:szCs w:val="17"/>
          <w:color w:val="auto"/>
        </w:rPr>
      </w:pPr>
      <w:r>
        <w:rPr>
          <w:rFonts w:ascii="Arial" w:cs="Arial" w:eastAsia="Arial" w:hAnsi="Arial"/>
          <w:sz w:val="17"/>
          <w:szCs w:val="17"/>
          <w:color w:val="auto"/>
        </w:rPr>
        <w:t>the uncertainties associated with the clinical development and regulatory approval for CTI-1601 or any other product candidate that we may develop in the future, including potential delays in the commencement, enrollment and completion of clinical trials;</w:t>
      </w:r>
    </w:p>
    <w:p>
      <w:pPr>
        <w:spacing w:after="0" w:line="51" w:lineRule="exact"/>
        <w:rPr>
          <w:rFonts w:ascii="Arial" w:cs="Arial" w:eastAsia="Arial" w:hAnsi="Arial"/>
          <w:sz w:val="17"/>
          <w:szCs w:val="17"/>
          <w:color w:val="auto"/>
        </w:rPr>
      </w:pPr>
    </w:p>
    <w:p>
      <w:pPr>
        <w:ind w:left="960" w:right="180" w:hanging="424"/>
        <w:spacing w:after="0" w:line="277" w:lineRule="auto"/>
        <w:tabs>
          <w:tab w:leader="none" w:pos="960" w:val="left"/>
        </w:tabs>
        <w:numPr>
          <w:ilvl w:val="0"/>
          <w:numId w:val="29"/>
        </w:numPr>
        <w:rPr>
          <w:rFonts w:ascii="Arial" w:cs="Arial" w:eastAsia="Arial" w:hAnsi="Arial"/>
          <w:sz w:val="18"/>
          <w:szCs w:val="18"/>
          <w:color w:val="auto"/>
        </w:rPr>
      </w:pPr>
      <w:r>
        <w:rPr>
          <w:rFonts w:ascii="Arial" w:cs="Arial" w:eastAsia="Arial" w:hAnsi="Arial"/>
          <w:sz w:val="18"/>
          <w:szCs w:val="18"/>
          <w:color w:val="auto"/>
        </w:rPr>
        <w:t>the difficulties and expenses associated with obtaining and maintaining regulatory approval for CTI-1601 or any other product candidate we may develop in the future, and the indication and labeling under any such approval;</w:t>
      </w:r>
    </w:p>
    <w:p>
      <w:pPr>
        <w:spacing w:after="0" w:line="75" w:lineRule="exact"/>
        <w:rPr>
          <w:rFonts w:ascii="Arial" w:cs="Arial" w:eastAsia="Arial" w:hAnsi="Arial"/>
          <w:sz w:val="18"/>
          <w:szCs w:val="18"/>
          <w:color w:val="auto"/>
        </w:rPr>
      </w:pPr>
    </w:p>
    <w:p>
      <w:pPr>
        <w:jc w:val="both"/>
        <w:ind w:left="960" w:right="180" w:hanging="424"/>
        <w:spacing w:after="0" w:line="263" w:lineRule="auto"/>
        <w:tabs>
          <w:tab w:leader="none" w:pos="960" w:val="left"/>
        </w:tabs>
        <w:numPr>
          <w:ilvl w:val="0"/>
          <w:numId w:val="29"/>
        </w:numPr>
        <w:rPr>
          <w:rFonts w:ascii="Arial" w:cs="Arial" w:eastAsia="Arial" w:hAnsi="Arial"/>
          <w:sz w:val="18"/>
          <w:szCs w:val="18"/>
          <w:color w:val="auto"/>
        </w:rPr>
      </w:pPr>
      <w:r>
        <w:rPr>
          <w:rFonts w:ascii="Arial" w:cs="Arial" w:eastAsia="Arial" w:hAnsi="Arial"/>
          <w:sz w:val="18"/>
          <w:szCs w:val="18"/>
          <w:color w:val="auto"/>
        </w:rPr>
        <w:t>the size and growth of the potential markets for CTI-1601 or any other product candidate that we may develop in the future, the rate and degree of market acceptance of CTI-1601 or any other product candidate that we may develop in the future and our ability to serve those markets;</w:t>
      </w:r>
    </w:p>
    <w:p>
      <w:pPr>
        <w:spacing w:after="0" w:line="89" w:lineRule="exact"/>
        <w:rPr>
          <w:rFonts w:ascii="Arial" w:cs="Arial" w:eastAsia="Arial" w:hAnsi="Arial"/>
          <w:sz w:val="18"/>
          <w:szCs w:val="18"/>
          <w:color w:val="auto"/>
        </w:rPr>
      </w:pPr>
    </w:p>
    <w:p>
      <w:pPr>
        <w:ind w:left="960" w:hanging="424"/>
        <w:spacing w:after="0"/>
        <w:tabs>
          <w:tab w:leader="none" w:pos="960" w:val="left"/>
        </w:tabs>
        <w:numPr>
          <w:ilvl w:val="0"/>
          <w:numId w:val="29"/>
        </w:numPr>
        <w:rPr>
          <w:rFonts w:ascii="Arial" w:cs="Arial" w:eastAsia="Arial" w:hAnsi="Arial"/>
          <w:sz w:val="18"/>
          <w:szCs w:val="18"/>
          <w:color w:val="auto"/>
        </w:rPr>
      </w:pPr>
      <w:r>
        <w:rPr>
          <w:rFonts w:ascii="Arial" w:cs="Arial" w:eastAsia="Arial" w:hAnsi="Arial"/>
          <w:sz w:val="18"/>
          <w:szCs w:val="18"/>
          <w:color w:val="auto"/>
        </w:rPr>
        <w:t>the success of competing therapies and products that are or become available;</w:t>
      </w:r>
    </w:p>
    <w:p>
      <w:pPr>
        <w:spacing w:after="0" w:line="130" w:lineRule="exact"/>
        <w:rPr>
          <w:rFonts w:ascii="Arial" w:cs="Arial" w:eastAsia="Arial" w:hAnsi="Arial"/>
          <w:sz w:val="18"/>
          <w:szCs w:val="18"/>
          <w:color w:val="auto"/>
        </w:rPr>
      </w:pPr>
    </w:p>
    <w:p>
      <w:pPr>
        <w:ind w:left="960" w:hanging="424"/>
        <w:spacing w:after="0"/>
        <w:tabs>
          <w:tab w:leader="none" w:pos="960" w:val="left"/>
        </w:tabs>
        <w:numPr>
          <w:ilvl w:val="0"/>
          <w:numId w:val="29"/>
        </w:numPr>
        <w:rPr>
          <w:rFonts w:ascii="Arial" w:cs="Arial" w:eastAsia="Arial" w:hAnsi="Arial"/>
          <w:sz w:val="18"/>
          <w:szCs w:val="18"/>
          <w:color w:val="auto"/>
        </w:rPr>
      </w:pPr>
      <w:r>
        <w:rPr>
          <w:rFonts w:ascii="Arial" w:cs="Arial" w:eastAsia="Arial" w:hAnsi="Arial"/>
          <w:sz w:val="18"/>
          <w:szCs w:val="18"/>
          <w:color w:val="auto"/>
        </w:rPr>
        <w:t>our ability to obtain and maintain patent protection and defend our intellectual property rights against third-parties;</w:t>
      </w:r>
    </w:p>
    <w:p>
      <w:pPr>
        <w:spacing w:after="0" w:line="130" w:lineRule="exact"/>
        <w:rPr>
          <w:rFonts w:ascii="Arial" w:cs="Arial" w:eastAsia="Arial" w:hAnsi="Arial"/>
          <w:sz w:val="18"/>
          <w:szCs w:val="18"/>
          <w:color w:val="auto"/>
        </w:rPr>
      </w:pPr>
    </w:p>
    <w:p>
      <w:pPr>
        <w:ind w:left="960" w:right="260" w:hanging="424"/>
        <w:spacing w:after="0" w:line="277" w:lineRule="auto"/>
        <w:tabs>
          <w:tab w:leader="none" w:pos="960" w:val="left"/>
        </w:tabs>
        <w:numPr>
          <w:ilvl w:val="0"/>
          <w:numId w:val="29"/>
        </w:numPr>
        <w:rPr>
          <w:rFonts w:ascii="Arial" w:cs="Arial" w:eastAsia="Arial" w:hAnsi="Arial"/>
          <w:sz w:val="18"/>
          <w:szCs w:val="18"/>
          <w:color w:val="auto"/>
        </w:rPr>
      </w:pPr>
      <w:r>
        <w:rPr>
          <w:rFonts w:ascii="Arial" w:cs="Arial" w:eastAsia="Arial" w:hAnsi="Arial"/>
          <w:sz w:val="18"/>
          <w:szCs w:val="18"/>
          <w:color w:val="auto"/>
        </w:rPr>
        <w:t>the performance of third-parties upon which we depend, including third-party contract research organizations, or CROs, and third-party suppliers, manufacturers, group purchasing organizations, distributors and logistics providers;</w:t>
      </w:r>
    </w:p>
    <w:p>
      <w:pPr>
        <w:spacing w:after="0" w:line="75" w:lineRule="exact"/>
        <w:rPr>
          <w:rFonts w:ascii="Arial" w:cs="Arial" w:eastAsia="Arial" w:hAnsi="Arial"/>
          <w:sz w:val="18"/>
          <w:szCs w:val="18"/>
          <w:color w:val="auto"/>
        </w:rPr>
      </w:pPr>
    </w:p>
    <w:p>
      <w:pPr>
        <w:ind w:left="960" w:hanging="424"/>
        <w:spacing w:after="0"/>
        <w:tabs>
          <w:tab w:leader="none" w:pos="960" w:val="left"/>
        </w:tabs>
        <w:numPr>
          <w:ilvl w:val="0"/>
          <w:numId w:val="29"/>
        </w:numPr>
        <w:rPr>
          <w:rFonts w:ascii="Arial" w:cs="Arial" w:eastAsia="Arial" w:hAnsi="Arial"/>
          <w:sz w:val="18"/>
          <w:szCs w:val="18"/>
          <w:color w:val="auto"/>
        </w:rPr>
      </w:pPr>
      <w:r>
        <w:rPr>
          <w:rFonts w:ascii="Arial" w:cs="Arial" w:eastAsia="Arial" w:hAnsi="Arial"/>
          <w:sz w:val="18"/>
          <w:szCs w:val="18"/>
          <w:color w:val="auto"/>
        </w:rPr>
        <w:t>our ability to maintain our relationships, profitability and contracts with our key commercial partners;</w:t>
      </w:r>
    </w:p>
    <w:p>
      <w:pPr>
        <w:spacing w:after="0" w:line="130" w:lineRule="exact"/>
        <w:rPr>
          <w:rFonts w:ascii="Arial" w:cs="Arial" w:eastAsia="Arial" w:hAnsi="Arial"/>
          <w:sz w:val="18"/>
          <w:szCs w:val="18"/>
          <w:color w:val="auto"/>
        </w:rPr>
      </w:pPr>
    </w:p>
    <w:p>
      <w:pPr>
        <w:ind w:left="960" w:hanging="424"/>
        <w:spacing w:after="0"/>
        <w:tabs>
          <w:tab w:leader="none" w:pos="960" w:val="left"/>
        </w:tabs>
        <w:numPr>
          <w:ilvl w:val="0"/>
          <w:numId w:val="29"/>
        </w:numPr>
        <w:rPr>
          <w:rFonts w:ascii="Arial" w:cs="Arial" w:eastAsia="Arial" w:hAnsi="Arial"/>
          <w:sz w:val="17"/>
          <w:szCs w:val="17"/>
          <w:color w:val="auto"/>
        </w:rPr>
      </w:pPr>
      <w:r>
        <w:rPr>
          <w:rFonts w:ascii="Arial" w:cs="Arial" w:eastAsia="Arial" w:hAnsi="Arial"/>
          <w:sz w:val="17"/>
          <w:szCs w:val="17"/>
          <w:color w:val="auto"/>
        </w:rPr>
        <w:t>our ability to recruit or retain key scientific, technical, commercial, and management personnel or to retain our executive officers;</w:t>
      </w:r>
    </w:p>
    <w:p>
      <w:pPr>
        <w:spacing w:after="0" w:line="169"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10</w:t>
      </w:r>
    </w:p>
    <w:p>
      <w:pPr>
        <w:sectPr>
          <w:pgSz w:w="11900" w:h="16838" w:orient="portrait"/>
          <w:cols w:equalWidth="0" w:num="1">
            <w:col w:w="10980"/>
          </w:cols>
          <w:pgMar w:left="440" w:top="270" w:right="479" w:bottom="1440" w:gutter="0" w:footer="0" w:header="0"/>
        </w:sectPr>
      </w:pPr>
    </w:p>
    <w:bookmarkStart w:id="51" w:name="page52"/>
    <w:bookmarkEnd w:id="51"/>
    <w:p>
      <w:pPr>
        <w:ind w:left="960" w:right="180" w:hanging="424"/>
        <w:spacing w:after="0" w:line="277" w:lineRule="auto"/>
        <w:tabs>
          <w:tab w:leader="none" w:pos="960" w:val="left"/>
        </w:tabs>
        <w:numPr>
          <w:ilvl w:val="0"/>
          <w:numId w:val="30"/>
        </w:numPr>
        <w:rPr>
          <w:rFonts w:ascii="Arial" w:cs="Arial" w:eastAsia="Arial" w:hAnsi="Arial"/>
          <w:sz w:val="18"/>
          <w:szCs w:val="18"/>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90">
                      <a:extLst>
                        <a:ext uri="{28A0092B-C50C-407E-A947-70E740481C1C}"/>
                      </a:extLst>
                    </a:blip>
                    <a:srcRect/>
                    <a:stretch>
                      <a:fillRect/>
                    </a:stretch>
                  </pic:blipFill>
                  <pic:spPr bwMode="auto">
                    <a:xfrm>
                      <a:off x="0" y="0"/>
                      <a:ext cx="7149465" cy="25400"/>
                    </a:xfrm>
                    <a:prstGeom prst="rect">
                      <a:avLst/>
                    </a:prstGeom>
                    <a:noFill/>
                  </pic:spPr>
                </pic:pic>
              </a:graphicData>
            </a:graphic>
          </wp:anchor>
        </w:drawing>
        <w:t>our ability to comply with stringent U.S. and foreign government regulations in the manufacturing of pharmaceutical products, including good manufacturing practice compliance and other relevant regulatory authorities;</w:t>
      </w:r>
    </w:p>
    <w:p>
      <w:pPr>
        <w:spacing w:after="0" w:line="75" w:lineRule="exact"/>
        <w:rPr>
          <w:rFonts w:ascii="Arial" w:cs="Arial" w:eastAsia="Arial" w:hAnsi="Arial"/>
          <w:sz w:val="18"/>
          <w:szCs w:val="18"/>
          <w:color w:val="auto"/>
        </w:rPr>
      </w:pPr>
    </w:p>
    <w:p>
      <w:pPr>
        <w:ind w:left="960" w:right="380" w:hanging="424"/>
        <w:spacing w:after="0" w:line="277" w:lineRule="auto"/>
        <w:tabs>
          <w:tab w:leader="none" w:pos="960" w:val="left"/>
        </w:tabs>
        <w:numPr>
          <w:ilvl w:val="0"/>
          <w:numId w:val="30"/>
        </w:numPr>
        <w:rPr>
          <w:rFonts w:ascii="Arial" w:cs="Arial" w:eastAsia="Arial" w:hAnsi="Arial"/>
          <w:sz w:val="18"/>
          <w:szCs w:val="18"/>
          <w:color w:val="auto"/>
        </w:rPr>
      </w:pPr>
      <w:r>
        <w:rPr>
          <w:rFonts w:ascii="Arial" w:cs="Arial" w:eastAsia="Arial" w:hAnsi="Arial"/>
          <w:sz w:val="18"/>
          <w:szCs w:val="18"/>
          <w:color w:val="auto"/>
        </w:rPr>
        <w:t>our ability to maintain proper functionality and security of our internal computer and information systems and prevent or avoid cyber-attacks, malicious intrusion, breakdown, destruction, loss of data privacy or other significant disruption; and</w:t>
      </w:r>
    </w:p>
    <w:p>
      <w:pPr>
        <w:spacing w:after="0" w:line="75" w:lineRule="exact"/>
        <w:rPr>
          <w:rFonts w:ascii="Arial" w:cs="Arial" w:eastAsia="Arial" w:hAnsi="Arial"/>
          <w:sz w:val="18"/>
          <w:szCs w:val="18"/>
          <w:color w:val="auto"/>
        </w:rPr>
      </w:pPr>
    </w:p>
    <w:p>
      <w:pPr>
        <w:ind w:left="960" w:right="160" w:hanging="424"/>
        <w:spacing w:after="0" w:line="263" w:lineRule="auto"/>
        <w:tabs>
          <w:tab w:leader="none" w:pos="960" w:val="left"/>
        </w:tabs>
        <w:numPr>
          <w:ilvl w:val="0"/>
          <w:numId w:val="30"/>
        </w:numPr>
        <w:rPr>
          <w:rFonts w:ascii="Arial" w:cs="Arial" w:eastAsia="Arial" w:hAnsi="Arial"/>
          <w:sz w:val="18"/>
          <w:szCs w:val="18"/>
          <w:color w:val="auto"/>
        </w:rPr>
      </w:pPr>
      <w:r>
        <w:rPr>
          <w:rFonts w:ascii="Arial" w:cs="Arial" w:eastAsia="Arial" w:hAnsi="Arial"/>
          <w:sz w:val="18"/>
          <w:szCs w:val="18"/>
          <w:color w:val="auto"/>
        </w:rPr>
        <w:t>the extent to which health epidemics and other outbreaks of communicable diseases, including the recent outbreak of COVID-19, disrupt our operations, the operations of third parties on which we rely or the operations of regulatory agencies we interact with in the development of CTI-1601.</w:t>
      </w:r>
    </w:p>
    <w:p>
      <w:pPr>
        <w:spacing w:after="0" w:line="184" w:lineRule="exact"/>
        <w:rPr>
          <w:sz w:val="20"/>
          <w:szCs w:val="20"/>
          <w:color w:val="auto"/>
        </w:rPr>
      </w:pPr>
    </w:p>
    <w:p>
      <w:pPr>
        <w:ind w:right="20"/>
        <w:spacing w:after="0" w:line="255" w:lineRule="auto"/>
        <w:rPr>
          <w:sz w:val="20"/>
          <w:szCs w:val="20"/>
          <w:color w:val="auto"/>
        </w:rPr>
      </w:pPr>
      <w:r>
        <w:rPr>
          <w:rFonts w:ascii="Arial" w:cs="Arial" w:eastAsia="Arial" w:hAnsi="Arial"/>
          <w:sz w:val="18"/>
          <w:szCs w:val="18"/>
          <w:color w:val="auto"/>
        </w:rPr>
        <w:t>You should read this prospectus and the documents incorporated by reference completely and with the understanding that our actual future results may be materially different from what we currently expect. Our business and operations are and will be subject to a variety of risks, uncertainties and other factors. Consequently, actual results and experience may materially differ from those contained in any forward-looking statements. Such risks, uncertainties and other factors that could cause actual results and experience to differ from those projected include, but are not limited to, the risk factors discussed under the heading “Risk Factors” contained in this prospectus and any related free writing prospectus, and under similar headings in the other documents that are incorporated by reference into this prospectus.</w:t>
      </w:r>
    </w:p>
    <w:p>
      <w:pPr>
        <w:spacing w:after="0" w:line="192" w:lineRule="exact"/>
        <w:rPr>
          <w:sz w:val="20"/>
          <w:szCs w:val="20"/>
          <w:color w:val="auto"/>
        </w:rPr>
      </w:pPr>
    </w:p>
    <w:p>
      <w:pPr>
        <w:spacing w:after="0" w:line="271" w:lineRule="auto"/>
        <w:rPr>
          <w:sz w:val="20"/>
          <w:szCs w:val="20"/>
          <w:color w:val="auto"/>
        </w:rPr>
      </w:pPr>
      <w:r>
        <w:rPr>
          <w:rFonts w:ascii="Arial" w:cs="Arial" w:eastAsia="Arial" w:hAnsi="Arial"/>
          <w:sz w:val="17"/>
          <w:szCs w:val="17"/>
          <w:color w:val="auto"/>
        </w:rPr>
        <w:t>You should assume that the information appearing in this prospectus or related free writing prospectus and any document incorporated herein by reference is accurate as of its date only. Because the risk factors referred to above could cause actual results or outcomes to differ materially from those expressed in any forward-looking statements made by us or on our behalf, you should not place undue reliance on any forward-looking statements. Further, any forward-looking statement speaks only as of the date on which it is made. New factors emerge from time to time, and it is not possible for us to predict which factors will arise. In addition, we cannot assess the impact of each factor on our business or the extent to which any factor, or combination of factors, may cause actual results to differ materially from those contained in any forward-looking statements. Unless legally required, we do not undertake any obligation to release publicly any revisions to such forward-looking statements to reflect events or circumstances after the date of this prospectus or to reflect the occurrence of unanticipated events.</w:t>
      </w:r>
    </w:p>
    <w:p>
      <w:pPr>
        <w:spacing w:after="0" w:line="11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11</w:t>
      </w:r>
    </w:p>
    <w:p>
      <w:pPr>
        <w:sectPr>
          <w:pgSz w:w="11900" w:h="16838" w:orient="portrait"/>
          <w:cols w:equalWidth="0" w:num="1">
            <w:col w:w="11000"/>
          </w:cols>
          <w:pgMar w:left="440" w:top="274" w:right="459" w:bottom="1440" w:gutter="0" w:footer="0" w:header="0"/>
        </w:sectPr>
      </w:pPr>
    </w:p>
    <w:bookmarkStart w:id="52" w:name="page53"/>
    <w:bookmarkEnd w:id="52"/>
    <w:p>
      <w:pPr>
        <w:jc w:val="center"/>
        <w:ind w:right="-19"/>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91">
                      <a:extLst>
                        <a:ext uri="{28A0092B-C50C-407E-A947-70E740481C1C}"/>
                      </a:extLst>
                    </a:blip>
                    <a:srcRect/>
                    <a:stretch>
                      <a:fillRect/>
                    </a:stretch>
                  </pic:blipFill>
                  <pic:spPr bwMode="auto">
                    <a:xfrm>
                      <a:off x="0" y="0"/>
                      <a:ext cx="7149465" cy="25400"/>
                    </a:xfrm>
                    <a:prstGeom prst="rect">
                      <a:avLst/>
                    </a:prstGeom>
                    <a:noFill/>
                  </pic:spPr>
                </pic:pic>
              </a:graphicData>
            </a:graphic>
          </wp:anchor>
        </w:drawing>
        <w:t>USE OF PROCEEDS</w:t>
      </w:r>
    </w:p>
    <w:p>
      <w:pPr>
        <w:spacing w:after="0" w:line="229" w:lineRule="exact"/>
        <w:rPr>
          <w:sz w:val="20"/>
          <w:szCs w:val="20"/>
          <w:color w:val="auto"/>
        </w:rPr>
      </w:pPr>
    </w:p>
    <w:p>
      <w:pPr>
        <w:ind w:right="20"/>
        <w:spacing w:after="0" w:line="311" w:lineRule="auto"/>
        <w:rPr>
          <w:sz w:val="20"/>
          <w:szCs w:val="20"/>
          <w:color w:val="auto"/>
        </w:rPr>
      </w:pPr>
      <w:r>
        <w:rPr>
          <w:rFonts w:ascii="Arial" w:cs="Arial" w:eastAsia="Arial" w:hAnsi="Arial"/>
          <w:sz w:val="16"/>
          <w:szCs w:val="16"/>
          <w:color w:val="auto"/>
        </w:rPr>
        <w:t>We may issue and sell shares of our common stock having aggregate sales proceeds of up to $50,000,000 from time to time. Because there is no minimum offering amount required in this offering, the actual total public offering amount, commissions and proceeds to us, if any, are not determinable at this time. There can be no assurance that we will sell any shares under or fully utilize the sales agreement with Piper Sandler as a source of financing.</w:t>
      </w:r>
    </w:p>
    <w:p>
      <w:pPr>
        <w:spacing w:after="0" w:line="149" w:lineRule="exact"/>
        <w:rPr>
          <w:sz w:val="20"/>
          <w:szCs w:val="20"/>
          <w:color w:val="auto"/>
        </w:rPr>
      </w:pPr>
    </w:p>
    <w:p>
      <w:pPr>
        <w:spacing w:after="0" w:line="255" w:lineRule="auto"/>
        <w:rPr>
          <w:sz w:val="20"/>
          <w:szCs w:val="20"/>
          <w:color w:val="auto"/>
        </w:rPr>
      </w:pPr>
      <w:r>
        <w:rPr>
          <w:rFonts w:ascii="Arial" w:cs="Arial" w:eastAsia="Arial" w:hAnsi="Arial"/>
          <w:sz w:val="18"/>
          <w:szCs w:val="18"/>
          <w:color w:val="auto"/>
        </w:rPr>
        <w:t>We intend to use the net proceeds from the sale of the common stock offered by us hereunder, if any, for working capital and general corporate purposes, including research and development expenses and capital expenditures. We do not currently have specific plans or commitments with respect to the net proceeds from this offering and, accordingly, we are unable to quantify the allocations of such proceeds among the various potential uses. We will have broad discretion in the way we use the net proceeds of this offering. Pending application of the net proceeds as described above, we intend to temporarily invest the proceeds in short-term, interest-bearing investment grade instruments, certificates of deposit or direct or guaranteed obligations of the U.S. government.</w:t>
      </w:r>
    </w:p>
    <w:p>
      <w:pPr>
        <w:spacing w:after="0" w:line="12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12</w:t>
      </w:r>
    </w:p>
    <w:p>
      <w:pPr>
        <w:sectPr>
          <w:pgSz w:w="11900" w:h="16838" w:orient="portrait"/>
          <w:cols w:equalWidth="0" w:num="1">
            <w:col w:w="11000"/>
          </w:cols>
          <w:pgMar w:left="440" w:top="270" w:right="459" w:bottom="1440" w:gutter="0" w:footer="0" w:header="0"/>
        </w:sectPr>
      </w:pPr>
    </w:p>
    <w:bookmarkStart w:id="53" w:name="page54"/>
    <w:bookmarkEnd w:id="53"/>
    <w:p>
      <w:pPr>
        <w:jc w:val="center"/>
        <w:ind w:right="-19"/>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92">
                      <a:extLst>
                        <a:ext uri="{28A0092B-C50C-407E-A947-70E740481C1C}"/>
                      </a:extLst>
                    </a:blip>
                    <a:srcRect/>
                    <a:stretch>
                      <a:fillRect/>
                    </a:stretch>
                  </pic:blipFill>
                  <pic:spPr bwMode="auto">
                    <a:xfrm>
                      <a:off x="0" y="0"/>
                      <a:ext cx="7149465" cy="25400"/>
                    </a:xfrm>
                    <a:prstGeom prst="rect">
                      <a:avLst/>
                    </a:prstGeom>
                    <a:noFill/>
                  </pic:spPr>
                </pic:pic>
              </a:graphicData>
            </a:graphic>
          </wp:anchor>
        </w:drawing>
        <w:t>DILUTION</w:t>
      </w:r>
    </w:p>
    <w:p>
      <w:pPr>
        <w:spacing w:after="0" w:line="229" w:lineRule="exact"/>
        <w:rPr>
          <w:sz w:val="20"/>
          <w:szCs w:val="20"/>
          <w:color w:val="auto"/>
        </w:rPr>
      </w:pPr>
    </w:p>
    <w:p>
      <w:pPr>
        <w:spacing w:after="0"/>
        <w:rPr>
          <w:sz w:val="20"/>
          <w:szCs w:val="20"/>
          <w:color w:val="auto"/>
        </w:rPr>
      </w:pPr>
      <w:r>
        <w:rPr>
          <w:rFonts w:ascii="Arial" w:cs="Arial" w:eastAsia="Arial" w:hAnsi="Arial"/>
          <w:sz w:val="16"/>
          <w:szCs w:val="16"/>
          <w:color w:val="auto"/>
        </w:rPr>
        <w:t>If you invest in our common stock in this offering, your ownership interest will be diluted immediately to the extent of the difference between the public</w:t>
      </w:r>
    </w:p>
    <w:p>
      <w:pPr>
        <w:spacing w:after="0" w:line="46" w:lineRule="exact"/>
        <w:rPr>
          <w:sz w:val="20"/>
          <w:szCs w:val="20"/>
          <w:color w:val="auto"/>
        </w:rPr>
      </w:pPr>
    </w:p>
    <w:p>
      <w:pPr>
        <w:spacing w:after="0"/>
        <w:rPr>
          <w:sz w:val="20"/>
          <w:szCs w:val="20"/>
          <w:color w:val="auto"/>
        </w:rPr>
      </w:pPr>
      <w:r>
        <w:rPr>
          <w:rFonts w:ascii="Arial" w:cs="Arial" w:eastAsia="Arial" w:hAnsi="Arial"/>
          <w:sz w:val="17"/>
          <w:szCs w:val="17"/>
          <w:color w:val="auto"/>
        </w:rPr>
        <w:t>offering price per share of our common stock and the as adjusted net tangible book value per share of our common stock after this offering. As of</w:t>
      </w:r>
    </w:p>
    <w:p>
      <w:pPr>
        <w:spacing w:after="0" w:line="21" w:lineRule="exact"/>
        <w:rPr>
          <w:sz w:val="20"/>
          <w:szCs w:val="20"/>
          <w:color w:val="auto"/>
        </w:rPr>
      </w:pPr>
    </w:p>
    <w:p>
      <w:pPr>
        <w:spacing w:after="0"/>
        <w:rPr>
          <w:sz w:val="20"/>
          <w:szCs w:val="20"/>
          <w:color w:val="auto"/>
        </w:rPr>
      </w:pPr>
      <w:r>
        <w:rPr>
          <w:rFonts w:ascii="Arial" w:cs="Arial" w:eastAsia="Arial" w:hAnsi="Arial"/>
          <w:sz w:val="16"/>
          <w:szCs w:val="16"/>
          <w:color w:val="auto"/>
        </w:rPr>
        <w:t>June 30, 2020, our net tangible book value was $112.5 million, or $7.33 per share. Net tangible book value per share represents our total tangible assets</w:t>
      </w:r>
    </w:p>
    <w:p>
      <w:pPr>
        <w:spacing w:after="0" w:line="32" w:lineRule="exact"/>
        <w:rPr>
          <w:sz w:val="20"/>
          <w:szCs w:val="20"/>
          <w:color w:val="auto"/>
        </w:rPr>
      </w:pPr>
    </w:p>
    <w:p>
      <w:pPr>
        <w:spacing w:after="0"/>
        <w:rPr>
          <w:sz w:val="20"/>
          <w:szCs w:val="20"/>
          <w:color w:val="auto"/>
        </w:rPr>
      </w:pPr>
      <w:r>
        <w:rPr>
          <w:rFonts w:ascii="Arial" w:cs="Arial" w:eastAsia="Arial" w:hAnsi="Arial"/>
          <w:sz w:val="18"/>
          <w:szCs w:val="18"/>
          <w:color w:val="auto"/>
        </w:rPr>
        <w:t>(excluding deferred issuance costs) less our total liabilities, divided by the number of share outstanding.</w:t>
      </w:r>
    </w:p>
    <w:p>
      <w:pPr>
        <w:spacing w:after="0" w:line="211" w:lineRule="exact"/>
        <w:rPr>
          <w:sz w:val="20"/>
          <w:szCs w:val="20"/>
          <w:color w:val="auto"/>
        </w:rPr>
      </w:pPr>
    </w:p>
    <w:p>
      <w:pPr>
        <w:jc w:val="both"/>
        <w:ind w:right="400"/>
        <w:spacing w:after="0" w:line="286" w:lineRule="auto"/>
        <w:rPr>
          <w:sz w:val="20"/>
          <w:szCs w:val="20"/>
          <w:color w:val="auto"/>
        </w:rPr>
      </w:pPr>
      <w:r>
        <w:rPr>
          <w:rFonts w:ascii="Arial" w:cs="Arial" w:eastAsia="Arial" w:hAnsi="Arial"/>
          <w:sz w:val="17"/>
          <w:szCs w:val="17"/>
          <w:color w:val="auto"/>
        </w:rPr>
        <w:t>Our pro forma net tangible book value would have been $112.5 million, or $7.04 per share as of June 30, 2020, after giving effect to the exercise of pre-funded warrants to purchase 628,403 shares of common stock at $0.01 per share, or the Warrant Exercise, sold a private placement of shares of common stock and pre-funded warrants to the certain investors on May 28, 2020, or the Private Placement.</w:t>
      </w:r>
    </w:p>
    <w:p>
      <w:pPr>
        <w:spacing w:after="0" w:line="165" w:lineRule="exact"/>
        <w:rPr>
          <w:sz w:val="20"/>
          <w:szCs w:val="20"/>
          <w:color w:val="auto"/>
        </w:rPr>
      </w:pPr>
    </w:p>
    <w:p>
      <w:pPr>
        <w:ind w:right="40"/>
        <w:spacing w:after="0" w:line="272" w:lineRule="auto"/>
        <w:rPr>
          <w:sz w:val="20"/>
          <w:szCs w:val="20"/>
          <w:color w:val="auto"/>
        </w:rPr>
      </w:pPr>
      <w:r>
        <w:rPr>
          <w:rFonts w:ascii="Arial" w:cs="Arial" w:eastAsia="Arial" w:hAnsi="Arial"/>
          <w:sz w:val="17"/>
          <w:szCs w:val="17"/>
          <w:color w:val="auto"/>
        </w:rPr>
        <w:t>After giving effect to the foregoing pro forma changes and assumed sale of shares of our common stock in the aggregate amount of $50,000,000 in this offering at an assumed offering price of $11.89 per share, the last reported sale price of our common stock on the Nasdaq Global Market on August 13, 2020, and after deducting commissions and estimated offering expenses payable by us, our pro forma as adjusted net tangible book value as of June 30, 2020 would have been $160.8 million, or $7.96 per share. This amount would represent an immediate increase in net tangible book value of $0.92 per share to existing stockholders and an immediate dilution in net tangible book value of $3.93 per share to new investors purchasing common stock in this offering. We determine dilution by subtracting the assumed pro forma as adjusted net tangible book value per share after this offering from the assumed price per share paid by an investor in this offering.</w:t>
      </w:r>
    </w:p>
    <w:p>
      <w:pPr>
        <w:spacing w:after="0" w:line="177"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8760" w:type="dxa"/>
            <w:vAlign w:val="bottom"/>
            <w:gridSpan w:val="2"/>
          </w:tcPr>
          <w:p>
            <w:pPr>
              <w:spacing w:after="0"/>
              <w:rPr>
                <w:sz w:val="20"/>
                <w:szCs w:val="20"/>
                <w:color w:val="auto"/>
              </w:rPr>
            </w:pPr>
            <w:r>
              <w:rPr>
                <w:rFonts w:ascii="Arial" w:cs="Arial" w:eastAsia="Arial" w:hAnsi="Arial"/>
                <w:sz w:val="18"/>
                <w:szCs w:val="18"/>
                <w:color w:val="auto"/>
              </w:rPr>
              <w:t>The following table illustrates this dilution:</w:t>
            </w:r>
          </w:p>
        </w:tc>
        <w:tc>
          <w:tcPr>
            <w:tcW w:w="38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43"/>
        </w:trPr>
        <w:tc>
          <w:tcPr>
            <w:tcW w:w="440" w:type="dxa"/>
            <w:vAlign w:val="bottom"/>
            <w:vMerge w:val="restart"/>
          </w:tcPr>
          <w:p>
            <w:pPr>
              <w:spacing w:after="0"/>
              <w:rPr>
                <w:sz w:val="21"/>
                <w:szCs w:val="21"/>
                <w:color w:val="auto"/>
              </w:rPr>
            </w:pPr>
          </w:p>
        </w:tc>
        <w:tc>
          <w:tcPr>
            <w:tcW w:w="832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16"/>
        </w:trPr>
        <w:tc>
          <w:tcPr>
            <w:tcW w:w="440" w:type="dxa"/>
            <w:vAlign w:val="bottom"/>
            <w:vMerge w:val="continue"/>
          </w:tcPr>
          <w:p>
            <w:pPr>
              <w:spacing w:after="0"/>
              <w:rPr>
                <w:sz w:val="18"/>
                <w:szCs w:val="18"/>
                <w:color w:val="auto"/>
              </w:rPr>
            </w:pPr>
          </w:p>
        </w:tc>
        <w:tc>
          <w:tcPr>
            <w:tcW w:w="8320" w:type="dxa"/>
            <w:vAlign w:val="bottom"/>
            <w:shd w:val="clear" w:color="auto" w:fill="CCEEFF"/>
          </w:tcPr>
          <w:p>
            <w:pPr>
              <w:spacing w:after="0"/>
              <w:rPr>
                <w:sz w:val="20"/>
                <w:szCs w:val="20"/>
                <w:color w:val="auto"/>
              </w:rPr>
            </w:pPr>
            <w:r>
              <w:rPr>
                <w:rFonts w:ascii="Arial" w:cs="Arial" w:eastAsia="Arial" w:hAnsi="Arial"/>
                <w:sz w:val="18"/>
                <w:szCs w:val="18"/>
                <w:color w:val="auto"/>
              </w:rPr>
              <w:t>Assumed public offering price per share</w:t>
            </w:r>
          </w:p>
        </w:tc>
        <w:tc>
          <w:tcPr>
            <w:tcW w:w="1340" w:type="dxa"/>
            <w:vAlign w:val="bottom"/>
            <w:gridSpan w:val="4"/>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4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w w:val="88"/>
              </w:rPr>
              <w:t>11.89</w:t>
            </w:r>
          </w:p>
        </w:tc>
        <w:tc>
          <w:tcPr>
            <w:tcW w:w="0" w:type="dxa"/>
            <w:vAlign w:val="bottom"/>
          </w:tcPr>
          <w:p>
            <w:pPr>
              <w:spacing w:after="0"/>
              <w:rPr>
                <w:sz w:val="1"/>
                <w:szCs w:val="1"/>
                <w:color w:val="auto"/>
              </w:rPr>
            </w:pPr>
          </w:p>
        </w:tc>
      </w:tr>
      <w:tr>
        <w:trPr>
          <w:trHeight w:val="216"/>
        </w:trPr>
        <w:tc>
          <w:tcPr>
            <w:tcW w:w="440" w:type="dxa"/>
            <w:vAlign w:val="bottom"/>
          </w:tcPr>
          <w:p>
            <w:pPr>
              <w:spacing w:after="0"/>
              <w:rPr>
                <w:sz w:val="18"/>
                <w:szCs w:val="18"/>
                <w:color w:val="auto"/>
              </w:rPr>
            </w:pPr>
          </w:p>
        </w:tc>
        <w:tc>
          <w:tcPr>
            <w:tcW w:w="8320" w:type="dxa"/>
            <w:vAlign w:val="bottom"/>
          </w:tcPr>
          <w:p>
            <w:pPr>
              <w:spacing w:after="0"/>
              <w:rPr>
                <w:sz w:val="20"/>
                <w:szCs w:val="20"/>
                <w:color w:val="auto"/>
              </w:rPr>
            </w:pPr>
            <w:r>
              <w:rPr>
                <w:rFonts w:ascii="Arial" w:cs="Arial" w:eastAsia="Arial" w:hAnsi="Arial"/>
                <w:sz w:val="18"/>
                <w:szCs w:val="18"/>
                <w:color w:val="auto"/>
              </w:rPr>
              <w:t>Net tangible book value per share as of June 30, 2020</w:t>
            </w:r>
          </w:p>
        </w:tc>
        <w:tc>
          <w:tcPr>
            <w:tcW w:w="1260" w:type="dxa"/>
            <w:vAlign w:val="bottom"/>
            <w:gridSpan w:val="3"/>
          </w:tcPr>
          <w:p>
            <w:pPr>
              <w:jc w:val="right"/>
              <w:ind w:right="420"/>
              <w:spacing w:after="0"/>
              <w:rPr>
                <w:sz w:val="20"/>
                <w:szCs w:val="20"/>
                <w:color w:val="auto"/>
              </w:rPr>
            </w:pPr>
            <w:r>
              <w:rPr>
                <w:rFonts w:ascii="Arial" w:cs="Arial" w:eastAsia="Arial" w:hAnsi="Arial"/>
                <w:sz w:val="18"/>
                <w:szCs w:val="18"/>
                <w:color w:val="auto"/>
              </w:rPr>
              <w:t>$ 7.33</w:t>
            </w:r>
          </w:p>
        </w:tc>
        <w:tc>
          <w:tcPr>
            <w:tcW w:w="8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40" w:type="dxa"/>
            <w:vAlign w:val="bottom"/>
          </w:tcPr>
          <w:p>
            <w:pPr>
              <w:spacing w:after="0"/>
              <w:rPr>
                <w:sz w:val="18"/>
                <w:szCs w:val="18"/>
                <w:color w:val="auto"/>
              </w:rPr>
            </w:pPr>
          </w:p>
        </w:tc>
        <w:tc>
          <w:tcPr>
            <w:tcW w:w="8320" w:type="dxa"/>
            <w:vAlign w:val="bottom"/>
            <w:shd w:val="clear" w:color="auto" w:fill="CCEEFF"/>
          </w:tcPr>
          <w:p>
            <w:pPr>
              <w:spacing w:after="0"/>
              <w:rPr>
                <w:sz w:val="20"/>
                <w:szCs w:val="20"/>
                <w:color w:val="auto"/>
              </w:rPr>
            </w:pPr>
            <w:r>
              <w:rPr>
                <w:rFonts w:ascii="Arial" w:cs="Arial" w:eastAsia="Arial" w:hAnsi="Arial"/>
                <w:sz w:val="18"/>
                <w:szCs w:val="18"/>
                <w:color w:val="auto"/>
                <w:w w:val="94"/>
              </w:rPr>
              <w:t>Increase (Decrease) in net tangible book value per share of common stock attributable to the Warrant Exercise</w:t>
            </w:r>
          </w:p>
        </w:tc>
        <w:tc>
          <w:tcPr>
            <w:tcW w:w="1260" w:type="dxa"/>
            <w:vAlign w:val="bottom"/>
            <w:gridSpan w:val="3"/>
            <w:shd w:val="clear" w:color="auto" w:fill="CCEEFF"/>
          </w:tcPr>
          <w:p>
            <w:pPr>
              <w:jc w:val="right"/>
              <w:ind w:right="360"/>
              <w:spacing w:after="0"/>
              <w:rPr>
                <w:sz w:val="20"/>
                <w:szCs w:val="20"/>
                <w:color w:val="auto"/>
              </w:rPr>
            </w:pPr>
            <w:r>
              <w:rPr>
                <w:rFonts w:ascii="Arial" w:cs="Arial" w:eastAsia="Arial" w:hAnsi="Arial"/>
                <w:sz w:val="18"/>
                <w:szCs w:val="18"/>
                <w:color w:val="auto"/>
              </w:rPr>
              <w:t>(0.29)</w:t>
            </w:r>
          </w:p>
        </w:tc>
        <w:tc>
          <w:tcPr>
            <w:tcW w:w="8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8760" w:type="dxa"/>
            <w:vAlign w:val="bottom"/>
            <w:gridSpan w:val="2"/>
          </w:tcPr>
          <w:p>
            <w:pPr>
              <w:ind w:left="440"/>
              <w:spacing w:after="0"/>
              <w:rPr>
                <w:sz w:val="20"/>
                <w:szCs w:val="20"/>
                <w:color w:val="auto"/>
              </w:rPr>
            </w:pPr>
            <w:r>
              <w:rPr>
                <w:rFonts w:ascii="Arial" w:cs="Arial" w:eastAsia="Arial" w:hAnsi="Arial"/>
                <w:sz w:val="18"/>
                <w:szCs w:val="18"/>
                <w:color w:val="auto"/>
                <w:w w:val="97"/>
              </w:rPr>
              <w:t>Pro forma net tangible book value per share as of June 30, 2020, after giving effect to the Warrant Exercise</w:t>
            </w:r>
          </w:p>
        </w:tc>
        <w:tc>
          <w:tcPr>
            <w:tcW w:w="380" w:type="dxa"/>
            <w:vAlign w:val="bottom"/>
          </w:tcPr>
          <w:p>
            <w:pPr>
              <w:spacing w:after="0"/>
              <w:rPr>
                <w:sz w:val="19"/>
                <w:szCs w:val="19"/>
                <w:color w:val="auto"/>
              </w:rPr>
            </w:pPr>
          </w:p>
        </w:tc>
        <w:tc>
          <w:tcPr>
            <w:tcW w:w="4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7.04</w:t>
            </w:r>
          </w:p>
        </w:tc>
        <w:tc>
          <w:tcPr>
            <w:tcW w:w="4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440" w:type="dxa"/>
            <w:vAlign w:val="bottom"/>
          </w:tcPr>
          <w:p>
            <w:pPr>
              <w:spacing w:after="0"/>
              <w:rPr>
                <w:sz w:val="18"/>
                <w:szCs w:val="18"/>
                <w:color w:val="auto"/>
              </w:rPr>
            </w:pPr>
          </w:p>
        </w:tc>
        <w:tc>
          <w:tcPr>
            <w:tcW w:w="8320" w:type="dxa"/>
            <w:vAlign w:val="bottom"/>
            <w:shd w:val="clear" w:color="auto" w:fill="CCEEFF"/>
          </w:tcPr>
          <w:p>
            <w:pPr>
              <w:spacing w:after="0"/>
              <w:rPr>
                <w:sz w:val="20"/>
                <w:szCs w:val="20"/>
                <w:color w:val="auto"/>
              </w:rPr>
            </w:pPr>
            <w:r>
              <w:rPr>
                <w:rFonts w:ascii="Arial" w:cs="Arial" w:eastAsia="Arial" w:hAnsi="Arial"/>
                <w:sz w:val="18"/>
                <w:szCs w:val="18"/>
                <w:color w:val="auto"/>
                <w:w w:val="96"/>
              </w:rPr>
              <w:t>Increase in net tangible book value per share attributable to new investors purchasing shares in this offering</w:t>
            </w:r>
          </w:p>
        </w:tc>
        <w:tc>
          <w:tcPr>
            <w:tcW w:w="1260" w:type="dxa"/>
            <w:vAlign w:val="bottom"/>
            <w:gridSpan w:val="3"/>
            <w:shd w:val="clear" w:color="auto" w:fill="CCEEFF"/>
          </w:tcPr>
          <w:p>
            <w:pPr>
              <w:jc w:val="right"/>
              <w:ind w:right="420"/>
              <w:spacing w:after="0"/>
              <w:rPr>
                <w:sz w:val="20"/>
                <w:szCs w:val="20"/>
                <w:color w:val="auto"/>
              </w:rPr>
            </w:pPr>
            <w:r>
              <w:rPr>
                <w:rFonts w:ascii="Arial" w:cs="Arial" w:eastAsia="Arial" w:hAnsi="Arial"/>
                <w:sz w:val="18"/>
                <w:szCs w:val="18"/>
                <w:color w:val="auto"/>
              </w:rPr>
              <w:t>0.92</w:t>
            </w:r>
          </w:p>
        </w:tc>
        <w:tc>
          <w:tcPr>
            <w:tcW w:w="8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8760" w:type="dxa"/>
            <w:vAlign w:val="bottom"/>
            <w:gridSpan w:val="2"/>
          </w:tcPr>
          <w:p>
            <w:pPr>
              <w:ind w:left="440"/>
              <w:spacing w:after="0"/>
              <w:rPr>
                <w:sz w:val="20"/>
                <w:szCs w:val="20"/>
                <w:color w:val="auto"/>
              </w:rPr>
            </w:pPr>
            <w:r>
              <w:rPr>
                <w:rFonts w:ascii="Arial" w:cs="Arial" w:eastAsia="Arial" w:hAnsi="Arial"/>
                <w:sz w:val="18"/>
                <w:szCs w:val="18"/>
                <w:color w:val="auto"/>
                <w:w w:val="95"/>
              </w:rPr>
              <w:t>Pro forma as adjusted net tangible book value per share as of June 30, 2020 after giving effect to the Warrant</w:t>
            </w:r>
          </w:p>
        </w:tc>
        <w:tc>
          <w:tcPr>
            <w:tcW w:w="380" w:type="dxa"/>
            <w:vAlign w:val="bottom"/>
          </w:tcPr>
          <w:p>
            <w:pPr>
              <w:spacing w:after="0"/>
              <w:rPr>
                <w:sz w:val="18"/>
                <w:szCs w:val="18"/>
                <w:color w:val="auto"/>
              </w:rPr>
            </w:pPr>
          </w:p>
        </w:tc>
        <w:tc>
          <w:tcPr>
            <w:tcW w:w="460" w:type="dxa"/>
            <w:vAlign w:val="bottom"/>
            <w:tcBorders>
              <w:top w:val="single" w:sz="8" w:color="auto"/>
            </w:tcBorders>
          </w:tcPr>
          <w:p>
            <w:pPr>
              <w:spacing w:after="0"/>
              <w:rPr>
                <w:sz w:val="18"/>
                <w:szCs w:val="18"/>
                <w:color w:val="auto"/>
              </w:rPr>
            </w:pPr>
          </w:p>
        </w:tc>
        <w:tc>
          <w:tcPr>
            <w:tcW w:w="4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7"/>
        </w:trPr>
        <w:tc>
          <w:tcPr>
            <w:tcW w:w="440" w:type="dxa"/>
            <w:vAlign w:val="bottom"/>
          </w:tcPr>
          <w:p>
            <w:pPr>
              <w:spacing w:after="0"/>
              <w:rPr>
                <w:sz w:val="20"/>
                <w:szCs w:val="20"/>
                <w:color w:val="auto"/>
              </w:rPr>
            </w:pPr>
          </w:p>
        </w:tc>
        <w:tc>
          <w:tcPr>
            <w:tcW w:w="8320" w:type="dxa"/>
            <w:vAlign w:val="bottom"/>
          </w:tcPr>
          <w:p>
            <w:pPr>
              <w:ind w:left="180"/>
              <w:spacing w:after="0"/>
              <w:rPr>
                <w:sz w:val="20"/>
                <w:szCs w:val="20"/>
                <w:color w:val="auto"/>
              </w:rPr>
            </w:pPr>
            <w:r>
              <w:rPr>
                <w:rFonts w:ascii="Arial" w:cs="Arial" w:eastAsia="Arial" w:hAnsi="Arial"/>
                <w:sz w:val="18"/>
                <w:szCs w:val="18"/>
                <w:color w:val="auto"/>
              </w:rPr>
              <w:t>Exercise and this offering</w:t>
            </w:r>
          </w:p>
        </w:tc>
        <w:tc>
          <w:tcPr>
            <w:tcW w:w="1260" w:type="dxa"/>
            <w:vAlign w:val="bottom"/>
            <w:gridSpan w:val="3"/>
          </w:tcPr>
          <w:p>
            <w:pPr>
              <w:jc w:val="right"/>
              <w:ind w:right="420"/>
              <w:spacing w:after="0"/>
              <w:rPr>
                <w:sz w:val="20"/>
                <w:szCs w:val="20"/>
                <w:color w:val="auto"/>
              </w:rPr>
            </w:pPr>
            <w:r>
              <w:rPr>
                <w:rFonts w:ascii="Arial" w:cs="Arial" w:eastAsia="Arial" w:hAnsi="Arial"/>
                <w:sz w:val="18"/>
                <w:szCs w:val="18"/>
                <w:color w:val="auto"/>
              </w:rPr>
              <w:t>7.96</w:t>
            </w:r>
          </w:p>
        </w:tc>
        <w:tc>
          <w:tcPr>
            <w:tcW w:w="80" w:type="dxa"/>
            <w:vAlign w:val="bottom"/>
            <w:tcBorders>
              <w:bottom w:val="single" w:sz="8" w:color="auto"/>
            </w:tcBorders>
          </w:tcPr>
          <w:p>
            <w:pPr>
              <w:spacing w:after="0"/>
              <w:rPr>
                <w:sz w:val="20"/>
                <w:szCs w:val="20"/>
                <w:color w:val="auto"/>
              </w:rPr>
            </w:pPr>
          </w:p>
        </w:tc>
        <w:tc>
          <w:tcPr>
            <w:tcW w:w="4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7.96</w:t>
            </w:r>
          </w:p>
        </w:tc>
        <w:tc>
          <w:tcPr>
            <w:tcW w:w="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440" w:type="dxa"/>
            <w:vAlign w:val="bottom"/>
          </w:tcPr>
          <w:p>
            <w:pPr>
              <w:spacing w:after="0"/>
              <w:rPr>
                <w:sz w:val="18"/>
                <w:szCs w:val="18"/>
                <w:color w:val="auto"/>
              </w:rPr>
            </w:pPr>
          </w:p>
        </w:tc>
        <w:tc>
          <w:tcPr>
            <w:tcW w:w="8320" w:type="dxa"/>
            <w:vAlign w:val="bottom"/>
            <w:shd w:val="clear" w:color="auto" w:fill="CCEEFF"/>
          </w:tcPr>
          <w:p>
            <w:pPr>
              <w:spacing w:after="0"/>
              <w:rPr>
                <w:sz w:val="20"/>
                <w:szCs w:val="20"/>
                <w:color w:val="auto"/>
              </w:rPr>
            </w:pPr>
            <w:r>
              <w:rPr>
                <w:rFonts w:ascii="Arial" w:cs="Arial" w:eastAsia="Arial" w:hAnsi="Arial"/>
                <w:sz w:val="18"/>
                <w:szCs w:val="18"/>
                <w:color w:val="auto"/>
              </w:rPr>
              <w:t>Dilution per share to new investors in this offering</w:t>
            </w:r>
          </w:p>
        </w:tc>
        <w:tc>
          <w:tcPr>
            <w:tcW w:w="1340" w:type="dxa"/>
            <w:vAlign w:val="bottom"/>
            <w:gridSpan w:val="4"/>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4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3.93</w:t>
            </w:r>
          </w:p>
        </w:tc>
        <w:tc>
          <w:tcPr>
            <w:tcW w:w="0" w:type="dxa"/>
            <w:vAlign w:val="bottom"/>
          </w:tcPr>
          <w:p>
            <w:pPr>
              <w:spacing w:after="0"/>
              <w:rPr>
                <w:sz w:val="1"/>
                <w:szCs w:val="1"/>
                <w:color w:val="auto"/>
              </w:rPr>
            </w:pPr>
          </w:p>
        </w:tc>
      </w:tr>
      <w:tr>
        <w:trPr>
          <w:trHeight w:val="20"/>
        </w:trPr>
        <w:tc>
          <w:tcPr>
            <w:tcW w:w="440" w:type="dxa"/>
            <w:vAlign w:val="bottom"/>
          </w:tcPr>
          <w:p>
            <w:pPr>
              <w:spacing w:after="0" w:line="20" w:lineRule="exact"/>
              <w:rPr>
                <w:sz w:val="1"/>
                <w:szCs w:val="1"/>
                <w:color w:val="auto"/>
              </w:rPr>
            </w:pPr>
          </w:p>
        </w:tc>
        <w:tc>
          <w:tcPr>
            <w:tcW w:w="832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420" w:type="dxa"/>
            <w:vAlign w:val="bottom"/>
            <w:shd w:val="clear" w:color="auto" w:fill="000000"/>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15" w:lineRule="exact"/>
        <w:rPr>
          <w:sz w:val="20"/>
          <w:szCs w:val="20"/>
          <w:color w:val="auto"/>
        </w:rPr>
      </w:pPr>
    </w:p>
    <w:p>
      <w:pPr>
        <w:spacing w:after="0" w:line="269" w:lineRule="auto"/>
        <w:rPr>
          <w:sz w:val="20"/>
          <w:szCs w:val="20"/>
          <w:color w:val="auto"/>
        </w:rPr>
      </w:pPr>
      <w:r>
        <w:rPr>
          <w:rFonts w:ascii="Arial" w:cs="Arial" w:eastAsia="Arial" w:hAnsi="Arial"/>
          <w:sz w:val="17"/>
          <w:szCs w:val="17"/>
          <w:color w:val="auto"/>
        </w:rPr>
        <w:t>The table above assumes, for illustrative purposes, that an aggregate of 4,205,214 shares of our common stock are sold at a price of $11.89 per share, the last reported sale price of our common stock on the Nasdaq Global Market on August 13, 2020, for aggregate gross proceeds of $50,000,000. The shares sold in this offering, if any, will be sold from time to time at various prices. An increase of $1.00 per share in the price at which the shares are sold from the assumed offering price of $11.89 per share shown in the table above, assuming all of our common stock in the aggregate amount of $50,000,000 is sold at that price, would increase our pro forma as adjusted net tangible book value per share after the offering to $8.09 per share and would result in an increase in the dilution in net tangible book value per share to new investors in this offering of $0.87 per share to $4.80 per share, after deducting commissions and estimated offering expenses payable by us. A decrease of $1.00 per share in the price at which the shares are sold from the assumed offering price of $11.89 per share shown in the table above, assuming all of our common stock in the aggregate amount of $50,000,000 is sold at that price, would decrease our pro forma as adjusted net tangible book value per share after the offering to $7.81 per share and would result in an decrease in the dilution in net tangible book value per share to new investors in this offering of $0.85 per share to $3.08 per share, after deducting commissions and estimated offering expenses payable by us.</w:t>
      </w:r>
    </w:p>
    <w:p>
      <w:pPr>
        <w:spacing w:after="0" w:line="11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13</w:t>
      </w:r>
    </w:p>
    <w:p>
      <w:pPr>
        <w:sectPr>
          <w:pgSz w:w="11900" w:h="16838" w:orient="portrait"/>
          <w:cols w:equalWidth="0" w:num="1">
            <w:col w:w="11000"/>
          </w:cols>
          <w:pgMar w:left="440" w:top="270" w:right="459" w:bottom="1440" w:gutter="0" w:footer="0" w:header="0"/>
        </w:sectPr>
      </w:pPr>
    </w:p>
    <w:bookmarkStart w:id="54" w:name="page55"/>
    <w:bookmarkEnd w:id="54"/>
    <w:p>
      <w:pPr>
        <w:spacing w:after="0"/>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93">
                      <a:extLst>
                        <a:ext uri="{28A0092B-C50C-407E-A947-70E740481C1C}"/>
                      </a:extLst>
                    </a:blip>
                    <a:srcRect/>
                    <a:stretch>
                      <a:fillRect/>
                    </a:stretch>
                  </pic:blipFill>
                  <pic:spPr bwMode="auto">
                    <a:xfrm>
                      <a:off x="0" y="0"/>
                      <a:ext cx="7149465" cy="25400"/>
                    </a:xfrm>
                    <a:prstGeom prst="rect">
                      <a:avLst/>
                    </a:prstGeom>
                    <a:noFill/>
                  </pic:spPr>
                </pic:pic>
              </a:graphicData>
            </a:graphic>
          </wp:anchor>
        </w:drawing>
        <w:t>The foregoing table and calculations are based on 15,984,609 shares of our common stock outstanding as of June 30, 2020, after giving effect to the</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Warrant Exercise, and exclude:</w:t>
      </w:r>
    </w:p>
    <w:p>
      <w:pPr>
        <w:spacing w:after="0" w:line="116" w:lineRule="exact"/>
        <w:rPr>
          <w:sz w:val="20"/>
          <w:szCs w:val="20"/>
          <w:color w:val="auto"/>
        </w:rPr>
      </w:pPr>
    </w:p>
    <w:p>
      <w:pPr>
        <w:ind w:left="960" w:right="220" w:hanging="424"/>
        <w:spacing w:after="0" w:line="277" w:lineRule="auto"/>
        <w:tabs>
          <w:tab w:leader="none" w:pos="960" w:val="left"/>
        </w:tabs>
        <w:numPr>
          <w:ilvl w:val="0"/>
          <w:numId w:val="31"/>
        </w:numPr>
        <w:rPr>
          <w:rFonts w:ascii="Arial" w:cs="Arial" w:eastAsia="Arial" w:hAnsi="Arial"/>
          <w:sz w:val="18"/>
          <w:szCs w:val="18"/>
          <w:color w:val="auto"/>
        </w:rPr>
      </w:pPr>
      <w:r>
        <w:rPr>
          <w:rFonts w:ascii="Arial" w:cs="Arial" w:eastAsia="Arial" w:hAnsi="Arial"/>
          <w:sz w:val="18"/>
          <w:szCs w:val="18"/>
          <w:color w:val="auto"/>
        </w:rPr>
        <w:t>720,067 shares of our common stock issuable upon the exercise of stock options outstanding as of June 30, 2020 at a weighted-average exercise price of $40.73 per share, of which 535,922 options were vested as of June 30, 2020;</w:t>
      </w:r>
    </w:p>
    <w:p>
      <w:pPr>
        <w:spacing w:after="0" w:line="75" w:lineRule="exact"/>
        <w:rPr>
          <w:rFonts w:ascii="Arial" w:cs="Arial" w:eastAsia="Arial" w:hAnsi="Arial"/>
          <w:sz w:val="18"/>
          <w:szCs w:val="18"/>
          <w:color w:val="auto"/>
        </w:rPr>
      </w:pPr>
    </w:p>
    <w:p>
      <w:pPr>
        <w:ind w:left="960" w:hanging="424"/>
        <w:spacing w:after="0" w:line="277" w:lineRule="auto"/>
        <w:tabs>
          <w:tab w:leader="none" w:pos="960" w:val="left"/>
        </w:tabs>
        <w:numPr>
          <w:ilvl w:val="0"/>
          <w:numId w:val="31"/>
        </w:numPr>
        <w:rPr>
          <w:rFonts w:ascii="Arial" w:cs="Arial" w:eastAsia="Arial" w:hAnsi="Arial"/>
          <w:sz w:val="18"/>
          <w:szCs w:val="18"/>
          <w:color w:val="auto"/>
        </w:rPr>
      </w:pPr>
      <w:r>
        <w:rPr>
          <w:rFonts w:ascii="Arial" w:cs="Arial" w:eastAsia="Arial" w:hAnsi="Arial"/>
          <w:sz w:val="18"/>
          <w:szCs w:val="18"/>
          <w:color w:val="auto"/>
        </w:rPr>
        <w:t>505,893 shares of our common stock available for future issuance as of June 30, 2020 under our 2014 Stock Option and Incentive Plan, or the 2014 Plan;</w:t>
      </w:r>
    </w:p>
    <w:p>
      <w:pPr>
        <w:spacing w:after="0" w:line="75" w:lineRule="exact"/>
        <w:rPr>
          <w:rFonts w:ascii="Arial" w:cs="Arial" w:eastAsia="Arial" w:hAnsi="Arial"/>
          <w:sz w:val="18"/>
          <w:szCs w:val="18"/>
          <w:color w:val="auto"/>
        </w:rPr>
      </w:pPr>
    </w:p>
    <w:p>
      <w:pPr>
        <w:ind w:left="960" w:right="200" w:hanging="424"/>
        <w:spacing w:after="0" w:line="342" w:lineRule="auto"/>
        <w:tabs>
          <w:tab w:leader="none" w:pos="960" w:val="left"/>
        </w:tabs>
        <w:numPr>
          <w:ilvl w:val="0"/>
          <w:numId w:val="31"/>
        </w:numPr>
        <w:rPr>
          <w:rFonts w:ascii="Arial" w:cs="Arial" w:eastAsia="Arial" w:hAnsi="Arial"/>
          <w:sz w:val="16"/>
          <w:szCs w:val="16"/>
          <w:color w:val="auto"/>
        </w:rPr>
      </w:pPr>
      <w:r>
        <w:rPr>
          <w:rFonts w:ascii="Arial" w:cs="Arial" w:eastAsia="Arial" w:hAnsi="Arial"/>
          <w:sz w:val="16"/>
          <w:szCs w:val="16"/>
          <w:color w:val="auto"/>
        </w:rPr>
        <w:t>735,100 shares of our common stock issuable upon exercise of stock options granted under our 2020 Equity Incentive Plan, or the 2020 Plan, on July 16, 2020, with a weighted average exercise price of $11.90, which are subject to stockholder approval; and</w:t>
      </w:r>
    </w:p>
    <w:p>
      <w:pPr>
        <w:spacing w:after="0" w:line="29" w:lineRule="exact"/>
        <w:rPr>
          <w:rFonts w:ascii="Arial" w:cs="Arial" w:eastAsia="Arial" w:hAnsi="Arial"/>
          <w:sz w:val="16"/>
          <w:szCs w:val="16"/>
          <w:color w:val="auto"/>
        </w:rPr>
      </w:pPr>
    </w:p>
    <w:p>
      <w:pPr>
        <w:ind w:left="960" w:right="300" w:hanging="424"/>
        <w:spacing w:after="0" w:line="277" w:lineRule="auto"/>
        <w:tabs>
          <w:tab w:leader="none" w:pos="960" w:val="left"/>
        </w:tabs>
        <w:numPr>
          <w:ilvl w:val="0"/>
          <w:numId w:val="31"/>
        </w:numPr>
        <w:rPr>
          <w:rFonts w:ascii="Arial" w:cs="Arial" w:eastAsia="Arial" w:hAnsi="Arial"/>
          <w:sz w:val="18"/>
          <w:szCs w:val="18"/>
          <w:color w:val="auto"/>
        </w:rPr>
      </w:pPr>
      <w:r>
        <w:rPr>
          <w:rFonts w:ascii="Arial" w:cs="Arial" w:eastAsia="Arial" w:hAnsi="Arial"/>
          <w:sz w:val="18"/>
          <w:szCs w:val="18"/>
          <w:color w:val="auto"/>
        </w:rPr>
        <w:t>964,900 shares of our common stock available for future issuance under our 2020 Plan, which was approved by our Board on July 16, 2020 and is subject to stockholder approval.</w:t>
      </w:r>
    </w:p>
    <w:p>
      <w:pPr>
        <w:spacing w:after="0" w:line="170" w:lineRule="exact"/>
        <w:rPr>
          <w:sz w:val="20"/>
          <w:szCs w:val="20"/>
          <w:color w:val="auto"/>
        </w:rPr>
      </w:pPr>
    </w:p>
    <w:p>
      <w:pPr>
        <w:spacing w:after="0" w:line="259" w:lineRule="auto"/>
        <w:rPr>
          <w:sz w:val="20"/>
          <w:szCs w:val="20"/>
          <w:color w:val="auto"/>
        </w:rPr>
      </w:pPr>
      <w:r>
        <w:rPr>
          <w:rFonts w:ascii="Arial" w:cs="Arial" w:eastAsia="Arial" w:hAnsi="Arial"/>
          <w:sz w:val="18"/>
          <w:szCs w:val="18"/>
          <w:color w:val="auto"/>
        </w:rPr>
        <w:t>To the extent that outstanding options are exercised, investors purchasing shares in this offering could experience further dilution. In addition, we may choose to raise additional capital due to market conditions or strategic considerations, even if we believe we have sufficient funds for our current or future operating plans. To the extent that additional capital is raised through the sale of equity or equity-based securities, the issuance of these securities could result in further dilution to our stockholders.</w:t>
      </w:r>
    </w:p>
    <w:p>
      <w:pPr>
        <w:spacing w:after="0" w:line="119"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14</w:t>
      </w:r>
    </w:p>
    <w:p>
      <w:pPr>
        <w:sectPr>
          <w:pgSz w:w="11900" w:h="16838" w:orient="portrait"/>
          <w:cols w:equalWidth="0" w:num="1">
            <w:col w:w="10920"/>
          </w:cols>
          <w:pgMar w:left="440" w:top="274" w:right="539" w:bottom="1440" w:gutter="0" w:footer="0" w:header="0"/>
        </w:sectPr>
      </w:pPr>
    </w:p>
    <w:bookmarkStart w:id="55" w:name="page56"/>
    <w:bookmarkEnd w:id="55"/>
    <w:p>
      <w:pPr>
        <w:jc w:val="cente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94">
                      <a:extLst>
                        <a:ext uri="{28A0092B-C50C-407E-A947-70E740481C1C}"/>
                      </a:extLst>
                    </a:blip>
                    <a:srcRect/>
                    <a:stretch>
                      <a:fillRect/>
                    </a:stretch>
                  </pic:blipFill>
                  <pic:spPr bwMode="auto">
                    <a:xfrm>
                      <a:off x="0" y="0"/>
                      <a:ext cx="7149465" cy="25400"/>
                    </a:xfrm>
                    <a:prstGeom prst="rect">
                      <a:avLst/>
                    </a:prstGeom>
                    <a:noFill/>
                  </pic:spPr>
                </pic:pic>
              </a:graphicData>
            </a:graphic>
          </wp:anchor>
        </w:drawing>
        <w:t>DESCRIPTION OF CAPITAL STOCK</w:t>
      </w:r>
    </w:p>
    <w:p>
      <w:pPr>
        <w:spacing w:after="0" w:line="229" w:lineRule="exact"/>
        <w:rPr>
          <w:sz w:val="20"/>
          <w:szCs w:val="20"/>
          <w:color w:val="auto"/>
        </w:rPr>
      </w:pPr>
    </w:p>
    <w:p>
      <w:pPr>
        <w:ind w:right="60"/>
        <w:spacing w:after="0" w:line="257" w:lineRule="auto"/>
        <w:rPr>
          <w:sz w:val="20"/>
          <w:szCs w:val="20"/>
          <w:color w:val="auto"/>
        </w:rPr>
      </w:pPr>
      <w:r>
        <w:rPr>
          <w:rFonts w:ascii="Arial" w:cs="Arial" w:eastAsia="Arial" w:hAnsi="Arial"/>
          <w:sz w:val="18"/>
          <w:szCs w:val="18"/>
          <w:i w:val="1"/>
          <w:iCs w:val="1"/>
          <w:color w:val="auto"/>
        </w:rPr>
        <w:t>The following description of our capital stock is not complete and may not contain all the information you should consider before investing in our capital stock. This description is summarized from, and qualified in its entirety by reference to, our certificate of incorporation, which has been publicly filed with the SEC. See “Where You Can Find More Information.” For a complete description, you should refer to our amended and restated certificate of incorporation and amended and restated bylaws, copies of which are incorporated by reference as exhibits to the registration statement of which this prospectus is a part.</w:t>
      </w:r>
    </w:p>
    <w:p>
      <w:pPr>
        <w:spacing w:after="0" w:line="29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Common Stock</w:t>
      </w:r>
    </w:p>
    <w:p>
      <w:pPr>
        <w:spacing w:after="0" w:line="121" w:lineRule="exact"/>
        <w:rPr>
          <w:sz w:val="20"/>
          <w:szCs w:val="20"/>
          <w:color w:val="auto"/>
        </w:rPr>
      </w:pPr>
    </w:p>
    <w:p>
      <w:pPr>
        <w:ind w:right="260"/>
        <w:spacing w:after="0" w:line="259" w:lineRule="auto"/>
        <w:rPr>
          <w:sz w:val="20"/>
          <w:szCs w:val="20"/>
          <w:color w:val="auto"/>
        </w:rPr>
      </w:pPr>
      <w:r>
        <w:rPr>
          <w:rFonts w:ascii="Arial" w:cs="Arial" w:eastAsia="Arial" w:hAnsi="Arial"/>
          <w:sz w:val="18"/>
          <w:szCs w:val="18"/>
          <w:b w:val="1"/>
          <w:bCs w:val="1"/>
          <w:i w:val="1"/>
          <w:iCs w:val="1"/>
          <w:color w:val="auto"/>
        </w:rPr>
        <w:t>Authorized Capital Stock</w:t>
      </w:r>
      <w:r>
        <w:rPr>
          <w:rFonts w:ascii="Arial" w:cs="Arial" w:eastAsia="Arial" w:hAnsi="Arial"/>
          <w:sz w:val="18"/>
          <w:szCs w:val="18"/>
          <w:color w:val="auto"/>
        </w:rPr>
        <w:t>. Our authorized capital stock consists of (i) 115,000,000 shares of common stock, par value $0.001 per share, of which</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15,356,206 shares have been issued and are outstanding as of August 13, 2020, referred to as the capitalization date, and (ii) 5,000,000 shares of preferred stock, par value $0.001 per share, of which no shares have been issued and are outstanding as of the capitalization date. We do not hold any shares of our capital stock in its treasury.</w:t>
      </w:r>
    </w:p>
    <w:p>
      <w:pPr>
        <w:spacing w:after="0" w:line="187" w:lineRule="exact"/>
        <w:rPr>
          <w:sz w:val="20"/>
          <w:szCs w:val="20"/>
          <w:color w:val="auto"/>
        </w:rPr>
      </w:pPr>
    </w:p>
    <w:p>
      <w:pPr>
        <w:spacing w:after="0" w:line="277" w:lineRule="auto"/>
        <w:rPr>
          <w:sz w:val="20"/>
          <w:szCs w:val="20"/>
          <w:color w:val="auto"/>
        </w:rPr>
      </w:pPr>
      <w:r>
        <w:rPr>
          <w:rFonts w:ascii="Arial" w:cs="Arial" w:eastAsia="Arial" w:hAnsi="Arial"/>
          <w:sz w:val="18"/>
          <w:szCs w:val="18"/>
          <w:b w:val="1"/>
          <w:bCs w:val="1"/>
          <w:i w:val="1"/>
          <w:iCs w:val="1"/>
          <w:color w:val="auto"/>
        </w:rPr>
        <w:t>Voting Rights</w:t>
      </w:r>
      <w:r>
        <w:rPr>
          <w:rFonts w:ascii="Arial" w:cs="Arial" w:eastAsia="Arial" w:hAnsi="Arial"/>
          <w:sz w:val="18"/>
          <w:szCs w:val="18"/>
          <w:color w:val="auto"/>
        </w:rPr>
        <w:t>. Holders of our common stock are entitled to one vote for each share held of record on all matters submitted to a vote of stockholders. The</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holders of our common stock do not have any cumulative voting rights.</w:t>
      </w:r>
    </w:p>
    <w:p>
      <w:pPr>
        <w:spacing w:after="0" w:line="170" w:lineRule="exact"/>
        <w:rPr>
          <w:sz w:val="20"/>
          <w:szCs w:val="20"/>
          <w:color w:val="auto"/>
        </w:rPr>
      </w:pPr>
    </w:p>
    <w:p>
      <w:pPr>
        <w:ind w:right="60"/>
        <w:spacing w:after="0" w:line="277" w:lineRule="auto"/>
        <w:rPr>
          <w:sz w:val="20"/>
          <w:szCs w:val="20"/>
          <w:color w:val="auto"/>
        </w:rPr>
      </w:pPr>
      <w:r>
        <w:rPr>
          <w:rFonts w:ascii="Arial" w:cs="Arial" w:eastAsia="Arial" w:hAnsi="Arial"/>
          <w:sz w:val="18"/>
          <w:szCs w:val="18"/>
          <w:b w:val="1"/>
          <w:bCs w:val="1"/>
          <w:i w:val="1"/>
          <w:iCs w:val="1"/>
          <w:color w:val="auto"/>
        </w:rPr>
        <w:t>Dividends</w:t>
      </w:r>
      <w:r>
        <w:rPr>
          <w:rFonts w:ascii="Arial" w:cs="Arial" w:eastAsia="Arial" w:hAnsi="Arial"/>
          <w:sz w:val="18"/>
          <w:szCs w:val="18"/>
          <w:color w:val="auto"/>
        </w:rPr>
        <w:t>. Holders of our common stock are entitled to receive ratably any dividends declared by our Board of Directors, or Board, out of funds legally</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available for that purpose, subject to any preferential dividend rights of any outstanding preferred stock.</w:t>
      </w:r>
    </w:p>
    <w:p>
      <w:pPr>
        <w:spacing w:after="0" w:line="170" w:lineRule="exact"/>
        <w:rPr>
          <w:sz w:val="20"/>
          <w:szCs w:val="20"/>
          <w:color w:val="auto"/>
        </w:rPr>
      </w:pPr>
    </w:p>
    <w:p>
      <w:pPr>
        <w:jc w:val="both"/>
        <w:ind w:right="100"/>
        <w:spacing w:after="0" w:line="286" w:lineRule="auto"/>
        <w:rPr>
          <w:sz w:val="20"/>
          <w:szCs w:val="20"/>
          <w:color w:val="auto"/>
        </w:rPr>
      </w:pPr>
      <w:r>
        <w:rPr>
          <w:rFonts w:ascii="Arial" w:cs="Arial" w:eastAsia="Arial" w:hAnsi="Arial"/>
          <w:sz w:val="17"/>
          <w:szCs w:val="17"/>
          <w:b w:val="1"/>
          <w:bCs w:val="1"/>
          <w:i w:val="1"/>
          <w:iCs w:val="1"/>
          <w:color w:val="auto"/>
        </w:rPr>
        <w:t>No Preemptive or Similar Rights</w:t>
      </w:r>
      <w:r>
        <w:rPr>
          <w:rFonts w:ascii="Arial" w:cs="Arial" w:eastAsia="Arial" w:hAnsi="Arial"/>
          <w:sz w:val="17"/>
          <w:szCs w:val="17"/>
          <w:color w:val="auto"/>
        </w:rPr>
        <w:t>. Our common stock has no preemptive rights, conversion rights or other subscription rights or redemption or sinking</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fund provisions. In the event of a liquidation, dissolution or winding up of us, holders of our common stock will be entitled to share ratably in all assets remaining after payment of all debts and other liabilities and any liquidation preference of any outstanding preferred stock.</w:t>
      </w:r>
    </w:p>
    <w:p>
      <w:pPr>
        <w:spacing w:after="0" w:line="16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Transfer Agent and Registrar</w:t>
      </w:r>
      <w:r>
        <w:rPr>
          <w:rFonts w:ascii="Arial" w:cs="Arial" w:eastAsia="Arial" w:hAnsi="Arial"/>
          <w:sz w:val="18"/>
          <w:szCs w:val="18"/>
          <w:color w:val="auto"/>
        </w:rPr>
        <w:t>. The transfer agent and registrar for our common stock is Computershare Trust Company, N.A.</w:t>
      </w:r>
    </w:p>
    <w:p>
      <w:pPr>
        <w:spacing w:after="0" w:line="225" w:lineRule="exact"/>
        <w:rPr>
          <w:sz w:val="20"/>
          <w:szCs w:val="20"/>
          <w:color w:val="auto"/>
        </w:rPr>
      </w:pPr>
    </w:p>
    <w:p>
      <w:pPr>
        <w:ind w:right="180"/>
        <w:spacing w:after="0" w:line="342" w:lineRule="auto"/>
        <w:rPr>
          <w:sz w:val="20"/>
          <w:szCs w:val="20"/>
          <w:color w:val="auto"/>
        </w:rPr>
      </w:pPr>
      <w:r>
        <w:rPr>
          <w:rFonts w:ascii="Arial" w:cs="Arial" w:eastAsia="Arial" w:hAnsi="Arial"/>
          <w:sz w:val="16"/>
          <w:szCs w:val="16"/>
          <w:b w:val="1"/>
          <w:bCs w:val="1"/>
          <w:i w:val="1"/>
          <w:iCs w:val="1"/>
          <w:color w:val="auto"/>
        </w:rPr>
        <w:t>Listing</w:t>
      </w:r>
      <w:r>
        <w:rPr>
          <w:rFonts w:ascii="Arial" w:cs="Arial" w:eastAsia="Arial" w:hAnsi="Arial"/>
          <w:sz w:val="16"/>
          <w:szCs w:val="16"/>
          <w:color w:val="auto"/>
        </w:rPr>
        <w:t>. Our common stock is listed on The Nasdaq Global Market under the symbol “LRMR.” On August 13, 2020, the last reported sale price of our</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common stock on The Nasdaq Global Market was $11.89 per share. As of August 13, 2020, we had approximately 36 stockholders of record.</w:t>
      </w:r>
    </w:p>
    <w:p>
      <w:pPr>
        <w:spacing w:after="0" w:line="22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Reverse Split</w:t>
      </w:r>
    </w:p>
    <w:p>
      <w:pPr>
        <w:spacing w:after="0" w:line="121" w:lineRule="exact"/>
        <w:rPr>
          <w:sz w:val="20"/>
          <w:szCs w:val="20"/>
          <w:color w:val="auto"/>
        </w:rPr>
      </w:pPr>
    </w:p>
    <w:p>
      <w:pPr>
        <w:ind w:right="140"/>
        <w:spacing w:after="0" w:line="342" w:lineRule="auto"/>
        <w:rPr>
          <w:sz w:val="20"/>
          <w:szCs w:val="20"/>
          <w:color w:val="auto"/>
        </w:rPr>
      </w:pPr>
      <w:r>
        <w:rPr>
          <w:rFonts w:ascii="Arial" w:cs="Arial" w:eastAsia="Arial" w:hAnsi="Arial"/>
          <w:sz w:val="16"/>
          <w:szCs w:val="16"/>
          <w:color w:val="auto"/>
        </w:rPr>
        <w:t>On May 28, 2020, we filed an amendment to our ninth amended and restated certificate of incorporation in order to effect a 1-for-12 reverse stock split of our common stock effective for trading purposes on May 29, 2020. The number of authorized stock remained unchanged at 120,000,000 shares.</w:t>
      </w:r>
    </w:p>
    <w:p>
      <w:pPr>
        <w:spacing w:after="0" w:line="22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Preferred Stock</w:t>
      </w:r>
    </w:p>
    <w:p>
      <w:pPr>
        <w:spacing w:after="0" w:line="121" w:lineRule="exact"/>
        <w:rPr>
          <w:sz w:val="20"/>
          <w:szCs w:val="20"/>
          <w:color w:val="auto"/>
        </w:rPr>
      </w:pPr>
    </w:p>
    <w:p>
      <w:pPr>
        <w:spacing w:after="0" w:line="291" w:lineRule="auto"/>
        <w:rPr>
          <w:sz w:val="20"/>
          <w:szCs w:val="20"/>
          <w:color w:val="auto"/>
        </w:rPr>
      </w:pPr>
      <w:r>
        <w:rPr>
          <w:rFonts w:ascii="Arial" w:cs="Arial" w:eastAsia="Arial" w:hAnsi="Arial"/>
          <w:sz w:val="16"/>
          <w:szCs w:val="16"/>
          <w:color w:val="auto"/>
        </w:rPr>
        <w:t>Our Board currently has the authority, without further action by our stockholders, to issue up to 5,000,000 shares of preferred stock in one or more series and to fix the rights, preferences, privileges and restrictions thereof. These rights, preferences and privileges could include dividend rights, conversion rights, voting rights, terms of redemption, liquidation preferences, sinking fund terms and the number of shares constituting, or the designation of, such series, any or all of which may be greater than the rights of common stock. The issuance of preferred stock by us could adversely affect the voting power of holders of our common stock and the likelihood that such holders will receive dividend payments and payments upon a liquidation of us. In addition, the issuance of preferred stock could have the effect of delaying, deferring or preventing a change in control of us or other corporate action. No shares of preferred stock are outstanding, and we have no present plans to issue any shares of preferred stock.</w:t>
      </w:r>
    </w:p>
    <w:p>
      <w:pPr>
        <w:spacing w:after="0" w:line="27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Registration Rights</w:t>
      </w:r>
    </w:p>
    <w:p>
      <w:pPr>
        <w:spacing w:after="0" w:line="121" w:lineRule="exact"/>
        <w:rPr>
          <w:sz w:val="20"/>
          <w:szCs w:val="20"/>
          <w:color w:val="auto"/>
        </w:rPr>
      </w:pPr>
    </w:p>
    <w:p>
      <w:pPr>
        <w:ind w:right="520"/>
        <w:spacing w:after="0" w:line="277" w:lineRule="auto"/>
        <w:rPr>
          <w:sz w:val="20"/>
          <w:szCs w:val="20"/>
          <w:color w:val="auto"/>
        </w:rPr>
      </w:pPr>
      <w:r>
        <w:rPr>
          <w:rFonts w:ascii="Arial" w:cs="Arial" w:eastAsia="Arial" w:hAnsi="Arial"/>
          <w:sz w:val="18"/>
          <w:szCs w:val="18"/>
          <w:color w:val="auto"/>
        </w:rPr>
        <w:t>On May 28, 2020, in connection with the merger between Chondrial Therapeutics, Inc. and a wholly-owned subsidiary of ours, or the Merger, we entered into a Registration Rights Agreement, or the Merger Registration Rights Agreement,</w:t>
      </w:r>
    </w:p>
    <w:p>
      <w:pPr>
        <w:spacing w:after="0" w:line="10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15</w:t>
      </w:r>
    </w:p>
    <w:p>
      <w:pPr>
        <w:sectPr>
          <w:pgSz w:w="11900" w:h="16838" w:orient="portrait"/>
          <w:cols w:equalWidth="0" w:num="1">
            <w:col w:w="11000"/>
          </w:cols>
          <w:pgMar w:left="440" w:top="270" w:right="459" w:bottom="1440" w:gutter="0" w:footer="0" w:header="0"/>
        </w:sectPr>
      </w:pPr>
    </w:p>
    <w:bookmarkStart w:id="56" w:name="page57"/>
    <w:bookmarkEnd w:id="56"/>
    <w:p>
      <w:pPr>
        <w:spacing w:after="0" w:line="257"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95">
                      <a:extLst>
                        <a:ext uri="{28A0092B-C50C-407E-A947-70E740481C1C}"/>
                      </a:extLst>
                    </a:blip>
                    <a:srcRect/>
                    <a:stretch>
                      <a:fillRect/>
                    </a:stretch>
                  </pic:blipFill>
                  <pic:spPr bwMode="auto">
                    <a:xfrm>
                      <a:off x="0" y="0"/>
                      <a:ext cx="7149465" cy="25400"/>
                    </a:xfrm>
                    <a:prstGeom prst="rect">
                      <a:avLst/>
                    </a:prstGeom>
                    <a:noFill/>
                  </pic:spPr>
                </pic:pic>
              </a:graphicData>
            </a:graphic>
          </wp:anchor>
        </w:drawing>
        <w:t>with the members of Chondrial Therapeutics Holdings, LLC pursuant to which we agreed that promptly, but no later than June 27, 2020, we would file a registration statement with the SEC covering the shares of common stock issued to Chondrial Therapeutics Holdings, LLC in exchange for all of the shares of common stock of Chondrial Therapeutics, Inc. and subsequently distributed to its members, or the Merger Shares. In addition, the Registration Rights Agreement also provides the members of Chondrial Therapeutics Holdings, LLC with demand and “piggy-back” registration rights, subject to certain minimum requirements and customary conditions.</w:t>
      </w:r>
    </w:p>
    <w:p>
      <w:pPr>
        <w:spacing w:after="0" w:line="188" w:lineRule="exact"/>
        <w:rPr>
          <w:sz w:val="20"/>
          <w:szCs w:val="20"/>
          <w:color w:val="auto"/>
        </w:rPr>
      </w:pPr>
    </w:p>
    <w:p>
      <w:pPr>
        <w:ind w:right="260"/>
        <w:spacing w:after="0" w:line="296" w:lineRule="auto"/>
        <w:rPr>
          <w:sz w:val="20"/>
          <w:szCs w:val="20"/>
          <w:color w:val="auto"/>
        </w:rPr>
      </w:pPr>
      <w:r>
        <w:rPr>
          <w:rFonts w:ascii="Arial" w:cs="Arial" w:eastAsia="Arial" w:hAnsi="Arial"/>
          <w:sz w:val="16"/>
          <w:szCs w:val="16"/>
          <w:color w:val="auto"/>
        </w:rPr>
        <w:t>In connection with the Private Placement, we entered into a Registration Rights Agreement, or the Private Placement Registration Rights Agreement, and collectively with the Merger Registration Rights Agreement, the Registration Rights Agreements, with our investors pursuant to which we have agreed that promptly, but no later than June 27, 2020, we would file a registration statement with the SEC covering (a) the shares of common stock issued in the Private Placement and (b) the shares of common stock underlying the pre-funded warrants issued in the Private Placement. We refer to these shares as the “Private Placement Shares” and, together with the Merger Shares, the “Registrable Shares.”</w:t>
      </w:r>
    </w:p>
    <w:p>
      <w:pPr>
        <w:spacing w:after="0" w:line="161" w:lineRule="exact"/>
        <w:rPr>
          <w:sz w:val="20"/>
          <w:szCs w:val="20"/>
          <w:color w:val="auto"/>
        </w:rPr>
      </w:pPr>
    </w:p>
    <w:p>
      <w:pPr>
        <w:ind w:right="220"/>
        <w:spacing w:after="0" w:line="277" w:lineRule="auto"/>
        <w:rPr>
          <w:sz w:val="20"/>
          <w:szCs w:val="20"/>
          <w:color w:val="auto"/>
        </w:rPr>
      </w:pPr>
      <w:r>
        <w:rPr>
          <w:rFonts w:ascii="Arial" w:cs="Arial" w:eastAsia="Arial" w:hAnsi="Arial"/>
          <w:sz w:val="18"/>
          <w:szCs w:val="18"/>
          <w:color w:val="auto"/>
        </w:rPr>
        <w:t>On June 26, 2020, we filed a registration statement on Form S-3 registering all of the Registrable Shares, which was declared effective by the SEC on July 14, 2020.</w:t>
      </w:r>
    </w:p>
    <w:p>
      <w:pPr>
        <w:spacing w:after="0" w:line="27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Provisions of Our Charter and Bylaws and Delaware Anti-Takeover Law</w:t>
      </w:r>
    </w:p>
    <w:p>
      <w:pPr>
        <w:spacing w:after="0" w:line="121" w:lineRule="exact"/>
        <w:rPr>
          <w:sz w:val="20"/>
          <w:szCs w:val="20"/>
          <w:color w:val="auto"/>
        </w:rPr>
      </w:pPr>
    </w:p>
    <w:p>
      <w:pPr>
        <w:spacing w:after="0" w:line="270" w:lineRule="auto"/>
        <w:rPr>
          <w:sz w:val="20"/>
          <w:szCs w:val="20"/>
          <w:color w:val="auto"/>
        </w:rPr>
      </w:pPr>
      <w:r>
        <w:rPr>
          <w:rFonts w:ascii="Arial" w:cs="Arial" w:eastAsia="Arial" w:hAnsi="Arial"/>
          <w:sz w:val="17"/>
          <w:szCs w:val="17"/>
          <w:color w:val="auto"/>
        </w:rPr>
        <w:t>Certain provisions of the Delaware General Corporation Law, or DGCL, and of our Charter and Bylaws could have the effect of delaying, deferring or discouraging another party from acquiring control of us. These provisions, which are summarized below, are expected to discourage certain types of coercive takeover practices and inadequate takeover bids and, as a consequence, they might also inhibit temporary fluctuations in the market price of our common stock that often result from actual or rumored hostile takeover attempts. These provisions are also designed in part to encourage anyone seeking to acquire control of us to first negotiate with our Board. These provisions might also have the effect of preventing changes in our management. It is possible that these provisions could make it more difficult to accomplish transactions that stockholders might otherwise deem to be in their best interests. However, we believe that the advantages gained by protecting our ability to negotiate with any unsolicited and potentially unfriendly acquirer outweigh the disadvantages of discouraging such proposals, including those priced above the then-current market value of our common stock, because, among other reasons, the negotiation of such proposals could improve their terms.</w:t>
      </w:r>
    </w:p>
    <w:p>
      <w:pPr>
        <w:spacing w:after="0" w:line="181" w:lineRule="exact"/>
        <w:rPr>
          <w:sz w:val="20"/>
          <w:szCs w:val="20"/>
          <w:color w:val="auto"/>
        </w:rPr>
      </w:pPr>
    </w:p>
    <w:p>
      <w:pPr>
        <w:ind w:right="120"/>
        <w:spacing w:after="0" w:line="257" w:lineRule="auto"/>
        <w:rPr>
          <w:sz w:val="20"/>
          <w:szCs w:val="20"/>
          <w:color w:val="auto"/>
        </w:rPr>
      </w:pPr>
      <w:r>
        <w:rPr>
          <w:rFonts w:ascii="Arial" w:cs="Arial" w:eastAsia="Arial" w:hAnsi="Arial"/>
          <w:sz w:val="18"/>
          <w:szCs w:val="18"/>
          <w:b w:val="1"/>
          <w:bCs w:val="1"/>
          <w:i w:val="1"/>
          <w:iCs w:val="1"/>
          <w:color w:val="auto"/>
        </w:rPr>
        <w:t>Board Composition and Filling Vacancies</w:t>
      </w:r>
      <w:r>
        <w:rPr>
          <w:rFonts w:ascii="Arial" w:cs="Arial" w:eastAsia="Arial" w:hAnsi="Arial"/>
          <w:sz w:val="18"/>
          <w:szCs w:val="18"/>
          <w:color w:val="auto"/>
        </w:rPr>
        <w:t>. Our Charter provides for the division of our Board into three classes serving staggered three-year terms,</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with one class being elected each year. Our Charter also provides that directors may be removed only for cause and then only by the affirmative vote of the holders of 75% or more of the shares then entitled to vote at an election of directors. Furthermore, any vacancy on our Board, however occurring, including a vacancy resulting from an increase in the size of our Board, may only be filled by the affirmative vote of a majority of our directors then in office even if less than a quorum.</w:t>
      </w:r>
    </w:p>
    <w:p>
      <w:pPr>
        <w:spacing w:after="0" w:line="188" w:lineRule="exact"/>
        <w:rPr>
          <w:sz w:val="20"/>
          <w:szCs w:val="20"/>
          <w:color w:val="auto"/>
        </w:rPr>
      </w:pPr>
    </w:p>
    <w:p>
      <w:pPr>
        <w:ind w:right="500"/>
        <w:spacing w:after="0" w:line="277" w:lineRule="auto"/>
        <w:rPr>
          <w:sz w:val="20"/>
          <w:szCs w:val="20"/>
          <w:color w:val="auto"/>
        </w:rPr>
      </w:pPr>
      <w:r>
        <w:rPr>
          <w:rFonts w:ascii="Arial" w:cs="Arial" w:eastAsia="Arial" w:hAnsi="Arial"/>
          <w:sz w:val="18"/>
          <w:szCs w:val="18"/>
          <w:b w:val="1"/>
          <w:bCs w:val="1"/>
          <w:i w:val="1"/>
          <w:iCs w:val="1"/>
          <w:color w:val="auto"/>
        </w:rPr>
        <w:t>No Written Consent of Stockholders</w:t>
      </w:r>
      <w:r>
        <w:rPr>
          <w:rFonts w:ascii="Arial" w:cs="Arial" w:eastAsia="Arial" w:hAnsi="Arial"/>
          <w:sz w:val="18"/>
          <w:szCs w:val="18"/>
          <w:color w:val="auto"/>
        </w:rPr>
        <w:t>. Our Charter provides that all stockholder actions are required to be taken by a vote of the stockholders at an</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annual or special meeting, and that stockholders may not take any action by written consent in lieu of a meeting.</w:t>
      </w:r>
    </w:p>
    <w:p>
      <w:pPr>
        <w:spacing w:after="0" w:line="170" w:lineRule="exact"/>
        <w:rPr>
          <w:sz w:val="20"/>
          <w:szCs w:val="20"/>
          <w:color w:val="auto"/>
        </w:rPr>
      </w:pPr>
    </w:p>
    <w:p>
      <w:pPr>
        <w:spacing w:after="0" w:line="311" w:lineRule="auto"/>
        <w:rPr>
          <w:sz w:val="20"/>
          <w:szCs w:val="20"/>
          <w:color w:val="auto"/>
        </w:rPr>
      </w:pPr>
      <w:r>
        <w:rPr>
          <w:rFonts w:ascii="Arial" w:cs="Arial" w:eastAsia="Arial" w:hAnsi="Arial"/>
          <w:sz w:val="16"/>
          <w:szCs w:val="16"/>
          <w:b w:val="1"/>
          <w:bCs w:val="1"/>
          <w:i w:val="1"/>
          <w:iCs w:val="1"/>
          <w:color w:val="auto"/>
        </w:rPr>
        <w:t>Meetings of Stockholders</w:t>
      </w:r>
      <w:r>
        <w:rPr>
          <w:rFonts w:ascii="Arial" w:cs="Arial" w:eastAsia="Arial" w:hAnsi="Arial"/>
          <w:sz w:val="16"/>
          <w:szCs w:val="16"/>
          <w:color w:val="auto"/>
        </w:rPr>
        <w:t>. Our Charter and Bylaws provide that only a majority of the members of our Board then in office may call special meetings of</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stockholders and only those matters set forth in the notice of the special meeting may be considered or acted upon at a special meeting of stockholders. Our Bylaws limit the business that may be conducted at an annual meeting of stockholders to those matters properly brought before the meeting.</w:t>
      </w:r>
    </w:p>
    <w:p>
      <w:pPr>
        <w:spacing w:after="0" w:line="149" w:lineRule="exact"/>
        <w:rPr>
          <w:sz w:val="20"/>
          <w:szCs w:val="20"/>
          <w:color w:val="auto"/>
        </w:rPr>
      </w:pPr>
    </w:p>
    <w:p>
      <w:pPr>
        <w:ind w:right="120"/>
        <w:spacing w:after="0" w:line="296" w:lineRule="auto"/>
        <w:rPr>
          <w:sz w:val="20"/>
          <w:szCs w:val="20"/>
          <w:color w:val="auto"/>
        </w:rPr>
      </w:pPr>
      <w:r>
        <w:rPr>
          <w:rFonts w:ascii="Arial" w:cs="Arial" w:eastAsia="Arial" w:hAnsi="Arial"/>
          <w:sz w:val="16"/>
          <w:szCs w:val="16"/>
          <w:b w:val="1"/>
          <w:bCs w:val="1"/>
          <w:i w:val="1"/>
          <w:iCs w:val="1"/>
          <w:color w:val="auto"/>
        </w:rPr>
        <w:t>Advance Notice Requirements</w:t>
      </w:r>
      <w:r>
        <w:rPr>
          <w:rFonts w:ascii="Arial" w:cs="Arial" w:eastAsia="Arial" w:hAnsi="Arial"/>
          <w:sz w:val="16"/>
          <w:szCs w:val="16"/>
          <w:color w:val="auto"/>
        </w:rPr>
        <w:t>. Our Bylaws establish advance notice procedures with regard to stockholder proposals relating to the nomination of</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candidates for election as directors or new business to be brought before meetings of our stockholders. These procedures provide that notice of stockholder proposals must be timely given in writing to our corporate secretary prior to the meeting at which the action is to be taken. Generally, to be timely, notice must be received at our principal executive offices not less than 90 days nor more than 120 days prior to the first anniversary date of the annual meeting for the preceding year. Our Bylaws specify the requirements as to form and content of all stockholders’ notices.</w:t>
      </w:r>
    </w:p>
    <w:p>
      <w:pPr>
        <w:spacing w:after="0" w:line="9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16</w:t>
      </w:r>
    </w:p>
    <w:p>
      <w:pPr>
        <w:sectPr>
          <w:pgSz w:w="11900" w:h="16838" w:orient="portrait"/>
          <w:cols w:equalWidth="0" w:num="1">
            <w:col w:w="11000"/>
          </w:cols>
          <w:pgMar w:left="440" w:top="274" w:right="459" w:bottom="1440" w:gutter="0" w:footer="0" w:header="0"/>
        </w:sectPr>
      </w:pPr>
    </w:p>
    <w:bookmarkStart w:id="57" w:name="page58"/>
    <w:bookmarkEnd w:id="57"/>
    <w:p>
      <w:pPr>
        <w:spacing w:after="0" w:line="270" w:lineRule="auto"/>
        <w:rPr>
          <w:sz w:val="20"/>
          <w:szCs w:val="20"/>
          <w:color w:val="auto"/>
        </w:rPr>
      </w:pPr>
      <w:r>
        <w:rPr>
          <w:rFonts w:ascii="Arial" w:cs="Arial" w:eastAsia="Arial" w:hAnsi="Arial"/>
          <w:sz w:val="17"/>
          <w:szCs w:val="17"/>
          <w:b w:val="1"/>
          <w:bCs w:val="1"/>
          <w:i w:val="1"/>
          <w:iCs w:val="1"/>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96">
                      <a:extLst>
                        <a:ext uri="{28A0092B-C50C-407E-A947-70E740481C1C}"/>
                      </a:extLst>
                    </a:blip>
                    <a:srcRect/>
                    <a:stretch>
                      <a:fillRect/>
                    </a:stretch>
                  </pic:blipFill>
                  <pic:spPr bwMode="auto">
                    <a:xfrm>
                      <a:off x="0" y="0"/>
                      <a:ext cx="7149465" cy="25400"/>
                    </a:xfrm>
                    <a:prstGeom prst="rect">
                      <a:avLst/>
                    </a:prstGeom>
                    <a:noFill/>
                  </pic:spPr>
                </pic:pic>
              </a:graphicData>
            </a:graphic>
          </wp:anchor>
        </w:drawing>
        <w:t>Amendment to Charter and Bylaws</w:t>
      </w:r>
      <w:r>
        <w:rPr>
          <w:rFonts w:ascii="Arial" w:cs="Arial" w:eastAsia="Arial" w:hAnsi="Arial"/>
          <w:sz w:val="17"/>
          <w:szCs w:val="17"/>
          <w:color w:val="auto"/>
        </w:rPr>
        <w:t>. As required by the DGCL, any amendment of our Charter must first be approved by a majority of our Board, and if</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required by law or our Charter, must thereafter be approved by a majority of the outstanding shares entitled to vote on the amendment and a majority of the outstanding shares of each class entitled to vote thereon as a class, except that the amendment of the provisions relating to stockholder action, board composition, limitation of liability and the amendment of our Charter must be approved by not less than 75% of the outstanding shares entitled to vote on the amendment, and not less than 75% of the outstanding shares of each class entitled to vote thereon as a class. Our Bylaws may be amended by the affirmative vote of a majority of the directors then in office, subject to any limitations set forth in the Bylaws; and may also be amended by the affirmative vote of at least 75% of the outstanding shares entitled to vote on the amendment, or, if our Board recommends that the stockholders approve the amendment, by the affirmative vote of the majority of the outstanding shares entitled to vote on the amendment, in each case voting together as a single class.</w:t>
      </w:r>
    </w:p>
    <w:p>
      <w:pPr>
        <w:spacing w:after="0" w:line="181" w:lineRule="exact"/>
        <w:rPr>
          <w:sz w:val="20"/>
          <w:szCs w:val="20"/>
          <w:color w:val="auto"/>
        </w:rPr>
      </w:pPr>
    </w:p>
    <w:p>
      <w:pPr>
        <w:ind w:right="100"/>
        <w:spacing w:after="0" w:line="301" w:lineRule="auto"/>
        <w:rPr>
          <w:sz w:val="20"/>
          <w:szCs w:val="20"/>
          <w:color w:val="auto"/>
        </w:rPr>
      </w:pPr>
      <w:r>
        <w:rPr>
          <w:rFonts w:ascii="Arial" w:cs="Arial" w:eastAsia="Arial" w:hAnsi="Arial"/>
          <w:sz w:val="16"/>
          <w:szCs w:val="16"/>
          <w:color w:val="auto"/>
        </w:rPr>
        <w:t>As a Delaware corporation, we are also subject to provisions of Delaware law, including Section 203 of the DGCL. In general, Section 203 prohibits a publicly held Delaware corporation from engaging in a “business combination” with an “interested stockholder” for a three-year period following the time that this stockholder becomes an interested stockholder, unless the business combination is approved in a prescribed manner. Under Section 203, a business combination between a corporation and an interested stockholder is prohibited unless it satisfies one of the following conditions:</w:t>
      </w:r>
    </w:p>
    <w:p>
      <w:pPr>
        <w:spacing w:after="0" w:line="63" w:lineRule="exact"/>
        <w:rPr>
          <w:sz w:val="20"/>
          <w:szCs w:val="20"/>
          <w:color w:val="auto"/>
        </w:rPr>
      </w:pPr>
    </w:p>
    <w:p>
      <w:pPr>
        <w:ind w:left="960" w:right="20" w:hanging="424"/>
        <w:spacing w:after="0" w:line="277" w:lineRule="auto"/>
        <w:tabs>
          <w:tab w:leader="none" w:pos="960" w:val="left"/>
        </w:tabs>
        <w:numPr>
          <w:ilvl w:val="0"/>
          <w:numId w:val="32"/>
        </w:numPr>
        <w:rPr>
          <w:rFonts w:ascii="Arial" w:cs="Arial" w:eastAsia="Arial" w:hAnsi="Arial"/>
          <w:sz w:val="18"/>
          <w:szCs w:val="18"/>
          <w:color w:val="auto"/>
        </w:rPr>
      </w:pPr>
      <w:r>
        <w:rPr>
          <w:rFonts w:ascii="Arial" w:cs="Arial" w:eastAsia="Arial" w:hAnsi="Arial"/>
          <w:sz w:val="18"/>
          <w:szCs w:val="18"/>
          <w:color w:val="auto"/>
        </w:rPr>
        <w:t>before the stockholder became interested, the board of directors approved either the business combination or the transaction which resulted in the stockholder becoming an interested stockholder;</w:t>
      </w:r>
    </w:p>
    <w:p>
      <w:pPr>
        <w:spacing w:after="0" w:line="75" w:lineRule="exact"/>
        <w:rPr>
          <w:rFonts w:ascii="Arial" w:cs="Arial" w:eastAsia="Arial" w:hAnsi="Arial"/>
          <w:sz w:val="18"/>
          <w:szCs w:val="18"/>
          <w:color w:val="auto"/>
        </w:rPr>
      </w:pPr>
    </w:p>
    <w:p>
      <w:pPr>
        <w:ind w:left="960" w:right="80" w:hanging="424"/>
        <w:spacing w:after="0" w:line="279" w:lineRule="auto"/>
        <w:tabs>
          <w:tab w:leader="none" w:pos="960" w:val="left"/>
        </w:tabs>
        <w:numPr>
          <w:ilvl w:val="0"/>
          <w:numId w:val="32"/>
        </w:numPr>
        <w:rPr>
          <w:rFonts w:ascii="Arial" w:cs="Arial" w:eastAsia="Arial" w:hAnsi="Arial"/>
          <w:sz w:val="17"/>
          <w:szCs w:val="17"/>
          <w:color w:val="auto"/>
        </w:rPr>
      </w:pPr>
      <w:r>
        <w:rPr>
          <w:rFonts w:ascii="Arial" w:cs="Arial" w:eastAsia="Arial" w:hAnsi="Arial"/>
          <w:sz w:val="17"/>
          <w:szCs w:val="17"/>
          <w:color w:val="auto"/>
        </w:rPr>
        <w:t>upon consummation of the transaction which resulted in the stockholder becoming an interested stockholder, the interested stockholder owned at least 85% of the voting stock of the corporation outstanding at the time the transaction commenced, excluding for purposes of determining the voting stock outstanding, shares owned by persons who are directors and also officers, and employee stock plans, in some instances, but not the outstanding voting stock owned by the interested stockholder; or</w:t>
      </w:r>
    </w:p>
    <w:p>
      <w:pPr>
        <w:spacing w:after="0" w:line="76" w:lineRule="exact"/>
        <w:rPr>
          <w:rFonts w:ascii="Arial" w:cs="Arial" w:eastAsia="Arial" w:hAnsi="Arial"/>
          <w:sz w:val="17"/>
          <w:szCs w:val="17"/>
          <w:color w:val="auto"/>
        </w:rPr>
      </w:pPr>
    </w:p>
    <w:p>
      <w:pPr>
        <w:jc w:val="both"/>
        <w:ind w:left="960" w:right="140" w:hanging="424"/>
        <w:spacing w:after="0" w:line="263" w:lineRule="auto"/>
        <w:tabs>
          <w:tab w:leader="none" w:pos="960" w:val="left"/>
        </w:tabs>
        <w:numPr>
          <w:ilvl w:val="0"/>
          <w:numId w:val="32"/>
        </w:numPr>
        <w:rPr>
          <w:rFonts w:ascii="Arial" w:cs="Arial" w:eastAsia="Arial" w:hAnsi="Arial"/>
          <w:sz w:val="18"/>
          <w:szCs w:val="18"/>
          <w:color w:val="auto"/>
        </w:rPr>
      </w:pPr>
      <w:r>
        <w:rPr>
          <w:rFonts w:ascii="Arial" w:cs="Arial" w:eastAsia="Arial" w:hAnsi="Arial"/>
          <w:sz w:val="18"/>
          <w:szCs w:val="18"/>
          <w:color w:val="auto"/>
        </w:rPr>
        <w:t>at or after the time the stockholder became interested, the business combination was approved by the board of directors and authorized at an annual or special meeting of the stockholders by the affirmative vote of at least two-thirds of the outstanding voting stock which is not owned by the interested stockholder.</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color w:val="auto"/>
        </w:rPr>
        <w:t>Section 203 defines a business combination to include:</w:t>
      </w:r>
    </w:p>
    <w:p>
      <w:pPr>
        <w:spacing w:after="0" w:line="131" w:lineRule="exact"/>
        <w:rPr>
          <w:sz w:val="20"/>
          <w:szCs w:val="20"/>
          <w:color w:val="auto"/>
        </w:rPr>
      </w:pPr>
    </w:p>
    <w:p>
      <w:pPr>
        <w:ind w:left="960" w:hanging="424"/>
        <w:spacing w:after="0"/>
        <w:tabs>
          <w:tab w:leader="none" w:pos="960" w:val="left"/>
        </w:tabs>
        <w:numPr>
          <w:ilvl w:val="0"/>
          <w:numId w:val="33"/>
        </w:numPr>
        <w:rPr>
          <w:rFonts w:ascii="Arial" w:cs="Arial" w:eastAsia="Arial" w:hAnsi="Arial"/>
          <w:sz w:val="18"/>
          <w:szCs w:val="18"/>
          <w:color w:val="auto"/>
        </w:rPr>
      </w:pPr>
      <w:r>
        <w:rPr>
          <w:rFonts w:ascii="Arial" w:cs="Arial" w:eastAsia="Arial" w:hAnsi="Arial"/>
          <w:sz w:val="18"/>
          <w:szCs w:val="18"/>
          <w:color w:val="auto"/>
        </w:rPr>
        <w:t>any merger or consolidation involving the corporation and the interested stockholder;</w:t>
      </w:r>
    </w:p>
    <w:p>
      <w:pPr>
        <w:spacing w:after="0" w:line="130" w:lineRule="exact"/>
        <w:rPr>
          <w:rFonts w:ascii="Arial" w:cs="Arial" w:eastAsia="Arial" w:hAnsi="Arial"/>
          <w:sz w:val="18"/>
          <w:szCs w:val="18"/>
          <w:color w:val="auto"/>
        </w:rPr>
      </w:pPr>
    </w:p>
    <w:p>
      <w:pPr>
        <w:ind w:left="960" w:right="280" w:hanging="424"/>
        <w:spacing w:after="0" w:line="277" w:lineRule="auto"/>
        <w:tabs>
          <w:tab w:leader="none" w:pos="960" w:val="left"/>
        </w:tabs>
        <w:numPr>
          <w:ilvl w:val="0"/>
          <w:numId w:val="33"/>
        </w:numPr>
        <w:rPr>
          <w:rFonts w:ascii="Arial" w:cs="Arial" w:eastAsia="Arial" w:hAnsi="Arial"/>
          <w:sz w:val="18"/>
          <w:szCs w:val="18"/>
          <w:color w:val="auto"/>
        </w:rPr>
      </w:pPr>
      <w:r>
        <w:rPr>
          <w:rFonts w:ascii="Arial" w:cs="Arial" w:eastAsia="Arial" w:hAnsi="Arial"/>
          <w:sz w:val="18"/>
          <w:szCs w:val="18"/>
          <w:color w:val="auto"/>
        </w:rPr>
        <w:t>any sale, transfer, lease, pledge or other disposition involving the interested stockholder of 10% or more of the assets of the corporation any conflicts or violations of each party’s agreements as a result of the merger or the merger agreement;</w:t>
      </w:r>
    </w:p>
    <w:p>
      <w:pPr>
        <w:spacing w:after="0" w:line="75" w:lineRule="exact"/>
        <w:rPr>
          <w:rFonts w:ascii="Arial" w:cs="Arial" w:eastAsia="Arial" w:hAnsi="Arial"/>
          <w:sz w:val="18"/>
          <w:szCs w:val="18"/>
          <w:color w:val="auto"/>
        </w:rPr>
      </w:pPr>
    </w:p>
    <w:p>
      <w:pPr>
        <w:ind w:left="960" w:right="540" w:hanging="424"/>
        <w:spacing w:after="0" w:line="277" w:lineRule="auto"/>
        <w:tabs>
          <w:tab w:leader="none" w:pos="960" w:val="left"/>
        </w:tabs>
        <w:numPr>
          <w:ilvl w:val="0"/>
          <w:numId w:val="33"/>
        </w:numPr>
        <w:rPr>
          <w:rFonts w:ascii="Arial" w:cs="Arial" w:eastAsia="Arial" w:hAnsi="Arial"/>
          <w:sz w:val="18"/>
          <w:szCs w:val="18"/>
          <w:color w:val="auto"/>
        </w:rPr>
      </w:pPr>
      <w:r>
        <w:rPr>
          <w:rFonts w:ascii="Arial" w:cs="Arial" w:eastAsia="Arial" w:hAnsi="Arial"/>
          <w:sz w:val="18"/>
          <w:szCs w:val="18"/>
          <w:color w:val="auto"/>
        </w:rPr>
        <w:t>subject to exceptions, any transaction that results in the issuance or transfer by the corporation of any stock of the corporation to the interested stockholder;</w:t>
      </w:r>
    </w:p>
    <w:p>
      <w:pPr>
        <w:spacing w:after="0" w:line="75" w:lineRule="exact"/>
        <w:rPr>
          <w:rFonts w:ascii="Arial" w:cs="Arial" w:eastAsia="Arial" w:hAnsi="Arial"/>
          <w:sz w:val="18"/>
          <w:szCs w:val="18"/>
          <w:color w:val="auto"/>
        </w:rPr>
      </w:pPr>
    </w:p>
    <w:p>
      <w:pPr>
        <w:ind w:left="960" w:right="260" w:hanging="424"/>
        <w:spacing w:after="0" w:line="277" w:lineRule="auto"/>
        <w:tabs>
          <w:tab w:leader="none" w:pos="960" w:val="left"/>
        </w:tabs>
        <w:numPr>
          <w:ilvl w:val="0"/>
          <w:numId w:val="33"/>
        </w:numPr>
        <w:rPr>
          <w:rFonts w:ascii="Arial" w:cs="Arial" w:eastAsia="Arial" w:hAnsi="Arial"/>
          <w:sz w:val="18"/>
          <w:szCs w:val="18"/>
          <w:color w:val="auto"/>
        </w:rPr>
      </w:pPr>
      <w:r>
        <w:rPr>
          <w:rFonts w:ascii="Arial" w:cs="Arial" w:eastAsia="Arial" w:hAnsi="Arial"/>
          <w:sz w:val="18"/>
          <w:szCs w:val="18"/>
          <w:color w:val="auto"/>
        </w:rPr>
        <w:t>subject to exceptions, any transaction involving the corporation that has the effect of increasing the proportionate share of the interested stockholder; and</w:t>
      </w:r>
    </w:p>
    <w:p>
      <w:pPr>
        <w:spacing w:after="0" w:line="75" w:lineRule="exact"/>
        <w:rPr>
          <w:rFonts w:ascii="Arial" w:cs="Arial" w:eastAsia="Arial" w:hAnsi="Arial"/>
          <w:sz w:val="18"/>
          <w:szCs w:val="18"/>
          <w:color w:val="auto"/>
        </w:rPr>
      </w:pPr>
    </w:p>
    <w:p>
      <w:pPr>
        <w:ind w:left="960" w:right="180" w:hanging="424"/>
        <w:spacing w:after="0" w:line="277" w:lineRule="auto"/>
        <w:tabs>
          <w:tab w:leader="none" w:pos="960" w:val="left"/>
        </w:tabs>
        <w:numPr>
          <w:ilvl w:val="0"/>
          <w:numId w:val="33"/>
        </w:numPr>
        <w:rPr>
          <w:rFonts w:ascii="Arial" w:cs="Arial" w:eastAsia="Arial" w:hAnsi="Arial"/>
          <w:sz w:val="18"/>
          <w:szCs w:val="18"/>
          <w:color w:val="auto"/>
        </w:rPr>
      </w:pPr>
      <w:r>
        <w:rPr>
          <w:rFonts w:ascii="Arial" w:cs="Arial" w:eastAsia="Arial" w:hAnsi="Arial"/>
          <w:sz w:val="18"/>
          <w:szCs w:val="18"/>
          <w:color w:val="auto"/>
        </w:rPr>
        <w:t>the receipt by the interested stockholder of the benefit of any loans, advances, guarantees, pledges or other financial benefits provided by or through the corporation.</w:t>
      </w:r>
    </w:p>
    <w:p>
      <w:pPr>
        <w:spacing w:after="0" w:line="170" w:lineRule="exact"/>
        <w:rPr>
          <w:sz w:val="20"/>
          <w:szCs w:val="20"/>
          <w:color w:val="auto"/>
        </w:rPr>
      </w:pPr>
    </w:p>
    <w:p>
      <w:pPr>
        <w:jc w:val="both"/>
        <w:ind w:right="60"/>
        <w:spacing w:after="0" w:line="277" w:lineRule="auto"/>
        <w:rPr>
          <w:sz w:val="20"/>
          <w:szCs w:val="20"/>
          <w:color w:val="auto"/>
        </w:rPr>
      </w:pPr>
      <w:r>
        <w:rPr>
          <w:rFonts w:ascii="Arial" w:cs="Arial" w:eastAsia="Arial" w:hAnsi="Arial"/>
          <w:sz w:val="18"/>
          <w:szCs w:val="18"/>
          <w:color w:val="auto"/>
        </w:rPr>
        <w:t>In general, Section 203 defines an interested stockholder as any entity or person beneficially owning 15% or more of the outstanding voting stock of the corporation and any entity or person affiliated with or controlling or controlled by the entity or person.</w:t>
      </w:r>
    </w:p>
    <w:p>
      <w:pPr>
        <w:spacing w:after="0" w:line="170" w:lineRule="exact"/>
        <w:rPr>
          <w:sz w:val="20"/>
          <w:szCs w:val="20"/>
          <w:color w:val="auto"/>
        </w:rPr>
      </w:pPr>
    </w:p>
    <w:p>
      <w:pPr>
        <w:jc w:val="both"/>
        <w:ind w:right="40"/>
        <w:spacing w:after="0" w:line="311" w:lineRule="auto"/>
        <w:rPr>
          <w:sz w:val="20"/>
          <w:szCs w:val="20"/>
          <w:color w:val="auto"/>
        </w:rPr>
      </w:pPr>
      <w:r>
        <w:rPr>
          <w:rFonts w:ascii="Arial" w:cs="Arial" w:eastAsia="Arial" w:hAnsi="Arial"/>
          <w:sz w:val="16"/>
          <w:szCs w:val="16"/>
          <w:b w:val="1"/>
          <w:bCs w:val="1"/>
          <w:i w:val="1"/>
          <w:iCs w:val="1"/>
          <w:color w:val="auto"/>
        </w:rPr>
        <w:t>Exclusive Jurisdiction of Certain Actions</w:t>
      </w:r>
      <w:r>
        <w:rPr>
          <w:rFonts w:ascii="Arial" w:cs="Arial" w:eastAsia="Arial" w:hAnsi="Arial"/>
          <w:sz w:val="16"/>
          <w:szCs w:val="16"/>
          <w:color w:val="auto"/>
        </w:rPr>
        <w:t>. Our Charter provides that, unless we consent in writing to the selection of an alternative forum, the Court of</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Chancery of the State of Delaware shall be the sole and exclusive forum for (i) any derivative action or proceeding brought on our behalf, (ii) any action asserting a claim of breach of a fiduciary duty owed by any of our directors, officers or other employees to us or our stockholders, (iii) any action</w:t>
      </w:r>
    </w:p>
    <w:p>
      <w:pPr>
        <w:spacing w:after="0" w:line="8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17</w:t>
      </w:r>
    </w:p>
    <w:p>
      <w:pPr>
        <w:sectPr>
          <w:pgSz w:w="11900" w:h="16838" w:orient="portrait"/>
          <w:cols w:equalWidth="0" w:num="1">
            <w:col w:w="11000"/>
          </w:cols>
          <w:pgMar w:left="440" w:top="274" w:right="459" w:bottom="1440" w:gutter="0" w:footer="0" w:header="0"/>
        </w:sectPr>
      </w:pPr>
    </w:p>
    <w:bookmarkStart w:id="58" w:name="page59"/>
    <w:bookmarkEnd w:id="58"/>
    <w:p>
      <w:pPr>
        <w:spacing w:after="0" w:line="255"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97">
                      <a:extLst>
                        <a:ext uri="{28A0092B-C50C-407E-A947-70E740481C1C}"/>
                      </a:extLst>
                    </a:blip>
                    <a:srcRect/>
                    <a:stretch>
                      <a:fillRect/>
                    </a:stretch>
                  </pic:blipFill>
                  <pic:spPr bwMode="auto">
                    <a:xfrm>
                      <a:off x="0" y="0"/>
                      <a:ext cx="7149465" cy="25400"/>
                    </a:xfrm>
                    <a:prstGeom prst="rect">
                      <a:avLst/>
                    </a:prstGeom>
                    <a:noFill/>
                  </pic:spPr>
                </pic:pic>
              </a:graphicData>
            </a:graphic>
          </wp:anchor>
        </w:drawing>
        <w:t>asserting a claim arising pursuant to any provision of the Delaware General Corporation Law, our Charter or our Bylaws, or (iv) any action asserting a claim against us governed by the internal affairs doctrine. This provision does not apply to claims arising under the Exchange Act or the Securities Act. Although we believe this provision benefits us by providing increased consistency in the application of Delaware law in the types of lawsuits to which it applies, the provision may have the effect of discouraging lawsuits against our directors and officers. The enforceability of similar exclusive forum provisions in other companies’ certificates of incorporation has been challenged in legal proceedings, and it is possible that a court could rule that this provision in our Charter is inapplicable or unenforceable.</w:t>
      </w:r>
    </w:p>
    <w:p>
      <w:pPr>
        <w:spacing w:after="0" w:line="125"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18</w:t>
      </w:r>
    </w:p>
    <w:p>
      <w:pPr>
        <w:sectPr>
          <w:pgSz w:w="11900" w:h="16838" w:orient="portrait"/>
          <w:cols w:equalWidth="0" w:num="1">
            <w:col w:w="10960"/>
          </w:cols>
          <w:pgMar w:left="440" w:top="274" w:right="499" w:bottom="1440" w:gutter="0" w:footer="0" w:header="0"/>
        </w:sectPr>
      </w:pPr>
    </w:p>
    <w:bookmarkStart w:id="59" w:name="page60"/>
    <w:bookmarkEnd w:id="59"/>
    <w:p>
      <w:pPr>
        <w:jc w:val="cente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8">
                      <a:extLst>
                        <a:ext uri="{28A0092B-C50C-407E-A947-70E740481C1C}"/>
                      </a:extLst>
                    </a:blip>
                    <a:srcRect/>
                    <a:stretch>
                      <a:fillRect/>
                    </a:stretch>
                  </pic:blipFill>
                  <pic:spPr bwMode="auto">
                    <a:xfrm>
                      <a:off x="0" y="0"/>
                      <a:ext cx="7149465" cy="25400"/>
                    </a:xfrm>
                    <a:prstGeom prst="rect">
                      <a:avLst/>
                    </a:prstGeom>
                    <a:noFill/>
                  </pic:spPr>
                </pic:pic>
              </a:graphicData>
            </a:graphic>
          </wp:anchor>
        </w:drawing>
        <w:t>PLAN OF DISTRIBUTION</w:t>
      </w:r>
    </w:p>
    <w:p>
      <w:pPr>
        <w:spacing w:after="0" w:line="229" w:lineRule="exact"/>
        <w:rPr>
          <w:sz w:val="20"/>
          <w:szCs w:val="20"/>
          <w:color w:val="auto"/>
        </w:rPr>
      </w:pPr>
    </w:p>
    <w:p>
      <w:pPr>
        <w:ind w:right="20"/>
        <w:spacing w:after="0" w:line="291" w:lineRule="auto"/>
        <w:rPr>
          <w:sz w:val="20"/>
          <w:szCs w:val="20"/>
          <w:color w:val="auto"/>
        </w:rPr>
      </w:pPr>
      <w:r>
        <w:rPr>
          <w:rFonts w:ascii="Arial" w:cs="Arial" w:eastAsia="Arial" w:hAnsi="Arial"/>
          <w:sz w:val="16"/>
          <w:szCs w:val="16"/>
          <w:color w:val="auto"/>
        </w:rPr>
        <w:t>We have entered into the Equity Distribution Agreement with Piper Sandler, under which we may issue and sell from time to time up to $50,000,000 of shares of our common stock through Piper Sandler, as our sales agent. We will be required to file another prospectus or prospectus supplement in the event we want to offer more than $50,000,000 in shares of our common stock in accordance with the terms of the Equity Distribution Agreement. Piper Sandler will use commercially reasonable efforts to sell on our behalf all shares of our common stock requested to be sold by us, consistent with its normal trading and sales practices, under the terms and subject to the conditions set forth in the Equity Distribution Agreement. We may instruct Piper Sandler not to sell our common stock if the sales cannot be effected at or above the price designated by us in any instruction. We or Piper Sandler may suspend the offering of our common stock upon proper notice and subject to other conditions, as further described in the Equity Distribution Agreement.</w:t>
      </w:r>
    </w:p>
    <w:p>
      <w:pPr>
        <w:spacing w:after="0" w:line="166" w:lineRule="exact"/>
        <w:rPr>
          <w:sz w:val="20"/>
          <w:szCs w:val="20"/>
          <w:color w:val="auto"/>
        </w:rPr>
      </w:pPr>
    </w:p>
    <w:p>
      <w:pPr>
        <w:spacing w:after="0" w:line="296" w:lineRule="auto"/>
        <w:rPr>
          <w:sz w:val="20"/>
          <w:szCs w:val="20"/>
          <w:color w:val="auto"/>
        </w:rPr>
      </w:pPr>
      <w:r>
        <w:rPr>
          <w:rFonts w:ascii="Arial" w:cs="Arial" w:eastAsia="Arial" w:hAnsi="Arial"/>
          <w:sz w:val="16"/>
          <w:szCs w:val="16"/>
          <w:color w:val="auto"/>
        </w:rPr>
        <w:t>Piper Sandler may sell our common stock by any method permitted by law deemed to be an “at the market offering” as defined in Rule 415(a)(4) promulgated under the Securities Act, including sales made directly on or through The Nasdaq Global Market or on any other existing trading market for our common stock. Piper Sandler will provide written confirmation to us no later than the opening of trading on The Nasdaq Global Market on the day following each day in which our common stock is sold under the Equity Distribution Agreement. Each such confirmation will include the number of shares of our common stock sold on such day, the volume-weighted average price of the shares sold and the net proceeds to us.</w:t>
      </w:r>
    </w:p>
    <w:p>
      <w:pPr>
        <w:spacing w:after="0" w:line="161" w:lineRule="exact"/>
        <w:rPr>
          <w:sz w:val="20"/>
          <w:szCs w:val="20"/>
          <w:color w:val="auto"/>
        </w:rPr>
      </w:pPr>
    </w:p>
    <w:p>
      <w:pPr>
        <w:ind w:right="140"/>
        <w:spacing w:after="0" w:line="296" w:lineRule="auto"/>
        <w:rPr>
          <w:sz w:val="20"/>
          <w:szCs w:val="20"/>
          <w:color w:val="auto"/>
        </w:rPr>
      </w:pPr>
      <w:r>
        <w:rPr>
          <w:rFonts w:ascii="Arial" w:cs="Arial" w:eastAsia="Arial" w:hAnsi="Arial"/>
          <w:sz w:val="16"/>
          <w:szCs w:val="16"/>
          <w:color w:val="auto"/>
        </w:rPr>
        <w:t>We will pay Piper Sandler commissions for its services in acting as sales agent in the sale of our common stock. Piper Sandler will be entitled to compensation in an amount up to 3.0% of the gross sales price of all common stock sold through it as sales agent under the Equity Distribution Agreement. We have also agreed to reimburse Piper Sandler for the out-of-pocket reasonable fees and disbursements of its legal counsel, payable upon execution of the Equity Distribution Agreement, in an amount not to exceed $50,000. We estimate that the total expenses for this offering, excluding compensation payable to Piper Sandler under the terms of the Equity Distribution Agreement, will be approximately $260,000.</w:t>
      </w:r>
    </w:p>
    <w:p>
      <w:pPr>
        <w:spacing w:after="0" w:line="161" w:lineRule="exact"/>
        <w:rPr>
          <w:sz w:val="20"/>
          <w:szCs w:val="20"/>
          <w:color w:val="auto"/>
        </w:rPr>
      </w:pPr>
    </w:p>
    <w:p>
      <w:pPr>
        <w:jc w:val="both"/>
        <w:ind w:right="100"/>
        <w:spacing w:after="0" w:line="301" w:lineRule="auto"/>
        <w:rPr>
          <w:sz w:val="20"/>
          <w:szCs w:val="20"/>
          <w:color w:val="auto"/>
        </w:rPr>
      </w:pPr>
      <w:r>
        <w:rPr>
          <w:rFonts w:ascii="Arial" w:cs="Arial" w:eastAsia="Arial" w:hAnsi="Arial"/>
          <w:sz w:val="16"/>
          <w:szCs w:val="16"/>
          <w:color w:val="auto"/>
        </w:rPr>
        <w:t>Settlement for sales of our common stock will occur on the second business day following the date on which any such sales are made, or on some other date that is agreed upon by us and Piper Sandler in connection with a particular transaction, in return for payment of the net proceeds to us. Sales of our common stock as contemplated in this prospectus will be settled through the facilities of The Depository Trust Company or by such other means as we and Piper Sandler may agree upon. There is no arrangement for funds to be received in an escrow, trust or similar arrangement.</w:t>
      </w:r>
    </w:p>
    <w:p>
      <w:pPr>
        <w:spacing w:after="0" w:line="157" w:lineRule="exact"/>
        <w:rPr>
          <w:sz w:val="20"/>
          <w:szCs w:val="20"/>
          <w:color w:val="auto"/>
        </w:rPr>
      </w:pPr>
    </w:p>
    <w:p>
      <w:pPr>
        <w:ind w:right="360"/>
        <w:spacing w:after="0" w:line="277" w:lineRule="auto"/>
        <w:rPr>
          <w:sz w:val="20"/>
          <w:szCs w:val="20"/>
          <w:color w:val="auto"/>
        </w:rPr>
      </w:pPr>
      <w:r>
        <w:rPr>
          <w:rFonts w:ascii="Arial" w:cs="Arial" w:eastAsia="Arial" w:hAnsi="Arial"/>
          <w:sz w:val="18"/>
          <w:szCs w:val="18"/>
          <w:color w:val="auto"/>
        </w:rPr>
        <w:t>We will report at least quarterly the number of shares of our common stock sold through Piper Sandler, as sales agent, under the Equity Distribution Agreement, and the net proceeds to us in connection with such sales.</w:t>
      </w:r>
    </w:p>
    <w:p>
      <w:pPr>
        <w:spacing w:after="0" w:line="170" w:lineRule="exact"/>
        <w:rPr>
          <w:sz w:val="20"/>
          <w:szCs w:val="20"/>
          <w:color w:val="auto"/>
        </w:rPr>
      </w:pPr>
    </w:p>
    <w:p>
      <w:pPr>
        <w:ind w:right="220"/>
        <w:spacing w:after="0" w:line="311" w:lineRule="auto"/>
        <w:rPr>
          <w:sz w:val="20"/>
          <w:szCs w:val="20"/>
          <w:color w:val="auto"/>
        </w:rPr>
      </w:pPr>
      <w:r>
        <w:rPr>
          <w:rFonts w:ascii="Arial" w:cs="Arial" w:eastAsia="Arial" w:hAnsi="Arial"/>
          <w:sz w:val="16"/>
          <w:szCs w:val="16"/>
          <w:color w:val="auto"/>
        </w:rPr>
        <w:t>Piper Sandler and its affiliates have from time to time provided, and may in the future provide, various investment banking, commercial banking, fiduciary and advisory services for us for which they have received, and may in the future receive, customary fees and expenses. Piper Sandler and its affiliates may from time to time engage in other transactions with and perform services for us in the ordinary course of their business.</w:t>
      </w:r>
    </w:p>
    <w:p>
      <w:pPr>
        <w:spacing w:after="0" w:line="149" w:lineRule="exact"/>
        <w:rPr>
          <w:sz w:val="20"/>
          <w:szCs w:val="20"/>
          <w:color w:val="auto"/>
        </w:rPr>
      </w:pPr>
    </w:p>
    <w:p>
      <w:pPr>
        <w:ind w:right="40"/>
        <w:spacing w:after="0" w:line="259" w:lineRule="auto"/>
        <w:rPr>
          <w:sz w:val="20"/>
          <w:szCs w:val="20"/>
          <w:color w:val="auto"/>
        </w:rPr>
      </w:pPr>
      <w:r>
        <w:rPr>
          <w:rFonts w:ascii="Arial" w:cs="Arial" w:eastAsia="Arial" w:hAnsi="Arial"/>
          <w:sz w:val="18"/>
          <w:szCs w:val="18"/>
          <w:color w:val="auto"/>
        </w:rPr>
        <w:t>In connection with the sale of our common stock on our behalf, Piper Sandler will be deemed to be an underwriter within the meaning of the Securities Act, and the compensation paid by us to Piper Sandler will be deemed to be underwriting commissions or discounts. We have agreed to indemnify Piper Sandler against specified liabilities, including liabilities under the Securities Act, or to contribute to payments that Piper Sandler may be required to make because of such liabilities.</w:t>
      </w:r>
    </w:p>
    <w:p>
      <w:pPr>
        <w:spacing w:after="0" w:line="187" w:lineRule="exact"/>
        <w:rPr>
          <w:sz w:val="20"/>
          <w:szCs w:val="20"/>
          <w:color w:val="auto"/>
        </w:rPr>
      </w:pPr>
    </w:p>
    <w:p>
      <w:pPr>
        <w:ind w:right="340"/>
        <w:spacing w:after="0" w:line="263" w:lineRule="auto"/>
        <w:rPr>
          <w:sz w:val="20"/>
          <w:szCs w:val="20"/>
          <w:color w:val="auto"/>
        </w:rPr>
      </w:pPr>
      <w:r>
        <w:rPr>
          <w:rFonts w:ascii="Arial" w:cs="Arial" w:eastAsia="Arial" w:hAnsi="Arial"/>
          <w:sz w:val="18"/>
          <w:szCs w:val="18"/>
          <w:color w:val="auto"/>
        </w:rPr>
        <w:t>The offering of our common stock pursuant to the Equity Distribution Agreement will terminate upon the earlier of (1) the sale of all common stock subject to the Equity Distribution Agreement or (2) termination of the Equity Distribution Agreement. The Equity Distribution Agreement may be terminated by Piper Sandler or us at any time upon specified prior written notice.</w:t>
      </w:r>
    </w:p>
    <w:p>
      <w:pPr>
        <w:spacing w:after="0" w:line="184" w:lineRule="exact"/>
        <w:rPr>
          <w:sz w:val="20"/>
          <w:szCs w:val="20"/>
          <w:color w:val="auto"/>
        </w:rPr>
      </w:pPr>
    </w:p>
    <w:p>
      <w:pPr>
        <w:ind w:right="60"/>
        <w:spacing w:after="0" w:line="277" w:lineRule="auto"/>
        <w:rPr>
          <w:sz w:val="20"/>
          <w:szCs w:val="20"/>
          <w:color w:val="auto"/>
        </w:rPr>
      </w:pPr>
      <w:r>
        <w:rPr>
          <w:rFonts w:ascii="Arial" w:cs="Arial" w:eastAsia="Arial" w:hAnsi="Arial"/>
          <w:sz w:val="18"/>
          <w:szCs w:val="18"/>
          <w:color w:val="auto"/>
        </w:rPr>
        <w:t>As sales agent, Piper Sandler will not engage in any transactions that stabilize the price of the common shares. No underwriter or dealer involved in this offering, no affiliate of such an underwriter or dealer, and no person or company</w:t>
      </w:r>
    </w:p>
    <w:p>
      <w:pPr>
        <w:spacing w:after="0" w:line="10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19</w:t>
      </w:r>
    </w:p>
    <w:p>
      <w:pPr>
        <w:sectPr>
          <w:pgSz w:w="11900" w:h="16838" w:orient="portrait"/>
          <w:cols w:equalWidth="0" w:num="1">
            <w:col w:w="11000"/>
          </w:cols>
          <w:pgMar w:left="440" w:top="270" w:right="459" w:bottom="1440" w:gutter="0" w:footer="0" w:header="0"/>
        </w:sectPr>
      </w:pPr>
    </w:p>
    <w:bookmarkStart w:id="60" w:name="page61"/>
    <w:bookmarkEnd w:id="60"/>
    <w:p>
      <w:pPr>
        <w:spacing w:after="0" w:line="277"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99">
                      <a:extLst>
                        <a:ext uri="{28A0092B-C50C-407E-A947-70E740481C1C}"/>
                      </a:extLst>
                    </a:blip>
                    <a:srcRect/>
                    <a:stretch>
                      <a:fillRect/>
                    </a:stretch>
                  </pic:blipFill>
                  <pic:spPr bwMode="auto">
                    <a:xfrm>
                      <a:off x="0" y="0"/>
                      <a:ext cx="7149465" cy="25400"/>
                    </a:xfrm>
                    <a:prstGeom prst="rect">
                      <a:avLst/>
                    </a:prstGeom>
                    <a:noFill/>
                  </pic:spPr>
                </pic:pic>
              </a:graphicData>
            </a:graphic>
          </wp:anchor>
        </w:drawing>
        <w:t>acting jointly or in concert with such an underwriter or dealer has overallotted, or will over-allot, common shares in connection with this offering or effect any other transactions that are intended to stabilize or maintain the market price of the common shares.</w:t>
      </w:r>
    </w:p>
    <w:p>
      <w:pPr>
        <w:spacing w:after="0" w:line="103" w:lineRule="exact"/>
        <w:rPr>
          <w:sz w:val="20"/>
          <w:szCs w:val="20"/>
          <w:color w:val="auto"/>
        </w:rPr>
      </w:pPr>
    </w:p>
    <w:p>
      <w:pPr>
        <w:jc w:val="center"/>
        <w:ind w:right="-379"/>
        <w:spacing w:after="0"/>
        <w:rPr>
          <w:sz w:val="20"/>
          <w:szCs w:val="20"/>
          <w:color w:val="auto"/>
        </w:rPr>
      </w:pPr>
      <w:r>
        <w:rPr>
          <w:rFonts w:ascii="Arial" w:cs="Arial" w:eastAsia="Arial" w:hAnsi="Arial"/>
          <w:sz w:val="18"/>
          <w:szCs w:val="18"/>
          <w:color w:val="auto"/>
        </w:rPr>
        <w:t>20</w:t>
      </w:r>
    </w:p>
    <w:p>
      <w:pPr>
        <w:sectPr>
          <w:pgSz w:w="11900" w:h="16838" w:orient="portrait"/>
          <w:cols w:equalWidth="0" w:num="1">
            <w:col w:w="10640"/>
          </w:cols>
          <w:pgMar w:left="440" w:top="274" w:right="819" w:bottom="1440" w:gutter="0" w:footer="0" w:header="0"/>
        </w:sectPr>
      </w:pPr>
    </w:p>
    <w:bookmarkStart w:id="61" w:name="page62"/>
    <w:bookmarkEnd w:id="61"/>
    <w:p>
      <w:pPr>
        <w:jc w:val="center"/>
        <w:ind w:right="-239"/>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100">
                      <a:extLst>
                        <a:ext uri="{28A0092B-C50C-407E-A947-70E740481C1C}"/>
                      </a:extLst>
                    </a:blip>
                    <a:srcRect/>
                    <a:stretch>
                      <a:fillRect/>
                    </a:stretch>
                  </pic:blipFill>
                  <pic:spPr bwMode="auto">
                    <a:xfrm>
                      <a:off x="0" y="0"/>
                      <a:ext cx="7149465" cy="25400"/>
                    </a:xfrm>
                    <a:prstGeom prst="rect">
                      <a:avLst/>
                    </a:prstGeom>
                    <a:noFill/>
                  </pic:spPr>
                </pic:pic>
              </a:graphicData>
            </a:graphic>
          </wp:anchor>
        </w:drawing>
        <w:t>LEGAL MATTERS</w:t>
      </w:r>
    </w:p>
    <w:p>
      <w:pPr>
        <w:spacing w:after="0" w:line="229" w:lineRule="exact"/>
        <w:rPr>
          <w:sz w:val="20"/>
          <w:szCs w:val="20"/>
          <w:color w:val="auto"/>
        </w:rPr>
      </w:pPr>
    </w:p>
    <w:p>
      <w:pPr>
        <w:spacing w:after="0"/>
        <w:rPr>
          <w:sz w:val="20"/>
          <w:szCs w:val="20"/>
          <w:color w:val="auto"/>
        </w:rPr>
      </w:pPr>
      <w:r>
        <w:rPr>
          <w:rFonts w:ascii="Arial" w:cs="Arial" w:eastAsia="Arial" w:hAnsi="Arial"/>
          <w:sz w:val="16"/>
          <w:szCs w:val="16"/>
          <w:color w:val="auto"/>
        </w:rPr>
        <w:t>The validity of the issuance of the common stock offered by this prospectus will be passed upon for us by Troutman Pepper Sanders Hamilton LLP.</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Certain matters will be passed upon for Piper Sandler &amp; Co. by Dechert LLP.</w:t>
      </w:r>
    </w:p>
    <w:p>
      <w:pPr>
        <w:spacing w:after="0" w:line="200" w:lineRule="exact"/>
        <w:rPr>
          <w:sz w:val="20"/>
          <w:szCs w:val="20"/>
          <w:color w:val="auto"/>
        </w:rPr>
      </w:pPr>
    </w:p>
    <w:p>
      <w:pPr>
        <w:spacing w:after="0" w:line="223" w:lineRule="exact"/>
        <w:rPr>
          <w:sz w:val="20"/>
          <w:szCs w:val="20"/>
          <w:color w:val="auto"/>
        </w:rPr>
      </w:pPr>
    </w:p>
    <w:p>
      <w:pPr>
        <w:jc w:val="center"/>
        <w:ind w:right="-239"/>
        <w:spacing w:after="0"/>
        <w:rPr>
          <w:sz w:val="20"/>
          <w:szCs w:val="20"/>
          <w:color w:val="auto"/>
        </w:rPr>
      </w:pPr>
      <w:r>
        <w:rPr>
          <w:rFonts w:ascii="Arial" w:cs="Arial" w:eastAsia="Arial" w:hAnsi="Arial"/>
          <w:sz w:val="18"/>
          <w:szCs w:val="18"/>
          <w:b w:val="1"/>
          <w:bCs w:val="1"/>
          <w:color w:val="auto"/>
        </w:rPr>
        <w:t>EXPERTS</w:t>
      </w:r>
    </w:p>
    <w:p>
      <w:pPr>
        <w:spacing w:after="0" w:line="229" w:lineRule="exact"/>
        <w:rPr>
          <w:sz w:val="20"/>
          <w:szCs w:val="20"/>
          <w:color w:val="auto"/>
        </w:rPr>
      </w:pPr>
    </w:p>
    <w:p>
      <w:pPr>
        <w:ind w:right="40"/>
        <w:spacing w:after="0" w:line="263" w:lineRule="auto"/>
        <w:rPr>
          <w:sz w:val="20"/>
          <w:szCs w:val="20"/>
          <w:color w:val="auto"/>
        </w:rPr>
      </w:pPr>
      <w:r>
        <w:rPr>
          <w:rFonts w:ascii="Arial" w:cs="Arial" w:eastAsia="Arial" w:hAnsi="Arial"/>
          <w:sz w:val="18"/>
          <w:szCs w:val="18"/>
          <w:color w:val="auto"/>
        </w:rPr>
        <w:t>The financial statements incorporated in this Prospectus by reference to the Annual Report on Form 10-K of Zafgen, Inc. for the year ended December 31, 2019 have been so incorporated in reliance on the report of PricewaterhouseCoopers LLP, an independent registered public accounting firm, given on the authority of said firm as experts in auditing and accounting.</w:t>
      </w:r>
    </w:p>
    <w:p>
      <w:pPr>
        <w:spacing w:after="0" w:line="184" w:lineRule="exact"/>
        <w:rPr>
          <w:sz w:val="20"/>
          <w:szCs w:val="20"/>
          <w:color w:val="auto"/>
        </w:rPr>
      </w:pPr>
    </w:p>
    <w:p>
      <w:pPr>
        <w:spacing w:after="0" w:line="275" w:lineRule="auto"/>
        <w:rPr>
          <w:sz w:val="20"/>
          <w:szCs w:val="20"/>
          <w:color w:val="auto"/>
        </w:rPr>
      </w:pPr>
      <w:r>
        <w:rPr>
          <w:rFonts w:ascii="Arial" w:cs="Arial" w:eastAsia="Arial" w:hAnsi="Arial"/>
          <w:sz w:val="17"/>
          <w:szCs w:val="17"/>
          <w:color w:val="auto"/>
        </w:rPr>
        <w:t>The audited historical financial statements of Chondrial Therapeutics, Inc. included in Exhibit 99.3 of Larimar Therapeutics, Inc.’s Current Report on Form 8-K/A filed June 26, 2020 incorporated by reference in this Prospectus have been so incorporated in reliance on the report (which contains an explanatory paragraph describing conditions that raise substantial doubt about Chondrial Therapeutics, Inc.’s ability to continue as a going concern as described in Note 2 to the financial statements) of PricewaterhouseCoopers LLP, an independent registered public accounting firm, given on the authority of said firm as experts in auditing and accounting.</w:t>
      </w:r>
    </w:p>
    <w:p>
      <w:pPr>
        <w:spacing w:after="0" w:line="109" w:lineRule="exact"/>
        <w:rPr>
          <w:sz w:val="20"/>
          <w:szCs w:val="20"/>
          <w:color w:val="auto"/>
        </w:rPr>
      </w:pPr>
    </w:p>
    <w:p>
      <w:pPr>
        <w:jc w:val="center"/>
        <w:ind w:right="-239"/>
        <w:spacing w:after="0"/>
        <w:rPr>
          <w:sz w:val="20"/>
          <w:szCs w:val="20"/>
          <w:color w:val="auto"/>
        </w:rPr>
      </w:pPr>
      <w:r>
        <w:rPr>
          <w:rFonts w:ascii="Arial" w:cs="Arial" w:eastAsia="Arial" w:hAnsi="Arial"/>
          <w:sz w:val="18"/>
          <w:szCs w:val="18"/>
          <w:color w:val="auto"/>
        </w:rPr>
        <w:t>21</w:t>
      </w:r>
    </w:p>
    <w:p>
      <w:pPr>
        <w:sectPr>
          <w:pgSz w:w="11900" w:h="16838" w:orient="portrait"/>
          <w:cols w:equalWidth="0" w:num="1">
            <w:col w:w="10780"/>
          </w:cols>
          <w:pgMar w:left="440" w:top="270" w:right="679" w:bottom="1440" w:gutter="0" w:footer="0" w:header="0"/>
        </w:sectPr>
      </w:pPr>
    </w:p>
    <w:bookmarkStart w:id="62" w:name="page63"/>
    <w:bookmarkEnd w:id="62"/>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101">
                      <a:extLst>
                        <a:ext uri="{28A0092B-C50C-407E-A947-70E740481C1C}"/>
                      </a:extLst>
                    </a:blip>
                    <a:srcRect/>
                    <a:stretch>
                      <a:fillRect/>
                    </a:stretch>
                  </pic:blipFill>
                  <pic:spPr bwMode="auto">
                    <a:xfrm>
                      <a:off x="0" y="0"/>
                      <a:ext cx="7149465" cy="26035"/>
                    </a:xfrm>
                    <a:prstGeom prst="rect">
                      <a:avLst/>
                    </a:prstGeom>
                    <a:noFill/>
                  </pic:spPr>
                </pic:pic>
              </a:graphicData>
            </a:graphic>
          </wp:anchor>
        </w:drawing>
        <w:drawing>
          <wp:anchor simplePos="0" relativeHeight="251657728" behindDoc="1" locked="0" layoutInCell="0" allowOverlap="1">
            <wp:simplePos x="0" y="0"/>
            <wp:positionH relativeFrom="page">
              <wp:posOffset>276860</wp:posOffset>
            </wp:positionH>
            <wp:positionV relativeFrom="page">
              <wp:posOffset>200660</wp:posOffset>
            </wp:positionV>
            <wp:extent cx="6995160" cy="25400"/>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102">
                      <a:extLst>
                        <a:ext uri="{28A0092B-C50C-407E-A947-70E740481C1C}"/>
                      </a:extLst>
                    </a:blip>
                    <a:srcRect/>
                    <a:stretch>
                      <a:fillRect/>
                    </a:stretch>
                  </pic:blipFill>
                  <pic:spPr bwMode="auto">
                    <a:xfrm>
                      <a:off x="0" y="0"/>
                      <a:ext cx="6995160" cy="25400"/>
                    </a:xfrm>
                    <a:prstGeom prst="rect">
                      <a:avLst/>
                    </a:prstGeom>
                    <a:noFill/>
                  </pic:spPr>
                </pic:pic>
              </a:graphicData>
            </a:graphic>
          </wp:anchor>
        </w:drawing>
        <w:drawing>
          <wp:anchor simplePos="0" relativeHeight="251657728" behindDoc="1" locked="0" layoutInCell="0" allowOverlap="1">
            <wp:simplePos x="0" y="0"/>
            <wp:positionH relativeFrom="page">
              <wp:posOffset>276860</wp:posOffset>
            </wp:positionH>
            <wp:positionV relativeFrom="page">
              <wp:posOffset>260350</wp:posOffset>
            </wp:positionV>
            <wp:extent cx="6995160" cy="8255"/>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103">
                      <a:extLst>
                        <a:ext uri="{28A0092B-C50C-407E-A947-70E740481C1C}"/>
                      </a:extLst>
                    </a:blip>
                    <a:srcRect/>
                    <a:stretch>
                      <a:fillRect/>
                    </a:stretch>
                  </pic:blipFill>
                  <pic:spPr bwMode="auto">
                    <a:xfrm>
                      <a:off x="0" y="0"/>
                      <a:ext cx="6995160" cy="8255"/>
                    </a:xfrm>
                    <a:prstGeom prst="rect">
                      <a:avLst/>
                    </a:prstGeom>
                    <a:noFill/>
                  </pic:spPr>
                </pic:pic>
              </a:graphicData>
            </a:graphic>
          </wp:anchor>
        </w:drawing>
        <w:drawing>
          <wp:anchor simplePos="0" relativeHeight="251657728" behindDoc="1" locked="0" layoutInCell="0" allowOverlap="1">
            <wp:simplePos x="0" y="0"/>
            <wp:positionH relativeFrom="page">
              <wp:posOffset>2513965</wp:posOffset>
            </wp:positionH>
            <wp:positionV relativeFrom="page">
              <wp:posOffset>688975</wp:posOffset>
            </wp:positionV>
            <wp:extent cx="2520315" cy="951230"/>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104">
                      <a:clrChange>
                        <a:clrFrom>
                          <a:srgbClr val="FFFFFF"/>
                        </a:clrFrom>
                        <a:clrTo>
                          <a:srgbClr val="FFFFFF">
                            <a:alpha val="0"/>
                          </a:srgbClr>
                        </a:clrTo>
                      </a:clrChange>
                      <a:extLst>
                        <a:ext uri="{28A0092B-C50C-407E-A947-70E740481C1C}"/>
                      </a:extLst>
                    </a:blip>
                    <a:srcRect/>
                    <a:stretch>
                      <a:fillRect/>
                    </a:stretch>
                  </pic:blipFill>
                  <pic:spPr bwMode="auto">
                    <a:xfrm>
                      <a:off x="0" y="0"/>
                      <a:ext cx="2520315" cy="95123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6" w:lineRule="exact"/>
        <w:rPr>
          <w:sz w:val="20"/>
          <w:szCs w:val="20"/>
          <w:color w:val="auto"/>
        </w:rPr>
      </w:pPr>
    </w:p>
    <w:p>
      <w:pPr>
        <w:jc w:val="center"/>
        <w:ind w:right="19"/>
        <w:spacing w:after="0"/>
        <w:rPr>
          <w:sz w:val="20"/>
          <w:szCs w:val="20"/>
          <w:color w:val="auto"/>
        </w:rPr>
      </w:pPr>
      <w:r>
        <w:rPr>
          <w:rFonts w:ascii="Arial" w:cs="Arial" w:eastAsia="Arial" w:hAnsi="Arial"/>
          <w:sz w:val="29"/>
          <w:szCs w:val="29"/>
          <w:b w:val="1"/>
          <w:bCs w:val="1"/>
          <w:color w:val="auto"/>
        </w:rPr>
        <w:t>Up to $50,000,000</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8" w:lineRule="exact"/>
        <w:rPr>
          <w:sz w:val="20"/>
          <w:szCs w:val="20"/>
          <w:color w:val="auto"/>
        </w:rPr>
      </w:pPr>
    </w:p>
    <w:p>
      <w:pPr>
        <w:jc w:val="center"/>
        <w:ind w:right="19"/>
        <w:spacing w:after="0"/>
        <w:rPr>
          <w:sz w:val="20"/>
          <w:szCs w:val="20"/>
          <w:color w:val="auto"/>
        </w:rPr>
      </w:pPr>
      <w:r>
        <w:rPr>
          <w:rFonts w:ascii="Arial" w:cs="Arial" w:eastAsia="Arial" w:hAnsi="Arial"/>
          <w:sz w:val="25"/>
          <w:szCs w:val="25"/>
          <w:b w:val="1"/>
          <w:bCs w:val="1"/>
          <w:color w:val="auto"/>
        </w:rPr>
        <w:t>Common Stock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2122805</wp:posOffset>
            </wp:positionH>
            <wp:positionV relativeFrom="paragraph">
              <wp:posOffset>740410</wp:posOffset>
            </wp:positionV>
            <wp:extent cx="1474470" cy="8255"/>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105">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9" w:lineRule="exact"/>
        <w:rPr>
          <w:sz w:val="20"/>
          <w:szCs w:val="20"/>
          <w:color w:val="auto"/>
        </w:rPr>
      </w:pPr>
    </w:p>
    <w:p>
      <w:pPr>
        <w:jc w:val="center"/>
        <w:ind w:right="19"/>
        <w:spacing w:after="0"/>
        <w:rPr>
          <w:sz w:val="20"/>
          <w:szCs w:val="20"/>
          <w:color w:val="auto"/>
        </w:rPr>
      </w:pPr>
      <w:r>
        <w:rPr>
          <w:rFonts w:ascii="Arial" w:cs="Arial" w:eastAsia="Arial" w:hAnsi="Arial"/>
          <w:sz w:val="22"/>
          <w:szCs w:val="22"/>
          <w:b w:val="1"/>
          <w:bCs w:val="1"/>
          <w:color w:val="auto"/>
        </w:rPr>
        <w:t>Prospectus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2122805</wp:posOffset>
            </wp:positionH>
            <wp:positionV relativeFrom="paragraph">
              <wp:posOffset>233680</wp:posOffset>
            </wp:positionV>
            <wp:extent cx="1474470" cy="8890"/>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106">
                      <a:extLst>
                        <a:ext uri="{28A0092B-C50C-407E-A947-70E740481C1C}"/>
                      </a:extLst>
                    </a:blip>
                    <a:srcRect/>
                    <a:stretch>
                      <a:fillRect/>
                    </a:stretch>
                  </pic:blipFill>
                  <pic:spPr bwMode="auto">
                    <a:xfrm>
                      <a:off x="0" y="0"/>
                      <a:ext cx="1474470" cy="88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5" w:lineRule="exact"/>
        <w:rPr>
          <w:sz w:val="20"/>
          <w:szCs w:val="20"/>
          <w:color w:val="auto"/>
        </w:rPr>
      </w:pPr>
    </w:p>
    <w:p>
      <w:pPr>
        <w:jc w:val="center"/>
        <w:ind w:right="19"/>
        <w:spacing w:after="0"/>
        <w:rPr>
          <w:sz w:val="20"/>
          <w:szCs w:val="20"/>
          <w:color w:val="auto"/>
        </w:rPr>
      </w:pPr>
      <w:r>
        <w:rPr>
          <w:rFonts w:ascii="Arial" w:cs="Arial" w:eastAsia="Arial" w:hAnsi="Arial"/>
          <w:sz w:val="32"/>
          <w:szCs w:val="32"/>
          <w:b w:val="1"/>
          <w:bCs w:val="1"/>
          <w:color w:val="auto"/>
        </w:rPr>
        <w:t>PIPER SANDLER &amp; CO.</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4"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August 14, 2020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428625</wp:posOffset>
            </wp:positionV>
            <wp:extent cx="6995160" cy="8890"/>
            <wp:wrapNone/>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107">
                      <a:extLst>
                        <a:ext uri="{28A0092B-C50C-407E-A947-70E740481C1C}"/>
                      </a:extLst>
                    </a:blip>
                    <a:srcRect/>
                    <a:stretch>
                      <a:fillRect/>
                    </a:stretch>
                  </pic:blipFill>
                  <pic:spPr bwMode="auto">
                    <a:xfrm>
                      <a:off x="0" y="0"/>
                      <a:ext cx="6995160" cy="8890"/>
                    </a:xfrm>
                    <a:prstGeom prst="rect">
                      <a:avLst/>
                    </a:prstGeom>
                    <a:noFill/>
                  </pic:spPr>
                </pic:pic>
              </a:graphicData>
            </a:graphic>
          </wp:anchor>
        </w:drawing>
        <w:drawing>
          <wp:anchor simplePos="0" relativeHeight="251657728" behindDoc="1" locked="0" layoutInCell="0" allowOverlap="1">
            <wp:simplePos x="0" y="0"/>
            <wp:positionH relativeFrom="column">
              <wp:posOffset>-636905</wp:posOffset>
            </wp:positionH>
            <wp:positionV relativeFrom="paragraph">
              <wp:posOffset>480060</wp:posOffset>
            </wp:positionV>
            <wp:extent cx="6995160" cy="25400"/>
            <wp:wrapNone/>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108">
                      <a:extLst>
                        <a:ext uri="{28A0092B-C50C-407E-A947-70E740481C1C}"/>
                      </a:extLst>
                    </a:blip>
                    <a:srcRect/>
                    <a:stretch>
                      <a:fillRect/>
                    </a:stretch>
                  </pic:blipFill>
                  <pic:spPr bwMode="auto">
                    <a:xfrm>
                      <a:off x="0" y="0"/>
                      <a:ext cx="6995160" cy="25400"/>
                    </a:xfrm>
                    <a:prstGeom prst="rect">
                      <a:avLst/>
                    </a:prstGeom>
                    <a:noFill/>
                  </pic:spPr>
                </pic:pic>
              </a:graphicData>
            </a:graphic>
          </wp:anchor>
        </w:drawing>
      </w:r>
    </w:p>
    <w:p>
      <w:pPr>
        <w:sectPr>
          <w:pgSz w:w="11900" w:h="16838" w:orient="portrait"/>
          <w:cols w:equalWidth="0" w:num="1">
            <w:col w:w="9019"/>
          </w:cols>
          <w:pgMar w:left="1440" w:top="1440" w:right="1440" w:bottom="1440" w:gutter="0" w:footer="0" w:header="0"/>
        </w:sectPr>
      </w:pPr>
    </w:p>
    <w:bookmarkStart w:id="63" w:name="page64"/>
    <w:bookmarkEnd w:id="63"/>
    <w:p>
      <w:pPr>
        <w:jc w:val="center"/>
        <w:ind w:right="-3"/>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94" name="Picture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pic:cNvPicPr>
                      <a:picLocks noChangeAspect="1" noChangeArrowheads="1"/>
                    </pic:cNvPicPr>
                  </pic:nvPicPr>
                  <pic:blipFill>
                    <a:blip r:embed="rId109">
                      <a:extLst>
                        <a:ext uri="{28A0092B-C50C-407E-A947-70E740481C1C}"/>
                      </a:extLst>
                    </a:blip>
                    <a:srcRect/>
                    <a:stretch>
                      <a:fillRect/>
                    </a:stretch>
                  </pic:blipFill>
                  <pic:spPr bwMode="auto">
                    <a:xfrm>
                      <a:off x="0" y="0"/>
                      <a:ext cx="7149465" cy="26035"/>
                    </a:xfrm>
                    <a:prstGeom prst="rect">
                      <a:avLst/>
                    </a:prstGeom>
                    <a:noFill/>
                  </pic:spPr>
                </pic:pic>
              </a:graphicData>
            </a:graphic>
          </wp:anchor>
        </w:drawing>
        <w:t>PART II</w:t>
      </w:r>
    </w:p>
    <w:p>
      <w:pPr>
        <w:spacing w:after="0" w:line="225" w:lineRule="exact"/>
        <w:rPr>
          <w:sz w:val="20"/>
          <w:szCs w:val="20"/>
          <w:color w:val="auto"/>
        </w:rPr>
      </w:pPr>
    </w:p>
    <w:p>
      <w:pPr>
        <w:ind w:left="3384"/>
        <w:spacing w:after="0"/>
        <w:rPr>
          <w:sz w:val="20"/>
          <w:szCs w:val="20"/>
          <w:color w:val="auto"/>
        </w:rPr>
      </w:pPr>
      <w:r>
        <w:rPr>
          <w:rFonts w:ascii="Arial" w:cs="Arial" w:eastAsia="Arial" w:hAnsi="Arial"/>
          <w:sz w:val="18"/>
          <w:szCs w:val="18"/>
          <w:b w:val="1"/>
          <w:bCs w:val="1"/>
          <w:color w:val="auto"/>
        </w:rPr>
        <w:t>INFORMATION NOT REQUIRED IN PROSPECTUS</w:t>
      </w:r>
    </w:p>
    <w:p>
      <w:pPr>
        <w:spacing w:after="0" w:line="225" w:lineRule="exact"/>
        <w:rPr>
          <w:sz w:val="20"/>
          <w:szCs w:val="20"/>
          <w:color w:val="auto"/>
        </w:rPr>
      </w:pPr>
    </w:p>
    <w:p>
      <w:pPr>
        <w:ind w:left="4"/>
        <w:spacing w:after="0"/>
        <w:rPr>
          <w:sz w:val="20"/>
          <w:szCs w:val="20"/>
          <w:color w:val="auto"/>
        </w:rPr>
      </w:pPr>
      <w:r>
        <w:rPr>
          <w:rFonts w:ascii="Arial" w:cs="Arial" w:eastAsia="Arial" w:hAnsi="Arial"/>
          <w:sz w:val="18"/>
          <w:szCs w:val="18"/>
          <w:b w:val="1"/>
          <w:bCs w:val="1"/>
          <w:color w:val="auto"/>
        </w:rPr>
        <w:t>Item 14. Other Expenses of Issuance and Distribution.</w:t>
      </w:r>
    </w:p>
    <w:p>
      <w:pPr>
        <w:spacing w:after="0" w:line="121" w:lineRule="exact"/>
        <w:rPr>
          <w:sz w:val="20"/>
          <w:szCs w:val="20"/>
          <w:color w:val="auto"/>
        </w:rPr>
      </w:pPr>
    </w:p>
    <w:p>
      <w:pPr>
        <w:ind w:left="4" w:right="380"/>
        <w:spacing w:after="0" w:line="277" w:lineRule="auto"/>
        <w:rPr>
          <w:sz w:val="20"/>
          <w:szCs w:val="20"/>
          <w:color w:val="auto"/>
        </w:rPr>
      </w:pPr>
      <w:r>
        <w:rPr>
          <w:rFonts w:ascii="Arial" w:cs="Arial" w:eastAsia="Arial" w:hAnsi="Arial"/>
          <w:sz w:val="18"/>
          <w:szCs w:val="18"/>
          <w:color w:val="auto"/>
        </w:rPr>
        <w:t>The following is an estimate of the expenses (all of which are to be paid by the registrant) that we may incur in connection with the securities being registered hereby, other than the SEC registration fee.</w:t>
      </w:r>
    </w:p>
    <w:p>
      <w:pPr>
        <w:spacing w:after="0" w:line="212" w:lineRule="exact"/>
        <w:rPr>
          <w:sz w:val="20"/>
          <w:szCs w:val="20"/>
          <w:color w:val="auto"/>
        </w:rPr>
      </w:pPr>
    </w:p>
    <w:tbl>
      <w:tblPr>
        <w:tblLayout w:type="fixed"/>
        <w:tblInd w:w="1764" w:type="dxa"/>
        <w:tblCellMar>
          <w:top w:w="0" w:type="dxa"/>
          <w:left w:w="0" w:type="dxa"/>
          <w:bottom w:w="0" w:type="dxa"/>
          <w:right w:w="0" w:type="dxa"/>
        </w:tblCellMar>
      </w:tblPr>
      <w:tr>
        <w:trPr>
          <w:trHeight w:val="216"/>
        </w:trPr>
        <w:tc>
          <w:tcPr>
            <w:tcW w:w="6640" w:type="dxa"/>
            <w:vAlign w:val="bottom"/>
            <w:shd w:val="clear" w:color="auto" w:fill="CCEEFF"/>
          </w:tcPr>
          <w:p>
            <w:pPr>
              <w:spacing w:after="0"/>
              <w:rPr>
                <w:sz w:val="20"/>
                <w:szCs w:val="20"/>
                <w:color w:val="auto"/>
              </w:rPr>
            </w:pPr>
            <w:r>
              <w:rPr>
                <w:rFonts w:ascii="Arial" w:cs="Arial" w:eastAsia="Arial" w:hAnsi="Arial"/>
                <w:sz w:val="18"/>
                <w:szCs w:val="18"/>
                <w:color w:val="auto"/>
              </w:rPr>
              <w:t>SEC registration fee</w:t>
            </w: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760" w:type="dxa"/>
            <w:vAlign w:val="bottom"/>
            <w:gridSpan w:val="2"/>
            <w:shd w:val="clear" w:color="auto" w:fill="CCEEFF"/>
          </w:tcPr>
          <w:p>
            <w:pPr>
              <w:jc w:val="right"/>
              <w:ind w:right="170"/>
              <w:spacing w:after="0"/>
              <w:rPr>
                <w:sz w:val="20"/>
                <w:szCs w:val="20"/>
                <w:color w:val="auto"/>
              </w:rPr>
            </w:pPr>
            <w:r>
              <w:rPr>
                <w:rFonts w:ascii="Arial" w:cs="Arial" w:eastAsia="Arial" w:hAnsi="Arial"/>
                <w:sz w:val="18"/>
                <w:szCs w:val="18"/>
                <w:color w:val="auto"/>
                <w:w w:val="87"/>
              </w:rPr>
              <w:t>25,960</w:t>
            </w:r>
          </w:p>
        </w:tc>
      </w:tr>
      <w:tr>
        <w:trPr>
          <w:trHeight w:val="216"/>
        </w:trPr>
        <w:tc>
          <w:tcPr>
            <w:tcW w:w="6640" w:type="dxa"/>
            <w:vAlign w:val="bottom"/>
          </w:tcPr>
          <w:p>
            <w:pPr>
              <w:spacing w:after="0"/>
              <w:rPr>
                <w:sz w:val="20"/>
                <w:szCs w:val="20"/>
                <w:color w:val="auto"/>
              </w:rPr>
            </w:pPr>
            <w:r>
              <w:rPr>
                <w:rFonts w:ascii="Arial" w:cs="Arial" w:eastAsia="Arial" w:hAnsi="Arial"/>
                <w:sz w:val="18"/>
                <w:szCs w:val="18"/>
                <w:color w:val="auto"/>
              </w:rPr>
              <w:t>The Nasdaq Global Market supplemental listing fee</w:t>
            </w:r>
          </w:p>
        </w:tc>
        <w:tc>
          <w:tcPr>
            <w:tcW w:w="8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760" w:type="dxa"/>
            <w:vAlign w:val="bottom"/>
            <w:gridSpan w:val="2"/>
          </w:tcPr>
          <w:p>
            <w:pPr>
              <w:jc w:val="right"/>
              <w:spacing w:after="0"/>
              <w:rPr>
                <w:sz w:val="20"/>
                <w:szCs w:val="20"/>
                <w:color w:val="auto"/>
              </w:rPr>
            </w:pPr>
            <w:r>
              <w:rPr>
                <w:rFonts w:ascii="Arial" w:cs="Arial" w:eastAsia="Arial" w:hAnsi="Arial"/>
                <w:sz w:val="18"/>
                <w:szCs w:val="18"/>
                <w:color w:val="auto"/>
              </w:rPr>
              <w:t>(1)</w:t>
            </w:r>
          </w:p>
        </w:tc>
      </w:tr>
      <w:tr>
        <w:trPr>
          <w:trHeight w:val="216"/>
        </w:trPr>
        <w:tc>
          <w:tcPr>
            <w:tcW w:w="6640" w:type="dxa"/>
            <w:vAlign w:val="bottom"/>
            <w:shd w:val="clear" w:color="auto" w:fill="CCEEFF"/>
          </w:tcPr>
          <w:p>
            <w:pPr>
              <w:spacing w:after="0"/>
              <w:rPr>
                <w:sz w:val="20"/>
                <w:szCs w:val="20"/>
                <w:color w:val="auto"/>
              </w:rPr>
            </w:pPr>
            <w:r>
              <w:rPr>
                <w:rFonts w:ascii="Arial" w:cs="Arial" w:eastAsia="Arial" w:hAnsi="Arial"/>
                <w:sz w:val="18"/>
                <w:szCs w:val="18"/>
                <w:color w:val="auto"/>
              </w:rPr>
              <w:t>Fees and expenses of the trustee</w:t>
            </w: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7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w:t>
            </w:r>
          </w:p>
        </w:tc>
      </w:tr>
      <w:tr>
        <w:trPr>
          <w:trHeight w:val="216"/>
        </w:trPr>
        <w:tc>
          <w:tcPr>
            <w:tcW w:w="6640" w:type="dxa"/>
            <w:vAlign w:val="bottom"/>
          </w:tcPr>
          <w:p>
            <w:pPr>
              <w:spacing w:after="0"/>
              <w:rPr>
                <w:sz w:val="20"/>
                <w:szCs w:val="20"/>
                <w:color w:val="auto"/>
              </w:rPr>
            </w:pPr>
            <w:r>
              <w:rPr>
                <w:rFonts w:ascii="Arial" w:cs="Arial" w:eastAsia="Arial" w:hAnsi="Arial"/>
                <w:sz w:val="18"/>
                <w:szCs w:val="18"/>
                <w:color w:val="auto"/>
              </w:rPr>
              <w:t>Printing expenses</w:t>
            </w:r>
          </w:p>
        </w:tc>
        <w:tc>
          <w:tcPr>
            <w:tcW w:w="8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760" w:type="dxa"/>
            <w:vAlign w:val="bottom"/>
            <w:gridSpan w:val="2"/>
          </w:tcPr>
          <w:p>
            <w:pPr>
              <w:jc w:val="right"/>
              <w:spacing w:after="0"/>
              <w:rPr>
                <w:sz w:val="20"/>
                <w:szCs w:val="20"/>
                <w:color w:val="auto"/>
              </w:rPr>
            </w:pPr>
            <w:r>
              <w:rPr>
                <w:rFonts w:ascii="Arial" w:cs="Arial" w:eastAsia="Arial" w:hAnsi="Arial"/>
                <w:sz w:val="18"/>
                <w:szCs w:val="18"/>
                <w:color w:val="auto"/>
              </w:rPr>
              <w:t>(1)</w:t>
            </w:r>
          </w:p>
        </w:tc>
      </w:tr>
      <w:tr>
        <w:trPr>
          <w:trHeight w:val="216"/>
        </w:trPr>
        <w:tc>
          <w:tcPr>
            <w:tcW w:w="6640" w:type="dxa"/>
            <w:vAlign w:val="bottom"/>
            <w:shd w:val="clear" w:color="auto" w:fill="CCEEFF"/>
          </w:tcPr>
          <w:p>
            <w:pPr>
              <w:spacing w:after="0"/>
              <w:rPr>
                <w:sz w:val="20"/>
                <w:szCs w:val="20"/>
                <w:color w:val="auto"/>
              </w:rPr>
            </w:pPr>
            <w:r>
              <w:rPr>
                <w:rFonts w:ascii="Arial" w:cs="Arial" w:eastAsia="Arial" w:hAnsi="Arial"/>
                <w:sz w:val="18"/>
                <w:szCs w:val="18"/>
                <w:color w:val="auto"/>
              </w:rPr>
              <w:t>Legal fees and expenses</w:t>
            </w: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7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w:t>
            </w:r>
          </w:p>
        </w:tc>
      </w:tr>
      <w:tr>
        <w:trPr>
          <w:trHeight w:val="216"/>
        </w:trPr>
        <w:tc>
          <w:tcPr>
            <w:tcW w:w="6640" w:type="dxa"/>
            <w:vAlign w:val="bottom"/>
          </w:tcPr>
          <w:p>
            <w:pPr>
              <w:spacing w:after="0"/>
              <w:rPr>
                <w:sz w:val="20"/>
                <w:szCs w:val="20"/>
                <w:color w:val="auto"/>
              </w:rPr>
            </w:pPr>
            <w:r>
              <w:rPr>
                <w:rFonts w:ascii="Arial" w:cs="Arial" w:eastAsia="Arial" w:hAnsi="Arial"/>
                <w:sz w:val="18"/>
                <w:szCs w:val="18"/>
                <w:color w:val="auto"/>
              </w:rPr>
              <w:t>Accounting fees and expenses</w:t>
            </w:r>
          </w:p>
        </w:tc>
        <w:tc>
          <w:tcPr>
            <w:tcW w:w="8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760" w:type="dxa"/>
            <w:vAlign w:val="bottom"/>
            <w:gridSpan w:val="2"/>
          </w:tcPr>
          <w:p>
            <w:pPr>
              <w:jc w:val="right"/>
              <w:spacing w:after="0"/>
              <w:rPr>
                <w:sz w:val="20"/>
                <w:szCs w:val="20"/>
                <w:color w:val="auto"/>
              </w:rPr>
            </w:pPr>
            <w:r>
              <w:rPr>
                <w:rFonts w:ascii="Arial" w:cs="Arial" w:eastAsia="Arial" w:hAnsi="Arial"/>
                <w:sz w:val="18"/>
                <w:szCs w:val="18"/>
                <w:color w:val="auto"/>
              </w:rPr>
              <w:t>(1)</w:t>
            </w:r>
          </w:p>
        </w:tc>
      </w:tr>
      <w:tr>
        <w:trPr>
          <w:trHeight w:val="216"/>
        </w:trPr>
        <w:tc>
          <w:tcPr>
            <w:tcW w:w="6640" w:type="dxa"/>
            <w:vAlign w:val="bottom"/>
            <w:shd w:val="clear" w:color="auto" w:fill="CCEEFF"/>
          </w:tcPr>
          <w:p>
            <w:pPr>
              <w:spacing w:after="0"/>
              <w:rPr>
                <w:sz w:val="20"/>
                <w:szCs w:val="20"/>
                <w:color w:val="auto"/>
              </w:rPr>
            </w:pPr>
            <w:r>
              <w:rPr>
                <w:rFonts w:ascii="Arial" w:cs="Arial" w:eastAsia="Arial" w:hAnsi="Arial"/>
                <w:sz w:val="18"/>
                <w:szCs w:val="18"/>
                <w:color w:val="auto"/>
              </w:rPr>
              <w:t>Blue Sky, qualification fees and expenses</w:t>
            </w: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7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w:t>
            </w:r>
          </w:p>
        </w:tc>
      </w:tr>
      <w:tr>
        <w:trPr>
          <w:trHeight w:val="216"/>
        </w:trPr>
        <w:tc>
          <w:tcPr>
            <w:tcW w:w="6640" w:type="dxa"/>
            <w:vAlign w:val="bottom"/>
          </w:tcPr>
          <w:p>
            <w:pPr>
              <w:spacing w:after="0"/>
              <w:rPr>
                <w:sz w:val="20"/>
                <w:szCs w:val="20"/>
                <w:color w:val="auto"/>
              </w:rPr>
            </w:pPr>
            <w:r>
              <w:rPr>
                <w:rFonts w:ascii="Arial" w:cs="Arial" w:eastAsia="Arial" w:hAnsi="Arial"/>
                <w:sz w:val="18"/>
                <w:szCs w:val="18"/>
                <w:color w:val="auto"/>
              </w:rPr>
              <w:t>Transfer agent fees and expenses</w:t>
            </w:r>
          </w:p>
        </w:tc>
        <w:tc>
          <w:tcPr>
            <w:tcW w:w="8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760" w:type="dxa"/>
            <w:vAlign w:val="bottom"/>
            <w:gridSpan w:val="2"/>
          </w:tcPr>
          <w:p>
            <w:pPr>
              <w:jc w:val="right"/>
              <w:spacing w:after="0"/>
              <w:rPr>
                <w:sz w:val="20"/>
                <w:szCs w:val="20"/>
                <w:color w:val="auto"/>
              </w:rPr>
            </w:pPr>
            <w:r>
              <w:rPr>
                <w:rFonts w:ascii="Arial" w:cs="Arial" w:eastAsia="Arial" w:hAnsi="Arial"/>
                <w:sz w:val="18"/>
                <w:szCs w:val="18"/>
                <w:color w:val="auto"/>
              </w:rPr>
              <w:t>(1)</w:t>
            </w:r>
          </w:p>
        </w:tc>
      </w:tr>
      <w:tr>
        <w:trPr>
          <w:trHeight w:val="216"/>
        </w:trPr>
        <w:tc>
          <w:tcPr>
            <w:tcW w:w="6640" w:type="dxa"/>
            <w:vAlign w:val="bottom"/>
            <w:shd w:val="clear" w:color="auto" w:fill="CCEEFF"/>
          </w:tcPr>
          <w:p>
            <w:pPr>
              <w:spacing w:after="0"/>
              <w:rPr>
                <w:sz w:val="20"/>
                <w:szCs w:val="20"/>
                <w:color w:val="auto"/>
              </w:rPr>
            </w:pPr>
            <w:r>
              <w:rPr>
                <w:rFonts w:ascii="Arial" w:cs="Arial" w:eastAsia="Arial" w:hAnsi="Arial"/>
                <w:sz w:val="18"/>
                <w:szCs w:val="18"/>
                <w:color w:val="auto"/>
              </w:rPr>
              <w:t>Miscellaneous</w:t>
            </w: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7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w:t>
            </w:r>
          </w:p>
        </w:tc>
      </w:tr>
      <w:tr>
        <w:trPr>
          <w:trHeight w:val="223"/>
        </w:trPr>
        <w:tc>
          <w:tcPr>
            <w:tcW w:w="6640" w:type="dxa"/>
            <w:vAlign w:val="bottom"/>
          </w:tcPr>
          <w:p>
            <w:pPr>
              <w:spacing w:after="0"/>
              <w:rPr>
                <w:sz w:val="20"/>
                <w:szCs w:val="20"/>
                <w:color w:val="auto"/>
              </w:rPr>
            </w:pPr>
            <w:r>
              <w:rPr>
                <w:rFonts w:ascii="Arial" w:cs="Arial" w:eastAsia="Arial" w:hAnsi="Arial"/>
                <w:sz w:val="18"/>
                <w:szCs w:val="18"/>
                <w:color w:val="auto"/>
              </w:rPr>
              <w:t>Total</w:t>
            </w:r>
          </w:p>
        </w:tc>
        <w:tc>
          <w:tcPr>
            <w:tcW w:w="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500" w:type="dxa"/>
            <w:vAlign w:val="bottom"/>
            <w:tcBorders>
              <w:top w:val="single" w:sz="8" w:color="auto"/>
              <w:bottom w:val="single" w:sz="8" w:color="auto"/>
            </w:tcBorders>
          </w:tcPr>
          <w:p>
            <w:pPr>
              <w:spacing w:after="0"/>
              <w:rPr>
                <w:sz w:val="19"/>
                <w:szCs w:val="19"/>
                <w:color w:val="auto"/>
              </w:rPr>
            </w:pPr>
          </w:p>
        </w:tc>
        <w:tc>
          <w:tcPr>
            <w:tcW w:w="260" w:type="dxa"/>
            <w:vAlign w:val="bottom"/>
          </w:tcPr>
          <w:p>
            <w:pPr>
              <w:jc w:val="right"/>
              <w:spacing w:after="0"/>
              <w:rPr>
                <w:sz w:val="20"/>
                <w:szCs w:val="20"/>
                <w:color w:val="auto"/>
              </w:rPr>
            </w:pPr>
            <w:r>
              <w:rPr>
                <w:rFonts w:ascii="Arial" w:cs="Arial" w:eastAsia="Arial" w:hAnsi="Arial"/>
                <w:sz w:val="18"/>
                <w:szCs w:val="18"/>
                <w:color w:val="auto"/>
                <w:w w:val="90"/>
              </w:rPr>
              <w:t>(1)</w:t>
            </w:r>
          </w:p>
        </w:tc>
      </w:tr>
      <w:tr>
        <w:trPr>
          <w:trHeight w:val="20"/>
        </w:trPr>
        <w:tc>
          <w:tcPr>
            <w:tcW w:w="664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94615</wp:posOffset>
            </wp:positionV>
            <wp:extent cx="771525" cy="8255"/>
            <wp:wrapNone/>
            <wp:docPr id="95" name="Picture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
                    <pic:cNvPicPr>
                      <a:picLocks noChangeAspect="1" noChangeArrowheads="1"/>
                    </pic:cNvPicPr>
                  </pic:nvPicPr>
                  <pic:blipFill>
                    <a:blip r:embed="rId110">
                      <a:extLst>
                        <a:ext uri="{28A0092B-C50C-407E-A947-70E740481C1C}"/>
                      </a:extLst>
                    </a:blip>
                    <a:srcRect/>
                    <a:stretch>
                      <a:fillRect/>
                    </a:stretch>
                  </pic:blipFill>
                  <pic:spPr bwMode="auto">
                    <a:xfrm>
                      <a:off x="0" y="0"/>
                      <a:ext cx="771525" cy="8255"/>
                    </a:xfrm>
                    <a:prstGeom prst="rect">
                      <a:avLst/>
                    </a:prstGeom>
                    <a:noFill/>
                  </pic:spPr>
                </pic:pic>
              </a:graphicData>
            </a:graphic>
          </wp:anchor>
        </w:drawing>
      </w:r>
    </w:p>
    <w:p>
      <w:pPr>
        <w:spacing w:after="0" w:line="168" w:lineRule="exact"/>
        <w:rPr>
          <w:sz w:val="20"/>
          <w:szCs w:val="20"/>
          <w:color w:val="auto"/>
        </w:rPr>
      </w:pPr>
    </w:p>
    <w:p>
      <w:pPr>
        <w:ind w:left="424" w:hanging="424"/>
        <w:spacing w:after="0"/>
        <w:tabs>
          <w:tab w:leader="none" w:pos="424" w:val="left"/>
        </w:tabs>
        <w:numPr>
          <w:ilvl w:val="0"/>
          <w:numId w:val="34"/>
        </w:numPr>
        <w:rPr>
          <w:rFonts w:ascii="Arial" w:cs="Arial" w:eastAsia="Arial" w:hAnsi="Arial"/>
          <w:sz w:val="17"/>
          <w:szCs w:val="17"/>
          <w:color w:val="auto"/>
        </w:rPr>
      </w:pPr>
      <w:r>
        <w:rPr>
          <w:rFonts w:ascii="Arial" w:cs="Arial" w:eastAsia="Arial" w:hAnsi="Arial"/>
          <w:sz w:val="17"/>
          <w:szCs w:val="17"/>
          <w:color w:val="auto"/>
        </w:rPr>
        <w:t>These fees are calculated based on the securities offered and the number of issuances and accordingly cannot be estimated at this time.</w:t>
      </w:r>
    </w:p>
    <w:p>
      <w:pPr>
        <w:spacing w:after="0" w:line="341" w:lineRule="exact"/>
        <w:rPr>
          <w:sz w:val="20"/>
          <w:szCs w:val="20"/>
          <w:color w:val="auto"/>
        </w:rPr>
      </w:pPr>
    </w:p>
    <w:p>
      <w:pPr>
        <w:ind w:left="4"/>
        <w:spacing w:after="0"/>
        <w:rPr>
          <w:sz w:val="20"/>
          <w:szCs w:val="20"/>
          <w:color w:val="auto"/>
        </w:rPr>
      </w:pPr>
      <w:r>
        <w:rPr>
          <w:rFonts w:ascii="Arial" w:cs="Arial" w:eastAsia="Arial" w:hAnsi="Arial"/>
          <w:sz w:val="18"/>
          <w:szCs w:val="18"/>
          <w:b w:val="1"/>
          <w:bCs w:val="1"/>
          <w:color w:val="auto"/>
        </w:rPr>
        <w:t>Item 15. Indemnification of Directors and Officers.</w:t>
      </w:r>
    </w:p>
    <w:p>
      <w:pPr>
        <w:spacing w:after="0" w:line="121" w:lineRule="exact"/>
        <w:rPr>
          <w:sz w:val="20"/>
          <w:szCs w:val="20"/>
          <w:color w:val="auto"/>
        </w:rPr>
      </w:pPr>
    </w:p>
    <w:p>
      <w:pPr>
        <w:ind w:left="4"/>
        <w:spacing w:after="0" w:line="286" w:lineRule="auto"/>
        <w:rPr>
          <w:sz w:val="20"/>
          <w:szCs w:val="20"/>
          <w:color w:val="auto"/>
        </w:rPr>
      </w:pPr>
      <w:r>
        <w:rPr>
          <w:rFonts w:ascii="Arial" w:cs="Arial" w:eastAsia="Arial" w:hAnsi="Arial"/>
          <w:sz w:val="16"/>
          <w:szCs w:val="16"/>
          <w:color w:val="auto"/>
        </w:rPr>
        <w:t>We are governed by the Delaware General Corporation Law, or DGCL. Section 145 of the DGCL provides that a corporation may indemnify any person, including an officer or director, who was or is, or is threatened to be made, a party to any threatened, pending or completed legal action, suit or proceeding, whether civil, criminal, administrative or investigative (other than an action by or in the right of such corporation), by reason of the fact that such person was or is an officer, director, employee or agent of such corporation or is or was serving at the request of such corporation as a director, officer, employee or agent of another corporation or enterprise. The indemnity may include expenses (including attorneys’ fees), judgments, fines and amounts paid in settlement actually and reasonably incurred by such person in connection with such action, suit or proceeding, provided such officer, director, employee or agent acted in good faith and in a manner such person reasonably believed to be in, or not opposed to, the corporation’s best interest and, for criminal proceedings, had no reasonable cause to believe that such person’s conduct was unlawful. A Delaware corporation may indemnify any person, including an officer or director, who was or is, or is threatened to be made, a party to any threatened, pending or contemplated action or suit by or in the right of such corporation, under the same conditions, except that such indemnification is limited to expenses (including attorneys’ fees) actually and reasonably incurred by such person, and except that no indemnification is permitted without judicial approval if such person is adjudged to be liable to such corporation. Where an officer or director of a corporation is successful, on the merits or otherwise, in the defense of any action, suit or proceeding referred to above, or any claim, issue or matter therein, the corporation must indemnify that person against the expenses (including attorneys’ fees) which such officer or director actually and reasonably incurred in connection therewith.</w:t>
      </w:r>
    </w:p>
    <w:p>
      <w:pPr>
        <w:spacing w:after="0" w:line="171" w:lineRule="exact"/>
        <w:rPr>
          <w:sz w:val="20"/>
          <w:szCs w:val="20"/>
          <w:color w:val="auto"/>
        </w:rPr>
      </w:pPr>
    </w:p>
    <w:p>
      <w:pPr>
        <w:ind w:left="4" w:right="120"/>
        <w:spacing w:after="0" w:line="263" w:lineRule="auto"/>
        <w:rPr>
          <w:sz w:val="20"/>
          <w:szCs w:val="20"/>
          <w:color w:val="auto"/>
        </w:rPr>
      </w:pPr>
      <w:r>
        <w:rPr>
          <w:rFonts w:ascii="Arial" w:cs="Arial" w:eastAsia="Arial" w:hAnsi="Arial"/>
          <w:sz w:val="18"/>
          <w:szCs w:val="18"/>
          <w:color w:val="auto"/>
        </w:rPr>
        <w:t>Our Ninth Amended and Restated Certificate of Incorporation, as amended, or the Charter, provides for the indemnification of directors to the fullest extent permissible under Delaware law. Accordingly, our directors will not be personally liable for monetary damages for breach of their fiduciary duty as directors, except for liabilities:</w:t>
      </w:r>
    </w:p>
    <w:p>
      <w:pPr>
        <w:spacing w:after="0" w:line="89" w:lineRule="exact"/>
        <w:rPr>
          <w:sz w:val="20"/>
          <w:szCs w:val="20"/>
          <w:color w:val="auto"/>
        </w:rPr>
      </w:pPr>
    </w:p>
    <w:p>
      <w:pPr>
        <w:ind w:left="964" w:hanging="424"/>
        <w:spacing w:after="0"/>
        <w:tabs>
          <w:tab w:leader="none" w:pos="964" w:val="left"/>
        </w:tabs>
        <w:numPr>
          <w:ilvl w:val="0"/>
          <w:numId w:val="35"/>
        </w:numPr>
        <w:rPr>
          <w:rFonts w:ascii="Arial" w:cs="Arial" w:eastAsia="Arial" w:hAnsi="Arial"/>
          <w:sz w:val="18"/>
          <w:szCs w:val="18"/>
          <w:color w:val="auto"/>
        </w:rPr>
      </w:pPr>
      <w:r>
        <w:rPr>
          <w:rFonts w:ascii="Arial" w:cs="Arial" w:eastAsia="Arial" w:hAnsi="Arial"/>
          <w:sz w:val="18"/>
          <w:szCs w:val="18"/>
          <w:color w:val="auto"/>
        </w:rPr>
        <w:t>for any breach of the director’s duty of loyalty to us or our stockholders;</w:t>
      </w:r>
    </w:p>
    <w:p>
      <w:pPr>
        <w:spacing w:after="0" w:line="130" w:lineRule="exact"/>
        <w:rPr>
          <w:rFonts w:ascii="Arial" w:cs="Arial" w:eastAsia="Arial" w:hAnsi="Arial"/>
          <w:sz w:val="18"/>
          <w:szCs w:val="18"/>
          <w:color w:val="auto"/>
        </w:rPr>
      </w:pPr>
    </w:p>
    <w:p>
      <w:pPr>
        <w:ind w:left="5364" w:right="2120" w:hanging="4824"/>
        <w:spacing w:after="0" w:line="449" w:lineRule="auto"/>
        <w:tabs>
          <w:tab w:leader="none" w:pos="963" w:val="left"/>
        </w:tabs>
        <w:numPr>
          <w:ilvl w:val="0"/>
          <w:numId w:val="35"/>
        </w:numPr>
        <w:rPr>
          <w:rFonts w:ascii="Arial" w:cs="Arial" w:eastAsia="Arial" w:hAnsi="Arial"/>
          <w:sz w:val="18"/>
          <w:szCs w:val="18"/>
          <w:color w:val="auto"/>
        </w:rPr>
      </w:pPr>
      <w:r>
        <w:rPr>
          <w:rFonts w:ascii="Arial" w:cs="Arial" w:eastAsia="Arial" w:hAnsi="Arial"/>
          <w:sz w:val="18"/>
          <w:szCs w:val="18"/>
          <w:color w:val="auto"/>
        </w:rPr>
        <w:t>for acts or omissions not in good faith or which involve intentional misconduct or a knowing violation of law; II-1</w:t>
      </w:r>
    </w:p>
    <w:p>
      <w:pPr>
        <w:sectPr>
          <w:pgSz w:w="11900" w:h="16838" w:orient="portrait"/>
          <w:cols w:equalWidth="0" w:num="1">
            <w:col w:w="11004"/>
          </w:cols>
          <w:pgMar w:left="436" w:top="270" w:right="459" w:bottom="1440" w:gutter="0" w:footer="0" w:header="0"/>
        </w:sectPr>
      </w:pPr>
    </w:p>
    <w:bookmarkStart w:id="64" w:name="page65"/>
    <w:bookmarkEnd w:id="64"/>
    <w:p>
      <w:pPr>
        <w:ind w:left="960" w:hanging="424"/>
        <w:spacing w:after="0"/>
        <w:tabs>
          <w:tab w:leader="none" w:pos="960" w:val="left"/>
        </w:tabs>
        <w:numPr>
          <w:ilvl w:val="0"/>
          <w:numId w:val="36"/>
        </w:numPr>
        <w:rPr>
          <w:rFonts w:ascii="Arial" w:cs="Arial" w:eastAsia="Arial" w:hAnsi="Arial"/>
          <w:sz w:val="17"/>
          <w:szCs w:val="17"/>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96" name="Picture 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
                    <pic:cNvPicPr>
                      <a:picLocks noChangeAspect="1" noChangeArrowheads="1"/>
                    </pic:cNvPicPr>
                  </pic:nvPicPr>
                  <pic:blipFill>
                    <a:blip r:embed="rId111">
                      <a:extLst>
                        <a:ext uri="{28A0092B-C50C-407E-A947-70E740481C1C}"/>
                      </a:extLst>
                    </a:blip>
                    <a:srcRect/>
                    <a:stretch>
                      <a:fillRect/>
                    </a:stretch>
                  </pic:blipFill>
                  <pic:spPr bwMode="auto">
                    <a:xfrm>
                      <a:off x="0" y="0"/>
                      <a:ext cx="7149465" cy="26035"/>
                    </a:xfrm>
                    <a:prstGeom prst="rect">
                      <a:avLst/>
                    </a:prstGeom>
                    <a:noFill/>
                  </pic:spPr>
                </pic:pic>
              </a:graphicData>
            </a:graphic>
          </wp:anchor>
        </w:drawing>
        <w:t>for unlawful payments of dividends or unlawful stock repurchases or redemptions, as provided under Section 174 of the DGCL; or</w:t>
      </w:r>
    </w:p>
    <w:p>
      <w:pPr>
        <w:spacing w:after="0" w:line="142" w:lineRule="exact"/>
        <w:rPr>
          <w:rFonts w:ascii="Arial" w:cs="Arial" w:eastAsia="Arial" w:hAnsi="Arial"/>
          <w:sz w:val="17"/>
          <w:szCs w:val="17"/>
          <w:color w:val="auto"/>
        </w:rPr>
      </w:pPr>
    </w:p>
    <w:p>
      <w:pPr>
        <w:ind w:left="960" w:hanging="424"/>
        <w:spacing w:after="0"/>
        <w:tabs>
          <w:tab w:leader="none" w:pos="960" w:val="left"/>
        </w:tabs>
        <w:numPr>
          <w:ilvl w:val="0"/>
          <w:numId w:val="36"/>
        </w:numPr>
        <w:rPr>
          <w:rFonts w:ascii="Arial" w:cs="Arial" w:eastAsia="Arial" w:hAnsi="Arial"/>
          <w:sz w:val="18"/>
          <w:szCs w:val="18"/>
          <w:color w:val="auto"/>
        </w:rPr>
      </w:pPr>
      <w:r>
        <w:rPr>
          <w:rFonts w:ascii="Arial" w:cs="Arial" w:eastAsia="Arial" w:hAnsi="Arial"/>
          <w:sz w:val="18"/>
          <w:szCs w:val="18"/>
          <w:color w:val="auto"/>
        </w:rPr>
        <w:t>for any transaction from which the director derived an improper personal benefit.</w:t>
      </w:r>
    </w:p>
    <w:p>
      <w:pPr>
        <w:spacing w:after="0" w:line="225" w:lineRule="exact"/>
        <w:rPr>
          <w:sz w:val="20"/>
          <w:szCs w:val="20"/>
          <w:color w:val="auto"/>
        </w:rPr>
      </w:pPr>
    </w:p>
    <w:p>
      <w:pPr>
        <w:ind w:right="220"/>
        <w:spacing w:after="0" w:line="263" w:lineRule="auto"/>
        <w:rPr>
          <w:sz w:val="20"/>
          <w:szCs w:val="20"/>
          <w:color w:val="auto"/>
        </w:rPr>
      </w:pPr>
      <w:r>
        <w:rPr>
          <w:rFonts w:ascii="Arial" w:cs="Arial" w:eastAsia="Arial" w:hAnsi="Arial"/>
          <w:sz w:val="18"/>
          <w:szCs w:val="18"/>
          <w:color w:val="auto"/>
        </w:rPr>
        <w:t>Our amended and restated bylaws, or the Bylaws, provide for the indemnification of officers, directors and third parties acting on our behalf if such persons act in good faith and in a manner reasonably believed to be in and not opposed to our best interest, and, with respect to any criminal action or proceeding, such indemnified party had no reason to believe his or her conduct was unlawful.</w:t>
      </w:r>
    </w:p>
    <w:p>
      <w:pPr>
        <w:spacing w:after="0" w:line="184" w:lineRule="exact"/>
        <w:rPr>
          <w:sz w:val="20"/>
          <w:szCs w:val="20"/>
          <w:color w:val="auto"/>
        </w:rPr>
      </w:pPr>
    </w:p>
    <w:p>
      <w:pPr>
        <w:spacing w:after="0" w:line="263" w:lineRule="auto"/>
        <w:rPr>
          <w:sz w:val="20"/>
          <w:szCs w:val="20"/>
          <w:color w:val="auto"/>
        </w:rPr>
      </w:pPr>
      <w:r>
        <w:rPr>
          <w:rFonts w:ascii="Arial" w:cs="Arial" w:eastAsia="Arial" w:hAnsi="Arial"/>
          <w:sz w:val="18"/>
          <w:szCs w:val="18"/>
          <w:color w:val="auto"/>
        </w:rPr>
        <w:t>We have entered into indemnification agreements with each of our directors and certain of our executive officers. These agreements provide that we will indemnify each of our directors and certain of our executive officers to the fullest extent permitted by law. We intend to enter into indemnification agreements with any new directors and executive officers in the future.</w:t>
      </w:r>
    </w:p>
    <w:p>
      <w:pPr>
        <w:spacing w:after="0" w:line="184"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We also maintain a general liability insurance policy which covers certain liabilities of directors and officers of our Company arising out of claims based on acts or omissions in their capacities as directors or officers.</w:t>
      </w:r>
    </w:p>
    <w:p>
      <w:pPr>
        <w:spacing w:after="0" w:line="170" w:lineRule="exact"/>
        <w:rPr>
          <w:sz w:val="20"/>
          <w:szCs w:val="20"/>
          <w:color w:val="auto"/>
        </w:rPr>
      </w:pPr>
    </w:p>
    <w:p>
      <w:pPr>
        <w:ind w:right="100"/>
        <w:spacing w:after="0" w:line="296" w:lineRule="auto"/>
        <w:rPr>
          <w:sz w:val="20"/>
          <w:szCs w:val="20"/>
          <w:color w:val="auto"/>
        </w:rPr>
      </w:pPr>
      <w:r>
        <w:rPr>
          <w:rFonts w:ascii="Arial" w:cs="Arial" w:eastAsia="Arial" w:hAnsi="Arial"/>
          <w:sz w:val="16"/>
          <w:szCs w:val="16"/>
          <w:color w:val="auto"/>
        </w:rPr>
        <w:t>We believe that the limitation of liability provision in the Charter and the indemnification agreements facilitate our ability to continue to attract and retain qualified individuals to serve as directors and officers. The limitation of liability and indemnification provisions in the Charter and Bylaws may discourage stockholders from bringing a lawsuit against directors for breach of their fiduciary duties. They may also reduce the likelihood of derivative litigation against directors and officers, even though an action, if successful, might benefit us and our stockholders. A stockholder’s investment may be harmed to the extent we pay the costs of settlement and damage awards against directors and officers pursuant to these indemnification provisions.</w:t>
      </w:r>
    </w:p>
    <w:p>
      <w:pPr>
        <w:spacing w:after="0" w:line="26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16. Exhibits.</w:t>
      </w:r>
    </w:p>
    <w:p>
      <w:pPr>
        <w:spacing w:after="0" w:line="135" w:lineRule="exact"/>
        <w:rPr>
          <w:sz w:val="20"/>
          <w:szCs w:val="20"/>
          <w:color w:val="auto"/>
        </w:rPr>
      </w:pPr>
    </w:p>
    <w:p>
      <w:pPr>
        <w:ind w:left="960" w:hanging="532"/>
        <w:spacing w:after="0"/>
        <w:tabs>
          <w:tab w:leader="none" w:pos="960" w:val="left"/>
        </w:tabs>
        <w:numPr>
          <w:ilvl w:val="0"/>
          <w:numId w:val="37"/>
        </w:numPr>
        <w:rPr>
          <w:rFonts w:ascii="Arial" w:cs="Arial" w:eastAsia="Arial" w:hAnsi="Arial"/>
          <w:sz w:val="18"/>
          <w:szCs w:val="18"/>
          <w:color w:val="auto"/>
        </w:rPr>
      </w:pPr>
      <w:r>
        <w:rPr>
          <w:rFonts w:ascii="Arial" w:cs="Arial" w:eastAsia="Arial" w:hAnsi="Arial"/>
          <w:sz w:val="18"/>
          <w:szCs w:val="18"/>
          <w:i w:val="1"/>
          <w:iCs w:val="1"/>
          <w:color w:val="auto"/>
        </w:rPr>
        <w:t>Exhibits</w:t>
      </w:r>
    </w:p>
    <w:p>
      <w:pPr>
        <w:spacing w:after="0" w:line="200" w:lineRule="exact"/>
        <w:rPr>
          <w:sz w:val="20"/>
          <w:szCs w:val="20"/>
          <w:color w:val="auto"/>
        </w:rPr>
      </w:pPr>
    </w:p>
    <w:p>
      <w:pPr>
        <w:spacing w:after="0" w:line="237"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50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1160" w:type="dxa"/>
            <w:vAlign w:val="bottom"/>
          </w:tcPr>
          <w:p>
            <w:pPr>
              <w:spacing w:after="0"/>
              <w:rPr>
                <w:sz w:val="20"/>
                <w:szCs w:val="20"/>
                <w:color w:val="auto"/>
              </w:rPr>
            </w:pPr>
          </w:p>
        </w:tc>
        <w:tc>
          <w:tcPr>
            <w:tcW w:w="8740" w:type="dxa"/>
            <w:vAlign w:val="bottom"/>
            <w:gridSpan w:val="4"/>
          </w:tcPr>
          <w:p>
            <w:pPr>
              <w:ind w:left="2600"/>
              <w:spacing w:after="0"/>
              <w:rPr>
                <w:sz w:val="20"/>
                <w:szCs w:val="20"/>
                <w:color w:val="auto"/>
              </w:rPr>
            </w:pPr>
            <w:r>
              <w:rPr>
                <w:rFonts w:ascii="Arial" w:cs="Arial" w:eastAsia="Arial" w:hAnsi="Arial"/>
                <w:sz w:val="18"/>
                <w:szCs w:val="18"/>
                <w:b w:val="1"/>
                <w:bCs w:val="1"/>
                <w:color w:val="auto"/>
              </w:rPr>
              <w:t>EXHIBIT INDEX</w:t>
            </w:r>
          </w:p>
        </w:tc>
        <w:tc>
          <w:tcPr>
            <w:tcW w:w="0" w:type="dxa"/>
            <w:vAlign w:val="bottom"/>
          </w:tcPr>
          <w:p>
            <w:pPr>
              <w:spacing w:after="0"/>
              <w:rPr>
                <w:sz w:val="1"/>
                <w:szCs w:val="1"/>
                <w:color w:val="auto"/>
              </w:rPr>
            </w:pPr>
          </w:p>
        </w:tc>
      </w:tr>
      <w:tr>
        <w:trPr>
          <w:trHeight w:val="369"/>
        </w:trPr>
        <w:tc>
          <w:tcPr>
            <w:tcW w:w="500" w:type="dxa"/>
            <w:vAlign w:val="bottom"/>
          </w:tcPr>
          <w:p>
            <w:pPr>
              <w:spacing w:after="0"/>
              <w:rPr>
                <w:sz w:val="20"/>
                <w:szCs w:val="20"/>
                <w:color w:val="auto"/>
              </w:rPr>
            </w:pPr>
            <w:r>
              <w:rPr>
                <w:rFonts w:ascii="Arial" w:cs="Arial" w:eastAsia="Arial" w:hAnsi="Arial"/>
                <w:sz w:val="14"/>
                <w:szCs w:val="14"/>
                <w:b w:val="1"/>
                <w:bCs w:val="1"/>
                <w:color w:val="auto"/>
              </w:rPr>
              <w:t>Exhibit</w:t>
            </w:r>
          </w:p>
        </w:tc>
        <w:tc>
          <w:tcPr>
            <w:tcW w:w="54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3140" w:type="dxa"/>
            <w:vAlign w:val="bottom"/>
          </w:tcPr>
          <w:p>
            <w:pPr>
              <w:spacing w:after="0"/>
              <w:rPr>
                <w:sz w:val="24"/>
                <w:szCs w:val="24"/>
                <w:color w:val="auto"/>
              </w:rPr>
            </w:pPr>
          </w:p>
        </w:tc>
        <w:tc>
          <w:tcPr>
            <w:tcW w:w="5600" w:type="dxa"/>
            <w:vAlign w:val="bottom"/>
            <w:gridSpan w:val="3"/>
            <w:vMerge w:val="restart"/>
          </w:tcPr>
          <w:p>
            <w:pPr>
              <w:spacing w:after="0"/>
              <w:rPr>
                <w:sz w:val="20"/>
                <w:szCs w:val="20"/>
                <w:color w:val="auto"/>
              </w:rPr>
            </w:pPr>
            <w:r>
              <w:rPr>
                <w:rFonts w:ascii="Arial" w:cs="Arial" w:eastAsia="Arial" w:hAnsi="Arial"/>
                <w:sz w:val="14"/>
                <w:szCs w:val="14"/>
                <w:b w:val="1"/>
                <w:bCs w:val="1"/>
                <w:color w:val="auto"/>
              </w:rPr>
              <w:t>Description of Exhibit</w:t>
            </w:r>
          </w:p>
        </w:tc>
        <w:tc>
          <w:tcPr>
            <w:tcW w:w="0" w:type="dxa"/>
            <w:vAlign w:val="bottom"/>
          </w:tcPr>
          <w:p>
            <w:pPr>
              <w:spacing w:after="0"/>
              <w:rPr>
                <w:sz w:val="1"/>
                <w:szCs w:val="1"/>
                <w:color w:val="auto"/>
              </w:rPr>
            </w:pPr>
          </w:p>
        </w:tc>
      </w:tr>
      <w:tr>
        <w:trPr>
          <w:trHeight w:val="171"/>
        </w:trPr>
        <w:tc>
          <w:tcPr>
            <w:tcW w:w="500" w:type="dxa"/>
            <w:vAlign w:val="bottom"/>
          </w:tcPr>
          <w:p>
            <w:pPr>
              <w:spacing w:after="0"/>
              <w:rPr>
                <w:sz w:val="20"/>
                <w:szCs w:val="20"/>
                <w:color w:val="auto"/>
              </w:rPr>
            </w:pPr>
            <w:r>
              <w:rPr>
                <w:rFonts w:ascii="Arial" w:cs="Arial" w:eastAsia="Arial" w:hAnsi="Arial"/>
                <w:sz w:val="14"/>
                <w:szCs w:val="14"/>
                <w:b w:val="1"/>
                <w:bCs w:val="1"/>
                <w:color w:val="auto"/>
                <w:w w:val="90"/>
              </w:rPr>
              <w:t>Number</w:t>
            </w:r>
          </w:p>
        </w:tc>
        <w:tc>
          <w:tcPr>
            <w:tcW w:w="540" w:type="dxa"/>
            <w:vAlign w:val="bottom"/>
          </w:tcPr>
          <w:p>
            <w:pPr>
              <w:spacing w:after="0"/>
              <w:rPr>
                <w:sz w:val="14"/>
                <w:szCs w:val="14"/>
                <w:color w:val="auto"/>
              </w:rPr>
            </w:pPr>
          </w:p>
        </w:tc>
        <w:tc>
          <w:tcPr>
            <w:tcW w:w="1160" w:type="dxa"/>
            <w:vAlign w:val="bottom"/>
          </w:tcPr>
          <w:p>
            <w:pPr>
              <w:spacing w:after="0"/>
              <w:rPr>
                <w:sz w:val="14"/>
                <w:szCs w:val="14"/>
                <w:color w:val="auto"/>
              </w:rPr>
            </w:pPr>
          </w:p>
        </w:tc>
        <w:tc>
          <w:tcPr>
            <w:tcW w:w="3140" w:type="dxa"/>
            <w:vAlign w:val="bottom"/>
          </w:tcPr>
          <w:p>
            <w:pPr>
              <w:spacing w:after="0"/>
              <w:rPr>
                <w:sz w:val="14"/>
                <w:szCs w:val="14"/>
                <w:color w:val="auto"/>
              </w:rPr>
            </w:pPr>
          </w:p>
        </w:tc>
        <w:tc>
          <w:tcPr>
            <w:tcW w:w="5600" w:type="dxa"/>
            <w:vAlign w:val="bottom"/>
            <w:gridSpan w:val="3"/>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318"/>
        </w:trPr>
        <w:tc>
          <w:tcPr>
            <w:tcW w:w="500" w:type="dxa"/>
            <w:vAlign w:val="bottom"/>
            <w:tcBorders>
              <w:top w:val="single" w:sz="8" w:color="auto"/>
            </w:tcBorders>
          </w:tcPr>
          <w:p>
            <w:pPr>
              <w:ind w:left="80"/>
              <w:spacing w:after="0"/>
              <w:rPr>
                <w:sz w:val="20"/>
                <w:szCs w:val="20"/>
                <w:color w:val="auto"/>
              </w:rPr>
            </w:pPr>
            <w:r>
              <w:rPr>
                <w:rFonts w:ascii="Arial" w:cs="Arial" w:eastAsia="Arial" w:hAnsi="Arial"/>
                <w:sz w:val="18"/>
                <w:szCs w:val="18"/>
                <w:color w:val="auto"/>
              </w:rPr>
              <w:t>1.1*</w:t>
            </w:r>
          </w:p>
        </w:tc>
        <w:tc>
          <w:tcPr>
            <w:tcW w:w="540" w:type="dxa"/>
            <w:vAlign w:val="bottom"/>
          </w:tcPr>
          <w:p>
            <w:pPr>
              <w:spacing w:after="0"/>
              <w:rPr>
                <w:sz w:val="24"/>
                <w:szCs w:val="24"/>
                <w:color w:val="auto"/>
              </w:rPr>
            </w:pPr>
          </w:p>
        </w:tc>
        <w:tc>
          <w:tcPr>
            <w:tcW w:w="4300" w:type="dxa"/>
            <w:vAlign w:val="bottom"/>
            <w:gridSpan w:val="2"/>
          </w:tcPr>
          <w:p>
            <w:pPr>
              <w:spacing w:after="0"/>
              <w:rPr>
                <w:sz w:val="20"/>
                <w:szCs w:val="20"/>
                <w:color w:val="auto"/>
              </w:rPr>
            </w:pPr>
            <w:r>
              <w:rPr>
                <w:rFonts w:ascii="Arial" w:cs="Arial" w:eastAsia="Arial" w:hAnsi="Arial"/>
                <w:sz w:val="18"/>
                <w:szCs w:val="18"/>
                <w:color w:val="auto"/>
              </w:rPr>
              <w:t>Form of Underwriting Agreement.</w:t>
            </w:r>
          </w:p>
        </w:tc>
        <w:tc>
          <w:tcPr>
            <w:tcW w:w="1360" w:type="dxa"/>
            <w:vAlign w:val="bottom"/>
            <w:tcBorders>
              <w:top w:val="single" w:sz="8" w:color="auto"/>
            </w:tcBorders>
          </w:tcPr>
          <w:p>
            <w:pPr>
              <w:spacing w:after="0"/>
              <w:rPr>
                <w:sz w:val="24"/>
                <w:szCs w:val="24"/>
                <w:color w:val="auto"/>
              </w:rPr>
            </w:pPr>
          </w:p>
        </w:tc>
        <w:tc>
          <w:tcPr>
            <w:tcW w:w="4240" w:type="dxa"/>
            <w:vAlign w:val="bottom"/>
            <w:gridSpan w:val="2"/>
          </w:tcPr>
          <w:p>
            <w:pPr>
              <w:spacing w:after="0"/>
              <w:rPr>
                <w:sz w:val="24"/>
                <w:szCs w:val="24"/>
                <w:color w:val="auto"/>
              </w:rPr>
            </w:pPr>
          </w:p>
        </w:tc>
        <w:tc>
          <w:tcPr>
            <w:tcW w:w="0" w:type="dxa"/>
            <w:vAlign w:val="bottom"/>
          </w:tcPr>
          <w:p>
            <w:pPr>
              <w:spacing w:after="0"/>
              <w:rPr>
                <w:sz w:val="1"/>
                <w:szCs w:val="1"/>
                <w:color w:val="auto"/>
              </w:rPr>
            </w:pPr>
          </w:p>
        </w:tc>
      </w:tr>
      <w:tr>
        <w:trPr>
          <w:trHeight w:val="283"/>
        </w:trPr>
        <w:tc>
          <w:tcPr>
            <w:tcW w:w="500" w:type="dxa"/>
            <w:vAlign w:val="bottom"/>
          </w:tcPr>
          <w:p>
            <w:pPr>
              <w:ind w:left="80"/>
              <w:spacing w:after="0"/>
              <w:rPr>
                <w:sz w:val="20"/>
                <w:szCs w:val="20"/>
                <w:color w:val="auto"/>
              </w:rPr>
            </w:pPr>
            <w:r>
              <w:rPr>
                <w:rFonts w:ascii="Arial" w:cs="Arial" w:eastAsia="Arial" w:hAnsi="Arial"/>
                <w:sz w:val="18"/>
                <w:szCs w:val="18"/>
                <w:color w:val="auto"/>
              </w:rPr>
              <w:t>1.2</w:t>
            </w:r>
          </w:p>
        </w:tc>
        <w:tc>
          <w:tcPr>
            <w:tcW w:w="540" w:type="dxa"/>
            <w:vAlign w:val="bottom"/>
          </w:tcPr>
          <w:p>
            <w:pPr>
              <w:spacing w:after="0"/>
              <w:rPr>
                <w:sz w:val="24"/>
                <w:szCs w:val="24"/>
                <w:color w:val="auto"/>
              </w:rPr>
            </w:pPr>
          </w:p>
        </w:tc>
        <w:tc>
          <w:tcPr>
            <w:tcW w:w="9900" w:type="dxa"/>
            <w:vAlign w:val="bottom"/>
            <w:gridSpan w:val="5"/>
          </w:tcPr>
          <w:p>
            <w:pPr>
              <w:spacing w:after="0"/>
              <w:rPr>
                <w:rFonts w:ascii="Arial" w:cs="Arial" w:eastAsia="Arial" w:hAnsi="Arial"/>
                <w:sz w:val="18"/>
                <w:szCs w:val="18"/>
                <w:color w:val="0000EE"/>
                <w:w w:val="96"/>
              </w:rPr>
            </w:pPr>
            <w:hyperlink w:anchor="page71">
              <w:r>
                <w:rPr>
                  <w:rFonts w:ascii="Arial" w:cs="Arial" w:eastAsia="Arial" w:hAnsi="Arial"/>
                  <w:sz w:val="18"/>
                  <w:szCs w:val="18"/>
                  <w:color w:val="0000EE"/>
                  <w:w w:val="96"/>
                </w:rPr>
                <w:t>Equity Distribution Agreement, dated as of August 14, 2020 by and between Larimar Therapeutics, Inc. and Piper Sandler &amp; Co.</w:t>
              </w:r>
            </w:hyperlink>
          </w:p>
        </w:tc>
        <w:tc>
          <w:tcPr>
            <w:tcW w:w="0" w:type="dxa"/>
            <w:vAlign w:val="bottom"/>
          </w:tcPr>
          <w:p>
            <w:pPr>
              <w:spacing w:after="0"/>
              <w:rPr>
                <w:sz w:val="1"/>
                <w:szCs w:val="1"/>
                <w:color w:val="auto"/>
              </w:rPr>
            </w:pPr>
          </w:p>
        </w:tc>
      </w:tr>
      <w:tr>
        <w:trPr>
          <w:trHeight w:val="196"/>
        </w:trPr>
        <w:tc>
          <w:tcPr>
            <w:tcW w:w="50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9280" w:type="dxa"/>
            <w:vAlign w:val="bottom"/>
            <w:tcBorders>
              <w:top w:val="single" w:sz="8" w:color="0000EE"/>
            </w:tcBorders>
            <w:gridSpan w:val="4"/>
          </w:tcPr>
          <w:p>
            <w:pPr>
              <w:spacing w:after="0" w:line="196" w:lineRule="exact"/>
              <w:rPr>
                <w:rFonts w:ascii="Arial" w:cs="Arial" w:eastAsia="Arial" w:hAnsi="Arial"/>
                <w:sz w:val="18"/>
                <w:szCs w:val="18"/>
                <w:color w:val="0000EE"/>
              </w:rPr>
            </w:pPr>
            <w:hyperlink w:anchor="page71">
              <w:r>
                <w:rPr>
                  <w:rFonts w:ascii="Arial" w:cs="Arial" w:eastAsia="Arial" w:hAnsi="Arial"/>
                  <w:sz w:val="18"/>
                  <w:szCs w:val="18"/>
                  <w:color w:val="0000EE"/>
                </w:rPr>
                <w:t>(filed herewith).</w:t>
              </w:r>
            </w:hyperlink>
          </w:p>
        </w:tc>
        <w:tc>
          <w:tcPr>
            <w:tcW w:w="6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50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160" w:type="dxa"/>
            <w:vAlign w:val="bottom"/>
            <w:shd w:val="clear" w:color="auto" w:fill="0000EE"/>
          </w:tcPr>
          <w:p>
            <w:pPr>
              <w:spacing w:after="0" w:line="20" w:lineRule="exact"/>
              <w:rPr>
                <w:sz w:val="1"/>
                <w:szCs w:val="1"/>
                <w:color w:val="auto"/>
              </w:rPr>
            </w:pPr>
          </w:p>
        </w:tc>
        <w:tc>
          <w:tcPr>
            <w:tcW w:w="8740" w:type="dxa"/>
            <w:vAlign w:val="bottom"/>
            <w:gridSpan w:val="4"/>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30"/>
        </w:trPr>
        <w:tc>
          <w:tcPr>
            <w:tcW w:w="500" w:type="dxa"/>
            <w:vAlign w:val="bottom"/>
          </w:tcPr>
          <w:p>
            <w:pPr>
              <w:ind w:left="80"/>
              <w:spacing w:after="0"/>
              <w:rPr>
                <w:sz w:val="20"/>
                <w:szCs w:val="20"/>
                <w:color w:val="auto"/>
              </w:rPr>
            </w:pPr>
            <w:r>
              <w:rPr>
                <w:rFonts w:ascii="Arial" w:cs="Arial" w:eastAsia="Arial" w:hAnsi="Arial"/>
                <w:sz w:val="18"/>
                <w:szCs w:val="18"/>
                <w:color w:val="auto"/>
              </w:rPr>
              <w:t>3.1</w:t>
            </w:r>
          </w:p>
        </w:tc>
        <w:tc>
          <w:tcPr>
            <w:tcW w:w="540" w:type="dxa"/>
            <w:vAlign w:val="bottom"/>
          </w:tcPr>
          <w:p>
            <w:pPr>
              <w:spacing w:after="0"/>
              <w:rPr>
                <w:sz w:val="24"/>
                <w:szCs w:val="24"/>
                <w:color w:val="auto"/>
              </w:rPr>
            </w:pPr>
          </w:p>
        </w:tc>
        <w:tc>
          <w:tcPr>
            <w:tcW w:w="9900" w:type="dxa"/>
            <w:vAlign w:val="bottom"/>
            <w:gridSpan w:val="5"/>
          </w:tcPr>
          <w:p>
            <w:pPr>
              <w:spacing w:after="0"/>
              <w:rPr>
                <w:sz w:val="20"/>
                <w:szCs w:val="20"/>
                <w:color w:val="auto"/>
              </w:rPr>
            </w:pPr>
            <w:r>
              <w:rPr>
                <w:rFonts w:ascii="Arial" w:cs="Arial" w:eastAsia="Arial" w:hAnsi="Arial"/>
                <w:sz w:val="18"/>
                <w:szCs w:val="18"/>
                <w:color w:val="auto"/>
                <w:w w:val="93"/>
              </w:rPr>
              <w:t>Ninth Amended and Restated Certificate of Incorporation of Larimar Therapeutics, Inc. (formerly Zafgen, Inc.) (incorporated herein by</w:t>
            </w:r>
          </w:p>
        </w:tc>
        <w:tc>
          <w:tcPr>
            <w:tcW w:w="0" w:type="dxa"/>
            <w:vAlign w:val="bottom"/>
          </w:tcPr>
          <w:p>
            <w:pPr>
              <w:spacing w:after="0"/>
              <w:rPr>
                <w:sz w:val="1"/>
                <w:szCs w:val="1"/>
                <w:color w:val="auto"/>
              </w:rPr>
            </w:pPr>
          </w:p>
        </w:tc>
      </w:tr>
      <w:tr>
        <w:trPr>
          <w:trHeight w:val="230"/>
        </w:trPr>
        <w:tc>
          <w:tcPr>
            <w:tcW w:w="50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9900" w:type="dxa"/>
            <w:vAlign w:val="bottom"/>
            <w:gridSpan w:val="5"/>
          </w:tcPr>
          <w:p>
            <w:pPr>
              <w:spacing w:after="0"/>
              <w:rPr>
                <w:rFonts w:ascii="Arial" w:cs="Arial" w:eastAsia="Arial" w:hAnsi="Arial"/>
                <w:sz w:val="18"/>
                <w:szCs w:val="18"/>
                <w:color w:val="auto"/>
              </w:rPr>
            </w:pPr>
            <w:r>
              <w:rPr>
                <w:rFonts w:ascii="Arial" w:cs="Arial" w:eastAsia="Arial" w:hAnsi="Arial"/>
                <w:sz w:val="18"/>
                <w:szCs w:val="18"/>
                <w:color w:val="auto"/>
              </w:rPr>
              <w:t xml:space="preserve">reference to </w:t>
            </w:r>
            <w:hyperlink r:id="rId112">
              <w:r>
                <w:rPr>
                  <w:rFonts w:ascii="Arial" w:cs="Arial" w:eastAsia="Arial" w:hAnsi="Arial"/>
                  <w:sz w:val="18"/>
                  <w:szCs w:val="18"/>
                  <w:u w:val="single" w:color="auto"/>
                  <w:color w:val="0000EE"/>
                </w:rPr>
                <w:t>Exhibit 3.1</w:t>
              </w:r>
              <w:r>
                <w:rPr>
                  <w:rFonts w:ascii="Arial" w:cs="Arial" w:eastAsia="Arial" w:hAnsi="Arial"/>
                  <w:sz w:val="18"/>
                  <w:szCs w:val="18"/>
                  <w:u w:val="single" w:color="auto"/>
                  <w:color w:val="auto"/>
                </w:rPr>
                <w:t xml:space="preserve"> </w:t>
              </w:r>
            </w:hyperlink>
            <w:r>
              <w:rPr>
                <w:rFonts w:ascii="Arial" w:cs="Arial" w:eastAsia="Arial" w:hAnsi="Arial"/>
                <w:sz w:val="18"/>
                <w:szCs w:val="18"/>
                <w:color w:val="auto"/>
              </w:rPr>
              <w:t>to the Company’s Current Report on Form 8-K (File No. 001-35610) filed on June 24, 2014).</w:t>
            </w:r>
          </w:p>
        </w:tc>
        <w:tc>
          <w:tcPr>
            <w:tcW w:w="0" w:type="dxa"/>
            <w:vAlign w:val="bottom"/>
          </w:tcPr>
          <w:p>
            <w:pPr>
              <w:spacing w:after="0"/>
              <w:rPr>
                <w:sz w:val="1"/>
                <w:szCs w:val="1"/>
                <w:color w:val="auto"/>
              </w:rPr>
            </w:pPr>
          </w:p>
        </w:tc>
      </w:tr>
      <w:tr>
        <w:trPr>
          <w:trHeight w:val="310"/>
        </w:trPr>
        <w:tc>
          <w:tcPr>
            <w:tcW w:w="500" w:type="dxa"/>
            <w:vAlign w:val="bottom"/>
          </w:tcPr>
          <w:p>
            <w:pPr>
              <w:ind w:left="80"/>
              <w:spacing w:after="0"/>
              <w:rPr>
                <w:sz w:val="20"/>
                <w:szCs w:val="20"/>
                <w:color w:val="auto"/>
              </w:rPr>
            </w:pPr>
            <w:r>
              <w:rPr>
                <w:rFonts w:ascii="Arial" w:cs="Arial" w:eastAsia="Arial" w:hAnsi="Arial"/>
                <w:sz w:val="18"/>
                <w:szCs w:val="18"/>
                <w:color w:val="auto"/>
              </w:rPr>
              <w:t>3.2</w:t>
            </w:r>
          </w:p>
        </w:tc>
        <w:tc>
          <w:tcPr>
            <w:tcW w:w="540" w:type="dxa"/>
            <w:vAlign w:val="bottom"/>
          </w:tcPr>
          <w:p>
            <w:pPr>
              <w:spacing w:after="0"/>
              <w:rPr>
                <w:sz w:val="24"/>
                <w:szCs w:val="24"/>
                <w:color w:val="auto"/>
              </w:rPr>
            </w:pPr>
          </w:p>
        </w:tc>
        <w:tc>
          <w:tcPr>
            <w:tcW w:w="9900" w:type="dxa"/>
            <w:vAlign w:val="bottom"/>
            <w:gridSpan w:val="5"/>
          </w:tcPr>
          <w:p>
            <w:pPr>
              <w:spacing w:after="0"/>
              <w:rPr>
                <w:sz w:val="20"/>
                <w:szCs w:val="20"/>
                <w:color w:val="auto"/>
              </w:rPr>
            </w:pPr>
            <w:r>
              <w:rPr>
                <w:rFonts w:ascii="Arial" w:cs="Arial" w:eastAsia="Arial" w:hAnsi="Arial"/>
                <w:sz w:val="18"/>
                <w:szCs w:val="18"/>
                <w:color w:val="auto"/>
                <w:w w:val="92"/>
              </w:rPr>
              <w:t>Certificate of Amendment of Ninth Amended and Restated Certificate of Incorporation of Larimar Therapeutics, Inc. (formerly known as</w:t>
            </w:r>
          </w:p>
        </w:tc>
        <w:tc>
          <w:tcPr>
            <w:tcW w:w="0" w:type="dxa"/>
            <w:vAlign w:val="bottom"/>
          </w:tcPr>
          <w:p>
            <w:pPr>
              <w:spacing w:after="0"/>
              <w:rPr>
                <w:sz w:val="1"/>
                <w:szCs w:val="1"/>
                <w:color w:val="auto"/>
              </w:rPr>
            </w:pPr>
          </w:p>
        </w:tc>
      </w:tr>
      <w:tr>
        <w:trPr>
          <w:trHeight w:val="216"/>
        </w:trPr>
        <w:tc>
          <w:tcPr>
            <w:tcW w:w="50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9900" w:type="dxa"/>
            <w:vAlign w:val="bottom"/>
            <w:gridSpan w:val="5"/>
          </w:tcPr>
          <w:p>
            <w:pPr>
              <w:spacing w:after="0"/>
              <w:rPr>
                <w:rFonts w:ascii="Arial" w:cs="Arial" w:eastAsia="Arial" w:hAnsi="Arial"/>
                <w:sz w:val="18"/>
                <w:szCs w:val="18"/>
                <w:color w:val="auto"/>
                <w:w w:val="92"/>
              </w:rPr>
            </w:pPr>
            <w:r>
              <w:rPr>
                <w:rFonts w:ascii="Arial" w:cs="Arial" w:eastAsia="Arial" w:hAnsi="Arial"/>
                <w:sz w:val="18"/>
                <w:szCs w:val="18"/>
                <w:color w:val="auto"/>
                <w:w w:val="92"/>
              </w:rPr>
              <w:t xml:space="preserve">Zafgen, Inc.) related to the Reverse Stock Split, dated May 28, 2020 (incorporated herein by reference to </w:t>
            </w:r>
            <w:hyperlink r:id="rId113">
              <w:r>
                <w:rPr>
                  <w:rFonts w:ascii="Arial" w:cs="Arial" w:eastAsia="Arial" w:hAnsi="Arial"/>
                  <w:sz w:val="18"/>
                  <w:szCs w:val="18"/>
                  <w:u w:val="single" w:color="auto"/>
                  <w:color w:val="0000EE"/>
                  <w:w w:val="92"/>
                </w:rPr>
                <w:t>Exhibit 3.1</w:t>
              </w:r>
              <w:r>
                <w:rPr>
                  <w:rFonts w:ascii="Arial" w:cs="Arial" w:eastAsia="Arial" w:hAnsi="Arial"/>
                  <w:sz w:val="18"/>
                  <w:szCs w:val="18"/>
                  <w:u w:val="single" w:color="auto"/>
                  <w:color w:val="auto"/>
                  <w:w w:val="92"/>
                </w:rPr>
                <w:t xml:space="preserve"> </w:t>
              </w:r>
            </w:hyperlink>
            <w:r>
              <w:rPr>
                <w:rFonts w:ascii="Arial" w:cs="Arial" w:eastAsia="Arial" w:hAnsi="Arial"/>
                <w:sz w:val="18"/>
                <w:szCs w:val="18"/>
                <w:color w:val="auto"/>
                <w:w w:val="92"/>
              </w:rPr>
              <w:t>to the Company’s</w:t>
            </w:r>
          </w:p>
        </w:tc>
        <w:tc>
          <w:tcPr>
            <w:tcW w:w="0" w:type="dxa"/>
            <w:vAlign w:val="bottom"/>
          </w:tcPr>
          <w:p>
            <w:pPr>
              <w:spacing w:after="0"/>
              <w:rPr>
                <w:sz w:val="1"/>
                <w:szCs w:val="1"/>
                <w:color w:val="auto"/>
              </w:rPr>
            </w:pPr>
          </w:p>
        </w:tc>
      </w:tr>
      <w:tr>
        <w:trPr>
          <w:trHeight w:val="230"/>
        </w:trPr>
        <w:tc>
          <w:tcPr>
            <w:tcW w:w="50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9900" w:type="dxa"/>
            <w:vAlign w:val="bottom"/>
            <w:gridSpan w:val="5"/>
          </w:tcPr>
          <w:p>
            <w:pPr>
              <w:spacing w:after="0"/>
              <w:rPr>
                <w:sz w:val="20"/>
                <w:szCs w:val="20"/>
                <w:color w:val="auto"/>
              </w:rPr>
            </w:pPr>
            <w:r>
              <w:rPr>
                <w:rFonts w:ascii="Arial" w:cs="Arial" w:eastAsia="Arial" w:hAnsi="Arial"/>
                <w:sz w:val="18"/>
                <w:szCs w:val="18"/>
                <w:color w:val="auto"/>
              </w:rPr>
              <w:t>Current Report on Form 8-K (File No. 001-35610) filed on June 2, 2020).</w:t>
            </w:r>
          </w:p>
        </w:tc>
        <w:tc>
          <w:tcPr>
            <w:tcW w:w="0" w:type="dxa"/>
            <w:vAlign w:val="bottom"/>
          </w:tcPr>
          <w:p>
            <w:pPr>
              <w:spacing w:after="0"/>
              <w:rPr>
                <w:sz w:val="1"/>
                <w:szCs w:val="1"/>
                <w:color w:val="auto"/>
              </w:rPr>
            </w:pPr>
          </w:p>
        </w:tc>
      </w:tr>
      <w:tr>
        <w:trPr>
          <w:trHeight w:val="310"/>
        </w:trPr>
        <w:tc>
          <w:tcPr>
            <w:tcW w:w="500" w:type="dxa"/>
            <w:vAlign w:val="bottom"/>
          </w:tcPr>
          <w:p>
            <w:pPr>
              <w:ind w:left="80"/>
              <w:spacing w:after="0"/>
              <w:rPr>
                <w:sz w:val="20"/>
                <w:szCs w:val="20"/>
                <w:color w:val="auto"/>
              </w:rPr>
            </w:pPr>
            <w:r>
              <w:rPr>
                <w:rFonts w:ascii="Arial" w:cs="Arial" w:eastAsia="Arial" w:hAnsi="Arial"/>
                <w:sz w:val="18"/>
                <w:szCs w:val="18"/>
                <w:color w:val="auto"/>
              </w:rPr>
              <w:t>3.3</w:t>
            </w:r>
          </w:p>
        </w:tc>
        <w:tc>
          <w:tcPr>
            <w:tcW w:w="540" w:type="dxa"/>
            <w:vAlign w:val="bottom"/>
          </w:tcPr>
          <w:p>
            <w:pPr>
              <w:spacing w:after="0"/>
              <w:rPr>
                <w:sz w:val="24"/>
                <w:szCs w:val="24"/>
                <w:color w:val="auto"/>
              </w:rPr>
            </w:pPr>
          </w:p>
        </w:tc>
        <w:tc>
          <w:tcPr>
            <w:tcW w:w="9900" w:type="dxa"/>
            <w:vAlign w:val="bottom"/>
            <w:gridSpan w:val="5"/>
          </w:tcPr>
          <w:p>
            <w:pPr>
              <w:spacing w:after="0"/>
              <w:rPr>
                <w:sz w:val="20"/>
                <w:szCs w:val="20"/>
                <w:color w:val="auto"/>
              </w:rPr>
            </w:pPr>
            <w:r>
              <w:rPr>
                <w:rFonts w:ascii="Arial" w:cs="Arial" w:eastAsia="Arial" w:hAnsi="Arial"/>
                <w:sz w:val="18"/>
                <w:szCs w:val="18"/>
                <w:color w:val="auto"/>
                <w:w w:val="92"/>
              </w:rPr>
              <w:t>Certificate of Amendment of Ninth Amended and Restated Certificate of Incorporation of Larimar Therapeutics, Inc. (formerly known as</w:t>
            </w:r>
          </w:p>
        </w:tc>
        <w:tc>
          <w:tcPr>
            <w:tcW w:w="0" w:type="dxa"/>
            <w:vAlign w:val="bottom"/>
          </w:tcPr>
          <w:p>
            <w:pPr>
              <w:spacing w:after="0"/>
              <w:rPr>
                <w:sz w:val="1"/>
                <w:szCs w:val="1"/>
                <w:color w:val="auto"/>
              </w:rPr>
            </w:pPr>
          </w:p>
        </w:tc>
      </w:tr>
      <w:tr>
        <w:trPr>
          <w:trHeight w:val="216"/>
        </w:trPr>
        <w:tc>
          <w:tcPr>
            <w:tcW w:w="50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9900" w:type="dxa"/>
            <w:vAlign w:val="bottom"/>
            <w:gridSpan w:val="5"/>
          </w:tcPr>
          <w:p>
            <w:pPr>
              <w:spacing w:after="0"/>
              <w:rPr>
                <w:rFonts w:ascii="Arial" w:cs="Arial" w:eastAsia="Arial" w:hAnsi="Arial"/>
                <w:sz w:val="18"/>
                <w:szCs w:val="18"/>
                <w:color w:val="auto"/>
                <w:w w:val="90"/>
              </w:rPr>
            </w:pPr>
            <w:r>
              <w:rPr>
                <w:rFonts w:ascii="Arial" w:cs="Arial" w:eastAsia="Arial" w:hAnsi="Arial"/>
                <w:sz w:val="18"/>
                <w:szCs w:val="18"/>
                <w:color w:val="auto"/>
                <w:w w:val="90"/>
              </w:rPr>
              <w:t xml:space="preserve">Zafgen, Inc.) related to the Name Change, dated May 28, 2020 (incorporated herein by reference to </w:t>
            </w:r>
            <w:hyperlink r:id="rId114">
              <w:r>
                <w:rPr>
                  <w:rFonts w:ascii="Arial" w:cs="Arial" w:eastAsia="Arial" w:hAnsi="Arial"/>
                  <w:sz w:val="18"/>
                  <w:szCs w:val="18"/>
                  <w:u w:val="single" w:color="auto"/>
                  <w:color w:val="0000EE"/>
                  <w:w w:val="90"/>
                </w:rPr>
                <w:t>Exhibit 3.2</w:t>
              </w:r>
              <w:r>
                <w:rPr>
                  <w:rFonts w:ascii="Arial" w:cs="Arial" w:eastAsia="Arial" w:hAnsi="Arial"/>
                  <w:sz w:val="18"/>
                  <w:szCs w:val="18"/>
                  <w:u w:val="single" w:color="auto"/>
                  <w:color w:val="auto"/>
                  <w:w w:val="90"/>
                </w:rPr>
                <w:t xml:space="preserve"> </w:t>
              </w:r>
            </w:hyperlink>
            <w:r>
              <w:rPr>
                <w:rFonts w:ascii="Arial" w:cs="Arial" w:eastAsia="Arial" w:hAnsi="Arial"/>
                <w:sz w:val="18"/>
                <w:szCs w:val="18"/>
                <w:color w:val="auto"/>
                <w:w w:val="90"/>
              </w:rPr>
              <w:t>to the Company’s Current</w:t>
            </w:r>
          </w:p>
        </w:tc>
        <w:tc>
          <w:tcPr>
            <w:tcW w:w="0" w:type="dxa"/>
            <w:vAlign w:val="bottom"/>
          </w:tcPr>
          <w:p>
            <w:pPr>
              <w:spacing w:after="0"/>
              <w:rPr>
                <w:sz w:val="1"/>
                <w:szCs w:val="1"/>
                <w:color w:val="auto"/>
              </w:rPr>
            </w:pPr>
          </w:p>
        </w:tc>
      </w:tr>
      <w:tr>
        <w:trPr>
          <w:trHeight w:val="230"/>
        </w:trPr>
        <w:tc>
          <w:tcPr>
            <w:tcW w:w="50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9900" w:type="dxa"/>
            <w:vAlign w:val="bottom"/>
            <w:gridSpan w:val="5"/>
          </w:tcPr>
          <w:p>
            <w:pPr>
              <w:spacing w:after="0"/>
              <w:rPr>
                <w:sz w:val="20"/>
                <w:szCs w:val="20"/>
                <w:color w:val="auto"/>
              </w:rPr>
            </w:pPr>
            <w:r>
              <w:rPr>
                <w:rFonts w:ascii="Arial" w:cs="Arial" w:eastAsia="Arial" w:hAnsi="Arial"/>
                <w:sz w:val="18"/>
                <w:szCs w:val="18"/>
                <w:color w:val="auto"/>
              </w:rPr>
              <w:t>Report on Form 8-K (File No. 001-35610) filed on June 2, 2020).</w:t>
            </w:r>
          </w:p>
        </w:tc>
        <w:tc>
          <w:tcPr>
            <w:tcW w:w="0" w:type="dxa"/>
            <w:vAlign w:val="bottom"/>
          </w:tcPr>
          <w:p>
            <w:pPr>
              <w:spacing w:after="0"/>
              <w:rPr>
                <w:sz w:val="1"/>
                <w:szCs w:val="1"/>
                <w:color w:val="auto"/>
              </w:rPr>
            </w:pPr>
          </w:p>
        </w:tc>
      </w:tr>
      <w:tr>
        <w:trPr>
          <w:trHeight w:val="310"/>
        </w:trPr>
        <w:tc>
          <w:tcPr>
            <w:tcW w:w="500" w:type="dxa"/>
            <w:vAlign w:val="bottom"/>
          </w:tcPr>
          <w:p>
            <w:pPr>
              <w:ind w:left="80"/>
              <w:spacing w:after="0"/>
              <w:rPr>
                <w:sz w:val="20"/>
                <w:szCs w:val="20"/>
                <w:color w:val="auto"/>
              </w:rPr>
            </w:pPr>
            <w:r>
              <w:rPr>
                <w:rFonts w:ascii="Arial" w:cs="Arial" w:eastAsia="Arial" w:hAnsi="Arial"/>
                <w:sz w:val="18"/>
                <w:szCs w:val="18"/>
                <w:color w:val="auto"/>
              </w:rPr>
              <w:t>3.4</w:t>
            </w:r>
          </w:p>
        </w:tc>
        <w:tc>
          <w:tcPr>
            <w:tcW w:w="540" w:type="dxa"/>
            <w:vAlign w:val="bottom"/>
          </w:tcPr>
          <w:p>
            <w:pPr>
              <w:spacing w:after="0"/>
              <w:rPr>
                <w:sz w:val="24"/>
                <w:szCs w:val="24"/>
                <w:color w:val="auto"/>
              </w:rPr>
            </w:pPr>
          </w:p>
        </w:tc>
        <w:tc>
          <w:tcPr>
            <w:tcW w:w="9900" w:type="dxa"/>
            <w:vAlign w:val="bottom"/>
            <w:gridSpan w:val="5"/>
          </w:tcPr>
          <w:p>
            <w:pPr>
              <w:spacing w:after="0"/>
              <w:rPr>
                <w:sz w:val="20"/>
                <w:szCs w:val="20"/>
                <w:color w:val="auto"/>
              </w:rPr>
            </w:pPr>
            <w:r>
              <w:rPr>
                <w:rFonts w:ascii="Arial" w:cs="Arial" w:eastAsia="Arial" w:hAnsi="Arial"/>
                <w:sz w:val="18"/>
                <w:szCs w:val="18"/>
                <w:color w:val="auto"/>
                <w:w w:val="95"/>
              </w:rPr>
              <w:t>Amended and Restated Bylaws of Larimar Therapeutics, Inc. (formerly known as Zafgen, Inc.) (incorporated herein by reference to</w:t>
            </w:r>
          </w:p>
        </w:tc>
        <w:tc>
          <w:tcPr>
            <w:tcW w:w="0" w:type="dxa"/>
            <w:vAlign w:val="bottom"/>
          </w:tcPr>
          <w:p>
            <w:pPr>
              <w:spacing w:after="0"/>
              <w:rPr>
                <w:sz w:val="1"/>
                <w:szCs w:val="1"/>
                <w:color w:val="auto"/>
              </w:rPr>
            </w:pPr>
          </w:p>
        </w:tc>
      </w:tr>
      <w:tr>
        <w:trPr>
          <w:trHeight w:val="230"/>
        </w:trPr>
        <w:tc>
          <w:tcPr>
            <w:tcW w:w="50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9900" w:type="dxa"/>
            <w:vAlign w:val="bottom"/>
            <w:gridSpan w:val="5"/>
          </w:tcPr>
          <w:p>
            <w:pPr>
              <w:spacing w:after="0"/>
              <w:rPr>
                <w:rFonts w:ascii="Arial" w:cs="Arial" w:eastAsia="Arial" w:hAnsi="Arial"/>
                <w:sz w:val="18"/>
                <w:szCs w:val="18"/>
                <w:color w:val="0000EE"/>
              </w:rPr>
            </w:pPr>
            <w:hyperlink r:id="rId115">
              <w:r>
                <w:rPr>
                  <w:rFonts w:ascii="Arial" w:cs="Arial" w:eastAsia="Arial" w:hAnsi="Arial"/>
                  <w:sz w:val="18"/>
                  <w:szCs w:val="18"/>
                  <w:u w:val="single" w:color="auto"/>
                  <w:color w:val="0000EE"/>
                </w:rPr>
                <w:t>Exhibit 3.2</w:t>
              </w:r>
              <w:r>
                <w:rPr>
                  <w:rFonts w:ascii="Arial" w:cs="Arial" w:eastAsia="Arial" w:hAnsi="Arial"/>
                  <w:sz w:val="18"/>
                  <w:szCs w:val="18"/>
                  <w:color w:val="0000EE"/>
                </w:rPr>
                <w:t xml:space="preserve"> </w:t>
              </w:r>
            </w:hyperlink>
            <w:r>
              <w:rPr>
                <w:rFonts w:ascii="Arial" w:cs="Arial" w:eastAsia="Arial" w:hAnsi="Arial"/>
                <w:sz w:val="18"/>
                <w:szCs w:val="18"/>
                <w:color w:val="000000"/>
              </w:rPr>
              <w:t>to</w:t>
            </w:r>
            <w:r>
              <w:rPr>
                <w:rFonts w:ascii="Arial" w:cs="Arial" w:eastAsia="Arial" w:hAnsi="Arial"/>
                <w:sz w:val="18"/>
                <w:szCs w:val="18"/>
                <w:color w:val="0000EE"/>
              </w:rPr>
              <w:t xml:space="preserve"> </w:t>
            </w:r>
            <w:r>
              <w:rPr>
                <w:rFonts w:ascii="Arial" w:cs="Arial" w:eastAsia="Arial" w:hAnsi="Arial"/>
                <w:sz w:val="18"/>
                <w:szCs w:val="18"/>
                <w:color w:val="000000"/>
              </w:rPr>
              <w:t>the Company’s Current Report on Form 8-K (File No. 001-35610) filed on June 24, 2014).</w:t>
            </w:r>
          </w:p>
        </w:tc>
        <w:tc>
          <w:tcPr>
            <w:tcW w:w="0" w:type="dxa"/>
            <w:vAlign w:val="bottom"/>
          </w:tcPr>
          <w:p>
            <w:pPr>
              <w:spacing w:after="0"/>
              <w:rPr>
                <w:sz w:val="1"/>
                <w:szCs w:val="1"/>
                <w:color w:val="auto"/>
              </w:rPr>
            </w:pPr>
          </w:p>
        </w:tc>
      </w:tr>
    </w:tbl>
    <w:p>
      <w:pPr>
        <w:spacing w:after="0" w:line="13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II-2</w:t>
      </w:r>
    </w:p>
    <w:p>
      <w:pPr>
        <w:sectPr>
          <w:pgSz w:w="11900" w:h="16838" w:orient="portrait"/>
          <w:cols w:equalWidth="0" w:num="1">
            <w:col w:w="10980"/>
          </w:cols>
          <w:pgMar w:left="440" w:top="274" w:right="479" w:bottom="1440" w:gutter="0" w:footer="0" w:header="0"/>
        </w:sectPr>
      </w:pPr>
    </w:p>
    <w:bookmarkStart w:id="65" w:name="page66"/>
    <w:bookmarkEnd w:id="65"/>
    <w:tbl>
      <w:tblPr>
        <w:tblLayout w:type="fixed"/>
        <w:tblInd w:w="4" w:type="dxa"/>
        <w:tblCellMar>
          <w:top w:w="0" w:type="dxa"/>
          <w:left w:w="0" w:type="dxa"/>
          <w:bottom w:w="0" w:type="dxa"/>
          <w:right w:w="0" w:type="dxa"/>
        </w:tblCellMar>
      </w:tblPr>
      <w:tr>
        <w:trPr>
          <w:trHeight w:val="161"/>
        </w:trPr>
        <w:tc>
          <w:tcPr>
            <w:tcW w:w="500" w:type="dxa"/>
            <w:vAlign w:val="bottom"/>
          </w:tcPr>
          <w:p>
            <w:pPr>
              <w:spacing w:after="0"/>
              <w:rPr>
                <w:sz w:val="20"/>
                <w:szCs w:val="20"/>
                <w:color w:val="auto"/>
              </w:rPr>
            </w:pPr>
            <w:r>
              <w:rPr>
                <w:rFonts w:ascii="Arial" w:cs="Arial" w:eastAsia="Arial" w:hAnsi="Arial"/>
                <w:sz w:val="14"/>
                <w:szCs w:val="14"/>
                <w:b w:val="1"/>
                <w:bCs w:val="1"/>
                <w:color w:val="auto"/>
              </w:rPr>
              <w:t>Exhibit</w:t>
            </w:r>
          </w:p>
        </w:tc>
        <w:tc>
          <w:tcPr>
            <w:tcW w:w="420" w:type="dxa"/>
            <w:vAlign w:val="bottom"/>
          </w:tcPr>
          <w:p>
            <w:pPr>
              <w:spacing w:after="0"/>
              <w:rPr>
                <w:sz w:val="14"/>
                <w:szCs w:val="14"/>
                <w:color w:val="auto"/>
              </w:rPr>
            </w:pPr>
          </w:p>
        </w:tc>
        <w:tc>
          <w:tcPr>
            <w:tcW w:w="4360" w:type="dxa"/>
            <w:vAlign w:val="bottom"/>
          </w:tcPr>
          <w:p>
            <w:pPr>
              <w:spacing w:after="0"/>
              <w:rPr>
                <w:sz w:val="14"/>
                <w:szCs w:val="14"/>
                <w:color w:val="auto"/>
              </w:rPr>
            </w:pPr>
          </w:p>
        </w:tc>
        <w:tc>
          <w:tcPr>
            <w:tcW w:w="1380" w:type="dxa"/>
            <w:vAlign w:val="bottom"/>
            <w:vMerge w:val="restart"/>
          </w:tcPr>
          <w:p>
            <w:pPr>
              <w:ind w:left="20"/>
              <w:spacing w:after="0"/>
              <w:rPr>
                <w:sz w:val="20"/>
                <w:szCs w:val="20"/>
                <w:color w:val="auto"/>
              </w:rPr>
            </w:pPr>
            <w:r>
              <w:rPr>
                <w:rFonts w:ascii="Arial" w:cs="Arial" w:eastAsia="Arial" w:hAnsi="Arial"/>
                <w:sz w:val="14"/>
                <w:szCs w:val="14"/>
                <w:b w:val="1"/>
                <w:bCs w:val="1"/>
                <w:color w:val="auto"/>
                <w:w w:val="92"/>
              </w:rPr>
              <w:t>Description of Exhibit</w:t>
            </w:r>
          </w:p>
        </w:tc>
        <w:tc>
          <w:tcPr>
            <w:tcW w:w="4020" w:type="dxa"/>
            <w:vAlign w:val="bottom"/>
            <w:vMerge w:val="restart"/>
          </w:tcPr>
          <w:p>
            <w:pPr>
              <w:spacing w:after="0"/>
              <w:rPr>
                <w:sz w:val="14"/>
                <w:szCs w:val="14"/>
                <w:color w:val="auto"/>
              </w:rPr>
            </w:pPr>
          </w:p>
        </w:tc>
        <w:tc>
          <w:tcPr>
            <w:tcW w:w="0" w:type="dxa"/>
            <w:vAlign w:val="bottom"/>
          </w:tcPr>
          <w:p>
            <w:pPr>
              <w:spacing w:after="0"/>
              <w:rPr>
                <w:sz w:val="1"/>
                <w:szCs w:val="1"/>
                <w:color w:val="auto"/>
              </w:rPr>
            </w:pPr>
          </w:p>
        </w:tc>
      </w:tr>
      <w:tr>
        <w:trPr>
          <w:trHeight w:val="171"/>
        </w:trPr>
        <w:tc>
          <w:tcPr>
            <w:tcW w:w="500" w:type="dxa"/>
            <w:vAlign w:val="bottom"/>
            <w:tcBorders>
              <w:bottom w:val="single" w:sz="8" w:color="auto"/>
            </w:tcBorders>
          </w:tcPr>
          <w:p>
            <w:pPr>
              <w:spacing w:after="0"/>
              <w:rPr>
                <w:sz w:val="20"/>
                <w:szCs w:val="20"/>
                <w:color w:val="auto"/>
              </w:rPr>
            </w:pPr>
            <w:r>
              <w:rPr>
                <w:rFonts w:ascii="Arial" w:cs="Arial" w:eastAsia="Arial" w:hAnsi="Arial"/>
                <w:sz w:val="14"/>
                <w:szCs w:val="14"/>
                <w:b w:val="1"/>
                <w:bCs w:val="1"/>
                <w:color w:val="auto"/>
                <w:w w:val="90"/>
              </w:rPr>
              <w:t>Number</w:t>
            </w:r>
          </w:p>
        </w:tc>
        <w:tc>
          <w:tcPr>
            <w:tcW w:w="420" w:type="dxa"/>
            <w:vAlign w:val="bottom"/>
          </w:tcPr>
          <w:p>
            <w:pPr>
              <w:spacing w:after="0"/>
              <w:rPr>
                <w:sz w:val="14"/>
                <w:szCs w:val="14"/>
                <w:color w:val="auto"/>
              </w:rPr>
            </w:pPr>
          </w:p>
        </w:tc>
        <w:tc>
          <w:tcPr>
            <w:tcW w:w="4360" w:type="dxa"/>
            <w:vAlign w:val="bottom"/>
          </w:tcPr>
          <w:p>
            <w:pPr>
              <w:spacing w:after="0"/>
              <w:rPr>
                <w:sz w:val="14"/>
                <w:szCs w:val="14"/>
                <w:color w:val="auto"/>
              </w:rPr>
            </w:pPr>
          </w:p>
        </w:tc>
        <w:tc>
          <w:tcPr>
            <w:tcW w:w="1380" w:type="dxa"/>
            <w:vAlign w:val="bottom"/>
            <w:tcBorders>
              <w:bottom w:val="single" w:sz="8" w:color="auto"/>
            </w:tcBorders>
            <w:vMerge w:val="continue"/>
          </w:tcPr>
          <w:p>
            <w:pPr>
              <w:spacing w:after="0"/>
              <w:rPr>
                <w:sz w:val="14"/>
                <w:szCs w:val="14"/>
                <w:color w:val="auto"/>
              </w:rPr>
            </w:pPr>
          </w:p>
        </w:tc>
        <w:tc>
          <w:tcPr>
            <w:tcW w:w="402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303"/>
        </w:trPr>
        <w:tc>
          <w:tcPr>
            <w:tcW w:w="500" w:type="dxa"/>
            <w:vAlign w:val="bottom"/>
          </w:tcPr>
          <w:p>
            <w:pPr>
              <w:jc w:val="right"/>
              <w:ind w:right="92"/>
              <w:spacing w:after="0"/>
              <w:rPr>
                <w:sz w:val="20"/>
                <w:szCs w:val="20"/>
                <w:color w:val="auto"/>
              </w:rPr>
            </w:pPr>
            <w:r>
              <w:rPr>
                <w:rFonts w:ascii="Arial" w:cs="Arial" w:eastAsia="Arial" w:hAnsi="Arial"/>
                <w:sz w:val="18"/>
                <w:szCs w:val="18"/>
                <w:color w:val="auto"/>
              </w:rPr>
              <w:t>4.1</w:t>
            </w:r>
          </w:p>
        </w:tc>
        <w:tc>
          <w:tcPr>
            <w:tcW w:w="420" w:type="dxa"/>
            <w:vAlign w:val="bottom"/>
          </w:tcPr>
          <w:p>
            <w:pPr>
              <w:spacing w:after="0"/>
              <w:rPr>
                <w:sz w:val="24"/>
                <w:szCs w:val="24"/>
                <w:color w:val="auto"/>
              </w:rPr>
            </w:pPr>
          </w:p>
        </w:tc>
        <w:tc>
          <w:tcPr>
            <w:tcW w:w="9760" w:type="dxa"/>
            <w:vAlign w:val="bottom"/>
            <w:gridSpan w:val="3"/>
          </w:tcPr>
          <w:p>
            <w:pPr>
              <w:spacing w:after="0"/>
              <w:rPr>
                <w:rFonts w:ascii="Arial" w:cs="Arial" w:eastAsia="Arial" w:hAnsi="Arial"/>
                <w:sz w:val="18"/>
                <w:szCs w:val="18"/>
                <w:color w:val="auto"/>
                <w:w w:val="94"/>
              </w:rPr>
            </w:pPr>
            <w:r>
              <w:rPr>
                <w:rFonts w:ascii="Arial" w:cs="Arial" w:eastAsia="Arial" w:hAnsi="Arial"/>
                <w:sz w:val="18"/>
                <w:szCs w:val="18"/>
                <w:color w:val="auto"/>
                <w:w w:val="94"/>
              </w:rPr>
              <w:t xml:space="preserve">Form of Common Stock certificate of the registrant (incorporated herein by reference to </w:t>
            </w:r>
            <w:hyperlink r:id="rId116">
              <w:r>
                <w:rPr>
                  <w:rFonts w:ascii="Arial" w:cs="Arial" w:eastAsia="Arial" w:hAnsi="Arial"/>
                  <w:sz w:val="18"/>
                  <w:szCs w:val="18"/>
                  <w:u w:val="single" w:color="auto"/>
                  <w:color w:val="0000EE"/>
                  <w:w w:val="94"/>
                </w:rPr>
                <w:t>Exhibit 4.1</w:t>
              </w:r>
              <w:r>
                <w:rPr>
                  <w:rFonts w:ascii="Arial" w:cs="Arial" w:eastAsia="Arial" w:hAnsi="Arial"/>
                  <w:sz w:val="18"/>
                  <w:szCs w:val="18"/>
                  <w:u w:val="single" w:color="auto"/>
                  <w:color w:val="auto"/>
                  <w:w w:val="94"/>
                </w:rPr>
                <w:t xml:space="preserve"> </w:t>
              </w:r>
            </w:hyperlink>
            <w:r>
              <w:rPr>
                <w:rFonts w:ascii="Arial" w:cs="Arial" w:eastAsia="Arial" w:hAnsi="Arial"/>
                <w:sz w:val="18"/>
                <w:szCs w:val="18"/>
                <w:color w:val="auto"/>
                <w:w w:val="94"/>
              </w:rPr>
              <w:t>to the Company’s Registration</w:t>
            </w:r>
          </w:p>
        </w:tc>
        <w:tc>
          <w:tcPr>
            <w:tcW w:w="0" w:type="dxa"/>
            <w:vAlign w:val="bottom"/>
          </w:tcPr>
          <w:p>
            <w:pPr>
              <w:spacing w:after="0"/>
              <w:rPr>
                <w:sz w:val="1"/>
                <w:szCs w:val="1"/>
                <w:color w:val="auto"/>
              </w:rPr>
            </w:pPr>
          </w:p>
        </w:tc>
      </w:tr>
      <w:tr>
        <w:trPr>
          <w:trHeight w:val="230"/>
        </w:trPr>
        <w:tc>
          <w:tcPr>
            <w:tcW w:w="50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9760" w:type="dxa"/>
            <w:vAlign w:val="bottom"/>
            <w:gridSpan w:val="3"/>
          </w:tcPr>
          <w:p>
            <w:pPr>
              <w:spacing w:after="0"/>
              <w:rPr>
                <w:sz w:val="20"/>
                <w:szCs w:val="20"/>
                <w:color w:val="auto"/>
              </w:rPr>
            </w:pPr>
            <w:r>
              <w:rPr>
                <w:rFonts w:ascii="Arial" w:cs="Arial" w:eastAsia="Arial" w:hAnsi="Arial"/>
                <w:sz w:val="18"/>
                <w:szCs w:val="18"/>
                <w:color w:val="auto"/>
              </w:rPr>
              <w:t>Statement on Form S-1 (File No. 333-195391) filed on June 2, 2014).</w:t>
            </w:r>
          </w:p>
        </w:tc>
        <w:tc>
          <w:tcPr>
            <w:tcW w:w="0" w:type="dxa"/>
            <w:vAlign w:val="bottom"/>
          </w:tcPr>
          <w:p>
            <w:pPr>
              <w:spacing w:after="0"/>
              <w:rPr>
                <w:sz w:val="1"/>
                <w:szCs w:val="1"/>
                <w:color w:val="auto"/>
              </w:rPr>
            </w:pPr>
          </w:p>
        </w:tc>
      </w:tr>
      <w:tr>
        <w:trPr>
          <w:trHeight w:val="324"/>
        </w:trPr>
        <w:tc>
          <w:tcPr>
            <w:tcW w:w="500" w:type="dxa"/>
            <w:vAlign w:val="bottom"/>
          </w:tcPr>
          <w:p>
            <w:pPr>
              <w:jc w:val="right"/>
              <w:ind w:right="12"/>
              <w:spacing w:after="0"/>
              <w:rPr>
                <w:sz w:val="20"/>
                <w:szCs w:val="20"/>
                <w:color w:val="auto"/>
              </w:rPr>
            </w:pPr>
            <w:r>
              <w:rPr>
                <w:rFonts w:ascii="Arial" w:cs="Arial" w:eastAsia="Arial" w:hAnsi="Arial"/>
                <w:sz w:val="18"/>
                <w:szCs w:val="18"/>
                <w:color w:val="auto"/>
              </w:rPr>
              <w:t>4.2*</w:t>
            </w:r>
          </w:p>
        </w:tc>
        <w:tc>
          <w:tcPr>
            <w:tcW w:w="420" w:type="dxa"/>
            <w:vAlign w:val="bottom"/>
          </w:tcPr>
          <w:p>
            <w:pPr>
              <w:spacing w:after="0"/>
              <w:rPr>
                <w:sz w:val="24"/>
                <w:szCs w:val="24"/>
                <w:color w:val="auto"/>
              </w:rPr>
            </w:pPr>
          </w:p>
        </w:tc>
        <w:tc>
          <w:tcPr>
            <w:tcW w:w="9760" w:type="dxa"/>
            <w:vAlign w:val="bottom"/>
            <w:gridSpan w:val="3"/>
          </w:tcPr>
          <w:p>
            <w:pPr>
              <w:spacing w:after="0"/>
              <w:rPr>
                <w:sz w:val="20"/>
                <w:szCs w:val="20"/>
                <w:color w:val="auto"/>
              </w:rPr>
            </w:pPr>
            <w:r>
              <w:rPr>
                <w:rFonts w:ascii="Arial" w:cs="Arial" w:eastAsia="Arial" w:hAnsi="Arial"/>
                <w:sz w:val="18"/>
                <w:szCs w:val="18"/>
                <w:color w:val="auto"/>
              </w:rPr>
              <w:t>Form of Preferred Stock Certificate.</w:t>
            </w:r>
          </w:p>
        </w:tc>
        <w:tc>
          <w:tcPr>
            <w:tcW w:w="0" w:type="dxa"/>
            <w:vAlign w:val="bottom"/>
          </w:tcPr>
          <w:p>
            <w:pPr>
              <w:spacing w:after="0"/>
              <w:rPr>
                <w:sz w:val="1"/>
                <w:szCs w:val="1"/>
                <w:color w:val="auto"/>
              </w:rPr>
            </w:pPr>
          </w:p>
        </w:tc>
      </w:tr>
      <w:tr>
        <w:trPr>
          <w:trHeight w:val="324"/>
        </w:trPr>
        <w:tc>
          <w:tcPr>
            <w:tcW w:w="500" w:type="dxa"/>
            <w:vAlign w:val="bottom"/>
          </w:tcPr>
          <w:p>
            <w:pPr>
              <w:jc w:val="right"/>
              <w:ind w:right="92"/>
              <w:spacing w:after="0"/>
              <w:rPr>
                <w:sz w:val="20"/>
                <w:szCs w:val="20"/>
                <w:color w:val="auto"/>
              </w:rPr>
            </w:pPr>
            <w:r>
              <w:rPr>
                <w:rFonts w:ascii="Arial" w:cs="Arial" w:eastAsia="Arial" w:hAnsi="Arial"/>
                <w:sz w:val="18"/>
                <w:szCs w:val="18"/>
                <w:color w:val="auto"/>
              </w:rPr>
              <w:t>4.3</w:t>
            </w:r>
          </w:p>
        </w:tc>
        <w:tc>
          <w:tcPr>
            <w:tcW w:w="420" w:type="dxa"/>
            <w:vAlign w:val="bottom"/>
          </w:tcPr>
          <w:p>
            <w:pPr>
              <w:spacing w:after="0"/>
              <w:rPr>
                <w:sz w:val="24"/>
                <w:szCs w:val="24"/>
                <w:color w:val="auto"/>
              </w:rPr>
            </w:pPr>
          </w:p>
        </w:tc>
        <w:tc>
          <w:tcPr>
            <w:tcW w:w="9760" w:type="dxa"/>
            <w:vAlign w:val="bottom"/>
            <w:gridSpan w:val="3"/>
          </w:tcPr>
          <w:p>
            <w:pPr>
              <w:spacing w:after="0"/>
              <w:rPr>
                <w:rFonts w:ascii="Arial" w:cs="Arial" w:eastAsia="Arial" w:hAnsi="Arial"/>
                <w:sz w:val="18"/>
                <w:szCs w:val="18"/>
                <w:u w:val="single" w:color="auto"/>
                <w:color w:val="0000EE"/>
              </w:rPr>
            </w:pPr>
            <w:hyperlink w:anchor="page116">
              <w:r>
                <w:rPr>
                  <w:rFonts w:ascii="Arial" w:cs="Arial" w:eastAsia="Arial" w:hAnsi="Arial"/>
                  <w:sz w:val="18"/>
                  <w:szCs w:val="18"/>
                  <w:u w:val="single" w:color="auto"/>
                  <w:color w:val="0000EE"/>
                </w:rPr>
                <w:t>Form of Indenture (filed herewith).</w:t>
              </w:r>
            </w:hyperlink>
          </w:p>
        </w:tc>
        <w:tc>
          <w:tcPr>
            <w:tcW w:w="0" w:type="dxa"/>
            <w:vAlign w:val="bottom"/>
          </w:tcPr>
          <w:p>
            <w:pPr>
              <w:spacing w:after="0"/>
              <w:rPr>
                <w:sz w:val="1"/>
                <w:szCs w:val="1"/>
                <w:color w:val="auto"/>
              </w:rPr>
            </w:pPr>
          </w:p>
        </w:tc>
      </w:tr>
      <w:tr>
        <w:trPr>
          <w:trHeight w:val="324"/>
        </w:trPr>
        <w:tc>
          <w:tcPr>
            <w:tcW w:w="500" w:type="dxa"/>
            <w:vAlign w:val="bottom"/>
          </w:tcPr>
          <w:p>
            <w:pPr>
              <w:jc w:val="right"/>
              <w:ind w:right="12"/>
              <w:spacing w:after="0"/>
              <w:rPr>
                <w:sz w:val="20"/>
                <w:szCs w:val="20"/>
                <w:color w:val="auto"/>
              </w:rPr>
            </w:pPr>
            <w:r>
              <w:rPr>
                <w:rFonts w:ascii="Arial" w:cs="Arial" w:eastAsia="Arial" w:hAnsi="Arial"/>
                <w:sz w:val="18"/>
                <w:szCs w:val="18"/>
                <w:color w:val="auto"/>
              </w:rPr>
              <w:t>4.4*</w:t>
            </w:r>
          </w:p>
        </w:tc>
        <w:tc>
          <w:tcPr>
            <w:tcW w:w="420" w:type="dxa"/>
            <w:vAlign w:val="bottom"/>
          </w:tcPr>
          <w:p>
            <w:pPr>
              <w:spacing w:after="0"/>
              <w:rPr>
                <w:sz w:val="24"/>
                <w:szCs w:val="24"/>
                <w:color w:val="auto"/>
              </w:rPr>
            </w:pPr>
          </w:p>
        </w:tc>
        <w:tc>
          <w:tcPr>
            <w:tcW w:w="9760" w:type="dxa"/>
            <w:vAlign w:val="bottom"/>
            <w:gridSpan w:val="3"/>
          </w:tcPr>
          <w:p>
            <w:pPr>
              <w:spacing w:after="0"/>
              <w:rPr>
                <w:sz w:val="20"/>
                <w:szCs w:val="20"/>
                <w:color w:val="auto"/>
              </w:rPr>
            </w:pPr>
            <w:r>
              <w:rPr>
                <w:rFonts w:ascii="Arial" w:cs="Arial" w:eastAsia="Arial" w:hAnsi="Arial"/>
                <w:sz w:val="18"/>
                <w:szCs w:val="18"/>
                <w:color w:val="auto"/>
              </w:rPr>
              <w:t>Form of Note.</w:t>
            </w:r>
          </w:p>
        </w:tc>
        <w:tc>
          <w:tcPr>
            <w:tcW w:w="0" w:type="dxa"/>
            <w:vAlign w:val="bottom"/>
          </w:tcPr>
          <w:p>
            <w:pPr>
              <w:spacing w:after="0"/>
              <w:rPr>
                <w:sz w:val="1"/>
                <w:szCs w:val="1"/>
                <w:color w:val="auto"/>
              </w:rPr>
            </w:pPr>
          </w:p>
        </w:tc>
      </w:tr>
      <w:tr>
        <w:trPr>
          <w:trHeight w:val="324"/>
        </w:trPr>
        <w:tc>
          <w:tcPr>
            <w:tcW w:w="500" w:type="dxa"/>
            <w:vAlign w:val="bottom"/>
          </w:tcPr>
          <w:p>
            <w:pPr>
              <w:jc w:val="right"/>
              <w:ind w:right="12"/>
              <w:spacing w:after="0"/>
              <w:rPr>
                <w:sz w:val="20"/>
                <w:szCs w:val="20"/>
                <w:color w:val="auto"/>
              </w:rPr>
            </w:pPr>
            <w:r>
              <w:rPr>
                <w:rFonts w:ascii="Arial" w:cs="Arial" w:eastAsia="Arial" w:hAnsi="Arial"/>
                <w:sz w:val="18"/>
                <w:szCs w:val="18"/>
                <w:color w:val="auto"/>
              </w:rPr>
              <w:t>4.5*</w:t>
            </w:r>
          </w:p>
        </w:tc>
        <w:tc>
          <w:tcPr>
            <w:tcW w:w="420" w:type="dxa"/>
            <w:vAlign w:val="bottom"/>
          </w:tcPr>
          <w:p>
            <w:pPr>
              <w:spacing w:after="0"/>
              <w:rPr>
                <w:sz w:val="24"/>
                <w:szCs w:val="24"/>
                <w:color w:val="auto"/>
              </w:rPr>
            </w:pPr>
          </w:p>
        </w:tc>
        <w:tc>
          <w:tcPr>
            <w:tcW w:w="9760" w:type="dxa"/>
            <w:vAlign w:val="bottom"/>
            <w:gridSpan w:val="3"/>
          </w:tcPr>
          <w:p>
            <w:pPr>
              <w:spacing w:after="0"/>
              <w:rPr>
                <w:sz w:val="20"/>
                <w:szCs w:val="20"/>
                <w:color w:val="auto"/>
              </w:rPr>
            </w:pPr>
            <w:r>
              <w:rPr>
                <w:rFonts w:ascii="Arial" w:cs="Arial" w:eastAsia="Arial" w:hAnsi="Arial"/>
                <w:sz w:val="18"/>
                <w:szCs w:val="18"/>
                <w:color w:val="auto"/>
              </w:rPr>
              <w:t>Form of Warrant.</w:t>
            </w:r>
          </w:p>
        </w:tc>
        <w:tc>
          <w:tcPr>
            <w:tcW w:w="0" w:type="dxa"/>
            <w:vAlign w:val="bottom"/>
          </w:tcPr>
          <w:p>
            <w:pPr>
              <w:spacing w:after="0"/>
              <w:rPr>
                <w:sz w:val="1"/>
                <w:szCs w:val="1"/>
                <w:color w:val="auto"/>
              </w:rPr>
            </w:pPr>
          </w:p>
        </w:tc>
      </w:tr>
      <w:tr>
        <w:trPr>
          <w:trHeight w:val="324"/>
        </w:trPr>
        <w:tc>
          <w:tcPr>
            <w:tcW w:w="500" w:type="dxa"/>
            <w:vAlign w:val="bottom"/>
          </w:tcPr>
          <w:p>
            <w:pPr>
              <w:jc w:val="right"/>
              <w:ind w:right="12"/>
              <w:spacing w:after="0"/>
              <w:rPr>
                <w:sz w:val="20"/>
                <w:szCs w:val="20"/>
                <w:color w:val="auto"/>
              </w:rPr>
            </w:pPr>
            <w:r>
              <w:rPr>
                <w:rFonts w:ascii="Arial" w:cs="Arial" w:eastAsia="Arial" w:hAnsi="Arial"/>
                <w:sz w:val="18"/>
                <w:szCs w:val="18"/>
                <w:color w:val="auto"/>
              </w:rPr>
              <w:t>4.6*</w:t>
            </w:r>
          </w:p>
        </w:tc>
        <w:tc>
          <w:tcPr>
            <w:tcW w:w="420" w:type="dxa"/>
            <w:vAlign w:val="bottom"/>
          </w:tcPr>
          <w:p>
            <w:pPr>
              <w:spacing w:after="0"/>
              <w:rPr>
                <w:sz w:val="24"/>
                <w:szCs w:val="24"/>
                <w:color w:val="auto"/>
              </w:rPr>
            </w:pPr>
          </w:p>
        </w:tc>
        <w:tc>
          <w:tcPr>
            <w:tcW w:w="9760" w:type="dxa"/>
            <w:vAlign w:val="bottom"/>
            <w:gridSpan w:val="3"/>
          </w:tcPr>
          <w:p>
            <w:pPr>
              <w:spacing w:after="0"/>
              <w:rPr>
                <w:sz w:val="20"/>
                <w:szCs w:val="20"/>
                <w:color w:val="auto"/>
              </w:rPr>
            </w:pPr>
            <w:r>
              <w:rPr>
                <w:rFonts w:ascii="Arial" w:cs="Arial" w:eastAsia="Arial" w:hAnsi="Arial"/>
                <w:sz w:val="18"/>
                <w:szCs w:val="18"/>
                <w:color w:val="auto"/>
              </w:rPr>
              <w:t>Form of Warrant Agreement.</w:t>
            </w:r>
          </w:p>
        </w:tc>
        <w:tc>
          <w:tcPr>
            <w:tcW w:w="0" w:type="dxa"/>
            <w:vAlign w:val="bottom"/>
          </w:tcPr>
          <w:p>
            <w:pPr>
              <w:spacing w:after="0"/>
              <w:rPr>
                <w:sz w:val="1"/>
                <w:szCs w:val="1"/>
                <w:color w:val="auto"/>
              </w:rPr>
            </w:pPr>
          </w:p>
        </w:tc>
      </w:tr>
      <w:tr>
        <w:trPr>
          <w:trHeight w:val="324"/>
        </w:trPr>
        <w:tc>
          <w:tcPr>
            <w:tcW w:w="500" w:type="dxa"/>
            <w:vAlign w:val="bottom"/>
          </w:tcPr>
          <w:p>
            <w:pPr>
              <w:jc w:val="right"/>
              <w:ind w:right="12"/>
              <w:spacing w:after="0"/>
              <w:rPr>
                <w:sz w:val="20"/>
                <w:szCs w:val="20"/>
                <w:color w:val="auto"/>
              </w:rPr>
            </w:pPr>
            <w:r>
              <w:rPr>
                <w:rFonts w:ascii="Arial" w:cs="Arial" w:eastAsia="Arial" w:hAnsi="Arial"/>
                <w:sz w:val="18"/>
                <w:szCs w:val="18"/>
                <w:color w:val="auto"/>
              </w:rPr>
              <w:t>4.7*</w:t>
            </w:r>
          </w:p>
        </w:tc>
        <w:tc>
          <w:tcPr>
            <w:tcW w:w="420" w:type="dxa"/>
            <w:vAlign w:val="bottom"/>
          </w:tcPr>
          <w:p>
            <w:pPr>
              <w:spacing w:after="0"/>
              <w:rPr>
                <w:sz w:val="24"/>
                <w:szCs w:val="24"/>
                <w:color w:val="auto"/>
              </w:rPr>
            </w:pPr>
          </w:p>
        </w:tc>
        <w:tc>
          <w:tcPr>
            <w:tcW w:w="9760" w:type="dxa"/>
            <w:vAlign w:val="bottom"/>
            <w:gridSpan w:val="3"/>
          </w:tcPr>
          <w:p>
            <w:pPr>
              <w:spacing w:after="0"/>
              <w:rPr>
                <w:sz w:val="20"/>
                <w:szCs w:val="20"/>
                <w:color w:val="auto"/>
              </w:rPr>
            </w:pPr>
            <w:r>
              <w:rPr>
                <w:rFonts w:ascii="Arial" w:cs="Arial" w:eastAsia="Arial" w:hAnsi="Arial"/>
                <w:sz w:val="18"/>
                <w:szCs w:val="18"/>
                <w:color w:val="auto"/>
              </w:rPr>
              <w:t>Form of Unit Agreement.</w:t>
            </w:r>
          </w:p>
        </w:tc>
        <w:tc>
          <w:tcPr>
            <w:tcW w:w="0" w:type="dxa"/>
            <w:vAlign w:val="bottom"/>
          </w:tcPr>
          <w:p>
            <w:pPr>
              <w:spacing w:after="0"/>
              <w:rPr>
                <w:sz w:val="1"/>
                <w:szCs w:val="1"/>
                <w:color w:val="auto"/>
              </w:rPr>
            </w:pPr>
          </w:p>
        </w:tc>
      </w:tr>
      <w:tr>
        <w:trPr>
          <w:trHeight w:val="283"/>
        </w:trPr>
        <w:tc>
          <w:tcPr>
            <w:tcW w:w="500" w:type="dxa"/>
            <w:vAlign w:val="bottom"/>
          </w:tcPr>
          <w:p>
            <w:pPr>
              <w:jc w:val="right"/>
              <w:ind w:right="92"/>
              <w:spacing w:after="0"/>
              <w:rPr>
                <w:sz w:val="20"/>
                <w:szCs w:val="20"/>
                <w:color w:val="auto"/>
              </w:rPr>
            </w:pPr>
            <w:r>
              <w:rPr>
                <w:rFonts w:ascii="Arial" w:cs="Arial" w:eastAsia="Arial" w:hAnsi="Arial"/>
                <w:sz w:val="18"/>
                <w:szCs w:val="18"/>
                <w:color w:val="auto"/>
              </w:rPr>
              <w:t>4.8</w:t>
            </w:r>
          </w:p>
        </w:tc>
        <w:tc>
          <w:tcPr>
            <w:tcW w:w="420" w:type="dxa"/>
            <w:vAlign w:val="bottom"/>
          </w:tcPr>
          <w:p>
            <w:pPr>
              <w:spacing w:after="0"/>
              <w:rPr>
                <w:sz w:val="24"/>
                <w:szCs w:val="24"/>
                <w:color w:val="auto"/>
              </w:rPr>
            </w:pPr>
          </w:p>
        </w:tc>
        <w:tc>
          <w:tcPr>
            <w:tcW w:w="9760" w:type="dxa"/>
            <w:vAlign w:val="bottom"/>
            <w:tcBorders>
              <w:bottom w:val="single" w:sz="8" w:color="0000EE"/>
            </w:tcBorders>
            <w:gridSpan w:val="3"/>
          </w:tcPr>
          <w:p>
            <w:pPr>
              <w:spacing w:after="0"/>
              <w:rPr>
                <w:rFonts w:ascii="Arial" w:cs="Arial" w:eastAsia="Arial" w:hAnsi="Arial"/>
                <w:sz w:val="18"/>
                <w:szCs w:val="18"/>
                <w:color w:val="0000EE"/>
                <w:w w:val="90"/>
              </w:rPr>
            </w:pPr>
            <w:hyperlink r:id="rId117">
              <w:r>
                <w:rPr>
                  <w:rFonts w:ascii="Arial" w:cs="Arial" w:eastAsia="Arial" w:hAnsi="Arial"/>
                  <w:sz w:val="18"/>
                  <w:szCs w:val="18"/>
                  <w:color w:val="0000EE"/>
                  <w:w w:val="90"/>
                </w:rPr>
                <w:t>Registration Rights Agreement, dated as of June 1, 2020, by and among Larimar Therapeutics, Inc. and certain Investors (incorporated</w:t>
              </w:r>
            </w:hyperlink>
          </w:p>
        </w:tc>
        <w:tc>
          <w:tcPr>
            <w:tcW w:w="0" w:type="dxa"/>
            <w:vAlign w:val="bottom"/>
          </w:tcPr>
          <w:p>
            <w:pPr>
              <w:spacing w:after="0"/>
              <w:rPr>
                <w:sz w:val="1"/>
                <w:szCs w:val="1"/>
                <w:color w:val="auto"/>
              </w:rPr>
            </w:pPr>
          </w:p>
        </w:tc>
      </w:tr>
      <w:tr>
        <w:trPr>
          <w:trHeight w:val="237"/>
        </w:trPr>
        <w:tc>
          <w:tcPr>
            <w:tcW w:w="50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9760" w:type="dxa"/>
            <w:vAlign w:val="bottom"/>
            <w:gridSpan w:val="3"/>
          </w:tcPr>
          <w:p>
            <w:pPr>
              <w:spacing w:after="0"/>
              <w:rPr>
                <w:rFonts w:ascii="Arial" w:cs="Arial" w:eastAsia="Arial" w:hAnsi="Arial"/>
                <w:sz w:val="18"/>
                <w:szCs w:val="18"/>
                <w:u w:val="single" w:color="auto"/>
                <w:color w:val="0000EE"/>
                <w:w w:val="97"/>
              </w:rPr>
            </w:pPr>
            <w:hyperlink r:id="rId117">
              <w:r>
                <w:rPr>
                  <w:rFonts w:ascii="Arial" w:cs="Arial" w:eastAsia="Arial" w:hAnsi="Arial"/>
                  <w:sz w:val="18"/>
                  <w:szCs w:val="18"/>
                  <w:u w:val="single" w:color="auto"/>
                  <w:color w:val="0000EE"/>
                  <w:w w:val="97"/>
                </w:rPr>
                <w:t>herein by reference to Exhibit 10.2 to the Company’s Current Report on Form 8-K (File No. 001-35610) filed on June 2, 2020).</w:t>
              </w:r>
            </w:hyperlink>
          </w:p>
        </w:tc>
        <w:tc>
          <w:tcPr>
            <w:tcW w:w="0" w:type="dxa"/>
            <w:vAlign w:val="bottom"/>
          </w:tcPr>
          <w:p>
            <w:pPr>
              <w:spacing w:after="0"/>
              <w:rPr>
                <w:sz w:val="1"/>
                <w:szCs w:val="1"/>
                <w:color w:val="auto"/>
              </w:rPr>
            </w:pPr>
          </w:p>
        </w:tc>
      </w:tr>
      <w:tr>
        <w:trPr>
          <w:trHeight w:val="310"/>
        </w:trPr>
        <w:tc>
          <w:tcPr>
            <w:tcW w:w="500" w:type="dxa"/>
            <w:vAlign w:val="bottom"/>
          </w:tcPr>
          <w:p>
            <w:pPr>
              <w:jc w:val="right"/>
              <w:ind w:right="92"/>
              <w:spacing w:after="0"/>
              <w:rPr>
                <w:sz w:val="20"/>
                <w:szCs w:val="20"/>
                <w:color w:val="auto"/>
              </w:rPr>
            </w:pPr>
            <w:r>
              <w:rPr>
                <w:rFonts w:ascii="Arial" w:cs="Arial" w:eastAsia="Arial" w:hAnsi="Arial"/>
                <w:sz w:val="18"/>
                <w:szCs w:val="18"/>
                <w:color w:val="auto"/>
              </w:rPr>
              <w:t>4.9</w:t>
            </w:r>
          </w:p>
        </w:tc>
        <w:tc>
          <w:tcPr>
            <w:tcW w:w="420" w:type="dxa"/>
            <w:vAlign w:val="bottom"/>
          </w:tcPr>
          <w:p>
            <w:pPr>
              <w:spacing w:after="0"/>
              <w:rPr>
                <w:sz w:val="24"/>
                <w:szCs w:val="24"/>
                <w:color w:val="auto"/>
              </w:rPr>
            </w:pPr>
          </w:p>
        </w:tc>
        <w:tc>
          <w:tcPr>
            <w:tcW w:w="9760" w:type="dxa"/>
            <w:vAlign w:val="bottom"/>
            <w:gridSpan w:val="3"/>
          </w:tcPr>
          <w:p>
            <w:pPr>
              <w:spacing w:after="0"/>
              <w:rPr>
                <w:sz w:val="20"/>
                <w:szCs w:val="20"/>
                <w:color w:val="auto"/>
              </w:rPr>
            </w:pPr>
            <w:r>
              <w:rPr>
                <w:rFonts w:ascii="Arial" w:cs="Arial" w:eastAsia="Arial" w:hAnsi="Arial"/>
                <w:sz w:val="18"/>
                <w:szCs w:val="18"/>
                <w:color w:val="auto"/>
                <w:w w:val="92"/>
              </w:rPr>
              <w:t>Registration Rights Agreement, dated as of June 8, 2020, by and among Larimar Therapeutics, Inc. and the investors set forth on the</w:t>
            </w:r>
          </w:p>
        </w:tc>
        <w:tc>
          <w:tcPr>
            <w:tcW w:w="0" w:type="dxa"/>
            <w:vAlign w:val="bottom"/>
          </w:tcPr>
          <w:p>
            <w:pPr>
              <w:spacing w:after="0"/>
              <w:rPr>
                <w:sz w:val="1"/>
                <w:szCs w:val="1"/>
                <w:color w:val="auto"/>
              </w:rPr>
            </w:pPr>
          </w:p>
        </w:tc>
      </w:tr>
      <w:tr>
        <w:trPr>
          <w:trHeight w:val="216"/>
        </w:trPr>
        <w:tc>
          <w:tcPr>
            <w:tcW w:w="50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9760" w:type="dxa"/>
            <w:vAlign w:val="bottom"/>
            <w:gridSpan w:val="3"/>
          </w:tcPr>
          <w:p>
            <w:pPr>
              <w:spacing w:after="0"/>
              <w:rPr>
                <w:rFonts w:ascii="Arial" w:cs="Arial" w:eastAsia="Arial" w:hAnsi="Arial"/>
                <w:sz w:val="18"/>
                <w:szCs w:val="18"/>
                <w:color w:val="auto"/>
                <w:w w:val="92"/>
              </w:rPr>
            </w:pPr>
            <w:r>
              <w:rPr>
                <w:rFonts w:ascii="Arial" w:cs="Arial" w:eastAsia="Arial" w:hAnsi="Arial"/>
                <w:sz w:val="18"/>
                <w:szCs w:val="18"/>
                <w:color w:val="auto"/>
                <w:w w:val="92"/>
              </w:rPr>
              <w:t xml:space="preserve">signature pages thereto (incorporated herein by reference to </w:t>
            </w:r>
            <w:hyperlink r:id="rId118">
              <w:r>
                <w:rPr>
                  <w:rFonts w:ascii="Arial" w:cs="Arial" w:eastAsia="Arial" w:hAnsi="Arial"/>
                  <w:sz w:val="18"/>
                  <w:szCs w:val="18"/>
                  <w:u w:val="single" w:color="auto"/>
                  <w:color w:val="0000EE"/>
                  <w:w w:val="92"/>
                </w:rPr>
                <w:t>Exhibit 10.3</w:t>
              </w:r>
              <w:r>
                <w:rPr>
                  <w:rFonts w:ascii="Arial" w:cs="Arial" w:eastAsia="Arial" w:hAnsi="Arial"/>
                  <w:sz w:val="18"/>
                  <w:szCs w:val="18"/>
                  <w:u w:val="single" w:color="auto"/>
                  <w:color w:val="auto"/>
                  <w:w w:val="92"/>
                </w:rPr>
                <w:t xml:space="preserve"> </w:t>
              </w:r>
            </w:hyperlink>
            <w:r>
              <w:rPr>
                <w:rFonts w:ascii="Arial" w:cs="Arial" w:eastAsia="Arial" w:hAnsi="Arial"/>
                <w:sz w:val="18"/>
                <w:szCs w:val="18"/>
                <w:color w:val="auto"/>
                <w:w w:val="92"/>
              </w:rPr>
              <w:t>to the Company’s Registration Statement on Form S-3 (File</w:t>
            </w:r>
          </w:p>
        </w:tc>
        <w:tc>
          <w:tcPr>
            <w:tcW w:w="0" w:type="dxa"/>
            <w:vAlign w:val="bottom"/>
          </w:tcPr>
          <w:p>
            <w:pPr>
              <w:spacing w:after="0"/>
              <w:rPr>
                <w:sz w:val="1"/>
                <w:szCs w:val="1"/>
                <w:color w:val="auto"/>
              </w:rPr>
            </w:pPr>
          </w:p>
        </w:tc>
      </w:tr>
      <w:tr>
        <w:trPr>
          <w:trHeight w:val="230"/>
        </w:trPr>
        <w:tc>
          <w:tcPr>
            <w:tcW w:w="50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9760" w:type="dxa"/>
            <w:vAlign w:val="bottom"/>
            <w:gridSpan w:val="3"/>
          </w:tcPr>
          <w:p>
            <w:pPr>
              <w:spacing w:after="0"/>
              <w:rPr>
                <w:sz w:val="20"/>
                <w:szCs w:val="20"/>
                <w:color w:val="auto"/>
              </w:rPr>
            </w:pPr>
            <w:r>
              <w:rPr>
                <w:rFonts w:ascii="Arial" w:cs="Arial" w:eastAsia="Arial" w:hAnsi="Arial"/>
                <w:sz w:val="18"/>
                <w:szCs w:val="18"/>
                <w:color w:val="auto"/>
              </w:rPr>
              <w:t>No. 333-239510) filed on June 26, 2020).</w:t>
            </w:r>
          </w:p>
        </w:tc>
        <w:tc>
          <w:tcPr>
            <w:tcW w:w="0" w:type="dxa"/>
            <w:vAlign w:val="bottom"/>
          </w:tcPr>
          <w:p>
            <w:pPr>
              <w:spacing w:after="0"/>
              <w:rPr>
                <w:sz w:val="1"/>
                <w:szCs w:val="1"/>
                <w:color w:val="auto"/>
              </w:rPr>
            </w:pPr>
          </w:p>
        </w:tc>
      </w:tr>
      <w:tr>
        <w:trPr>
          <w:trHeight w:val="324"/>
        </w:trPr>
        <w:tc>
          <w:tcPr>
            <w:tcW w:w="500" w:type="dxa"/>
            <w:vAlign w:val="bottom"/>
          </w:tcPr>
          <w:p>
            <w:pPr>
              <w:jc w:val="right"/>
              <w:ind w:right="92"/>
              <w:spacing w:after="0"/>
              <w:rPr>
                <w:sz w:val="20"/>
                <w:szCs w:val="20"/>
                <w:color w:val="auto"/>
              </w:rPr>
            </w:pPr>
            <w:r>
              <w:rPr>
                <w:rFonts w:ascii="Arial" w:cs="Arial" w:eastAsia="Arial" w:hAnsi="Arial"/>
                <w:sz w:val="18"/>
                <w:szCs w:val="18"/>
                <w:color w:val="auto"/>
              </w:rPr>
              <w:t>5.1</w:t>
            </w:r>
          </w:p>
        </w:tc>
        <w:tc>
          <w:tcPr>
            <w:tcW w:w="420" w:type="dxa"/>
            <w:vAlign w:val="bottom"/>
          </w:tcPr>
          <w:p>
            <w:pPr>
              <w:spacing w:after="0"/>
              <w:rPr>
                <w:sz w:val="24"/>
                <w:szCs w:val="24"/>
                <w:color w:val="auto"/>
              </w:rPr>
            </w:pPr>
          </w:p>
        </w:tc>
        <w:tc>
          <w:tcPr>
            <w:tcW w:w="9760" w:type="dxa"/>
            <w:vAlign w:val="bottom"/>
            <w:gridSpan w:val="3"/>
          </w:tcPr>
          <w:p>
            <w:pPr>
              <w:spacing w:after="0"/>
              <w:rPr>
                <w:rFonts w:ascii="Arial" w:cs="Arial" w:eastAsia="Arial" w:hAnsi="Arial"/>
                <w:sz w:val="18"/>
                <w:szCs w:val="18"/>
                <w:u w:val="single" w:color="auto"/>
                <w:color w:val="0000EE"/>
              </w:rPr>
            </w:pPr>
            <w:hyperlink w:anchor="page154">
              <w:r>
                <w:rPr>
                  <w:rFonts w:ascii="Arial" w:cs="Arial" w:eastAsia="Arial" w:hAnsi="Arial"/>
                  <w:sz w:val="18"/>
                  <w:szCs w:val="18"/>
                  <w:u w:val="single" w:color="auto"/>
                  <w:color w:val="0000EE"/>
                </w:rPr>
                <w:t>Opinion of Troutman Pepper Hamilton Sanders LLP (filed herewith).</w:t>
              </w:r>
            </w:hyperlink>
          </w:p>
        </w:tc>
        <w:tc>
          <w:tcPr>
            <w:tcW w:w="0" w:type="dxa"/>
            <w:vAlign w:val="bottom"/>
          </w:tcPr>
          <w:p>
            <w:pPr>
              <w:spacing w:after="0"/>
              <w:rPr>
                <w:sz w:val="1"/>
                <w:szCs w:val="1"/>
                <w:color w:val="auto"/>
              </w:rPr>
            </w:pPr>
          </w:p>
        </w:tc>
      </w:tr>
      <w:tr>
        <w:trPr>
          <w:trHeight w:val="324"/>
        </w:trPr>
        <w:tc>
          <w:tcPr>
            <w:tcW w:w="500" w:type="dxa"/>
            <w:vAlign w:val="bottom"/>
          </w:tcPr>
          <w:p>
            <w:pPr>
              <w:jc w:val="right"/>
              <w:ind w:right="92"/>
              <w:spacing w:after="0"/>
              <w:rPr>
                <w:sz w:val="20"/>
                <w:szCs w:val="20"/>
                <w:color w:val="auto"/>
              </w:rPr>
            </w:pPr>
            <w:r>
              <w:rPr>
                <w:rFonts w:ascii="Arial" w:cs="Arial" w:eastAsia="Arial" w:hAnsi="Arial"/>
                <w:sz w:val="18"/>
                <w:szCs w:val="18"/>
                <w:color w:val="auto"/>
                <w:w w:val="85"/>
              </w:rPr>
              <w:t>23.1</w:t>
            </w:r>
          </w:p>
        </w:tc>
        <w:tc>
          <w:tcPr>
            <w:tcW w:w="420" w:type="dxa"/>
            <w:vAlign w:val="bottom"/>
          </w:tcPr>
          <w:p>
            <w:pPr>
              <w:spacing w:after="0"/>
              <w:rPr>
                <w:sz w:val="24"/>
                <w:szCs w:val="24"/>
                <w:color w:val="auto"/>
              </w:rPr>
            </w:pPr>
          </w:p>
        </w:tc>
        <w:tc>
          <w:tcPr>
            <w:tcW w:w="9760" w:type="dxa"/>
            <w:vAlign w:val="bottom"/>
            <w:gridSpan w:val="3"/>
          </w:tcPr>
          <w:p>
            <w:pPr>
              <w:spacing w:after="0"/>
              <w:rPr>
                <w:rFonts w:ascii="Arial" w:cs="Arial" w:eastAsia="Arial" w:hAnsi="Arial"/>
                <w:sz w:val="18"/>
                <w:szCs w:val="18"/>
                <w:u w:val="single" w:color="auto"/>
                <w:color w:val="0000EE"/>
              </w:rPr>
            </w:pPr>
            <w:hyperlink w:anchor="page159">
              <w:r>
                <w:rPr>
                  <w:rFonts w:ascii="Arial" w:cs="Arial" w:eastAsia="Arial" w:hAnsi="Arial"/>
                  <w:sz w:val="18"/>
                  <w:szCs w:val="18"/>
                  <w:u w:val="single" w:color="auto"/>
                  <w:color w:val="0000EE"/>
                </w:rPr>
                <w:t>Consent of PricewaterhouseCoopers LLP, independent registered public accounting firm (filed herewith).</w:t>
              </w:r>
            </w:hyperlink>
          </w:p>
        </w:tc>
        <w:tc>
          <w:tcPr>
            <w:tcW w:w="0" w:type="dxa"/>
            <w:vAlign w:val="bottom"/>
          </w:tcPr>
          <w:p>
            <w:pPr>
              <w:spacing w:after="0"/>
              <w:rPr>
                <w:sz w:val="1"/>
                <w:szCs w:val="1"/>
                <w:color w:val="auto"/>
              </w:rPr>
            </w:pPr>
          </w:p>
        </w:tc>
      </w:tr>
      <w:tr>
        <w:trPr>
          <w:trHeight w:val="324"/>
        </w:trPr>
        <w:tc>
          <w:tcPr>
            <w:tcW w:w="500" w:type="dxa"/>
            <w:vAlign w:val="bottom"/>
          </w:tcPr>
          <w:p>
            <w:pPr>
              <w:jc w:val="right"/>
              <w:ind w:right="92"/>
              <w:spacing w:after="0"/>
              <w:rPr>
                <w:sz w:val="20"/>
                <w:szCs w:val="20"/>
                <w:color w:val="auto"/>
              </w:rPr>
            </w:pPr>
            <w:r>
              <w:rPr>
                <w:rFonts w:ascii="Arial" w:cs="Arial" w:eastAsia="Arial" w:hAnsi="Arial"/>
                <w:sz w:val="18"/>
                <w:szCs w:val="18"/>
                <w:color w:val="auto"/>
                <w:w w:val="85"/>
              </w:rPr>
              <w:t>23.2</w:t>
            </w:r>
          </w:p>
        </w:tc>
        <w:tc>
          <w:tcPr>
            <w:tcW w:w="420" w:type="dxa"/>
            <w:vAlign w:val="bottom"/>
          </w:tcPr>
          <w:p>
            <w:pPr>
              <w:spacing w:after="0"/>
              <w:rPr>
                <w:sz w:val="24"/>
                <w:szCs w:val="24"/>
                <w:color w:val="auto"/>
              </w:rPr>
            </w:pPr>
          </w:p>
        </w:tc>
        <w:tc>
          <w:tcPr>
            <w:tcW w:w="9760" w:type="dxa"/>
            <w:vAlign w:val="bottom"/>
            <w:gridSpan w:val="3"/>
          </w:tcPr>
          <w:p>
            <w:pPr>
              <w:spacing w:after="0"/>
              <w:rPr>
                <w:rFonts w:ascii="Arial" w:cs="Arial" w:eastAsia="Arial" w:hAnsi="Arial"/>
                <w:sz w:val="18"/>
                <w:szCs w:val="18"/>
                <w:u w:val="single" w:color="auto"/>
                <w:color w:val="0000EE"/>
              </w:rPr>
            </w:pPr>
            <w:hyperlink w:anchor="page160">
              <w:r>
                <w:rPr>
                  <w:rFonts w:ascii="Arial" w:cs="Arial" w:eastAsia="Arial" w:hAnsi="Arial"/>
                  <w:sz w:val="18"/>
                  <w:szCs w:val="18"/>
                  <w:u w:val="single" w:color="auto"/>
                  <w:color w:val="0000EE"/>
                </w:rPr>
                <w:t>Consent of PricewaterhouseCoopers LLP, independent registered public accounting firm (filed herewith).</w:t>
              </w:r>
            </w:hyperlink>
          </w:p>
        </w:tc>
        <w:tc>
          <w:tcPr>
            <w:tcW w:w="0" w:type="dxa"/>
            <w:vAlign w:val="bottom"/>
          </w:tcPr>
          <w:p>
            <w:pPr>
              <w:spacing w:after="0"/>
              <w:rPr>
                <w:sz w:val="1"/>
                <w:szCs w:val="1"/>
                <w:color w:val="auto"/>
              </w:rPr>
            </w:pPr>
          </w:p>
        </w:tc>
      </w:tr>
      <w:tr>
        <w:trPr>
          <w:trHeight w:val="324"/>
        </w:trPr>
        <w:tc>
          <w:tcPr>
            <w:tcW w:w="500" w:type="dxa"/>
            <w:vAlign w:val="bottom"/>
          </w:tcPr>
          <w:p>
            <w:pPr>
              <w:jc w:val="right"/>
              <w:ind w:right="92"/>
              <w:spacing w:after="0"/>
              <w:rPr>
                <w:sz w:val="20"/>
                <w:szCs w:val="20"/>
                <w:color w:val="auto"/>
              </w:rPr>
            </w:pPr>
            <w:r>
              <w:rPr>
                <w:rFonts w:ascii="Arial" w:cs="Arial" w:eastAsia="Arial" w:hAnsi="Arial"/>
                <w:sz w:val="18"/>
                <w:szCs w:val="18"/>
                <w:color w:val="auto"/>
                <w:w w:val="85"/>
              </w:rPr>
              <w:t>23.3</w:t>
            </w:r>
          </w:p>
        </w:tc>
        <w:tc>
          <w:tcPr>
            <w:tcW w:w="420" w:type="dxa"/>
            <w:vAlign w:val="bottom"/>
          </w:tcPr>
          <w:p>
            <w:pPr>
              <w:spacing w:after="0"/>
              <w:rPr>
                <w:sz w:val="24"/>
                <w:szCs w:val="24"/>
                <w:color w:val="auto"/>
              </w:rPr>
            </w:pPr>
          </w:p>
        </w:tc>
        <w:tc>
          <w:tcPr>
            <w:tcW w:w="9760" w:type="dxa"/>
            <w:vAlign w:val="bottom"/>
            <w:gridSpan w:val="3"/>
          </w:tcPr>
          <w:p>
            <w:pPr>
              <w:spacing w:after="0"/>
              <w:rPr>
                <w:rFonts w:ascii="Arial" w:cs="Arial" w:eastAsia="Arial" w:hAnsi="Arial"/>
                <w:sz w:val="18"/>
                <w:szCs w:val="18"/>
                <w:u w:val="single" w:color="auto"/>
                <w:color w:val="0000EE"/>
              </w:rPr>
            </w:pPr>
            <w:hyperlink w:anchor="page154">
              <w:r>
                <w:rPr>
                  <w:rFonts w:ascii="Arial" w:cs="Arial" w:eastAsia="Arial" w:hAnsi="Arial"/>
                  <w:sz w:val="18"/>
                  <w:szCs w:val="18"/>
                  <w:u w:val="single" w:color="auto"/>
                  <w:color w:val="0000EE"/>
                </w:rPr>
                <w:t>Consent of Troutman Pepper Hamilton Sanders LLP (included in Exhibit 5.1).</w:t>
              </w:r>
            </w:hyperlink>
          </w:p>
        </w:tc>
        <w:tc>
          <w:tcPr>
            <w:tcW w:w="0" w:type="dxa"/>
            <w:vAlign w:val="bottom"/>
          </w:tcPr>
          <w:p>
            <w:pPr>
              <w:spacing w:after="0"/>
              <w:rPr>
                <w:sz w:val="1"/>
                <w:szCs w:val="1"/>
                <w:color w:val="auto"/>
              </w:rPr>
            </w:pPr>
          </w:p>
        </w:tc>
      </w:tr>
      <w:tr>
        <w:trPr>
          <w:trHeight w:val="324"/>
        </w:trPr>
        <w:tc>
          <w:tcPr>
            <w:tcW w:w="500" w:type="dxa"/>
            <w:vAlign w:val="bottom"/>
          </w:tcPr>
          <w:p>
            <w:pPr>
              <w:jc w:val="right"/>
              <w:ind w:right="92"/>
              <w:spacing w:after="0"/>
              <w:rPr>
                <w:sz w:val="20"/>
                <w:szCs w:val="20"/>
                <w:color w:val="auto"/>
              </w:rPr>
            </w:pPr>
            <w:r>
              <w:rPr>
                <w:rFonts w:ascii="Arial" w:cs="Arial" w:eastAsia="Arial" w:hAnsi="Arial"/>
                <w:sz w:val="18"/>
                <w:szCs w:val="18"/>
                <w:color w:val="auto"/>
                <w:w w:val="85"/>
              </w:rPr>
              <w:t>24.1</w:t>
            </w:r>
          </w:p>
        </w:tc>
        <w:tc>
          <w:tcPr>
            <w:tcW w:w="420" w:type="dxa"/>
            <w:vAlign w:val="bottom"/>
          </w:tcPr>
          <w:p>
            <w:pPr>
              <w:spacing w:after="0"/>
              <w:rPr>
                <w:sz w:val="24"/>
                <w:szCs w:val="24"/>
                <w:color w:val="auto"/>
              </w:rPr>
            </w:pPr>
          </w:p>
        </w:tc>
        <w:tc>
          <w:tcPr>
            <w:tcW w:w="9760" w:type="dxa"/>
            <w:vAlign w:val="bottom"/>
            <w:gridSpan w:val="3"/>
          </w:tcPr>
          <w:p>
            <w:pPr>
              <w:spacing w:after="0"/>
              <w:rPr>
                <w:rFonts w:ascii="Arial" w:cs="Arial" w:eastAsia="Arial" w:hAnsi="Arial"/>
                <w:sz w:val="18"/>
                <w:szCs w:val="18"/>
                <w:color w:val="0000EE"/>
              </w:rPr>
            </w:pPr>
            <w:hyperlink w:anchor="page69">
              <w:r>
                <w:rPr>
                  <w:rFonts w:ascii="Arial" w:cs="Arial" w:eastAsia="Arial" w:hAnsi="Arial"/>
                  <w:sz w:val="18"/>
                  <w:szCs w:val="18"/>
                  <w:u w:val="single" w:color="auto"/>
                  <w:color w:val="0000EE"/>
                </w:rPr>
                <w:t>Powers of Attorney (incorporated by reference to the signature page hereto)</w:t>
              </w:r>
              <w:r>
                <w:rPr>
                  <w:rFonts w:ascii="Arial" w:cs="Arial" w:eastAsia="Arial" w:hAnsi="Arial"/>
                  <w:sz w:val="18"/>
                  <w:szCs w:val="18"/>
                  <w:color w:val="0000EE"/>
                </w:rPr>
                <w:t>.</w:t>
              </w:r>
            </w:hyperlink>
          </w:p>
        </w:tc>
        <w:tc>
          <w:tcPr>
            <w:tcW w:w="0" w:type="dxa"/>
            <w:vAlign w:val="bottom"/>
          </w:tcPr>
          <w:p>
            <w:pPr>
              <w:spacing w:after="0"/>
              <w:rPr>
                <w:sz w:val="1"/>
                <w:szCs w:val="1"/>
                <w:color w:val="auto"/>
              </w:rPr>
            </w:pPr>
          </w:p>
        </w:tc>
      </w:tr>
      <w:tr>
        <w:trPr>
          <w:trHeight w:val="324"/>
        </w:trPr>
        <w:tc>
          <w:tcPr>
            <w:tcW w:w="500" w:type="dxa"/>
            <w:vAlign w:val="bottom"/>
          </w:tcPr>
          <w:p>
            <w:pPr>
              <w:spacing w:after="0"/>
              <w:rPr>
                <w:sz w:val="20"/>
                <w:szCs w:val="20"/>
                <w:color w:val="auto"/>
              </w:rPr>
            </w:pPr>
            <w:r>
              <w:rPr>
                <w:rFonts w:ascii="Arial" w:cs="Arial" w:eastAsia="Arial" w:hAnsi="Arial"/>
                <w:sz w:val="18"/>
                <w:szCs w:val="18"/>
                <w:color w:val="auto"/>
              </w:rPr>
              <w:t>25.1‡</w:t>
            </w:r>
          </w:p>
        </w:tc>
        <w:tc>
          <w:tcPr>
            <w:tcW w:w="420" w:type="dxa"/>
            <w:vAlign w:val="bottom"/>
          </w:tcPr>
          <w:p>
            <w:pPr>
              <w:spacing w:after="0"/>
              <w:rPr>
                <w:sz w:val="24"/>
                <w:szCs w:val="24"/>
                <w:color w:val="auto"/>
              </w:rPr>
            </w:pPr>
          </w:p>
        </w:tc>
        <w:tc>
          <w:tcPr>
            <w:tcW w:w="9760" w:type="dxa"/>
            <w:vAlign w:val="bottom"/>
            <w:gridSpan w:val="3"/>
          </w:tcPr>
          <w:p>
            <w:pPr>
              <w:spacing w:after="0"/>
              <w:rPr>
                <w:sz w:val="20"/>
                <w:szCs w:val="20"/>
                <w:color w:val="auto"/>
              </w:rPr>
            </w:pPr>
            <w:r>
              <w:rPr>
                <w:rFonts w:ascii="Arial" w:cs="Arial" w:eastAsia="Arial" w:hAnsi="Arial"/>
                <w:sz w:val="18"/>
                <w:szCs w:val="18"/>
                <w:color w:val="auto"/>
                <w:w w:val="91"/>
              </w:rPr>
              <w:t>Statement of Eligibility on Form T-1 under the Trust Indenture Act of 1939, as amended, of the trustee, as trustee under the indenture.</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97" name="Picture 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
                    <pic:cNvPicPr>
                      <a:picLocks noChangeAspect="1" noChangeArrowheads="1"/>
                    </pic:cNvPicPr>
                  </pic:nvPicPr>
                  <pic:blipFill>
                    <a:blip r:embed="rId119">
                      <a:extLst>
                        <a:ext uri="{28A0092B-C50C-407E-A947-70E740481C1C}"/>
                      </a:extLst>
                    </a:blip>
                    <a:srcRect/>
                    <a:stretch>
                      <a:fillRect/>
                    </a:stretch>
                  </pic:blipFill>
                  <pic:spPr bwMode="auto">
                    <a:xfrm>
                      <a:off x="0" y="0"/>
                      <a:ext cx="7149465" cy="26035"/>
                    </a:xfrm>
                    <a:prstGeom prst="rect">
                      <a:avLst/>
                    </a:prstGeom>
                    <a:noFill/>
                  </pic:spPr>
                </pic:pic>
              </a:graphicData>
            </a:graphic>
          </wp:anchor>
        </w:drawing>
        <w:drawing>
          <wp:anchor simplePos="0" relativeHeight="251657728" behindDoc="1" locked="0" layoutInCell="0" allowOverlap="1">
            <wp:simplePos x="0" y="0"/>
            <wp:positionH relativeFrom="column">
              <wp:posOffset>0</wp:posOffset>
            </wp:positionH>
            <wp:positionV relativeFrom="paragraph">
              <wp:posOffset>85725</wp:posOffset>
            </wp:positionV>
            <wp:extent cx="771525" cy="8255"/>
            <wp:wrapNone/>
            <wp:docPr id="98" name="Picture 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
                    <pic:cNvPicPr>
                      <a:picLocks noChangeAspect="1" noChangeArrowheads="1"/>
                    </pic:cNvPicPr>
                  </pic:nvPicPr>
                  <pic:blipFill>
                    <a:blip r:embed="rId120">
                      <a:extLst>
                        <a:ext uri="{28A0092B-C50C-407E-A947-70E740481C1C}"/>
                      </a:extLst>
                    </a:blip>
                    <a:srcRect/>
                    <a:stretch>
                      <a:fillRect/>
                    </a:stretch>
                  </pic:blipFill>
                  <pic:spPr bwMode="auto">
                    <a:xfrm>
                      <a:off x="0" y="0"/>
                      <a:ext cx="771525" cy="8255"/>
                    </a:xfrm>
                    <a:prstGeom prst="rect">
                      <a:avLst/>
                    </a:prstGeom>
                    <a:noFill/>
                  </pic:spPr>
                </pic:pic>
              </a:graphicData>
            </a:graphic>
          </wp:anchor>
        </w:drawing>
      </w:r>
    </w:p>
    <w:p>
      <w:pPr>
        <w:spacing w:after="0" w:line="155" w:lineRule="exact"/>
        <w:rPr>
          <w:sz w:val="20"/>
          <w:szCs w:val="20"/>
          <w:color w:val="auto"/>
        </w:rPr>
      </w:pPr>
    </w:p>
    <w:p>
      <w:pPr>
        <w:ind w:left="224" w:hanging="224"/>
        <w:spacing w:after="0"/>
        <w:tabs>
          <w:tab w:leader="none" w:pos="224" w:val="left"/>
        </w:tabs>
        <w:numPr>
          <w:ilvl w:val="0"/>
          <w:numId w:val="38"/>
        </w:numPr>
        <w:rPr>
          <w:rFonts w:ascii="Arial" w:cs="Arial" w:eastAsia="Arial" w:hAnsi="Arial"/>
          <w:sz w:val="18"/>
          <w:szCs w:val="18"/>
          <w:color w:val="auto"/>
        </w:rPr>
      </w:pPr>
      <w:r>
        <w:rPr>
          <w:rFonts w:ascii="Arial" w:cs="Arial" w:eastAsia="Arial" w:hAnsi="Arial"/>
          <w:sz w:val="18"/>
          <w:szCs w:val="18"/>
          <w:color w:val="auto"/>
        </w:rPr>
        <w:t>To be filed by amendment or incorporated by reference in connection with the offering of the securities.</w:t>
      </w:r>
    </w:p>
    <w:p>
      <w:pPr>
        <w:spacing w:after="0" w:line="23" w:lineRule="exact"/>
        <w:rPr>
          <w:rFonts w:ascii="Arial" w:cs="Arial" w:eastAsia="Arial" w:hAnsi="Arial"/>
          <w:sz w:val="18"/>
          <w:szCs w:val="18"/>
          <w:color w:val="auto"/>
        </w:rPr>
      </w:pPr>
    </w:p>
    <w:p>
      <w:pPr>
        <w:ind w:left="4"/>
        <w:spacing w:after="0"/>
        <w:rPr>
          <w:rFonts w:ascii="Arial" w:cs="Arial" w:eastAsia="Arial" w:hAnsi="Arial"/>
          <w:sz w:val="18"/>
          <w:szCs w:val="18"/>
          <w:color w:val="auto"/>
        </w:rPr>
      </w:pPr>
      <w:r>
        <w:rPr>
          <w:rFonts w:ascii="Arial" w:cs="Arial" w:eastAsia="Arial" w:hAnsi="Arial"/>
          <w:sz w:val="18"/>
          <w:szCs w:val="18"/>
          <w:color w:val="auto"/>
        </w:rPr>
        <w:t>‡  To be filed in accordance with the requirements of Item 601(b)(25) of Regulation S-K.</w:t>
      </w:r>
    </w:p>
    <w:p>
      <w:pPr>
        <w:spacing w:after="0" w:line="143" w:lineRule="exact"/>
        <w:rPr>
          <w:sz w:val="20"/>
          <w:szCs w:val="20"/>
          <w:color w:val="auto"/>
        </w:rPr>
      </w:pPr>
    </w:p>
    <w:p>
      <w:pPr>
        <w:jc w:val="center"/>
        <w:ind w:right="-323"/>
        <w:spacing w:after="0"/>
        <w:rPr>
          <w:sz w:val="20"/>
          <w:szCs w:val="20"/>
          <w:color w:val="auto"/>
        </w:rPr>
      </w:pPr>
      <w:r>
        <w:rPr>
          <w:rFonts w:ascii="Arial" w:cs="Arial" w:eastAsia="Arial" w:hAnsi="Arial"/>
          <w:sz w:val="18"/>
          <w:szCs w:val="18"/>
          <w:color w:val="auto"/>
        </w:rPr>
        <w:t>II-3</w:t>
      </w:r>
    </w:p>
    <w:p>
      <w:pPr>
        <w:sectPr>
          <w:pgSz w:w="11900" w:h="16838" w:orient="portrait"/>
          <w:cols w:equalWidth="0" w:num="1">
            <w:col w:w="10684"/>
          </w:cols>
          <w:pgMar w:left="436" w:top="253" w:right="779" w:bottom="1440" w:gutter="0" w:footer="0" w:header="0"/>
        </w:sectPr>
      </w:pPr>
    </w:p>
    <w:bookmarkStart w:id="66" w:name="page67"/>
    <w:bookmarkEnd w:id="66"/>
    <w:p>
      <w:pPr>
        <w:ind w:left="4"/>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99" name="Picture 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
                    <pic:cNvPicPr>
                      <a:picLocks noChangeAspect="1" noChangeArrowheads="1"/>
                    </pic:cNvPicPr>
                  </pic:nvPicPr>
                  <pic:blipFill>
                    <a:blip r:embed="rId121">
                      <a:extLst>
                        <a:ext uri="{28A0092B-C50C-407E-A947-70E740481C1C}"/>
                      </a:extLst>
                    </a:blip>
                    <a:srcRect/>
                    <a:stretch>
                      <a:fillRect/>
                    </a:stretch>
                  </pic:blipFill>
                  <pic:spPr bwMode="auto">
                    <a:xfrm>
                      <a:off x="0" y="0"/>
                      <a:ext cx="7149465" cy="26035"/>
                    </a:xfrm>
                    <a:prstGeom prst="rect">
                      <a:avLst/>
                    </a:prstGeom>
                    <a:noFill/>
                  </pic:spPr>
                </pic:pic>
              </a:graphicData>
            </a:graphic>
          </wp:anchor>
        </w:drawing>
        <w:t>Item 17. Undertakings.</w:t>
      </w:r>
    </w:p>
    <w:p>
      <w:pPr>
        <w:spacing w:after="0" w:line="121" w:lineRule="exact"/>
        <w:rPr>
          <w:sz w:val="20"/>
          <w:szCs w:val="20"/>
          <w:color w:val="auto"/>
        </w:rPr>
      </w:pPr>
    </w:p>
    <w:p>
      <w:pPr>
        <w:ind w:left="4"/>
        <w:spacing w:after="0"/>
        <w:rPr>
          <w:sz w:val="20"/>
          <w:szCs w:val="20"/>
          <w:color w:val="auto"/>
        </w:rPr>
      </w:pPr>
      <w:r>
        <w:rPr>
          <w:rFonts w:ascii="Arial" w:cs="Arial" w:eastAsia="Arial" w:hAnsi="Arial"/>
          <w:sz w:val="18"/>
          <w:szCs w:val="18"/>
          <w:color w:val="auto"/>
        </w:rPr>
        <w:t>(a) The undersigned registrant hereby undertakes:</w:t>
      </w:r>
    </w:p>
    <w:p>
      <w:pPr>
        <w:spacing w:after="0" w:line="225" w:lineRule="exact"/>
        <w:rPr>
          <w:sz w:val="20"/>
          <w:szCs w:val="20"/>
          <w:color w:val="auto"/>
        </w:rPr>
      </w:pPr>
    </w:p>
    <w:p>
      <w:pPr>
        <w:ind w:left="264" w:hanging="264"/>
        <w:spacing w:after="0"/>
        <w:tabs>
          <w:tab w:leader="none" w:pos="264" w:val="left"/>
        </w:tabs>
        <w:numPr>
          <w:ilvl w:val="0"/>
          <w:numId w:val="39"/>
        </w:numPr>
        <w:rPr>
          <w:rFonts w:ascii="Arial" w:cs="Arial" w:eastAsia="Arial" w:hAnsi="Arial"/>
          <w:sz w:val="18"/>
          <w:szCs w:val="18"/>
          <w:color w:val="auto"/>
        </w:rPr>
      </w:pPr>
      <w:r>
        <w:rPr>
          <w:rFonts w:ascii="Arial" w:cs="Arial" w:eastAsia="Arial" w:hAnsi="Arial"/>
          <w:sz w:val="18"/>
          <w:szCs w:val="18"/>
          <w:color w:val="auto"/>
        </w:rPr>
        <w:t>To file, during any period in which offers or sales are being made, a post-effective amendment to this registration statement:</w:t>
      </w:r>
    </w:p>
    <w:p>
      <w:pPr>
        <w:spacing w:after="0" w:line="117" w:lineRule="exact"/>
        <w:rPr>
          <w:rFonts w:ascii="Arial" w:cs="Arial" w:eastAsia="Arial" w:hAnsi="Arial"/>
          <w:sz w:val="18"/>
          <w:szCs w:val="18"/>
          <w:color w:val="auto"/>
        </w:rPr>
      </w:pPr>
    </w:p>
    <w:p>
      <w:pPr>
        <w:ind w:left="664" w:hanging="224"/>
        <w:spacing w:after="0"/>
        <w:tabs>
          <w:tab w:leader="none" w:pos="664" w:val="left"/>
        </w:tabs>
        <w:numPr>
          <w:ilvl w:val="1"/>
          <w:numId w:val="39"/>
        </w:numPr>
        <w:rPr>
          <w:rFonts w:ascii="Arial" w:cs="Arial" w:eastAsia="Arial" w:hAnsi="Arial"/>
          <w:sz w:val="18"/>
          <w:szCs w:val="18"/>
          <w:color w:val="auto"/>
        </w:rPr>
      </w:pPr>
      <w:r>
        <w:rPr>
          <w:rFonts w:ascii="Arial" w:cs="Arial" w:eastAsia="Arial" w:hAnsi="Arial"/>
          <w:sz w:val="18"/>
          <w:szCs w:val="18"/>
          <w:color w:val="auto"/>
        </w:rPr>
        <w:t>To include any prospectus required by Section 10(a)(3) of the Securities Act of 1933;</w:t>
      </w:r>
    </w:p>
    <w:p>
      <w:pPr>
        <w:spacing w:after="0" w:line="117" w:lineRule="exact"/>
        <w:rPr>
          <w:rFonts w:ascii="Arial" w:cs="Arial" w:eastAsia="Arial" w:hAnsi="Arial"/>
          <w:sz w:val="18"/>
          <w:szCs w:val="18"/>
          <w:color w:val="auto"/>
        </w:rPr>
      </w:pPr>
    </w:p>
    <w:p>
      <w:pPr>
        <w:ind w:left="444" w:hanging="4"/>
        <w:spacing w:after="0" w:line="254" w:lineRule="auto"/>
        <w:tabs>
          <w:tab w:leader="none" w:pos="709" w:val="left"/>
        </w:tabs>
        <w:numPr>
          <w:ilvl w:val="1"/>
          <w:numId w:val="39"/>
        </w:numPr>
        <w:rPr>
          <w:rFonts w:ascii="Arial" w:cs="Arial" w:eastAsia="Arial" w:hAnsi="Arial"/>
          <w:sz w:val="18"/>
          <w:szCs w:val="18"/>
          <w:color w:val="auto"/>
        </w:rPr>
      </w:pPr>
      <w:r>
        <w:rPr>
          <w:rFonts w:ascii="Arial" w:cs="Arial" w:eastAsia="Arial" w:hAnsi="Arial"/>
          <w:sz w:val="18"/>
          <w:szCs w:val="18"/>
          <w:color w:val="auto"/>
        </w:rPr>
        <w:t>To reflect in the prospectus any facts or events arising after the effective date of the registration statement (or the most recent post-effective amendment thereof) which, individually or in the aggregate, represent a fundamental change in the information set forth in the registration statement. Notwithstanding the foregoing, any increase or decrease in the volume of securities offered (if the total dollar value of securities offered would not exceed that which was registered) and any deviation from the low or high end of the estimated maximum offering range may be reflected in the form of prospectus filed with the SEC pursuant to Rule 424(b) if, in the aggregate, the changes in volume and price represent no more than 20 percent change in the maximum aggregate offering price set forth in the “Calculation of Registration Fee” table in the effective registration statement; and</w:t>
      </w:r>
    </w:p>
    <w:p>
      <w:pPr>
        <w:spacing w:after="0" w:line="86" w:lineRule="exact"/>
        <w:rPr>
          <w:rFonts w:ascii="Arial" w:cs="Arial" w:eastAsia="Arial" w:hAnsi="Arial"/>
          <w:sz w:val="18"/>
          <w:szCs w:val="18"/>
          <w:color w:val="auto"/>
        </w:rPr>
      </w:pPr>
    </w:p>
    <w:p>
      <w:pPr>
        <w:ind w:left="444" w:right="520" w:hanging="4"/>
        <w:spacing w:after="0" w:line="277" w:lineRule="auto"/>
        <w:tabs>
          <w:tab w:leader="none" w:pos="759" w:val="left"/>
        </w:tabs>
        <w:numPr>
          <w:ilvl w:val="1"/>
          <w:numId w:val="39"/>
        </w:numPr>
        <w:rPr>
          <w:rFonts w:ascii="Arial" w:cs="Arial" w:eastAsia="Arial" w:hAnsi="Arial"/>
          <w:sz w:val="18"/>
          <w:szCs w:val="18"/>
          <w:color w:val="auto"/>
        </w:rPr>
      </w:pPr>
      <w:r>
        <w:rPr>
          <w:rFonts w:ascii="Arial" w:cs="Arial" w:eastAsia="Arial" w:hAnsi="Arial"/>
          <w:sz w:val="18"/>
          <w:szCs w:val="18"/>
          <w:color w:val="auto"/>
        </w:rPr>
        <w:t>To include any material information with respect to the plan of distribution not previously disclosed in the registration statement or any material change to such information in the registration statement;</w:t>
      </w:r>
    </w:p>
    <w:p>
      <w:pPr>
        <w:spacing w:after="0" w:line="170" w:lineRule="exact"/>
        <w:rPr>
          <w:sz w:val="20"/>
          <w:szCs w:val="20"/>
          <w:color w:val="auto"/>
        </w:rPr>
      </w:pPr>
    </w:p>
    <w:p>
      <w:pPr>
        <w:ind w:left="4" w:right="380"/>
        <w:spacing w:after="0" w:line="259" w:lineRule="auto"/>
        <w:rPr>
          <w:sz w:val="20"/>
          <w:szCs w:val="20"/>
          <w:color w:val="auto"/>
        </w:rPr>
      </w:pPr>
      <w:r>
        <w:rPr>
          <w:rFonts w:ascii="Arial" w:cs="Arial" w:eastAsia="Arial" w:hAnsi="Arial"/>
          <w:sz w:val="18"/>
          <w:szCs w:val="18"/>
          <w:i w:val="1"/>
          <w:iCs w:val="1"/>
          <w:color w:val="auto"/>
        </w:rPr>
        <w:t xml:space="preserve">provided, however, </w:t>
      </w:r>
      <w:r>
        <w:rPr>
          <w:rFonts w:ascii="Arial" w:cs="Arial" w:eastAsia="Arial" w:hAnsi="Arial"/>
          <w:sz w:val="18"/>
          <w:szCs w:val="18"/>
          <w:color w:val="auto"/>
        </w:rPr>
        <w:t>that paragraphs (a)(1)(i), (a)(1)(ii) and (a)(1)(iii) of this section do not apply if the information required to be included in a post-effective amendment by those paragraphs is contained in reports filed with or furnished to the SEC by the registrant pursuant to Section 13 or Section 15(d) of the Securities Exchange Act of 1934 that are incorporated by reference in the registration statement or is contained in a form of prospectus filed pursuant to Rule 424(b) that is part of the registration statement.</w:t>
      </w:r>
    </w:p>
    <w:p>
      <w:pPr>
        <w:spacing w:after="0" w:line="187" w:lineRule="exact"/>
        <w:rPr>
          <w:sz w:val="20"/>
          <w:szCs w:val="20"/>
          <w:color w:val="auto"/>
        </w:rPr>
      </w:pPr>
    </w:p>
    <w:p>
      <w:pPr>
        <w:ind w:left="4" w:right="60" w:hanging="4"/>
        <w:spacing w:after="0" w:line="263" w:lineRule="auto"/>
        <w:tabs>
          <w:tab w:leader="none" w:pos="259" w:val="left"/>
        </w:tabs>
        <w:numPr>
          <w:ilvl w:val="0"/>
          <w:numId w:val="40"/>
        </w:numPr>
        <w:rPr>
          <w:rFonts w:ascii="Arial" w:cs="Arial" w:eastAsia="Arial" w:hAnsi="Arial"/>
          <w:sz w:val="18"/>
          <w:szCs w:val="18"/>
          <w:color w:val="auto"/>
        </w:rPr>
      </w:pPr>
      <w:r>
        <w:rPr>
          <w:rFonts w:ascii="Arial" w:cs="Arial" w:eastAsia="Arial" w:hAnsi="Arial"/>
          <w:sz w:val="18"/>
          <w:szCs w:val="18"/>
          <w:color w:val="auto"/>
        </w:rPr>
        <w:t xml:space="preserve">That, for the purpose of determining any liability under the Securities Act of 1933, each such post-effective amendment shall be deemed to be a new registration statement relating to the securities offered therein, and the offering of such securities at that time shall be deemed to be the initial </w:t>
      </w:r>
      <w:r>
        <w:rPr>
          <w:rFonts w:ascii="Arial" w:cs="Arial" w:eastAsia="Arial" w:hAnsi="Arial"/>
          <w:sz w:val="18"/>
          <w:szCs w:val="18"/>
          <w:i w:val="1"/>
          <w:iCs w:val="1"/>
          <w:color w:val="auto"/>
        </w:rPr>
        <w:t>bona fide</w:t>
      </w:r>
      <w:r>
        <w:rPr>
          <w:rFonts w:ascii="Arial" w:cs="Arial" w:eastAsia="Arial" w:hAnsi="Arial"/>
          <w:sz w:val="18"/>
          <w:szCs w:val="18"/>
          <w:color w:val="auto"/>
        </w:rPr>
        <w:t xml:space="preserve"> offering thereof.</w:t>
      </w:r>
    </w:p>
    <w:p>
      <w:pPr>
        <w:spacing w:after="0" w:line="183" w:lineRule="exact"/>
        <w:rPr>
          <w:rFonts w:ascii="Arial" w:cs="Arial" w:eastAsia="Arial" w:hAnsi="Arial"/>
          <w:sz w:val="18"/>
          <w:szCs w:val="18"/>
          <w:color w:val="auto"/>
        </w:rPr>
      </w:pPr>
    </w:p>
    <w:p>
      <w:pPr>
        <w:ind w:left="4" w:hanging="4"/>
        <w:spacing w:after="0" w:line="277" w:lineRule="auto"/>
        <w:tabs>
          <w:tab w:leader="none" w:pos="259" w:val="left"/>
        </w:tabs>
        <w:numPr>
          <w:ilvl w:val="0"/>
          <w:numId w:val="40"/>
        </w:numPr>
        <w:rPr>
          <w:rFonts w:ascii="Arial" w:cs="Arial" w:eastAsia="Arial" w:hAnsi="Arial"/>
          <w:sz w:val="18"/>
          <w:szCs w:val="18"/>
          <w:color w:val="auto"/>
        </w:rPr>
      </w:pPr>
      <w:r>
        <w:rPr>
          <w:rFonts w:ascii="Arial" w:cs="Arial" w:eastAsia="Arial" w:hAnsi="Arial"/>
          <w:sz w:val="18"/>
          <w:szCs w:val="18"/>
          <w:color w:val="auto"/>
        </w:rPr>
        <w:t>To remove from registration by means of a post-effective amendment any of the securities being registered which remain unsold at the termination of the offering.</w:t>
      </w:r>
    </w:p>
    <w:p>
      <w:pPr>
        <w:spacing w:after="0" w:line="170" w:lineRule="exact"/>
        <w:rPr>
          <w:sz w:val="20"/>
          <w:szCs w:val="20"/>
          <w:color w:val="auto"/>
        </w:rPr>
      </w:pPr>
    </w:p>
    <w:p>
      <w:pPr>
        <w:ind w:left="264" w:hanging="264"/>
        <w:spacing w:after="0"/>
        <w:tabs>
          <w:tab w:leader="none" w:pos="264" w:val="left"/>
        </w:tabs>
        <w:numPr>
          <w:ilvl w:val="0"/>
          <w:numId w:val="41"/>
        </w:numPr>
        <w:rPr>
          <w:rFonts w:ascii="Arial" w:cs="Arial" w:eastAsia="Arial" w:hAnsi="Arial"/>
          <w:sz w:val="18"/>
          <w:szCs w:val="18"/>
          <w:color w:val="auto"/>
        </w:rPr>
      </w:pPr>
      <w:r>
        <w:rPr>
          <w:rFonts w:ascii="Arial" w:cs="Arial" w:eastAsia="Arial" w:hAnsi="Arial"/>
          <w:sz w:val="18"/>
          <w:szCs w:val="18"/>
          <w:color w:val="auto"/>
        </w:rPr>
        <w:t>That, for the purpose of determining liability under the Securities Act of 1933 to any purchaser:</w:t>
      </w:r>
    </w:p>
    <w:p>
      <w:pPr>
        <w:spacing w:after="0" w:line="117" w:lineRule="exact"/>
        <w:rPr>
          <w:rFonts w:ascii="Arial" w:cs="Arial" w:eastAsia="Arial" w:hAnsi="Arial"/>
          <w:sz w:val="18"/>
          <w:szCs w:val="18"/>
          <w:color w:val="auto"/>
        </w:rPr>
      </w:pPr>
    </w:p>
    <w:p>
      <w:pPr>
        <w:ind w:left="444" w:hanging="4"/>
        <w:spacing w:after="0" w:line="277" w:lineRule="auto"/>
        <w:tabs>
          <w:tab w:leader="none" w:pos="659" w:val="left"/>
        </w:tabs>
        <w:numPr>
          <w:ilvl w:val="1"/>
          <w:numId w:val="41"/>
        </w:numPr>
        <w:rPr>
          <w:rFonts w:ascii="Arial" w:cs="Arial" w:eastAsia="Arial" w:hAnsi="Arial"/>
          <w:sz w:val="18"/>
          <w:szCs w:val="18"/>
          <w:color w:val="auto"/>
        </w:rPr>
      </w:pPr>
      <w:r>
        <w:rPr>
          <w:rFonts w:ascii="Arial" w:cs="Arial" w:eastAsia="Arial" w:hAnsi="Arial"/>
          <w:sz w:val="18"/>
          <w:szCs w:val="18"/>
          <w:color w:val="auto"/>
        </w:rPr>
        <w:t>Each prospectus filed by the registrant pursuant to Rule 424(b)(3) shall be deemed to be part of the registration statement as of the date the filed prospectus was deemed part of and included in the registration statement; and</w:t>
      </w:r>
    </w:p>
    <w:p>
      <w:pPr>
        <w:spacing w:after="0" w:line="62" w:lineRule="exact"/>
        <w:rPr>
          <w:rFonts w:ascii="Arial" w:cs="Arial" w:eastAsia="Arial" w:hAnsi="Arial"/>
          <w:sz w:val="18"/>
          <w:szCs w:val="18"/>
          <w:color w:val="auto"/>
        </w:rPr>
      </w:pPr>
    </w:p>
    <w:p>
      <w:pPr>
        <w:ind w:left="444" w:right="20" w:hanging="4"/>
        <w:spacing w:after="0" w:line="287" w:lineRule="auto"/>
        <w:tabs>
          <w:tab w:leader="none" w:pos="709" w:val="left"/>
        </w:tabs>
        <w:numPr>
          <w:ilvl w:val="1"/>
          <w:numId w:val="41"/>
        </w:numPr>
        <w:rPr>
          <w:rFonts w:ascii="Arial" w:cs="Arial" w:eastAsia="Arial" w:hAnsi="Arial"/>
          <w:sz w:val="16"/>
          <w:szCs w:val="16"/>
          <w:color w:val="auto"/>
        </w:rPr>
      </w:pPr>
      <w:r>
        <w:rPr>
          <w:rFonts w:ascii="Arial" w:cs="Arial" w:eastAsia="Arial" w:hAnsi="Arial"/>
          <w:sz w:val="16"/>
          <w:szCs w:val="16"/>
          <w:color w:val="auto"/>
        </w:rPr>
        <w:t xml:space="preserve">Each prospectus required to be filed pursuant to Rule 424(b)(2), (b)(5), or (b)(7) as part of a registration statement in reliance on Rule 430B relating to an offering made pursuant to Rule 415(a)(1)(i), (vii), or (x) for the purpose of providing the information required by Section 10(a) of the Securities Act of 1933 shall be deemed to be part of and included in the registration statement as of the earlier of the date such form of prospectus is first used after effectiveness or the date of the first contract of sale of securities in the offering described in the prospectus. As provided in Rule 430B, for liability purposes of the issuer and any person that is at that date an underwriter, such date shall be deemed to be a new effective date of the registration statement relating to the securities in the registration statement to which that prospectus relates, and the offering of such securities at that time shall be deemed to be the initial </w:t>
      </w:r>
      <w:r>
        <w:rPr>
          <w:rFonts w:ascii="Arial" w:cs="Arial" w:eastAsia="Arial" w:hAnsi="Arial"/>
          <w:sz w:val="16"/>
          <w:szCs w:val="16"/>
          <w:i w:val="1"/>
          <w:iCs w:val="1"/>
          <w:color w:val="auto"/>
        </w:rPr>
        <w:t>bona fide</w:t>
      </w:r>
      <w:r>
        <w:rPr>
          <w:rFonts w:ascii="Arial" w:cs="Arial" w:eastAsia="Arial" w:hAnsi="Arial"/>
          <w:sz w:val="16"/>
          <w:szCs w:val="16"/>
          <w:color w:val="auto"/>
        </w:rPr>
        <w:t xml:space="preserve"> offering thereof. </w:t>
      </w:r>
      <w:r>
        <w:rPr>
          <w:rFonts w:ascii="Arial" w:cs="Arial" w:eastAsia="Arial" w:hAnsi="Arial"/>
          <w:sz w:val="16"/>
          <w:szCs w:val="16"/>
          <w:i w:val="1"/>
          <w:iCs w:val="1"/>
          <w:color w:val="auto"/>
        </w:rPr>
        <w:t>Provided, however,</w:t>
      </w:r>
      <w:r>
        <w:rPr>
          <w:rFonts w:ascii="Arial" w:cs="Arial" w:eastAsia="Arial" w:hAnsi="Arial"/>
          <w:sz w:val="16"/>
          <w:szCs w:val="16"/>
          <w:color w:val="auto"/>
        </w:rPr>
        <w:t xml:space="preserve"> that no statement made in a registration statement or prospectus that is part of the registration statement or made in a document incorporated or deemed incorporated by reference into the registration statement or prospectus that is part of the registration statement will, as to a purchaser with a time of contract of sale prior to such effective date, supersede or modify any statement that was made in the registration statement or prospectus that was part of the registration statement or made in any such document immediately prior to such effective date.</w:t>
      </w:r>
    </w:p>
    <w:p>
      <w:pPr>
        <w:spacing w:after="0" w:line="104" w:lineRule="exact"/>
        <w:rPr>
          <w:sz w:val="20"/>
          <w:szCs w:val="20"/>
          <w:color w:val="auto"/>
        </w:rPr>
      </w:pPr>
    </w:p>
    <w:p>
      <w:pPr>
        <w:jc w:val="center"/>
        <w:ind w:right="-3"/>
        <w:spacing w:after="0"/>
        <w:rPr>
          <w:sz w:val="20"/>
          <w:szCs w:val="20"/>
          <w:color w:val="auto"/>
        </w:rPr>
      </w:pPr>
      <w:r>
        <w:rPr>
          <w:rFonts w:ascii="Arial" w:cs="Arial" w:eastAsia="Arial" w:hAnsi="Arial"/>
          <w:sz w:val="18"/>
          <w:szCs w:val="18"/>
          <w:color w:val="auto"/>
        </w:rPr>
        <w:t>II-4</w:t>
      </w:r>
    </w:p>
    <w:p>
      <w:pPr>
        <w:sectPr>
          <w:pgSz w:w="11900" w:h="16838" w:orient="portrait"/>
          <w:cols w:equalWidth="0" w:num="1">
            <w:col w:w="11004"/>
          </w:cols>
          <w:pgMar w:left="436" w:top="270" w:right="459" w:bottom="1440" w:gutter="0" w:footer="0" w:header="0"/>
        </w:sectPr>
      </w:pPr>
    </w:p>
    <w:bookmarkStart w:id="67" w:name="page68"/>
    <w:bookmarkEnd w:id="67"/>
    <w:p>
      <w:pPr>
        <w:ind w:left="4" w:right="220" w:hanging="4"/>
        <w:spacing w:after="0" w:line="257" w:lineRule="auto"/>
        <w:tabs>
          <w:tab w:leader="none" w:pos="259" w:val="left"/>
        </w:tabs>
        <w:numPr>
          <w:ilvl w:val="0"/>
          <w:numId w:val="42"/>
        </w:numPr>
        <w:rPr>
          <w:rFonts w:ascii="Arial" w:cs="Arial" w:eastAsia="Arial" w:hAnsi="Arial"/>
          <w:sz w:val="18"/>
          <w:szCs w:val="18"/>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100" name="Picture 1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
                    <pic:cNvPicPr>
                      <a:picLocks noChangeAspect="1" noChangeArrowheads="1"/>
                    </pic:cNvPicPr>
                  </pic:nvPicPr>
                  <pic:blipFill>
                    <a:blip r:embed="rId122">
                      <a:extLst>
                        <a:ext uri="{28A0092B-C50C-407E-A947-70E740481C1C}"/>
                      </a:extLst>
                    </a:blip>
                    <a:srcRect/>
                    <a:stretch>
                      <a:fillRect/>
                    </a:stretch>
                  </pic:blipFill>
                  <pic:spPr bwMode="auto">
                    <a:xfrm>
                      <a:off x="0" y="0"/>
                      <a:ext cx="7149465" cy="26035"/>
                    </a:xfrm>
                    <a:prstGeom prst="rect">
                      <a:avLst/>
                    </a:prstGeom>
                    <a:noFill/>
                  </pic:spPr>
                </pic:pic>
              </a:graphicData>
            </a:graphic>
          </wp:anchor>
        </w:drawing>
        <w:t>That, for the purpose of determining liability of the registrant under the Securities Act of 1933 to any purchaser in the initial distribution of the securities, the undersigned registrant undertakes that in a primary offering of securities of the undersigned registrant pursuant to this registration statement, regardless of the underwriting method used to sell the securities to the purchaser, if the securities are offered or sold to such purchaser by means of any of the following communications, the undersigned registrant will be a seller to the purchaser and will be considered to offer or sell such securities to such purchaser:</w:t>
      </w:r>
    </w:p>
    <w:p>
      <w:pPr>
        <w:spacing w:after="0" w:line="187" w:lineRule="exact"/>
        <w:rPr>
          <w:rFonts w:ascii="Arial" w:cs="Arial" w:eastAsia="Arial" w:hAnsi="Arial"/>
          <w:sz w:val="18"/>
          <w:szCs w:val="18"/>
          <w:color w:val="auto"/>
        </w:rPr>
      </w:pPr>
    </w:p>
    <w:p>
      <w:pPr>
        <w:ind w:left="664" w:hanging="224"/>
        <w:spacing w:after="0"/>
        <w:tabs>
          <w:tab w:leader="none" w:pos="664" w:val="left"/>
        </w:tabs>
        <w:numPr>
          <w:ilvl w:val="1"/>
          <w:numId w:val="42"/>
        </w:numPr>
        <w:rPr>
          <w:rFonts w:ascii="Arial" w:cs="Arial" w:eastAsia="Arial" w:hAnsi="Arial"/>
          <w:sz w:val="17"/>
          <w:szCs w:val="17"/>
          <w:color w:val="auto"/>
        </w:rPr>
      </w:pPr>
      <w:r>
        <w:rPr>
          <w:rFonts w:ascii="Arial" w:cs="Arial" w:eastAsia="Arial" w:hAnsi="Arial"/>
          <w:sz w:val="17"/>
          <w:szCs w:val="17"/>
          <w:color w:val="auto"/>
        </w:rPr>
        <w:t>Any preliminary prospectus or prospectus of the undersigned registrant relating to the offering required to be filed pursuant to Rule 424;</w:t>
      </w:r>
    </w:p>
    <w:p>
      <w:pPr>
        <w:spacing w:after="0" w:line="236" w:lineRule="exact"/>
        <w:rPr>
          <w:rFonts w:ascii="Arial" w:cs="Arial" w:eastAsia="Arial" w:hAnsi="Arial"/>
          <w:sz w:val="17"/>
          <w:szCs w:val="17"/>
          <w:color w:val="auto"/>
        </w:rPr>
      </w:pPr>
    </w:p>
    <w:p>
      <w:pPr>
        <w:ind w:left="4" w:right="620" w:firstLine="436"/>
        <w:spacing w:after="0" w:line="277" w:lineRule="auto"/>
        <w:tabs>
          <w:tab w:leader="none" w:pos="709" w:val="left"/>
        </w:tabs>
        <w:numPr>
          <w:ilvl w:val="1"/>
          <w:numId w:val="42"/>
        </w:numPr>
        <w:rPr>
          <w:rFonts w:ascii="Arial" w:cs="Arial" w:eastAsia="Arial" w:hAnsi="Arial"/>
          <w:sz w:val="18"/>
          <w:szCs w:val="18"/>
          <w:color w:val="auto"/>
        </w:rPr>
      </w:pPr>
      <w:r>
        <w:rPr>
          <w:rFonts w:ascii="Arial" w:cs="Arial" w:eastAsia="Arial" w:hAnsi="Arial"/>
          <w:sz w:val="18"/>
          <w:szCs w:val="18"/>
          <w:color w:val="auto"/>
        </w:rPr>
        <w:t>Any free writing prospectus relating to the offering prepared by or on behalf of the undersigned registrant or used or referred to by the undersigned registrant;</w:t>
      </w:r>
    </w:p>
    <w:p>
      <w:pPr>
        <w:spacing w:after="0" w:line="170" w:lineRule="exact"/>
        <w:rPr>
          <w:rFonts w:ascii="Arial" w:cs="Arial" w:eastAsia="Arial" w:hAnsi="Arial"/>
          <w:sz w:val="18"/>
          <w:szCs w:val="18"/>
          <w:color w:val="auto"/>
        </w:rPr>
      </w:pPr>
    </w:p>
    <w:p>
      <w:pPr>
        <w:ind w:left="4" w:firstLine="436"/>
        <w:spacing w:after="0" w:line="277" w:lineRule="auto"/>
        <w:tabs>
          <w:tab w:leader="none" w:pos="759" w:val="left"/>
        </w:tabs>
        <w:numPr>
          <w:ilvl w:val="1"/>
          <w:numId w:val="42"/>
        </w:numPr>
        <w:rPr>
          <w:rFonts w:ascii="Arial" w:cs="Arial" w:eastAsia="Arial" w:hAnsi="Arial"/>
          <w:sz w:val="18"/>
          <w:szCs w:val="18"/>
          <w:color w:val="auto"/>
        </w:rPr>
      </w:pPr>
      <w:r>
        <w:rPr>
          <w:rFonts w:ascii="Arial" w:cs="Arial" w:eastAsia="Arial" w:hAnsi="Arial"/>
          <w:sz w:val="18"/>
          <w:szCs w:val="18"/>
          <w:color w:val="auto"/>
        </w:rPr>
        <w:t>The portion of any other free writing prospectus relating to the offering containing material information about the undersigned registrant or its securities provided by or on behalf of the undersigned registrant; and</w:t>
      </w:r>
    </w:p>
    <w:p>
      <w:pPr>
        <w:spacing w:after="0" w:line="170" w:lineRule="exact"/>
        <w:rPr>
          <w:rFonts w:ascii="Arial" w:cs="Arial" w:eastAsia="Arial" w:hAnsi="Arial"/>
          <w:sz w:val="18"/>
          <w:szCs w:val="18"/>
          <w:color w:val="auto"/>
        </w:rPr>
      </w:pPr>
    </w:p>
    <w:p>
      <w:pPr>
        <w:ind w:left="744" w:hanging="304"/>
        <w:spacing w:after="0"/>
        <w:tabs>
          <w:tab w:leader="none" w:pos="744" w:val="left"/>
        </w:tabs>
        <w:numPr>
          <w:ilvl w:val="1"/>
          <w:numId w:val="42"/>
        </w:numPr>
        <w:rPr>
          <w:rFonts w:ascii="Arial" w:cs="Arial" w:eastAsia="Arial" w:hAnsi="Arial"/>
          <w:sz w:val="18"/>
          <w:szCs w:val="18"/>
          <w:color w:val="auto"/>
        </w:rPr>
      </w:pPr>
      <w:r>
        <w:rPr>
          <w:rFonts w:ascii="Arial" w:cs="Arial" w:eastAsia="Arial" w:hAnsi="Arial"/>
          <w:sz w:val="18"/>
          <w:szCs w:val="18"/>
          <w:color w:val="auto"/>
        </w:rPr>
        <w:t>Any other communication that is an offer in the offering made by the undersigned registrant to the purchaser.</w:t>
      </w:r>
    </w:p>
    <w:p>
      <w:pPr>
        <w:spacing w:after="0" w:line="225" w:lineRule="exact"/>
        <w:rPr>
          <w:sz w:val="20"/>
          <w:szCs w:val="20"/>
          <w:color w:val="auto"/>
        </w:rPr>
      </w:pPr>
    </w:p>
    <w:p>
      <w:pPr>
        <w:ind w:left="4" w:right="180" w:hanging="4"/>
        <w:spacing w:after="0" w:line="257" w:lineRule="auto"/>
        <w:tabs>
          <w:tab w:leader="none" w:pos="259" w:val="left"/>
        </w:tabs>
        <w:numPr>
          <w:ilvl w:val="0"/>
          <w:numId w:val="43"/>
        </w:numPr>
        <w:rPr>
          <w:rFonts w:ascii="Arial" w:cs="Arial" w:eastAsia="Arial" w:hAnsi="Arial"/>
          <w:sz w:val="18"/>
          <w:szCs w:val="18"/>
          <w:color w:val="auto"/>
        </w:rPr>
      </w:pPr>
      <w:r>
        <w:rPr>
          <w:rFonts w:ascii="Arial" w:cs="Arial" w:eastAsia="Arial" w:hAnsi="Arial"/>
          <w:sz w:val="18"/>
          <w:szCs w:val="18"/>
          <w:color w:val="auto"/>
        </w:rPr>
        <w:t xml:space="preserve">The undersigned registrant hereby undertakes that, for purposes of determining any liability under the Securities Act of 1933, each filing of the registrant’s annual report pursuant to Section 13(a) or Section 15(d) of the Securities Exchange Act of 1934 (and, where applicable, each filing of an employee benefit plan’s annual report pursuant to Section 15(d) of the Securities Exchange Act of 1934) that is incorporated by reference in the registration statement shall be deemed to be a new registration statement relating to the securities offered therein, and the offering of such securities at that time shall be deemed to be the initial </w:t>
      </w:r>
      <w:r>
        <w:rPr>
          <w:rFonts w:ascii="Arial" w:cs="Arial" w:eastAsia="Arial" w:hAnsi="Arial"/>
          <w:sz w:val="18"/>
          <w:szCs w:val="18"/>
          <w:i w:val="1"/>
          <w:iCs w:val="1"/>
          <w:color w:val="auto"/>
        </w:rPr>
        <w:t>bona fide</w:t>
      </w:r>
      <w:r>
        <w:rPr>
          <w:rFonts w:ascii="Arial" w:cs="Arial" w:eastAsia="Arial" w:hAnsi="Arial"/>
          <w:sz w:val="18"/>
          <w:szCs w:val="18"/>
          <w:color w:val="auto"/>
        </w:rPr>
        <w:t xml:space="preserve"> offering thereof.</w:t>
      </w:r>
    </w:p>
    <w:p>
      <w:pPr>
        <w:spacing w:after="0" w:line="188" w:lineRule="exact"/>
        <w:rPr>
          <w:sz w:val="20"/>
          <w:szCs w:val="20"/>
          <w:color w:val="auto"/>
        </w:rPr>
      </w:pPr>
    </w:p>
    <w:p>
      <w:pPr>
        <w:ind w:left="4" w:right="200" w:hanging="4"/>
        <w:spacing w:after="0" w:line="271" w:lineRule="auto"/>
        <w:tabs>
          <w:tab w:leader="none" w:pos="259" w:val="left"/>
        </w:tabs>
        <w:numPr>
          <w:ilvl w:val="0"/>
          <w:numId w:val="44"/>
        </w:numPr>
        <w:rPr>
          <w:rFonts w:ascii="Arial" w:cs="Arial" w:eastAsia="Arial" w:hAnsi="Arial"/>
          <w:sz w:val="17"/>
          <w:szCs w:val="17"/>
          <w:color w:val="auto"/>
        </w:rPr>
      </w:pPr>
      <w:r>
        <w:rPr>
          <w:rFonts w:ascii="Arial" w:cs="Arial" w:eastAsia="Arial" w:hAnsi="Arial"/>
          <w:sz w:val="17"/>
          <w:szCs w:val="17"/>
          <w:color w:val="auto"/>
        </w:rPr>
        <w:t>Insofar as indemnification for liabilities arising under the Securities Act of 1933 may be permitted to directors, officers and controlling persons of the registrant pursuant to the foregoing provisions, or otherwise, the registrant has been advised that in the opinion of the Securities and Exchange Commission such indemnification is against public policy as expressed in the Securities Act and is, therefore, unenforceable. In the event that a claim for indemnification against such liabilities (other than the payment by the registrant of expenses incurred or paid by a director, officer or controlling person of the registrant in the successful defense of any action, suit or proceeding) is asserted by such director, officer or controlling person in connection with the securities being registered, the registrant will, unless in the opinion of its counsel the matter has been settled by controlling precedent, submit to a court of appropriate jurisdiction the question whether such indemnification by it is against public policy as expressed in the Securities Act and will be governed by the final adjudication of such issue.</w:t>
      </w:r>
    </w:p>
    <w:p>
      <w:pPr>
        <w:spacing w:after="0" w:line="178" w:lineRule="exact"/>
        <w:rPr>
          <w:sz w:val="20"/>
          <w:szCs w:val="20"/>
          <w:color w:val="auto"/>
        </w:rPr>
      </w:pPr>
    </w:p>
    <w:p>
      <w:pPr>
        <w:ind w:left="224" w:hanging="224"/>
        <w:spacing w:after="0"/>
        <w:tabs>
          <w:tab w:leader="none" w:pos="224" w:val="left"/>
        </w:tabs>
        <w:numPr>
          <w:ilvl w:val="0"/>
          <w:numId w:val="45"/>
        </w:numPr>
        <w:rPr>
          <w:rFonts w:ascii="Arial" w:cs="Arial" w:eastAsia="Arial" w:hAnsi="Arial"/>
          <w:sz w:val="16"/>
          <w:szCs w:val="16"/>
          <w:color w:val="auto"/>
        </w:rPr>
      </w:pPr>
      <w:r>
        <w:rPr>
          <w:rFonts w:ascii="Arial" w:cs="Arial" w:eastAsia="Arial" w:hAnsi="Arial"/>
          <w:sz w:val="16"/>
          <w:szCs w:val="16"/>
          <w:color w:val="auto"/>
        </w:rPr>
        <w:t>The undersigned registrant hereby undertakes to file an application for the purpose of determining the eligibility of the trustee to act under subsection</w:t>
      </w:r>
    </w:p>
    <w:p>
      <w:pPr>
        <w:spacing w:after="0" w:line="46" w:lineRule="exact"/>
        <w:rPr>
          <w:rFonts w:ascii="Arial" w:cs="Arial" w:eastAsia="Arial" w:hAnsi="Arial"/>
          <w:sz w:val="16"/>
          <w:szCs w:val="16"/>
          <w:color w:val="auto"/>
        </w:rPr>
      </w:pPr>
    </w:p>
    <w:p>
      <w:pPr>
        <w:ind w:left="4" w:right="120" w:hanging="4"/>
        <w:spacing w:after="0" w:line="260" w:lineRule="auto"/>
        <w:tabs>
          <w:tab w:leader="none" w:pos="249" w:val="left"/>
        </w:tabs>
        <w:numPr>
          <w:ilvl w:val="0"/>
          <w:numId w:val="46"/>
        </w:numPr>
        <w:rPr>
          <w:rFonts w:ascii="Arial" w:cs="Arial" w:eastAsia="Arial" w:hAnsi="Arial"/>
          <w:sz w:val="18"/>
          <w:szCs w:val="18"/>
          <w:color w:val="auto"/>
        </w:rPr>
      </w:pPr>
      <w:r>
        <w:rPr>
          <w:rFonts w:ascii="Arial" w:cs="Arial" w:eastAsia="Arial" w:hAnsi="Arial"/>
          <w:sz w:val="18"/>
          <w:szCs w:val="18"/>
          <w:color w:val="auto"/>
        </w:rPr>
        <w:t>of Section 310 of the Trust Indenture Act (the “Act”) in accordance with the rules and regulations prescribed by the SEC under section 305(b)(2) of the Act.</w:t>
      </w:r>
    </w:p>
    <w:p>
      <w:pPr>
        <w:spacing w:after="0" w:line="118" w:lineRule="exact"/>
        <w:rPr>
          <w:sz w:val="20"/>
          <w:szCs w:val="20"/>
          <w:color w:val="auto"/>
        </w:rPr>
      </w:pPr>
    </w:p>
    <w:p>
      <w:pPr>
        <w:jc w:val="center"/>
        <w:ind w:right="-23"/>
        <w:spacing w:after="0"/>
        <w:rPr>
          <w:sz w:val="20"/>
          <w:szCs w:val="20"/>
          <w:color w:val="auto"/>
        </w:rPr>
      </w:pPr>
      <w:r>
        <w:rPr>
          <w:rFonts w:ascii="Arial" w:cs="Arial" w:eastAsia="Arial" w:hAnsi="Arial"/>
          <w:sz w:val="18"/>
          <w:szCs w:val="18"/>
          <w:color w:val="auto"/>
        </w:rPr>
        <w:t>II-5</w:t>
      </w:r>
    </w:p>
    <w:p>
      <w:pPr>
        <w:sectPr>
          <w:pgSz w:w="11900" w:h="16838" w:orient="portrait"/>
          <w:cols w:equalWidth="0" w:num="1">
            <w:col w:w="10984"/>
          </w:cols>
          <w:pgMar w:left="436" w:top="274" w:right="479" w:bottom="1440" w:gutter="0" w:footer="0" w:header="0"/>
        </w:sectPr>
      </w:pPr>
    </w:p>
    <w:bookmarkStart w:id="68" w:name="page69"/>
    <w:bookmarkEnd w:id="68"/>
    <w:p>
      <w:pPr>
        <w:jc w:val="center"/>
        <w:ind w:right="-159"/>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101" name="Picture 1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
                    <pic:cNvPicPr>
                      <a:picLocks noChangeAspect="1" noChangeArrowheads="1"/>
                    </pic:cNvPicPr>
                  </pic:nvPicPr>
                  <pic:blipFill>
                    <a:blip r:embed="rId123">
                      <a:extLst>
                        <a:ext uri="{28A0092B-C50C-407E-A947-70E740481C1C}"/>
                      </a:extLst>
                    </a:blip>
                    <a:srcRect/>
                    <a:stretch>
                      <a:fillRect/>
                    </a:stretch>
                  </pic:blipFill>
                  <pic:spPr bwMode="auto">
                    <a:xfrm>
                      <a:off x="0" y="0"/>
                      <a:ext cx="7149465" cy="26035"/>
                    </a:xfrm>
                    <a:prstGeom prst="rect">
                      <a:avLst/>
                    </a:prstGeom>
                    <a:noFill/>
                  </pic:spPr>
                </pic:pic>
              </a:graphicData>
            </a:graphic>
          </wp:anchor>
        </w:drawing>
        <w:t>SIGNATURES</w:t>
      </w:r>
    </w:p>
    <w:p>
      <w:pPr>
        <w:spacing w:after="0" w:line="229" w:lineRule="exact"/>
        <w:rPr>
          <w:sz w:val="20"/>
          <w:szCs w:val="20"/>
          <w:color w:val="auto"/>
        </w:rPr>
      </w:pPr>
    </w:p>
    <w:p>
      <w:pPr>
        <w:jc w:val="both"/>
        <w:spacing w:after="0" w:line="311" w:lineRule="auto"/>
        <w:rPr>
          <w:sz w:val="20"/>
          <w:szCs w:val="20"/>
          <w:color w:val="auto"/>
        </w:rPr>
      </w:pPr>
      <w:r>
        <w:rPr>
          <w:rFonts w:ascii="Arial" w:cs="Arial" w:eastAsia="Arial" w:hAnsi="Arial"/>
          <w:sz w:val="16"/>
          <w:szCs w:val="16"/>
          <w:color w:val="auto"/>
        </w:rPr>
        <w:t>Pursuant to the requirements of the Securities Act of 1933, as amended, the registrant certifies that it has reasonable grounds to believe that it meets all of the requirements for filing on Form S-3 and has duly caused this registration statement to be signed on its behalf by the undersigned, thereunto duly authorized, in the Unincorporated Community of Bala Cynwyd, Commonwealth of Pennsylvania, on August 14, 2020.</w:t>
      </w:r>
    </w:p>
    <w:p>
      <w:pPr>
        <w:spacing w:after="0" w:line="176" w:lineRule="exact"/>
        <w:rPr>
          <w:sz w:val="20"/>
          <w:szCs w:val="20"/>
          <w:color w:val="auto"/>
        </w:rPr>
      </w:pPr>
    </w:p>
    <w:p>
      <w:pPr>
        <w:ind w:left="6620"/>
        <w:spacing w:after="0"/>
        <w:rPr>
          <w:sz w:val="20"/>
          <w:szCs w:val="20"/>
          <w:color w:val="auto"/>
        </w:rPr>
      </w:pPr>
      <w:r>
        <w:rPr>
          <w:rFonts w:ascii="Arial" w:cs="Arial" w:eastAsia="Arial" w:hAnsi="Arial"/>
          <w:sz w:val="18"/>
          <w:szCs w:val="18"/>
          <w:color w:val="auto"/>
        </w:rPr>
        <w:t>Larimar Therapeutics, Inc.</w:t>
      </w:r>
    </w:p>
    <w:p>
      <w:pPr>
        <w:spacing w:after="0" w:line="266" w:lineRule="exact"/>
        <w:rPr>
          <w:sz w:val="20"/>
          <w:szCs w:val="20"/>
          <w:color w:val="auto"/>
        </w:rPr>
      </w:pPr>
    </w:p>
    <w:p>
      <w:pPr>
        <w:ind w:left="6620"/>
        <w:spacing w:after="0"/>
        <w:tabs>
          <w:tab w:leader="none" w:pos="7180" w:val="left"/>
        </w:tabs>
        <w:rPr>
          <w:sz w:val="20"/>
          <w:szCs w:val="20"/>
          <w:color w:val="auto"/>
        </w:rPr>
      </w:pPr>
      <w:r>
        <w:rPr>
          <w:rFonts w:ascii="Arial" w:cs="Arial" w:eastAsia="Arial" w:hAnsi="Arial"/>
          <w:sz w:val="18"/>
          <w:szCs w:val="18"/>
          <w:color w:val="auto"/>
        </w:rPr>
        <w:t>By:</w:t>
      </w:r>
      <w:r>
        <w:rPr>
          <w:sz w:val="20"/>
          <w:szCs w:val="20"/>
          <w:color w:val="auto"/>
        </w:rPr>
        <w:tab/>
      </w:r>
      <w:r>
        <w:rPr>
          <w:rFonts w:ascii="Arial" w:cs="Arial" w:eastAsia="Arial" w:hAnsi="Arial"/>
          <w:sz w:val="18"/>
          <w:szCs w:val="18"/>
          <w:color w:val="auto"/>
        </w:rPr>
        <w:t>/s/ Carole Ben-Maimon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4566285</wp:posOffset>
            </wp:positionH>
            <wp:positionV relativeFrom="paragraph">
              <wp:posOffset>14605</wp:posOffset>
            </wp:positionV>
            <wp:extent cx="2425700" cy="8255"/>
            <wp:wrapNone/>
            <wp:docPr id="102" name="Picture 1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
                    <pic:cNvPicPr>
                      <a:picLocks noChangeAspect="1" noChangeArrowheads="1"/>
                    </pic:cNvPicPr>
                  </pic:nvPicPr>
                  <pic:blipFill>
                    <a:blip r:embed="rId124">
                      <a:extLst>
                        <a:ext uri="{28A0092B-C50C-407E-A947-70E740481C1C}"/>
                      </a:extLst>
                    </a:blip>
                    <a:srcRect/>
                    <a:stretch>
                      <a:fillRect/>
                    </a:stretch>
                  </pic:blipFill>
                  <pic:spPr bwMode="auto">
                    <a:xfrm>
                      <a:off x="0" y="0"/>
                      <a:ext cx="2425700" cy="8255"/>
                    </a:xfrm>
                    <a:prstGeom prst="rect">
                      <a:avLst/>
                    </a:prstGeom>
                    <a:noFill/>
                  </pic:spPr>
                </pic:pic>
              </a:graphicData>
            </a:graphic>
          </wp:anchor>
        </w:drawing>
      </w:r>
    </w:p>
    <w:p>
      <w:pPr>
        <w:spacing w:after="0" w:line="16" w:lineRule="exact"/>
        <w:rPr>
          <w:sz w:val="20"/>
          <w:szCs w:val="20"/>
          <w:color w:val="auto"/>
        </w:rPr>
      </w:pPr>
    </w:p>
    <w:p>
      <w:pPr>
        <w:ind w:left="6620"/>
        <w:spacing w:after="0"/>
        <w:rPr>
          <w:sz w:val="20"/>
          <w:szCs w:val="20"/>
          <w:color w:val="auto"/>
        </w:rPr>
      </w:pPr>
      <w:r>
        <w:rPr>
          <w:rFonts w:ascii="Arial" w:cs="Arial" w:eastAsia="Arial" w:hAnsi="Arial"/>
          <w:sz w:val="18"/>
          <w:szCs w:val="18"/>
          <w:color w:val="auto"/>
        </w:rPr>
        <w:t>Name: Carole Ben-Maimon</w:t>
      </w:r>
    </w:p>
    <w:p>
      <w:pPr>
        <w:spacing w:after="0" w:line="23" w:lineRule="exact"/>
        <w:rPr>
          <w:sz w:val="20"/>
          <w:szCs w:val="20"/>
          <w:color w:val="auto"/>
        </w:rPr>
      </w:pPr>
    </w:p>
    <w:p>
      <w:pPr>
        <w:ind w:left="6620"/>
        <w:spacing w:after="0"/>
        <w:tabs>
          <w:tab w:leader="none" w:pos="7180" w:val="left"/>
        </w:tabs>
        <w:rPr>
          <w:sz w:val="20"/>
          <w:szCs w:val="20"/>
          <w:color w:val="auto"/>
        </w:rPr>
      </w:pPr>
      <w:r>
        <w:rPr>
          <w:rFonts w:ascii="Arial" w:cs="Arial" w:eastAsia="Arial" w:hAnsi="Arial"/>
          <w:sz w:val="18"/>
          <w:szCs w:val="18"/>
          <w:color w:val="auto"/>
        </w:rPr>
        <w:t>Title:</w:t>
        <w:tab/>
        <w:t>President and Chief Executive Officer</w:t>
      </w:r>
    </w:p>
    <w:p>
      <w:pPr>
        <w:spacing w:after="0" w:line="143" w:lineRule="exact"/>
        <w:rPr>
          <w:sz w:val="20"/>
          <w:szCs w:val="20"/>
          <w:color w:val="auto"/>
        </w:rPr>
      </w:pPr>
    </w:p>
    <w:p>
      <w:pPr>
        <w:jc w:val="center"/>
        <w:ind w:right="-159"/>
        <w:spacing w:after="0"/>
        <w:rPr>
          <w:sz w:val="20"/>
          <w:szCs w:val="20"/>
          <w:color w:val="auto"/>
        </w:rPr>
      </w:pPr>
      <w:r>
        <w:rPr>
          <w:rFonts w:ascii="Arial" w:cs="Arial" w:eastAsia="Arial" w:hAnsi="Arial"/>
          <w:sz w:val="18"/>
          <w:szCs w:val="18"/>
          <w:color w:val="auto"/>
        </w:rPr>
        <w:t>II-6</w:t>
      </w:r>
    </w:p>
    <w:p>
      <w:pPr>
        <w:sectPr>
          <w:pgSz w:w="11900" w:h="16838" w:orient="portrait"/>
          <w:cols w:equalWidth="0" w:num="1">
            <w:col w:w="10860"/>
          </w:cols>
          <w:pgMar w:left="440" w:top="270" w:right="599" w:bottom="1440" w:gutter="0" w:footer="0" w:header="0"/>
        </w:sectPr>
      </w:pPr>
    </w:p>
    <w:bookmarkStart w:id="69" w:name="page70"/>
    <w:bookmarkEnd w:id="69"/>
    <w:p>
      <w:pPr>
        <w:jc w:val="cente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103" name="Picture 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
                    <pic:cNvPicPr>
                      <a:picLocks noChangeAspect="1" noChangeArrowheads="1"/>
                    </pic:cNvPicPr>
                  </pic:nvPicPr>
                  <pic:blipFill>
                    <a:blip r:embed="rId125">
                      <a:extLst>
                        <a:ext uri="{28A0092B-C50C-407E-A947-70E740481C1C}"/>
                      </a:extLst>
                    </a:blip>
                    <a:srcRect/>
                    <a:stretch>
                      <a:fillRect/>
                    </a:stretch>
                  </pic:blipFill>
                  <pic:spPr bwMode="auto">
                    <a:xfrm>
                      <a:off x="0" y="0"/>
                      <a:ext cx="7149465" cy="26035"/>
                    </a:xfrm>
                    <a:prstGeom prst="rect">
                      <a:avLst/>
                    </a:prstGeom>
                    <a:noFill/>
                  </pic:spPr>
                </pic:pic>
              </a:graphicData>
            </a:graphic>
          </wp:anchor>
        </w:drawing>
        <w:t>POWER OF ATTORNEY</w:t>
      </w:r>
    </w:p>
    <w:p>
      <w:pPr>
        <w:spacing w:after="0" w:line="229" w:lineRule="exact"/>
        <w:rPr>
          <w:sz w:val="20"/>
          <w:szCs w:val="20"/>
          <w:color w:val="auto"/>
        </w:rPr>
      </w:pPr>
    </w:p>
    <w:p>
      <w:pPr>
        <w:spacing w:after="0" w:line="272" w:lineRule="auto"/>
        <w:rPr>
          <w:sz w:val="20"/>
          <w:szCs w:val="20"/>
          <w:color w:val="auto"/>
        </w:rPr>
      </w:pPr>
      <w:r>
        <w:rPr>
          <w:rFonts w:ascii="Arial" w:cs="Arial" w:eastAsia="Arial" w:hAnsi="Arial"/>
          <w:sz w:val="17"/>
          <w:szCs w:val="17"/>
          <w:color w:val="auto"/>
        </w:rPr>
        <w:t>We, the undersigned officers and directors of Larimar Therapeutics, Inc., hereby severally constitute and appoint Carole Ben-Maimon and Michael Celano, our true and lawful attorney-in-fact and agent, with full power of substitution and resubstitution in her or him for her or him and in her or his name, place and stead, and in any and all capacities, to sign any and all amendments (including post-effective amendments) to this registration statement, and to file the same, with all exhibits thereto and other documents in connection therewith, with the Securities and Exchange Commission, granting unto said attorney-in-fact and agent full power and authority to do and perform each and every act and thing requisite or necessary to be done in and about the premises, as full to all intents and purposes as she or he might or could do in person, hereby ratifying and confirming all that said attorney-in-fact and agent, or her or his substitute or substitutes, may lawfully do or cause to be done by virtue hereof.</w:t>
      </w:r>
    </w:p>
    <w:p>
      <w:pPr>
        <w:spacing w:after="0" w:line="177" w:lineRule="exact"/>
        <w:rPr>
          <w:sz w:val="20"/>
          <w:szCs w:val="20"/>
          <w:color w:val="auto"/>
        </w:rPr>
      </w:pPr>
    </w:p>
    <w:p>
      <w:pPr>
        <w:ind w:right="120"/>
        <w:spacing w:after="0" w:line="277" w:lineRule="auto"/>
        <w:rPr>
          <w:sz w:val="20"/>
          <w:szCs w:val="20"/>
          <w:color w:val="auto"/>
        </w:rPr>
      </w:pPr>
      <w:r>
        <w:rPr>
          <w:rFonts w:ascii="Arial" w:cs="Arial" w:eastAsia="Arial" w:hAnsi="Arial"/>
          <w:sz w:val="18"/>
          <w:szCs w:val="18"/>
          <w:color w:val="auto"/>
        </w:rPr>
        <w:t>Pursuant to the requirements of the Securities Act of 1933, this registration statement has been signed by the following persons in the capacities and on the dates indicated.</w:t>
      </w:r>
    </w:p>
    <w:p>
      <w:pPr>
        <w:spacing w:after="0" w:line="189"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1800" w:type="dxa"/>
            <w:vAlign w:val="bottom"/>
          </w:tcPr>
          <w:p>
            <w:pPr>
              <w:spacing w:after="0"/>
              <w:rPr>
                <w:sz w:val="14"/>
                <w:szCs w:val="14"/>
                <w:color w:val="auto"/>
              </w:rPr>
            </w:pPr>
          </w:p>
        </w:tc>
        <w:tc>
          <w:tcPr>
            <w:tcW w:w="60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89"/>
              </w:rPr>
              <w:t>Signature</w:t>
            </w:r>
          </w:p>
        </w:tc>
        <w:tc>
          <w:tcPr>
            <w:tcW w:w="1780" w:type="dxa"/>
            <w:vAlign w:val="bottom"/>
          </w:tcPr>
          <w:p>
            <w:pPr>
              <w:spacing w:after="0"/>
              <w:rPr>
                <w:sz w:val="14"/>
                <w:szCs w:val="14"/>
                <w:color w:val="auto"/>
              </w:rPr>
            </w:pPr>
          </w:p>
        </w:tc>
        <w:tc>
          <w:tcPr>
            <w:tcW w:w="2400" w:type="dxa"/>
            <w:vAlign w:val="bottom"/>
          </w:tcPr>
          <w:p>
            <w:pPr>
              <w:spacing w:after="0"/>
              <w:rPr>
                <w:sz w:val="14"/>
                <w:szCs w:val="14"/>
                <w:color w:val="auto"/>
              </w:rPr>
            </w:pPr>
          </w:p>
        </w:tc>
        <w:tc>
          <w:tcPr>
            <w:tcW w:w="30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7"/>
              </w:rPr>
              <w:t>Title</w:t>
            </w:r>
          </w:p>
        </w:tc>
        <w:tc>
          <w:tcPr>
            <w:tcW w:w="212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30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2"/>
              </w:rPr>
              <w:t>Date</w:t>
            </w:r>
          </w:p>
        </w:tc>
        <w:tc>
          <w:tcPr>
            <w:tcW w:w="460" w:type="dxa"/>
            <w:vAlign w:val="bottom"/>
          </w:tcPr>
          <w:p>
            <w:pPr>
              <w:spacing w:after="0"/>
              <w:rPr>
                <w:sz w:val="14"/>
                <w:szCs w:val="14"/>
                <w:color w:val="auto"/>
              </w:rPr>
            </w:pPr>
          </w:p>
        </w:tc>
      </w:tr>
      <w:tr>
        <w:trPr>
          <w:trHeight w:val="426"/>
        </w:trPr>
        <w:tc>
          <w:tcPr>
            <w:tcW w:w="4180" w:type="dxa"/>
            <w:vAlign w:val="bottom"/>
            <w:tcBorders>
              <w:bottom w:val="single" w:sz="8" w:color="auto"/>
            </w:tcBorders>
            <w:gridSpan w:val="3"/>
          </w:tcPr>
          <w:p>
            <w:pPr>
              <w:jc w:val="center"/>
              <w:spacing w:after="0"/>
              <w:rPr>
                <w:sz w:val="20"/>
                <w:szCs w:val="20"/>
                <w:color w:val="auto"/>
              </w:rPr>
            </w:pPr>
            <w:r>
              <w:rPr>
                <w:rFonts w:ascii="Arial" w:cs="Arial" w:eastAsia="Arial" w:hAnsi="Arial"/>
                <w:sz w:val="18"/>
                <w:szCs w:val="18"/>
                <w:color w:val="auto"/>
                <w:w w:val="92"/>
              </w:rPr>
              <w:t>/s/ Carole Ben-Maimon</w:t>
            </w:r>
          </w:p>
        </w:tc>
        <w:tc>
          <w:tcPr>
            <w:tcW w:w="4820" w:type="dxa"/>
            <w:vAlign w:val="bottom"/>
            <w:gridSpan w:val="3"/>
          </w:tcPr>
          <w:p>
            <w:pPr>
              <w:jc w:val="center"/>
              <w:ind w:left="170"/>
              <w:spacing w:after="0"/>
              <w:rPr>
                <w:sz w:val="20"/>
                <w:szCs w:val="20"/>
                <w:color w:val="auto"/>
              </w:rPr>
            </w:pPr>
            <w:r>
              <w:rPr>
                <w:rFonts w:ascii="Arial" w:cs="Arial" w:eastAsia="Arial" w:hAnsi="Arial"/>
                <w:sz w:val="18"/>
                <w:szCs w:val="18"/>
                <w:color w:val="auto"/>
                <w:w w:val="92"/>
              </w:rPr>
              <w:t>President, Chief Executive Officer and Director</w:t>
            </w:r>
          </w:p>
        </w:tc>
        <w:tc>
          <w:tcPr>
            <w:tcW w:w="1740" w:type="dxa"/>
            <w:vAlign w:val="bottom"/>
            <w:gridSpan w:val="3"/>
          </w:tcPr>
          <w:p>
            <w:pPr>
              <w:jc w:val="center"/>
              <w:ind w:left="450"/>
              <w:spacing w:after="0"/>
              <w:rPr>
                <w:sz w:val="20"/>
                <w:szCs w:val="20"/>
                <w:color w:val="auto"/>
              </w:rPr>
            </w:pPr>
            <w:r>
              <w:rPr>
                <w:rFonts w:ascii="Arial" w:cs="Arial" w:eastAsia="Arial" w:hAnsi="Arial"/>
                <w:sz w:val="18"/>
                <w:szCs w:val="18"/>
                <w:color w:val="auto"/>
                <w:w w:val="91"/>
              </w:rPr>
              <w:t>August 14, 2020</w:t>
            </w:r>
          </w:p>
        </w:tc>
      </w:tr>
      <w:tr>
        <w:trPr>
          <w:trHeight w:val="224"/>
        </w:trPr>
        <w:tc>
          <w:tcPr>
            <w:tcW w:w="4180" w:type="dxa"/>
            <w:vAlign w:val="bottom"/>
            <w:gridSpan w:val="3"/>
          </w:tcPr>
          <w:p>
            <w:pPr>
              <w:jc w:val="center"/>
              <w:spacing w:after="0"/>
              <w:rPr>
                <w:sz w:val="20"/>
                <w:szCs w:val="20"/>
                <w:color w:val="auto"/>
              </w:rPr>
            </w:pPr>
            <w:r>
              <w:rPr>
                <w:rFonts w:ascii="Arial" w:cs="Arial" w:eastAsia="Arial" w:hAnsi="Arial"/>
                <w:sz w:val="18"/>
                <w:szCs w:val="18"/>
                <w:color w:val="auto"/>
                <w:w w:val="93"/>
              </w:rPr>
              <w:t>Carole Ben-Maimon</w:t>
            </w:r>
          </w:p>
        </w:tc>
        <w:tc>
          <w:tcPr>
            <w:tcW w:w="4820" w:type="dxa"/>
            <w:vAlign w:val="bottom"/>
            <w:gridSpan w:val="3"/>
          </w:tcPr>
          <w:p>
            <w:pPr>
              <w:jc w:val="center"/>
              <w:ind w:left="190"/>
              <w:spacing w:after="0"/>
              <w:rPr>
                <w:sz w:val="20"/>
                <w:szCs w:val="20"/>
                <w:color w:val="auto"/>
              </w:rPr>
            </w:pPr>
            <w:r>
              <w:rPr>
                <w:rFonts w:ascii="Arial" w:cs="Arial" w:eastAsia="Arial" w:hAnsi="Arial"/>
                <w:sz w:val="18"/>
                <w:szCs w:val="18"/>
                <w:color w:val="auto"/>
                <w:w w:val="94"/>
              </w:rPr>
              <w:t>(principal executive officer)</w:t>
            </w:r>
          </w:p>
        </w:tc>
        <w:tc>
          <w:tcPr>
            <w:tcW w:w="98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460" w:type="dxa"/>
            <w:vAlign w:val="bottom"/>
          </w:tcPr>
          <w:p>
            <w:pPr>
              <w:spacing w:after="0"/>
              <w:rPr>
                <w:sz w:val="19"/>
                <w:szCs w:val="19"/>
                <w:color w:val="auto"/>
              </w:rPr>
            </w:pPr>
          </w:p>
        </w:tc>
      </w:tr>
      <w:tr>
        <w:trPr>
          <w:trHeight w:val="431"/>
        </w:trPr>
        <w:tc>
          <w:tcPr>
            <w:tcW w:w="4180" w:type="dxa"/>
            <w:vAlign w:val="bottom"/>
            <w:tcBorders>
              <w:bottom w:val="single" w:sz="8" w:color="auto"/>
            </w:tcBorders>
            <w:gridSpan w:val="3"/>
          </w:tcPr>
          <w:p>
            <w:pPr>
              <w:jc w:val="center"/>
              <w:ind w:right="20"/>
              <w:spacing w:after="0"/>
              <w:rPr>
                <w:sz w:val="20"/>
                <w:szCs w:val="20"/>
                <w:color w:val="auto"/>
              </w:rPr>
            </w:pPr>
            <w:r>
              <w:rPr>
                <w:rFonts w:ascii="Arial" w:cs="Arial" w:eastAsia="Arial" w:hAnsi="Arial"/>
                <w:sz w:val="18"/>
                <w:szCs w:val="18"/>
                <w:color w:val="auto"/>
                <w:w w:val="91"/>
              </w:rPr>
              <w:t>/s/ Michael Celano</w:t>
            </w:r>
          </w:p>
        </w:tc>
        <w:tc>
          <w:tcPr>
            <w:tcW w:w="4820" w:type="dxa"/>
            <w:vAlign w:val="bottom"/>
            <w:gridSpan w:val="3"/>
          </w:tcPr>
          <w:p>
            <w:pPr>
              <w:jc w:val="center"/>
              <w:ind w:left="170"/>
              <w:spacing w:after="0"/>
              <w:rPr>
                <w:sz w:val="20"/>
                <w:szCs w:val="20"/>
                <w:color w:val="auto"/>
              </w:rPr>
            </w:pPr>
            <w:r>
              <w:rPr>
                <w:rFonts w:ascii="Arial" w:cs="Arial" w:eastAsia="Arial" w:hAnsi="Arial"/>
                <w:sz w:val="18"/>
                <w:szCs w:val="18"/>
                <w:color w:val="auto"/>
                <w:w w:val="94"/>
              </w:rPr>
              <w:t>Chief Financial Officer</w:t>
            </w:r>
          </w:p>
        </w:tc>
        <w:tc>
          <w:tcPr>
            <w:tcW w:w="1740" w:type="dxa"/>
            <w:vAlign w:val="bottom"/>
            <w:gridSpan w:val="3"/>
          </w:tcPr>
          <w:p>
            <w:pPr>
              <w:jc w:val="center"/>
              <w:ind w:left="450"/>
              <w:spacing w:after="0"/>
              <w:rPr>
                <w:sz w:val="20"/>
                <w:szCs w:val="20"/>
                <w:color w:val="auto"/>
              </w:rPr>
            </w:pPr>
            <w:r>
              <w:rPr>
                <w:rFonts w:ascii="Arial" w:cs="Arial" w:eastAsia="Arial" w:hAnsi="Arial"/>
                <w:sz w:val="18"/>
                <w:szCs w:val="18"/>
                <w:color w:val="auto"/>
                <w:w w:val="91"/>
              </w:rPr>
              <w:t>August 14, 2020</w:t>
            </w:r>
          </w:p>
        </w:tc>
      </w:tr>
      <w:tr>
        <w:trPr>
          <w:trHeight w:val="224"/>
        </w:trPr>
        <w:tc>
          <w:tcPr>
            <w:tcW w:w="4180" w:type="dxa"/>
            <w:vAlign w:val="bottom"/>
            <w:gridSpan w:val="3"/>
          </w:tcPr>
          <w:p>
            <w:pPr>
              <w:jc w:val="center"/>
              <w:spacing w:after="0"/>
              <w:rPr>
                <w:sz w:val="20"/>
                <w:szCs w:val="20"/>
                <w:color w:val="auto"/>
              </w:rPr>
            </w:pPr>
            <w:r>
              <w:rPr>
                <w:rFonts w:ascii="Arial" w:cs="Arial" w:eastAsia="Arial" w:hAnsi="Arial"/>
                <w:sz w:val="18"/>
                <w:szCs w:val="18"/>
                <w:color w:val="auto"/>
                <w:w w:val="91"/>
              </w:rPr>
              <w:t>Michael Celano</w:t>
            </w:r>
          </w:p>
        </w:tc>
        <w:tc>
          <w:tcPr>
            <w:tcW w:w="4820" w:type="dxa"/>
            <w:vAlign w:val="bottom"/>
            <w:gridSpan w:val="3"/>
          </w:tcPr>
          <w:p>
            <w:pPr>
              <w:jc w:val="center"/>
              <w:ind w:left="190"/>
              <w:spacing w:after="0"/>
              <w:rPr>
                <w:sz w:val="20"/>
                <w:szCs w:val="20"/>
                <w:color w:val="auto"/>
              </w:rPr>
            </w:pPr>
            <w:r>
              <w:rPr>
                <w:rFonts w:ascii="Arial" w:cs="Arial" w:eastAsia="Arial" w:hAnsi="Arial"/>
                <w:sz w:val="18"/>
                <w:szCs w:val="18"/>
                <w:color w:val="auto"/>
                <w:w w:val="93"/>
              </w:rPr>
              <w:t>(principal financial and accounting officer)</w:t>
            </w:r>
          </w:p>
        </w:tc>
        <w:tc>
          <w:tcPr>
            <w:tcW w:w="98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460" w:type="dxa"/>
            <w:vAlign w:val="bottom"/>
          </w:tcPr>
          <w:p>
            <w:pPr>
              <w:spacing w:after="0"/>
              <w:rPr>
                <w:sz w:val="19"/>
                <w:szCs w:val="19"/>
                <w:color w:val="auto"/>
              </w:rPr>
            </w:pPr>
          </w:p>
        </w:tc>
      </w:tr>
      <w:tr>
        <w:trPr>
          <w:trHeight w:val="431"/>
        </w:trPr>
        <w:tc>
          <w:tcPr>
            <w:tcW w:w="4180" w:type="dxa"/>
            <w:vAlign w:val="bottom"/>
            <w:tcBorders>
              <w:bottom w:val="single" w:sz="8" w:color="auto"/>
            </w:tcBorders>
            <w:gridSpan w:val="3"/>
          </w:tcPr>
          <w:p>
            <w:pPr>
              <w:jc w:val="center"/>
              <w:spacing w:after="0"/>
              <w:rPr>
                <w:sz w:val="20"/>
                <w:szCs w:val="20"/>
                <w:color w:val="auto"/>
              </w:rPr>
            </w:pPr>
            <w:r>
              <w:rPr>
                <w:rFonts w:ascii="Arial" w:cs="Arial" w:eastAsia="Arial" w:hAnsi="Arial"/>
                <w:sz w:val="18"/>
                <w:szCs w:val="18"/>
                <w:color w:val="auto"/>
                <w:w w:val="88"/>
              </w:rPr>
              <w:t>/s/ Joseph Truitt</w:t>
            </w:r>
          </w:p>
        </w:tc>
        <w:tc>
          <w:tcPr>
            <w:tcW w:w="4820" w:type="dxa"/>
            <w:vAlign w:val="bottom"/>
            <w:gridSpan w:val="3"/>
          </w:tcPr>
          <w:p>
            <w:pPr>
              <w:jc w:val="center"/>
              <w:ind w:left="190"/>
              <w:spacing w:after="0"/>
              <w:rPr>
                <w:sz w:val="20"/>
                <w:szCs w:val="20"/>
                <w:color w:val="auto"/>
              </w:rPr>
            </w:pPr>
            <w:r>
              <w:rPr>
                <w:rFonts w:ascii="Arial" w:cs="Arial" w:eastAsia="Arial" w:hAnsi="Arial"/>
                <w:sz w:val="18"/>
                <w:szCs w:val="18"/>
                <w:color w:val="auto"/>
                <w:w w:val="91"/>
              </w:rPr>
              <w:t>Chairman, Board of Directors</w:t>
            </w:r>
          </w:p>
        </w:tc>
        <w:tc>
          <w:tcPr>
            <w:tcW w:w="1740" w:type="dxa"/>
            <w:vAlign w:val="bottom"/>
            <w:gridSpan w:val="3"/>
          </w:tcPr>
          <w:p>
            <w:pPr>
              <w:jc w:val="center"/>
              <w:ind w:left="450"/>
              <w:spacing w:after="0"/>
              <w:rPr>
                <w:sz w:val="20"/>
                <w:szCs w:val="20"/>
                <w:color w:val="auto"/>
              </w:rPr>
            </w:pPr>
            <w:r>
              <w:rPr>
                <w:rFonts w:ascii="Arial" w:cs="Arial" w:eastAsia="Arial" w:hAnsi="Arial"/>
                <w:sz w:val="18"/>
                <w:szCs w:val="18"/>
                <w:color w:val="auto"/>
                <w:w w:val="91"/>
              </w:rPr>
              <w:t>August 14, 2020</w:t>
            </w:r>
          </w:p>
        </w:tc>
      </w:tr>
      <w:tr>
        <w:trPr>
          <w:trHeight w:val="224"/>
        </w:trPr>
        <w:tc>
          <w:tcPr>
            <w:tcW w:w="4180" w:type="dxa"/>
            <w:vAlign w:val="bottom"/>
            <w:gridSpan w:val="3"/>
          </w:tcPr>
          <w:p>
            <w:pPr>
              <w:jc w:val="center"/>
              <w:spacing w:after="0"/>
              <w:rPr>
                <w:sz w:val="20"/>
                <w:szCs w:val="20"/>
                <w:color w:val="auto"/>
              </w:rPr>
            </w:pPr>
            <w:r>
              <w:rPr>
                <w:rFonts w:ascii="Arial" w:cs="Arial" w:eastAsia="Arial" w:hAnsi="Arial"/>
                <w:sz w:val="18"/>
                <w:szCs w:val="18"/>
                <w:color w:val="auto"/>
                <w:w w:val="90"/>
              </w:rPr>
              <w:t>Joseph Truitt</w:t>
            </w:r>
          </w:p>
        </w:tc>
        <w:tc>
          <w:tcPr>
            <w:tcW w:w="24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212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460" w:type="dxa"/>
            <w:vAlign w:val="bottom"/>
          </w:tcPr>
          <w:p>
            <w:pPr>
              <w:spacing w:after="0"/>
              <w:rPr>
                <w:sz w:val="19"/>
                <w:szCs w:val="19"/>
                <w:color w:val="auto"/>
              </w:rPr>
            </w:pPr>
          </w:p>
        </w:tc>
      </w:tr>
      <w:tr>
        <w:trPr>
          <w:trHeight w:val="431"/>
        </w:trPr>
        <w:tc>
          <w:tcPr>
            <w:tcW w:w="4180" w:type="dxa"/>
            <w:vAlign w:val="bottom"/>
            <w:tcBorders>
              <w:bottom w:val="single" w:sz="8" w:color="auto"/>
            </w:tcBorders>
            <w:gridSpan w:val="3"/>
          </w:tcPr>
          <w:p>
            <w:pPr>
              <w:jc w:val="center"/>
              <w:spacing w:after="0"/>
              <w:rPr>
                <w:sz w:val="20"/>
                <w:szCs w:val="20"/>
                <w:color w:val="auto"/>
              </w:rPr>
            </w:pPr>
            <w:r>
              <w:rPr>
                <w:rFonts w:ascii="Arial" w:cs="Arial" w:eastAsia="Arial" w:hAnsi="Arial"/>
                <w:sz w:val="18"/>
                <w:szCs w:val="18"/>
                <w:color w:val="auto"/>
                <w:w w:val="90"/>
              </w:rPr>
              <w:t>/s/ Peter Barrett</w:t>
            </w:r>
          </w:p>
        </w:tc>
        <w:tc>
          <w:tcPr>
            <w:tcW w:w="4820" w:type="dxa"/>
            <w:vAlign w:val="bottom"/>
            <w:gridSpan w:val="3"/>
          </w:tcPr>
          <w:p>
            <w:pPr>
              <w:jc w:val="center"/>
              <w:ind w:left="170"/>
              <w:spacing w:after="0"/>
              <w:rPr>
                <w:sz w:val="20"/>
                <w:szCs w:val="20"/>
                <w:color w:val="auto"/>
              </w:rPr>
            </w:pPr>
            <w:r>
              <w:rPr>
                <w:rFonts w:ascii="Arial" w:cs="Arial" w:eastAsia="Arial" w:hAnsi="Arial"/>
                <w:sz w:val="18"/>
                <w:szCs w:val="18"/>
                <w:color w:val="auto"/>
                <w:w w:val="95"/>
              </w:rPr>
              <w:t>Director</w:t>
            </w:r>
          </w:p>
        </w:tc>
        <w:tc>
          <w:tcPr>
            <w:tcW w:w="1740" w:type="dxa"/>
            <w:vAlign w:val="bottom"/>
            <w:gridSpan w:val="3"/>
          </w:tcPr>
          <w:p>
            <w:pPr>
              <w:jc w:val="center"/>
              <w:ind w:left="450"/>
              <w:spacing w:after="0"/>
              <w:rPr>
                <w:sz w:val="20"/>
                <w:szCs w:val="20"/>
                <w:color w:val="auto"/>
              </w:rPr>
            </w:pPr>
            <w:r>
              <w:rPr>
                <w:rFonts w:ascii="Arial" w:cs="Arial" w:eastAsia="Arial" w:hAnsi="Arial"/>
                <w:sz w:val="18"/>
                <w:szCs w:val="18"/>
                <w:color w:val="auto"/>
                <w:w w:val="91"/>
              </w:rPr>
              <w:t>August 14, 2020</w:t>
            </w:r>
          </w:p>
        </w:tc>
      </w:tr>
      <w:tr>
        <w:trPr>
          <w:trHeight w:val="224"/>
        </w:trPr>
        <w:tc>
          <w:tcPr>
            <w:tcW w:w="4180" w:type="dxa"/>
            <w:vAlign w:val="bottom"/>
            <w:gridSpan w:val="3"/>
          </w:tcPr>
          <w:p>
            <w:pPr>
              <w:jc w:val="center"/>
              <w:spacing w:after="0"/>
              <w:rPr>
                <w:sz w:val="20"/>
                <w:szCs w:val="20"/>
                <w:color w:val="auto"/>
              </w:rPr>
            </w:pPr>
            <w:r>
              <w:rPr>
                <w:rFonts w:ascii="Arial" w:cs="Arial" w:eastAsia="Arial" w:hAnsi="Arial"/>
                <w:sz w:val="18"/>
                <w:szCs w:val="18"/>
                <w:color w:val="auto"/>
                <w:w w:val="88"/>
              </w:rPr>
              <w:t>Peter Barrett</w:t>
            </w:r>
          </w:p>
        </w:tc>
        <w:tc>
          <w:tcPr>
            <w:tcW w:w="24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212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460" w:type="dxa"/>
            <w:vAlign w:val="bottom"/>
          </w:tcPr>
          <w:p>
            <w:pPr>
              <w:spacing w:after="0"/>
              <w:rPr>
                <w:sz w:val="19"/>
                <w:szCs w:val="19"/>
                <w:color w:val="auto"/>
              </w:rPr>
            </w:pPr>
          </w:p>
        </w:tc>
      </w:tr>
      <w:tr>
        <w:trPr>
          <w:trHeight w:val="431"/>
        </w:trPr>
        <w:tc>
          <w:tcPr>
            <w:tcW w:w="4180" w:type="dxa"/>
            <w:vAlign w:val="bottom"/>
            <w:tcBorders>
              <w:bottom w:val="single" w:sz="8" w:color="auto"/>
            </w:tcBorders>
            <w:gridSpan w:val="3"/>
          </w:tcPr>
          <w:p>
            <w:pPr>
              <w:jc w:val="center"/>
              <w:spacing w:after="0"/>
              <w:rPr>
                <w:sz w:val="20"/>
                <w:szCs w:val="20"/>
                <w:color w:val="auto"/>
              </w:rPr>
            </w:pPr>
            <w:r>
              <w:rPr>
                <w:rFonts w:ascii="Arial" w:cs="Arial" w:eastAsia="Arial" w:hAnsi="Arial"/>
                <w:sz w:val="18"/>
                <w:szCs w:val="18"/>
                <w:color w:val="auto"/>
                <w:w w:val="90"/>
              </w:rPr>
              <w:t>/s/ Frank E. Thomas</w:t>
            </w:r>
          </w:p>
        </w:tc>
        <w:tc>
          <w:tcPr>
            <w:tcW w:w="4820" w:type="dxa"/>
            <w:vAlign w:val="bottom"/>
            <w:gridSpan w:val="3"/>
          </w:tcPr>
          <w:p>
            <w:pPr>
              <w:jc w:val="center"/>
              <w:ind w:left="170"/>
              <w:spacing w:after="0"/>
              <w:rPr>
                <w:sz w:val="20"/>
                <w:szCs w:val="20"/>
                <w:color w:val="auto"/>
              </w:rPr>
            </w:pPr>
            <w:r>
              <w:rPr>
                <w:rFonts w:ascii="Arial" w:cs="Arial" w:eastAsia="Arial" w:hAnsi="Arial"/>
                <w:sz w:val="18"/>
                <w:szCs w:val="18"/>
                <w:color w:val="auto"/>
                <w:w w:val="95"/>
              </w:rPr>
              <w:t>Director</w:t>
            </w:r>
          </w:p>
        </w:tc>
        <w:tc>
          <w:tcPr>
            <w:tcW w:w="1740" w:type="dxa"/>
            <w:vAlign w:val="bottom"/>
            <w:gridSpan w:val="3"/>
          </w:tcPr>
          <w:p>
            <w:pPr>
              <w:jc w:val="center"/>
              <w:ind w:left="450"/>
              <w:spacing w:after="0"/>
              <w:rPr>
                <w:sz w:val="20"/>
                <w:szCs w:val="20"/>
                <w:color w:val="auto"/>
              </w:rPr>
            </w:pPr>
            <w:r>
              <w:rPr>
                <w:rFonts w:ascii="Arial" w:cs="Arial" w:eastAsia="Arial" w:hAnsi="Arial"/>
                <w:sz w:val="18"/>
                <w:szCs w:val="18"/>
                <w:color w:val="auto"/>
                <w:w w:val="91"/>
              </w:rPr>
              <w:t>August 14, 2020</w:t>
            </w:r>
          </w:p>
        </w:tc>
      </w:tr>
      <w:tr>
        <w:trPr>
          <w:trHeight w:val="224"/>
        </w:trPr>
        <w:tc>
          <w:tcPr>
            <w:tcW w:w="4180" w:type="dxa"/>
            <w:vAlign w:val="bottom"/>
            <w:gridSpan w:val="3"/>
          </w:tcPr>
          <w:p>
            <w:pPr>
              <w:jc w:val="center"/>
              <w:spacing w:after="0"/>
              <w:rPr>
                <w:sz w:val="20"/>
                <w:szCs w:val="20"/>
                <w:color w:val="auto"/>
              </w:rPr>
            </w:pPr>
            <w:r>
              <w:rPr>
                <w:rFonts w:ascii="Arial" w:cs="Arial" w:eastAsia="Arial" w:hAnsi="Arial"/>
                <w:sz w:val="18"/>
                <w:szCs w:val="18"/>
                <w:color w:val="auto"/>
                <w:w w:val="91"/>
              </w:rPr>
              <w:t>Frank E. Thomas</w:t>
            </w:r>
          </w:p>
        </w:tc>
        <w:tc>
          <w:tcPr>
            <w:tcW w:w="24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212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460" w:type="dxa"/>
            <w:vAlign w:val="bottom"/>
          </w:tcPr>
          <w:p>
            <w:pPr>
              <w:spacing w:after="0"/>
              <w:rPr>
                <w:sz w:val="19"/>
                <w:szCs w:val="19"/>
                <w:color w:val="auto"/>
              </w:rPr>
            </w:pPr>
          </w:p>
        </w:tc>
      </w:tr>
      <w:tr>
        <w:trPr>
          <w:trHeight w:val="431"/>
        </w:trPr>
        <w:tc>
          <w:tcPr>
            <w:tcW w:w="4180" w:type="dxa"/>
            <w:vAlign w:val="bottom"/>
            <w:tcBorders>
              <w:bottom w:val="single" w:sz="8" w:color="auto"/>
            </w:tcBorders>
            <w:gridSpan w:val="3"/>
          </w:tcPr>
          <w:p>
            <w:pPr>
              <w:jc w:val="center"/>
              <w:spacing w:after="0"/>
              <w:rPr>
                <w:sz w:val="20"/>
                <w:szCs w:val="20"/>
                <w:color w:val="auto"/>
              </w:rPr>
            </w:pPr>
            <w:r>
              <w:rPr>
                <w:rFonts w:ascii="Arial" w:cs="Arial" w:eastAsia="Arial" w:hAnsi="Arial"/>
                <w:sz w:val="18"/>
                <w:szCs w:val="18"/>
                <w:color w:val="auto"/>
                <w:w w:val="91"/>
              </w:rPr>
              <w:t>/s/ Jonathan Leff</w:t>
            </w:r>
          </w:p>
        </w:tc>
        <w:tc>
          <w:tcPr>
            <w:tcW w:w="4820" w:type="dxa"/>
            <w:vAlign w:val="bottom"/>
            <w:gridSpan w:val="3"/>
          </w:tcPr>
          <w:p>
            <w:pPr>
              <w:jc w:val="center"/>
              <w:ind w:left="170"/>
              <w:spacing w:after="0"/>
              <w:rPr>
                <w:sz w:val="20"/>
                <w:szCs w:val="20"/>
                <w:color w:val="auto"/>
              </w:rPr>
            </w:pPr>
            <w:r>
              <w:rPr>
                <w:rFonts w:ascii="Arial" w:cs="Arial" w:eastAsia="Arial" w:hAnsi="Arial"/>
                <w:sz w:val="18"/>
                <w:szCs w:val="18"/>
                <w:color w:val="auto"/>
                <w:w w:val="95"/>
              </w:rPr>
              <w:t>Director</w:t>
            </w:r>
          </w:p>
        </w:tc>
        <w:tc>
          <w:tcPr>
            <w:tcW w:w="1740" w:type="dxa"/>
            <w:vAlign w:val="bottom"/>
            <w:gridSpan w:val="3"/>
          </w:tcPr>
          <w:p>
            <w:pPr>
              <w:jc w:val="center"/>
              <w:ind w:left="450"/>
              <w:spacing w:after="0"/>
              <w:rPr>
                <w:sz w:val="20"/>
                <w:szCs w:val="20"/>
                <w:color w:val="auto"/>
              </w:rPr>
            </w:pPr>
            <w:r>
              <w:rPr>
                <w:rFonts w:ascii="Arial" w:cs="Arial" w:eastAsia="Arial" w:hAnsi="Arial"/>
                <w:sz w:val="18"/>
                <w:szCs w:val="18"/>
                <w:color w:val="auto"/>
                <w:w w:val="91"/>
              </w:rPr>
              <w:t>August 14, 2020</w:t>
            </w:r>
          </w:p>
        </w:tc>
      </w:tr>
      <w:tr>
        <w:trPr>
          <w:trHeight w:val="224"/>
        </w:trPr>
        <w:tc>
          <w:tcPr>
            <w:tcW w:w="4180" w:type="dxa"/>
            <w:vAlign w:val="bottom"/>
            <w:gridSpan w:val="3"/>
          </w:tcPr>
          <w:p>
            <w:pPr>
              <w:jc w:val="center"/>
              <w:spacing w:after="0"/>
              <w:rPr>
                <w:sz w:val="20"/>
                <w:szCs w:val="20"/>
                <w:color w:val="auto"/>
              </w:rPr>
            </w:pPr>
            <w:r>
              <w:rPr>
                <w:rFonts w:ascii="Arial" w:cs="Arial" w:eastAsia="Arial" w:hAnsi="Arial"/>
                <w:sz w:val="18"/>
                <w:szCs w:val="18"/>
                <w:color w:val="auto"/>
                <w:w w:val="89"/>
              </w:rPr>
              <w:t>Jonathan Leff</w:t>
            </w:r>
          </w:p>
        </w:tc>
        <w:tc>
          <w:tcPr>
            <w:tcW w:w="24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212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460" w:type="dxa"/>
            <w:vAlign w:val="bottom"/>
          </w:tcPr>
          <w:p>
            <w:pPr>
              <w:spacing w:after="0"/>
              <w:rPr>
                <w:sz w:val="19"/>
                <w:szCs w:val="19"/>
                <w:color w:val="auto"/>
              </w:rPr>
            </w:pPr>
          </w:p>
        </w:tc>
      </w:tr>
      <w:tr>
        <w:trPr>
          <w:trHeight w:val="431"/>
        </w:trPr>
        <w:tc>
          <w:tcPr>
            <w:tcW w:w="4180" w:type="dxa"/>
            <w:vAlign w:val="bottom"/>
            <w:tcBorders>
              <w:bottom w:val="single" w:sz="8" w:color="auto"/>
            </w:tcBorders>
            <w:gridSpan w:val="3"/>
          </w:tcPr>
          <w:p>
            <w:pPr>
              <w:jc w:val="center"/>
              <w:ind w:right="20"/>
              <w:spacing w:after="0"/>
              <w:rPr>
                <w:sz w:val="20"/>
                <w:szCs w:val="20"/>
                <w:color w:val="auto"/>
              </w:rPr>
            </w:pPr>
            <w:r>
              <w:rPr>
                <w:rFonts w:ascii="Arial" w:cs="Arial" w:eastAsia="Arial" w:hAnsi="Arial"/>
                <w:sz w:val="18"/>
                <w:szCs w:val="18"/>
                <w:color w:val="auto"/>
                <w:w w:val="91"/>
              </w:rPr>
              <w:t>/s/ Thomas E. Hamilton</w:t>
            </w:r>
          </w:p>
        </w:tc>
        <w:tc>
          <w:tcPr>
            <w:tcW w:w="4820" w:type="dxa"/>
            <w:vAlign w:val="bottom"/>
            <w:gridSpan w:val="3"/>
          </w:tcPr>
          <w:p>
            <w:pPr>
              <w:jc w:val="center"/>
              <w:ind w:left="170"/>
              <w:spacing w:after="0"/>
              <w:rPr>
                <w:sz w:val="20"/>
                <w:szCs w:val="20"/>
                <w:color w:val="auto"/>
              </w:rPr>
            </w:pPr>
            <w:r>
              <w:rPr>
                <w:rFonts w:ascii="Arial" w:cs="Arial" w:eastAsia="Arial" w:hAnsi="Arial"/>
                <w:sz w:val="18"/>
                <w:szCs w:val="18"/>
                <w:color w:val="auto"/>
                <w:w w:val="95"/>
              </w:rPr>
              <w:t>Director</w:t>
            </w:r>
          </w:p>
        </w:tc>
        <w:tc>
          <w:tcPr>
            <w:tcW w:w="1740" w:type="dxa"/>
            <w:vAlign w:val="bottom"/>
            <w:gridSpan w:val="3"/>
          </w:tcPr>
          <w:p>
            <w:pPr>
              <w:jc w:val="center"/>
              <w:ind w:left="450"/>
              <w:spacing w:after="0"/>
              <w:rPr>
                <w:sz w:val="20"/>
                <w:szCs w:val="20"/>
                <w:color w:val="auto"/>
              </w:rPr>
            </w:pPr>
            <w:r>
              <w:rPr>
                <w:rFonts w:ascii="Arial" w:cs="Arial" w:eastAsia="Arial" w:hAnsi="Arial"/>
                <w:sz w:val="18"/>
                <w:szCs w:val="18"/>
                <w:color w:val="auto"/>
                <w:w w:val="91"/>
              </w:rPr>
              <w:t>August 14, 2020</w:t>
            </w:r>
          </w:p>
        </w:tc>
      </w:tr>
      <w:tr>
        <w:trPr>
          <w:trHeight w:val="224"/>
        </w:trPr>
        <w:tc>
          <w:tcPr>
            <w:tcW w:w="4180" w:type="dxa"/>
            <w:vAlign w:val="bottom"/>
            <w:gridSpan w:val="3"/>
          </w:tcPr>
          <w:p>
            <w:pPr>
              <w:jc w:val="center"/>
              <w:spacing w:after="0"/>
              <w:rPr>
                <w:sz w:val="20"/>
                <w:szCs w:val="20"/>
                <w:color w:val="auto"/>
              </w:rPr>
            </w:pPr>
            <w:r>
              <w:rPr>
                <w:rFonts w:ascii="Arial" w:cs="Arial" w:eastAsia="Arial" w:hAnsi="Arial"/>
                <w:sz w:val="18"/>
                <w:szCs w:val="18"/>
                <w:color w:val="auto"/>
                <w:w w:val="91"/>
              </w:rPr>
              <w:t>Thomas E. Hamilton</w:t>
            </w:r>
          </w:p>
        </w:tc>
        <w:tc>
          <w:tcPr>
            <w:tcW w:w="24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212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460" w:type="dxa"/>
            <w:vAlign w:val="bottom"/>
          </w:tcPr>
          <w:p>
            <w:pPr>
              <w:spacing w:after="0"/>
              <w:rPr>
                <w:sz w:val="19"/>
                <w:szCs w:val="19"/>
                <w:color w:val="auto"/>
              </w:rPr>
            </w:pPr>
          </w:p>
        </w:tc>
      </w:tr>
      <w:tr>
        <w:trPr>
          <w:trHeight w:val="431"/>
        </w:trPr>
        <w:tc>
          <w:tcPr>
            <w:tcW w:w="4180" w:type="dxa"/>
            <w:vAlign w:val="bottom"/>
            <w:tcBorders>
              <w:bottom w:val="single" w:sz="8" w:color="auto"/>
            </w:tcBorders>
            <w:gridSpan w:val="3"/>
          </w:tcPr>
          <w:p>
            <w:pPr>
              <w:jc w:val="center"/>
              <w:spacing w:after="0"/>
              <w:rPr>
                <w:sz w:val="20"/>
                <w:szCs w:val="20"/>
                <w:color w:val="auto"/>
              </w:rPr>
            </w:pPr>
            <w:r>
              <w:rPr>
                <w:rFonts w:ascii="Arial" w:cs="Arial" w:eastAsia="Arial" w:hAnsi="Arial"/>
                <w:sz w:val="18"/>
                <w:szCs w:val="18"/>
                <w:color w:val="auto"/>
                <w:w w:val="91"/>
              </w:rPr>
              <w:t>/s/ Thomas O. Daniel</w:t>
            </w:r>
          </w:p>
        </w:tc>
        <w:tc>
          <w:tcPr>
            <w:tcW w:w="4820" w:type="dxa"/>
            <w:vAlign w:val="bottom"/>
            <w:gridSpan w:val="3"/>
          </w:tcPr>
          <w:p>
            <w:pPr>
              <w:jc w:val="center"/>
              <w:ind w:left="170"/>
              <w:spacing w:after="0"/>
              <w:rPr>
                <w:sz w:val="20"/>
                <w:szCs w:val="20"/>
                <w:color w:val="auto"/>
              </w:rPr>
            </w:pPr>
            <w:r>
              <w:rPr>
                <w:rFonts w:ascii="Arial" w:cs="Arial" w:eastAsia="Arial" w:hAnsi="Arial"/>
                <w:sz w:val="18"/>
                <w:szCs w:val="18"/>
                <w:color w:val="auto"/>
                <w:w w:val="95"/>
              </w:rPr>
              <w:t>Director</w:t>
            </w:r>
          </w:p>
        </w:tc>
        <w:tc>
          <w:tcPr>
            <w:tcW w:w="1740" w:type="dxa"/>
            <w:vAlign w:val="bottom"/>
            <w:gridSpan w:val="3"/>
          </w:tcPr>
          <w:p>
            <w:pPr>
              <w:jc w:val="center"/>
              <w:ind w:left="450"/>
              <w:spacing w:after="0"/>
              <w:rPr>
                <w:sz w:val="20"/>
                <w:szCs w:val="20"/>
                <w:color w:val="auto"/>
              </w:rPr>
            </w:pPr>
            <w:r>
              <w:rPr>
                <w:rFonts w:ascii="Arial" w:cs="Arial" w:eastAsia="Arial" w:hAnsi="Arial"/>
                <w:sz w:val="18"/>
                <w:szCs w:val="18"/>
                <w:color w:val="auto"/>
                <w:w w:val="91"/>
              </w:rPr>
              <w:t>August 14, 2020</w:t>
            </w:r>
          </w:p>
        </w:tc>
      </w:tr>
      <w:tr>
        <w:trPr>
          <w:trHeight w:val="224"/>
        </w:trPr>
        <w:tc>
          <w:tcPr>
            <w:tcW w:w="4180" w:type="dxa"/>
            <w:vAlign w:val="bottom"/>
            <w:gridSpan w:val="3"/>
          </w:tcPr>
          <w:p>
            <w:pPr>
              <w:jc w:val="center"/>
              <w:spacing w:after="0"/>
              <w:rPr>
                <w:sz w:val="20"/>
                <w:szCs w:val="20"/>
                <w:color w:val="auto"/>
              </w:rPr>
            </w:pPr>
            <w:r>
              <w:rPr>
                <w:rFonts w:ascii="Arial" w:cs="Arial" w:eastAsia="Arial" w:hAnsi="Arial"/>
                <w:sz w:val="18"/>
                <w:szCs w:val="18"/>
                <w:color w:val="auto"/>
                <w:w w:val="92"/>
              </w:rPr>
              <w:t>Thomas O. Daniel</w:t>
            </w:r>
          </w:p>
        </w:tc>
        <w:tc>
          <w:tcPr>
            <w:tcW w:w="24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212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460" w:type="dxa"/>
            <w:vAlign w:val="bottom"/>
          </w:tcPr>
          <w:p>
            <w:pPr>
              <w:spacing w:after="0"/>
              <w:rPr>
                <w:sz w:val="19"/>
                <w:szCs w:val="19"/>
                <w:color w:val="auto"/>
              </w:rPr>
            </w:pPr>
          </w:p>
        </w:tc>
      </w:tr>
      <w:tr>
        <w:trPr>
          <w:trHeight w:val="364"/>
        </w:trPr>
        <w:tc>
          <w:tcPr>
            <w:tcW w:w="180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1780" w:type="dxa"/>
            <w:vAlign w:val="bottom"/>
          </w:tcPr>
          <w:p>
            <w:pPr>
              <w:spacing w:after="0"/>
              <w:rPr>
                <w:sz w:val="24"/>
                <w:szCs w:val="24"/>
                <w:color w:val="auto"/>
              </w:rPr>
            </w:pPr>
          </w:p>
        </w:tc>
        <w:tc>
          <w:tcPr>
            <w:tcW w:w="4820" w:type="dxa"/>
            <w:vAlign w:val="bottom"/>
            <w:gridSpan w:val="3"/>
          </w:tcPr>
          <w:p>
            <w:pPr>
              <w:ind w:left="1180"/>
              <w:spacing w:after="0"/>
              <w:rPr>
                <w:sz w:val="20"/>
                <w:szCs w:val="20"/>
                <w:color w:val="auto"/>
              </w:rPr>
            </w:pPr>
            <w:r>
              <w:rPr>
                <w:rFonts w:ascii="Arial" w:cs="Arial" w:eastAsia="Arial" w:hAnsi="Arial"/>
                <w:sz w:val="18"/>
                <w:szCs w:val="18"/>
                <w:color w:val="auto"/>
              </w:rPr>
              <w:t>II-7</w:t>
            </w:r>
          </w:p>
        </w:tc>
        <w:tc>
          <w:tcPr>
            <w:tcW w:w="98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460" w:type="dxa"/>
            <w:vAlign w:val="bottom"/>
          </w:tcPr>
          <w:p>
            <w:pPr>
              <w:spacing w:after="0"/>
              <w:rPr>
                <w:sz w:val="24"/>
                <w:szCs w:val="24"/>
                <w:color w:val="auto"/>
              </w:rPr>
            </w:pPr>
          </w:p>
        </w:tc>
      </w:tr>
    </w:tbl>
    <w:p>
      <w:pPr>
        <w:sectPr>
          <w:pgSz w:w="11900" w:h="16838" w:orient="portrait"/>
          <w:cols w:equalWidth="0" w:num="1">
            <w:col w:w="11000"/>
          </w:cols>
          <w:pgMar w:left="440" w:top="270" w:right="459" w:bottom="1440" w:gutter="0" w:footer="0" w:header="0"/>
        </w:sectPr>
      </w:pPr>
    </w:p>
    <w:bookmarkStart w:id="70" w:name="page71"/>
    <w:bookmarkEnd w:id="70"/>
    <w:p>
      <w:pPr>
        <w:jc w:val="right"/>
        <w:spacing w:after="0"/>
        <w:rPr>
          <w:sz w:val="20"/>
          <w:szCs w:val="20"/>
          <w:color w:val="auto"/>
        </w:rPr>
      </w:pPr>
      <w:r>
        <w:rPr>
          <w:rFonts w:ascii="Arial" w:cs="Arial" w:eastAsia="Arial" w:hAnsi="Arial"/>
          <w:sz w:val="18"/>
          <w:szCs w:val="18"/>
          <w:b w:val="1"/>
          <w:bCs w:val="1"/>
          <w:color w:val="auto"/>
        </w:rPr>
        <w:t>Exhibit 1.2</w:t>
      </w:r>
    </w:p>
    <w:p>
      <w:pPr>
        <w:spacing w:after="0" w:line="200" w:lineRule="exact"/>
        <w:rPr>
          <w:sz w:val="20"/>
          <w:szCs w:val="20"/>
          <w:color w:val="auto"/>
        </w:rPr>
      </w:pPr>
    </w:p>
    <w:p>
      <w:pPr>
        <w:spacing w:after="0" w:line="241" w:lineRule="exact"/>
        <w:rPr>
          <w:sz w:val="20"/>
          <w:szCs w:val="20"/>
          <w:color w:val="auto"/>
        </w:rPr>
      </w:pPr>
    </w:p>
    <w:p>
      <w:pPr>
        <w:jc w:val="center"/>
        <w:ind w:right="-3"/>
        <w:spacing w:after="0"/>
        <w:rPr>
          <w:sz w:val="20"/>
          <w:szCs w:val="20"/>
          <w:color w:val="auto"/>
        </w:rPr>
      </w:pPr>
      <w:r>
        <w:rPr>
          <w:rFonts w:ascii="Arial" w:cs="Arial" w:eastAsia="Arial" w:hAnsi="Arial"/>
          <w:sz w:val="18"/>
          <w:szCs w:val="18"/>
          <w:b w:val="1"/>
          <w:bCs w:val="1"/>
          <w:color w:val="auto"/>
        </w:rPr>
        <w:t>LARIMAR THERAPEUTICS, INC.</w:t>
      </w:r>
    </w:p>
    <w:p>
      <w:pPr>
        <w:spacing w:after="0" w:line="225" w:lineRule="exact"/>
        <w:rPr>
          <w:sz w:val="20"/>
          <w:szCs w:val="20"/>
          <w:color w:val="auto"/>
        </w:rPr>
      </w:pPr>
    </w:p>
    <w:p>
      <w:pPr>
        <w:jc w:val="center"/>
        <w:ind w:right="-3"/>
        <w:spacing w:after="0"/>
        <w:rPr>
          <w:sz w:val="20"/>
          <w:szCs w:val="20"/>
          <w:color w:val="auto"/>
        </w:rPr>
      </w:pPr>
      <w:r>
        <w:rPr>
          <w:rFonts w:ascii="Arial" w:cs="Arial" w:eastAsia="Arial" w:hAnsi="Arial"/>
          <w:sz w:val="18"/>
          <w:szCs w:val="18"/>
          <w:b w:val="1"/>
          <w:bCs w:val="1"/>
          <w:color w:val="auto"/>
        </w:rPr>
        <w:t>EQUITY DISTRIBUTION AGREEMENT</w:t>
      </w:r>
    </w:p>
    <w:p>
      <w:pPr>
        <w:spacing w:after="0" w:line="229" w:lineRule="exact"/>
        <w:rPr>
          <w:sz w:val="20"/>
          <w:szCs w:val="20"/>
          <w:color w:val="auto"/>
        </w:rPr>
      </w:pPr>
    </w:p>
    <w:p>
      <w:pPr>
        <w:ind w:left="9824"/>
        <w:spacing w:after="0"/>
        <w:rPr>
          <w:sz w:val="20"/>
          <w:szCs w:val="20"/>
          <w:color w:val="auto"/>
        </w:rPr>
      </w:pPr>
      <w:r>
        <w:rPr>
          <w:rFonts w:ascii="Arial" w:cs="Arial" w:eastAsia="Arial" w:hAnsi="Arial"/>
          <w:sz w:val="16"/>
          <w:szCs w:val="16"/>
          <w:color w:val="auto"/>
        </w:rPr>
        <w:t>August 14, 2020</w:t>
      </w:r>
    </w:p>
    <w:p>
      <w:pPr>
        <w:spacing w:after="0" w:line="248" w:lineRule="exact"/>
        <w:rPr>
          <w:sz w:val="20"/>
          <w:szCs w:val="20"/>
          <w:color w:val="auto"/>
        </w:rPr>
      </w:pPr>
    </w:p>
    <w:p>
      <w:pPr>
        <w:ind w:left="4"/>
        <w:spacing w:after="0"/>
        <w:rPr>
          <w:sz w:val="20"/>
          <w:szCs w:val="20"/>
          <w:color w:val="auto"/>
        </w:rPr>
      </w:pPr>
      <w:r>
        <w:rPr>
          <w:rFonts w:ascii="Arial" w:cs="Arial" w:eastAsia="Arial" w:hAnsi="Arial"/>
          <w:sz w:val="18"/>
          <w:szCs w:val="18"/>
          <w:color w:val="auto"/>
        </w:rPr>
        <w:t>PIPER SANDLER &amp; CO.</w:t>
      </w:r>
    </w:p>
    <w:p>
      <w:pPr>
        <w:spacing w:after="0" w:line="23" w:lineRule="exact"/>
        <w:rPr>
          <w:sz w:val="20"/>
          <w:szCs w:val="20"/>
          <w:color w:val="auto"/>
        </w:rPr>
      </w:pPr>
    </w:p>
    <w:p>
      <w:pPr>
        <w:ind w:left="4"/>
        <w:spacing w:after="0"/>
        <w:rPr>
          <w:sz w:val="20"/>
          <w:szCs w:val="20"/>
          <w:color w:val="auto"/>
        </w:rPr>
      </w:pPr>
      <w:r>
        <w:rPr>
          <w:rFonts w:ascii="Arial" w:cs="Arial" w:eastAsia="Arial" w:hAnsi="Arial"/>
          <w:sz w:val="18"/>
          <w:szCs w:val="18"/>
          <w:color w:val="auto"/>
        </w:rPr>
        <w:t>U.S. Bancorp Center</w:t>
      </w:r>
    </w:p>
    <w:p>
      <w:pPr>
        <w:spacing w:after="0" w:line="9" w:lineRule="exact"/>
        <w:rPr>
          <w:sz w:val="20"/>
          <w:szCs w:val="20"/>
          <w:color w:val="auto"/>
        </w:rPr>
      </w:pPr>
    </w:p>
    <w:p>
      <w:pPr>
        <w:ind w:left="4"/>
        <w:spacing w:after="0"/>
        <w:rPr>
          <w:sz w:val="20"/>
          <w:szCs w:val="20"/>
          <w:color w:val="auto"/>
        </w:rPr>
      </w:pPr>
      <w:r>
        <w:rPr>
          <w:rFonts w:ascii="Arial" w:cs="Arial" w:eastAsia="Arial" w:hAnsi="Arial"/>
          <w:sz w:val="18"/>
          <w:szCs w:val="18"/>
          <w:color w:val="auto"/>
        </w:rPr>
        <w:t>800 Nicollet Mall</w:t>
      </w:r>
    </w:p>
    <w:p>
      <w:pPr>
        <w:spacing w:after="0" w:line="9" w:lineRule="exact"/>
        <w:rPr>
          <w:sz w:val="20"/>
          <w:szCs w:val="20"/>
          <w:color w:val="auto"/>
        </w:rPr>
      </w:pPr>
    </w:p>
    <w:p>
      <w:pPr>
        <w:ind w:left="4"/>
        <w:spacing w:after="0"/>
        <w:rPr>
          <w:sz w:val="20"/>
          <w:szCs w:val="20"/>
          <w:color w:val="auto"/>
        </w:rPr>
      </w:pPr>
      <w:r>
        <w:rPr>
          <w:rFonts w:ascii="Arial" w:cs="Arial" w:eastAsia="Arial" w:hAnsi="Arial"/>
          <w:sz w:val="18"/>
          <w:szCs w:val="18"/>
          <w:color w:val="auto"/>
        </w:rPr>
        <w:t>Minneapolis, Minnesota 55402</w:t>
      </w:r>
    </w:p>
    <w:p>
      <w:pPr>
        <w:spacing w:after="0" w:line="211" w:lineRule="exact"/>
        <w:rPr>
          <w:sz w:val="20"/>
          <w:szCs w:val="20"/>
          <w:color w:val="auto"/>
        </w:rPr>
      </w:pPr>
    </w:p>
    <w:p>
      <w:pPr>
        <w:ind w:left="4"/>
        <w:spacing w:after="0"/>
        <w:rPr>
          <w:sz w:val="20"/>
          <w:szCs w:val="20"/>
          <w:color w:val="auto"/>
        </w:rPr>
      </w:pPr>
      <w:r>
        <w:rPr>
          <w:rFonts w:ascii="Arial" w:cs="Arial" w:eastAsia="Arial" w:hAnsi="Arial"/>
          <w:sz w:val="18"/>
          <w:szCs w:val="18"/>
          <w:color w:val="auto"/>
        </w:rPr>
        <w:t>Ladies and Gentlemen:</w:t>
      </w:r>
    </w:p>
    <w:p>
      <w:pPr>
        <w:spacing w:after="0" w:line="117" w:lineRule="exact"/>
        <w:rPr>
          <w:sz w:val="20"/>
          <w:szCs w:val="20"/>
          <w:color w:val="auto"/>
        </w:rPr>
      </w:pPr>
    </w:p>
    <w:p>
      <w:pPr>
        <w:ind w:left="4" w:right="20" w:firstLine="440"/>
        <w:spacing w:after="0" w:line="273" w:lineRule="auto"/>
        <w:rPr>
          <w:sz w:val="20"/>
          <w:szCs w:val="20"/>
          <w:color w:val="auto"/>
        </w:rPr>
      </w:pPr>
      <w:r>
        <w:rPr>
          <w:rFonts w:ascii="Arial" w:cs="Arial" w:eastAsia="Arial" w:hAnsi="Arial"/>
          <w:sz w:val="17"/>
          <w:szCs w:val="17"/>
          <w:color w:val="auto"/>
        </w:rPr>
        <w:t xml:space="preserve">As further set forth in this agreement (this </w:t>
      </w:r>
      <w:r>
        <w:rPr>
          <w:rFonts w:ascii="Arial" w:cs="Arial" w:eastAsia="Arial" w:hAnsi="Arial"/>
          <w:sz w:val="17"/>
          <w:szCs w:val="17"/>
          <w:b w:val="1"/>
          <w:bCs w:val="1"/>
          <w:i w:val="1"/>
          <w:iCs w:val="1"/>
          <w:color w:val="auto"/>
        </w:rPr>
        <w:t>“Agreement”</w:t>
      </w:r>
      <w:r>
        <w:rPr>
          <w:rFonts w:ascii="Arial" w:cs="Arial" w:eastAsia="Arial" w:hAnsi="Arial"/>
          <w:sz w:val="17"/>
          <w:szCs w:val="17"/>
          <w:color w:val="auto"/>
        </w:rPr>
        <w:t xml:space="preserve">), Larimar Therapeutics, Inc., a Delaware corporation (the </w:t>
      </w:r>
      <w:r>
        <w:rPr>
          <w:rFonts w:ascii="Arial" w:cs="Arial" w:eastAsia="Arial" w:hAnsi="Arial"/>
          <w:sz w:val="17"/>
          <w:szCs w:val="17"/>
          <w:b w:val="1"/>
          <w:bCs w:val="1"/>
          <w:i w:val="1"/>
          <w:iCs w:val="1"/>
          <w:color w:val="auto"/>
        </w:rPr>
        <w:t>“Company”</w:t>
      </w:r>
      <w:r>
        <w:rPr>
          <w:rFonts w:ascii="Arial" w:cs="Arial" w:eastAsia="Arial" w:hAnsi="Arial"/>
          <w:sz w:val="17"/>
          <w:szCs w:val="17"/>
          <w:color w:val="auto"/>
        </w:rPr>
        <w:t xml:space="preserve">), proposes to issue and sell from time to time through Piper Sandler &amp; Co. (the </w:t>
      </w:r>
      <w:r>
        <w:rPr>
          <w:rFonts w:ascii="Arial" w:cs="Arial" w:eastAsia="Arial" w:hAnsi="Arial"/>
          <w:sz w:val="17"/>
          <w:szCs w:val="17"/>
          <w:b w:val="1"/>
          <w:bCs w:val="1"/>
          <w:i w:val="1"/>
          <w:iCs w:val="1"/>
          <w:color w:val="auto"/>
        </w:rPr>
        <w:t>“Agent”</w:t>
      </w:r>
      <w:r>
        <w:rPr>
          <w:rFonts w:ascii="Arial" w:cs="Arial" w:eastAsia="Arial" w:hAnsi="Arial"/>
          <w:sz w:val="17"/>
          <w:szCs w:val="17"/>
          <w:color w:val="auto"/>
        </w:rPr>
        <w:t xml:space="preserve">), as sales agent, shares of the Company’s common stock, par value $0.001 per share (the </w:t>
      </w:r>
      <w:r>
        <w:rPr>
          <w:rFonts w:ascii="Arial" w:cs="Arial" w:eastAsia="Arial" w:hAnsi="Arial"/>
          <w:sz w:val="17"/>
          <w:szCs w:val="17"/>
          <w:b w:val="1"/>
          <w:bCs w:val="1"/>
          <w:i w:val="1"/>
          <w:iCs w:val="1"/>
          <w:color w:val="auto"/>
        </w:rPr>
        <w:t>“Common Stock”</w:t>
      </w:r>
      <w:r>
        <w:rPr>
          <w:rFonts w:ascii="Arial" w:cs="Arial" w:eastAsia="Arial" w:hAnsi="Arial"/>
          <w:sz w:val="17"/>
          <w:szCs w:val="17"/>
          <w:color w:val="auto"/>
        </w:rPr>
        <w:t xml:space="preserve">), having an aggregate gross offering price of up to $50,000,000 (such shares of Common Stock to be sold pursuant to this Agreement, the </w:t>
      </w:r>
      <w:r>
        <w:rPr>
          <w:rFonts w:ascii="Arial" w:cs="Arial" w:eastAsia="Arial" w:hAnsi="Arial"/>
          <w:sz w:val="17"/>
          <w:szCs w:val="17"/>
          <w:b w:val="1"/>
          <w:bCs w:val="1"/>
          <w:i w:val="1"/>
          <w:iCs w:val="1"/>
          <w:color w:val="auto"/>
        </w:rPr>
        <w:t>“Shares”</w:t>
      </w:r>
      <w:r>
        <w:rPr>
          <w:rFonts w:ascii="Arial" w:cs="Arial" w:eastAsia="Arial" w:hAnsi="Arial"/>
          <w:sz w:val="17"/>
          <w:szCs w:val="17"/>
          <w:color w:val="auto"/>
        </w:rPr>
        <w:t>), on terms set forth herein. Notwithstanding anything to the contrary contained herein, the parties hereto agree that compliance with the limitation set forth in Section 2 of this Agreement on the number of shares of Shares issued and sold under this Agreement shall be the sole responsibility of the Company, and the Agent shall have no obligation in connection with such compliance.</w:t>
      </w:r>
    </w:p>
    <w:p>
      <w:pPr>
        <w:spacing w:after="0" w:line="178" w:lineRule="exact"/>
        <w:rPr>
          <w:sz w:val="20"/>
          <w:szCs w:val="20"/>
          <w:color w:val="auto"/>
        </w:rPr>
      </w:pPr>
    </w:p>
    <w:p>
      <w:pPr>
        <w:ind w:left="444"/>
        <w:spacing w:after="0"/>
        <w:rPr>
          <w:sz w:val="20"/>
          <w:szCs w:val="20"/>
          <w:color w:val="auto"/>
        </w:rPr>
      </w:pPr>
      <w:r>
        <w:rPr>
          <w:rFonts w:ascii="Arial" w:cs="Arial" w:eastAsia="Arial" w:hAnsi="Arial"/>
          <w:sz w:val="18"/>
          <w:szCs w:val="18"/>
          <w:color w:val="auto"/>
        </w:rPr>
        <w:t>The Company hereby confirms its agreement with the Agent with respect to the sale of the Shares.</w:t>
      </w:r>
    </w:p>
    <w:p>
      <w:pPr>
        <w:spacing w:after="0" w:line="225" w:lineRule="exact"/>
        <w:rPr>
          <w:sz w:val="20"/>
          <w:szCs w:val="20"/>
          <w:color w:val="auto"/>
        </w:rPr>
      </w:pPr>
    </w:p>
    <w:p>
      <w:pPr>
        <w:ind w:left="624" w:hanging="184"/>
        <w:spacing w:after="0"/>
        <w:tabs>
          <w:tab w:leader="none" w:pos="624" w:val="left"/>
        </w:tabs>
        <w:numPr>
          <w:ilvl w:val="1"/>
          <w:numId w:val="47"/>
        </w:numPr>
        <w:rPr>
          <w:rFonts w:ascii="Arial" w:cs="Arial" w:eastAsia="Arial" w:hAnsi="Arial"/>
          <w:sz w:val="18"/>
          <w:szCs w:val="18"/>
          <w:b w:val="1"/>
          <w:bCs w:val="1"/>
          <w:i w:val="1"/>
          <w:iCs w:val="1"/>
          <w:color w:val="auto"/>
        </w:rPr>
      </w:pPr>
      <w:r>
        <w:rPr>
          <w:rFonts w:ascii="Arial" w:cs="Arial" w:eastAsia="Arial" w:hAnsi="Arial"/>
          <w:sz w:val="18"/>
          <w:szCs w:val="18"/>
          <w:b w:val="1"/>
          <w:bCs w:val="1"/>
          <w:i w:val="1"/>
          <w:iCs w:val="1"/>
          <w:color w:val="auto"/>
        </w:rPr>
        <w:t>Representations and Warranties of the Company</w:t>
      </w:r>
      <w:r>
        <w:rPr>
          <w:rFonts w:ascii="Arial" w:cs="Arial" w:eastAsia="Arial" w:hAnsi="Arial"/>
          <w:sz w:val="18"/>
          <w:szCs w:val="18"/>
          <w:color w:val="auto"/>
        </w:rPr>
        <w:t>.</w:t>
      </w:r>
    </w:p>
    <w:p>
      <w:pPr>
        <w:spacing w:after="0" w:line="117" w:lineRule="exact"/>
        <w:rPr>
          <w:rFonts w:ascii="Arial" w:cs="Arial" w:eastAsia="Arial" w:hAnsi="Arial"/>
          <w:sz w:val="18"/>
          <w:szCs w:val="18"/>
          <w:b w:val="1"/>
          <w:bCs w:val="1"/>
          <w:i w:val="1"/>
          <w:iCs w:val="1"/>
          <w:color w:val="auto"/>
        </w:rPr>
      </w:pPr>
    </w:p>
    <w:p>
      <w:pPr>
        <w:ind w:left="4" w:right="180" w:hanging="4"/>
        <w:spacing w:after="0" w:line="259" w:lineRule="auto"/>
        <w:tabs>
          <w:tab w:leader="none" w:pos="249" w:val="left"/>
        </w:tabs>
        <w:numPr>
          <w:ilvl w:val="0"/>
          <w:numId w:val="48"/>
        </w:numPr>
        <w:rPr>
          <w:rFonts w:ascii="Arial" w:cs="Arial" w:eastAsia="Arial" w:hAnsi="Arial"/>
          <w:sz w:val="18"/>
          <w:szCs w:val="18"/>
          <w:color w:val="auto"/>
        </w:rPr>
      </w:pPr>
      <w:r>
        <w:rPr>
          <w:rFonts w:ascii="Arial" w:cs="Arial" w:eastAsia="Arial" w:hAnsi="Arial"/>
          <w:sz w:val="18"/>
          <w:szCs w:val="18"/>
          <w:color w:val="auto"/>
        </w:rPr>
        <w:t>The Company represents and warrants to, and agrees with, the Agent that, unless such representation or warranty specifies otherwise, as of the date of this Agreement, each Representation Date (as defined in Section 3(o) below), each date on which a Placement Notice (as defined in Section 2(a)(i) below) is given (each, a “</w:t>
      </w:r>
      <w:r>
        <w:rPr>
          <w:rFonts w:ascii="Arial" w:cs="Arial" w:eastAsia="Arial" w:hAnsi="Arial"/>
          <w:sz w:val="18"/>
          <w:szCs w:val="18"/>
          <w:b w:val="1"/>
          <w:bCs w:val="1"/>
          <w:i w:val="1"/>
          <w:iCs w:val="1"/>
          <w:color w:val="auto"/>
        </w:rPr>
        <w:t>Notice Date</w:t>
      </w:r>
      <w:r>
        <w:rPr>
          <w:rFonts w:ascii="Arial" w:cs="Arial" w:eastAsia="Arial" w:hAnsi="Arial"/>
          <w:sz w:val="18"/>
          <w:szCs w:val="18"/>
          <w:color w:val="auto"/>
        </w:rPr>
        <w:t>”), each date on which Shares are sold hereunder (each, an “</w:t>
      </w:r>
      <w:r>
        <w:rPr>
          <w:rFonts w:ascii="Arial" w:cs="Arial" w:eastAsia="Arial" w:hAnsi="Arial"/>
          <w:sz w:val="18"/>
          <w:szCs w:val="18"/>
          <w:b w:val="1"/>
          <w:bCs w:val="1"/>
          <w:i w:val="1"/>
          <w:iCs w:val="1"/>
          <w:color w:val="auto"/>
        </w:rPr>
        <w:t>Applicable Time</w:t>
      </w:r>
      <w:r>
        <w:rPr>
          <w:rFonts w:ascii="Arial" w:cs="Arial" w:eastAsia="Arial" w:hAnsi="Arial"/>
          <w:sz w:val="18"/>
          <w:szCs w:val="18"/>
          <w:color w:val="auto"/>
        </w:rPr>
        <w:t>”), and each Settlement Date (as defined in Section 2(a)(vii) below) as follows:</w:t>
      </w:r>
    </w:p>
    <w:p>
      <w:pPr>
        <w:spacing w:after="0" w:line="78" w:lineRule="exact"/>
        <w:rPr>
          <w:rFonts w:ascii="Arial" w:cs="Arial" w:eastAsia="Arial" w:hAnsi="Arial"/>
          <w:sz w:val="18"/>
          <w:szCs w:val="18"/>
          <w:color w:val="auto"/>
        </w:rPr>
      </w:pPr>
    </w:p>
    <w:p>
      <w:pPr>
        <w:ind w:left="444" w:right="20" w:firstLine="948"/>
        <w:spacing w:after="0" w:line="291" w:lineRule="auto"/>
        <w:tabs>
          <w:tab w:leader="none" w:pos="1611" w:val="left"/>
        </w:tabs>
        <w:numPr>
          <w:ilvl w:val="2"/>
          <w:numId w:val="48"/>
        </w:numPr>
        <w:rPr>
          <w:rFonts w:ascii="Arial" w:cs="Arial" w:eastAsia="Arial" w:hAnsi="Arial"/>
          <w:sz w:val="16"/>
          <w:szCs w:val="16"/>
          <w:color w:val="auto"/>
        </w:rPr>
      </w:pPr>
      <w:r>
        <w:rPr>
          <w:rFonts w:ascii="Arial" w:cs="Arial" w:eastAsia="Arial" w:hAnsi="Arial"/>
          <w:sz w:val="16"/>
          <w:szCs w:val="16"/>
          <w:i w:val="1"/>
          <w:iCs w:val="1"/>
          <w:color w:val="auto"/>
        </w:rPr>
        <w:t>Registration Statement and Prospectus</w:t>
      </w:r>
      <w:r>
        <w:rPr>
          <w:rFonts w:ascii="Arial" w:cs="Arial" w:eastAsia="Arial" w:hAnsi="Arial"/>
          <w:sz w:val="16"/>
          <w:szCs w:val="16"/>
          <w:color w:val="auto"/>
        </w:rPr>
        <w:t>. The Company has filed or will file, in accordance with the provisions of the Securities Act</w:t>
      </w:r>
      <w:r>
        <w:rPr>
          <w:rFonts w:ascii="Arial" w:cs="Arial" w:eastAsia="Arial" w:hAnsi="Arial"/>
          <w:sz w:val="16"/>
          <w:szCs w:val="16"/>
          <w:i w:val="1"/>
          <w:iCs w:val="1"/>
          <w:color w:val="auto"/>
        </w:rPr>
        <w:t xml:space="preserve"> </w:t>
      </w:r>
      <w:r>
        <w:rPr>
          <w:rFonts w:ascii="Arial" w:cs="Arial" w:eastAsia="Arial" w:hAnsi="Arial"/>
          <w:sz w:val="16"/>
          <w:szCs w:val="16"/>
          <w:color w:val="auto"/>
        </w:rPr>
        <w:t xml:space="preserve">of 1933, as amended, and the rules and regulations thereunder (collectively, the </w:t>
      </w:r>
      <w:r>
        <w:rPr>
          <w:rFonts w:ascii="Arial" w:cs="Arial" w:eastAsia="Arial" w:hAnsi="Arial"/>
          <w:sz w:val="16"/>
          <w:szCs w:val="16"/>
          <w:b w:val="1"/>
          <w:bCs w:val="1"/>
          <w:i w:val="1"/>
          <w:iCs w:val="1"/>
          <w:color w:val="auto"/>
        </w:rPr>
        <w:t>“Securities Act”</w:t>
      </w:r>
      <w:r>
        <w:rPr>
          <w:rFonts w:ascii="Arial" w:cs="Arial" w:eastAsia="Arial" w:hAnsi="Arial"/>
          <w:sz w:val="16"/>
          <w:szCs w:val="16"/>
          <w:color w:val="auto"/>
        </w:rPr>
        <w:t xml:space="preserve">), with the Securities and Exchange Commission (the </w:t>
      </w:r>
      <w:r>
        <w:rPr>
          <w:rFonts w:ascii="Arial" w:cs="Arial" w:eastAsia="Arial" w:hAnsi="Arial"/>
          <w:sz w:val="16"/>
          <w:szCs w:val="16"/>
          <w:b w:val="1"/>
          <w:bCs w:val="1"/>
          <w:i w:val="1"/>
          <w:iCs w:val="1"/>
          <w:color w:val="auto"/>
        </w:rPr>
        <w:t>“Commission”</w:t>
      </w:r>
      <w:r>
        <w:rPr>
          <w:rFonts w:ascii="Arial" w:cs="Arial" w:eastAsia="Arial" w:hAnsi="Arial"/>
          <w:sz w:val="16"/>
          <w:szCs w:val="16"/>
          <w:color w:val="auto"/>
        </w:rPr>
        <w:t xml:space="preserve">) a registration statement on Form S-3, including a base prospectus, relating to certain securities, including the Common Stock, to be issued from time to time by the Company, and which incorporates by reference documents that the Company has filed or will file in accordance with the provisions of the Securities Exchange Act of 1934, as amended, and the rules and regulations thereunder (collectively, the </w:t>
      </w:r>
      <w:r>
        <w:rPr>
          <w:rFonts w:ascii="Arial" w:cs="Arial" w:eastAsia="Arial" w:hAnsi="Arial"/>
          <w:sz w:val="16"/>
          <w:szCs w:val="16"/>
          <w:b w:val="1"/>
          <w:bCs w:val="1"/>
          <w:i w:val="1"/>
          <w:iCs w:val="1"/>
          <w:color w:val="auto"/>
        </w:rPr>
        <w:t>“Exchange Act”</w:t>
      </w:r>
      <w:r>
        <w:rPr>
          <w:rFonts w:ascii="Arial" w:cs="Arial" w:eastAsia="Arial" w:hAnsi="Arial"/>
          <w:sz w:val="16"/>
          <w:szCs w:val="16"/>
          <w:color w:val="auto"/>
        </w:rPr>
        <w:t>). The Company has prepared a prospectus included as part of such registration statement specifically relating to the Shares (the</w:t>
      </w:r>
      <w:r>
        <w:rPr>
          <w:rFonts w:ascii="Arial" w:cs="Arial" w:eastAsia="Arial" w:hAnsi="Arial"/>
          <w:sz w:val="16"/>
          <w:szCs w:val="16"/>
          <w:b w:val="1"/>
          <w:bCs w:val="1"/>
          <w:i w:val="1"/>
          <w:iCs w:val="1"/>
          <w:color w:val="auto"/>
        </w:rPr>
        <w:t xml:space="preserve"> “Sales Prospectus”</w:t>
      </w:r>
      <w:r>
        <w:rPr>
          <w:rFonts w:ascii="Arial" w:cs="Arial" w:eastAsia="Arial" w:hAnsi="Arial"/>
          <w:sz w:val="16"/>
          <w:szCs w:val="16"/>
          <w:color w:val="auto"/>
        </w:rPr>
        <w:t>). The Company has furnished to the Agent, for use by the Agent, copies of</w:t>
      </w:r>
    </w:p>
    <w:p>
      <w:pPr>
        <w:sectPr>
          <w:pgSz w:w="11900" w:h="16838" w:orient="portrait"/>
          <w:cols w:equalWidth="0" w:num="1">
            <w:col w:w="11024"/>
          </w:cols>
          <w:pgMar w:left="436" w:top="121" w:right="439" w:bottom="1440" w:gutter="0" w:footer="0" w:header="0"/>
        </w:sectPr>
      </w:pPr>
    </w:p>
    <w:bookmarkStart w:id="71" w:name="page72"/>
    <w:bookmarkEnd w:id="71"/>
    <w:p>
      <w:pPr>
        <w:spacing w:after="0" w:line="267" w:lineRule="auto"/>
        <w:rPr>
          <w:sz w:val="20"/>
          <w:szCs w:val="20"/>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104" name="Picture 1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
                    <pic:cNvPicPr>
                      <a:picLocks noChangeAspect="1" noChangeArrowheads="1"/>
                    </pic:cNvPicPr>
                  </pic:nvPicPr>
                  <pic:blipFill>
                    <a:blip r:embed="rId126">
                      <a:extLst>
                        <a:ext uri="{28A0092B-C50C-407E-A947-70E740481C1C}"/>
                      </a:extLst>
                    </a:blip>
                    <a:srcRect/>
                    <a:stretch>
                      <a:fillRect/>
                    </a:stretch>
                  </pic:blipFill>
                  <pic:spPr bwMode="auto">
                    <a:xfrm>
                      <a:off x="0" y="0"/>
                      <a:ext cx="7149465" cy="26035"/>
                    </a:xfrm>
                    <a:prstGeom prst="rect">
                      <a:avLst/>
                    </a:prstGeom>
                    <a:noFill/>
                  </pic:spPr>
                </pic:pic>
              </a:graphicData>
            </a:graphic>
          </wp:anchor>
        </w:drawing>
        <w:t xml:space="preserve">the Sales Prospectus included as part of such registration statement, as supplemented by any prospectus supplement, relating to the Shares. Except where the context otherwise requires, such registration statement, as amended when it became effective, including all documents filed as part thereof or incorporated by reference therein, and including any information contained in a Prospectus (as defined below) subsequently filed with the Commission pursuant to Rule 424(b) under the Securities Act or deemed to be a part of such registration statement pursuant to Rule 430B or 462(b) under the Securities Act, is herein called the </w:t>
      </w:r>
      <w:r>
        <w:rPr>
          <w:rFonts w:ascii="Arial" w:cs="Arial" w:eastAsia="Arial" w:hAnsi="Arial"/>
          <w:sz w:val="17"/>
          <w:szCs w:val="17"/>
          <w:b w:val="1"/>
          <w:bCs w:val="1"/>
          <w:i w:val="1"/>
          <w:iCs w:val="1"/>
          <w:color w:val="auto"/>
        </w:rPr>
        <w:t>“Registration Statement.”</w:t>
      </w:r>
      <w:r>
        <w:rPr>
          <w:rFonts w:ascii="Arial" w:cs="Arial" w:eastAsia="Arial" w:hAnsi="Arial"/>
          <w:sz w:val="17"/>
          <w:szCs w:val="17"/>
          <w:color w:val="auto"/>
        </w:rPr>
        <w:t xml:space="preserve"> The Sales Prospectus, including all documents incorporated therein by reference, included in the Registration Statement, as it may be supplemented by any prospectus supplement, in the form in which the Sales Prospectus, as supplemented by any prospectus supplement, if applicable, has most recently been filed by the Company with the Commission pursuant to Rule 424(b) under the Securities Act, together with any “</w:t>
      </w:r>
      <w:r>
        <w:rPr>
          <w:rFonts w:ascii="Arial" w:cs="Arial" w:eastAsia="Arial" w:hAnsi="Arial"/>
          <w:sz w:val="17"/>
          <w:szCs w:val="17"/>
          <w:b w:val="1"/>
          <w:bCs w:val="1"/>
          <w:i w:val="1"/>
          <w:iCs w:val="1"/>
          <w:color w:val="auto"/>
        </w:rPr>
        <w:t>issuer free writing prospectus</w:t>
      </w:r>
      <w:r>
        <w:rPr>
          <w:rFonts w:ascii="Arial" w:cs="Arial" w:eastAsia="Arial" w:hAnsi="Arial"/>
          <w:sz w:val="17"/>
          <w:szCs w:val="17"/>
          <w:color w:val="auto"/>
        </w:rPr>
        <w:t>,” as defined in Rule 433 under the Securities Act (</w:t>
      </w:r>
      <w:r>
        <w:rPr>
          <w:rFonts w:ascii="Arial" w:cs="Arial" w:eastAsia="Arial" w:hAnsi="Arial"/>
          <w:sz w:val="17"/>
          <w:szCs w:val="17"/>
          <w:b w:val="1"/>
          <w:bCs w:val="1"/>
          <w:i w:val="1"/>
          <w:iCs w:val="1"/>
          <w:color w:val="auto"/>
        </w:rPr>
        <w:t>“Rule 433”</w:t>
      </w:r>
      <w:r>
        <w:rPr>
          <w:rFonts w:ascii="Arial" w:cs="Arial" w:eastAsia="Arial" w:hAnsi="Arial"/>
          <w:sz w:val="17"/>
          <w:szCs w:val="17"/>
          <w:color w:val="auto"/>
        </w:rPr>
        <w:t xml:space="preserve">), relating to the Shares, if any, that (i) is required to be filed with the Commission by the Company or (ii) is exempt from filing pursuant to Rule 433(d)(5)(i), in each case in the form filed or required to be filed with the Commission or, if not required to be filed, in the form retained in the Company’s records pursuant to Rule 433(g), is herein called the </w:t>
      </w:r>
      <w:r>
        <w:rPr>
          <w:rFonts w:ascii="Arial" w:cs="Arial" w:eastAsia="Arial" w:hAnsi="Arial"/>
          <w:sz w:val="17"/>
          <w:szCs w:val="17"/>
          <w:b w:val="1"/>
          <w:bCs w:val="1"/>
          <w:i w:val="1"/>
          <w:iCs w:val="1"/>
          <w:color w:val="auto"/>
        </w:rPr>
        <w:t>“Prospectus.”</w:t>
      </w:r>
      <w:r>
        <w:rPr>
          <w:rFonts w:ascii="Arial" w:cs="Arial" w:eastAsia="Arial" w:hAnsi="Arial"/>
          <w:sz w:val="17"/>
          <w:szCs w:val="17"/>
          <w:color w:val="auto"/>
        </w:rPr>
        <w:t xml:space="preserve"> Any reference herein to the Registration Statement, the Prospectus or any amendment or supplement thereto shall be deemed to refer to and include the documents incorporated by reference therein, and any reference herein to the terms “amend,” “amendment” or “supplement” with respect to the Registration Statement or the Prospectus shall be deemed to refer to and include the filing after the execution hereof of any document with the Commission deemed to be incorporated by reference therein. For purposes of this Agreement, all references to the Registration Statement, the Prospectus or to any amendment or supplement thereto shall be deemed to include any copy filed with the Commission pursuant the Electronic Data Gathering Analysis and Retrieval System (“</w:t>
      </w:r>
      <w:r>
        <w:rPr>
          <w:rFonts w:ascii="Arial" w:cs="Arial" w:eastAsia="Arial" w:hAnsi="Arial"/>
          <w:sz w:val="17"/>
          <w:szCs w:val="17"/>
          <w:b w:val="1"/>
          <w:bCs w:val="1"/>
          <w:i w:val="1"/>
          <w:iCs w:val="1"/>
          <w:color w:val="auto"/>
        </w:rPr>
        <w:t>EDGAR”</w:t>
      </w:r>
      <w:r>
        <w:rPr>
          <w:rFonts w:ascii="Arial" w:cs="Arial" w:eastAsia="Arial" w:hAnsi="Arial"/>
          <w:sz w:val="17"/>
          <w:szCs w:val="17"/>
          <w:color w:val="auto"/>
        </w:rPr>
        <w:t>).</w:t>
      </w:r>
    </w:p>
    <w:p>
      <w:pPr>
        <w:spacing w:after="0" w:line="83" w:lineRule="exact"/>
        <w:rPr>
          <w:sz w:val="20"/>
          <w:szCs w:val="20"/>
          <w:color w:val="auto"/>
        </w:rPr>
      </w:pPr>
    </w:p>
    <w:p>
      <w:pPr>
        <w:ind w:right="20" w:firstLine="948"/>
        <w:spacing w:after="0" w:line="293" w:lineRule="auto"/>
        <w:tabs>
          <w:tab w:leader="none" w:pos="1217" w:val="left"/>
        </w:tabs>
        <w:numPr>
          <w:ilvl w:val="0"/>
          <w:numId w:val="49"/>
        </w:numPr>
        <w:rPr>
          <w:rFonts w:ascii="Arial" w:cs="Arial" w:eastAsia="Arial" w:hAnsi="Arial"/>
          <w:sz w:val="16"/>
          <w:szCs w:val="16"/>
          <w:color w:val="auto"/>
        </w:rPr>
      </w:pPr>
      <w:r>
        <w:rPr>
          <w:rFonts w:ascii="Arial" w:cs="Arial" w:eastAsia="Arial" w:hAnsi="Arial"/>
          <w:sz w:val="16"/>
          <w:szCs w:val="16"/>
          <w:i w:val="1"/>
          <w:iCs w:val="1"/>
          <w:color w:val="auto"/>
        </w:rPr>
        <w:t>Continuing Effectiveness of Registration Statement</w:t>
      </w:r>
      <w:r>
        <w:rPr>
          <w:rFonts w:ascii="Arial" w:cs="Arial" w:eastAsia="Arial" w:hAnsi="Arial"/>
          <w:sz w:val="16"/>
          <w:szCs w:val="16"/>
          <w:color w:val="auto"/>
        </w:rPr>
        <w:t>. The Registration Statement and any Rule 462(b) Registration Statement have</w:t>
      </w:r>
      <w:r>
        <w:rPr>
          <w:rFonts w:ascii="Arial" w:cs="Arial" w:eastAsia="Arial" w:hAnsi="Arial"/>
          <w:sz w:val="16"/>
          <w:szCs w:val="16"/>
          <w:i w:val="1"/>
          <w:iCs w:val="1"/>
          <w:color w:val="auto"/>
        </w:rPr>
        <w:t xml:space="preserve"> </w:t>
      </w:r>
      <w:r>
        <w:rPr>
          <w:rFonts w:ascii="Arial" w:cs="Arial" w:eastAsia="Arial" w:hAnsi="Arial"/>
          <w:sz w:val="16"/>
          <w:szCs w:val="16"/>
          <w:color w:val="auto"/>
        </w:rPr>
        <w:t>been declared effective by the Commission under the Securities Act. The Company has complied, to the Commission’s satisfaction, with all requests of the Commission for additional or supplemental information. No stop order suspending the effectiveness of the Registration Statement or any Rule 462(b) Registration Statement is in effect and no proceedings for such purpose have been instituted or are pending or, to the knowledge of the Company, contemplated or threatened by the Commission. The Company meets the requirements for use of Form S-3 under the Securities Act. The sale of the Shares hereunder meets the requirements or General Instruction I.B.1. or I.B.6 of Form S-3.</w:t>
      </w:r>
    </w:p>
    <w:p>
      <w:pPr>
        <w:spacing w:after="0" w:line="56" w:lineRule="exact"/>
        <w:rPr>
          <w:rFonts w:ascii="Arial" w:cs="Arial" w:eastAsia="Arial" w:hAnsi="Arial"/>
          <w:sz w:val="16"/>
          <w:szCs w:val="16"/>
          <w:color w:val="auto"/>
        </w:rPr>
      </w:pPr>
    </w:p>
    <w:p>
      <w:pPr>
        <w:ind w:right="60" w:firstLine="948"/>
        <w:spacing w:after="0" w:line="257" w:lineRule="auto"/>
        <w:tabs>
          <w:tab w:leader="none" w:pos="1267" w:val="left"/>
        </w:tabs>
        <w:numPr>
          <w:ilvl w:val="0"/>
          <w:numId w:val="49"/>
        </w:numPr>
        <w:rPr>
          <w:rFonts w:ascii="Arial" w:cs="Arial" w:eastAsia="Arial" w:hAnsi="Arial"/>
          <w:sz w:val="18"/>
          <w:szCs w:val="18"/>
          <w:color w:val="auto"/>
        </w:rPr>
      </w:pPr>
      <w:r>
        <w:rPr>
          <w:rFonts w:ascii="Arial" w:cs="Arial" w:eastAsia="Arial" w:hAnsi="Arial"/>
          <w:sz w:val="18"/>
          <w:szCs w:val="18"/>
          <w:i w:val="1"/>
          <w:iCs w:val="1"/>
          <w:color w:val="auto"/>
        </w:rPr>
        <w:t>No Material Misstatements or Omissions</w:t>
      </w:r>
      <w:r>
        <w:rPr>
          <w:rFonts w:ascii="Arial" w:cs="Arial" w:eastAsia="Arial" w:hAnsi="Arial"/>
          <w:sz w:val="18"/>
          <w:szCs w:val="18"/>
          <w:color w:val="auto"/>
        </w:rPr>
        <w:t>. The Prospectus when filed complied, and as amended or supplemented, if applicable,</w:t>
      </w:r>
      <w:r>
        <w:rPr>
          <w:rFonts w:ascii="Arial" w:cs="Arial" w:eastAsia="Arial" w:hAnsi="Arial"/>
          <w:sz w:val="18"/>
          <w:szCs w:val="18"/>
          <w:i w:val="1"/>
          <w:iCs w:val="1"/>
          <w:color w:val="auto"/>
        </w:rPr>
        <w:t xml:space="preserve"> </w:t>
      </w:r>
      <w:r>
        <w:rPr>
          <w:rFonts w:ascii="Arial" w:cs="Arial" w:eastAsia="Arial" w:hAnsi="Arial"/>
          <w:sz w:val="18"/>
          <w:szCs w:val="18"/>
          <w:color w:val="auto"/>
        </w:rPr>
        <w:t>will comply in all material respects with the Securities Act. Each of the Registration Statement, any Rule 462(b) Registration Statement, the Prospectus and any post-effective amendments or supplements thereto, at the time it became effective or its date, as applicable, and as of each Settlement Date (as defined in Section 2(a)(vii) below), complied in all material respects with the Securities Act, and as of each effective date and each Settlement Date, did not and will not</w:t>
      </w:r>
    </w:p>
    <w:p>
      <w:pPr>
        <w:sectPr>
          <w:pgSz w:w="11900" w:h="16838" w:orient="portrait"/>
          <w:cols w:equalWidth="0" w:num="1">
            <w:col w:w="10560"/>
          </w:cols>
          <w:pgMar w:left="880" w:top="274" w:right="459" w:bottom="1440" w:gutter="0" w:footer="0" w:header="0"/>
        </w:sectPr>
      </w:pPr>
    </w:p>
    <w:bookmarkStart w:id="72" w:name="page73"/>
    <w:bookmarkEnd w:id="72"/>
    <w:p>
      <w:pPr>
        <w:ind w:right="140"/>
        <w:spacing w:after="0" w:line="270" w:lineRule="auto"/>
        <w:rPr>
          <w:sz w:val="20"/>
          <w:szCs w:val="20"/>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105" name="Picture 1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
                    <pic:cNvPicPr>
                      <a:picLocks noChangeAspect="1" noChangeArrowheads="1"/>
                    </pic:cNvPicPr>
                  </pic:nvPicPr>
                  <pic:blipFill>
                    <a:blip r:embed="rId127">
                      <a:extLst>
                        <a:ext uri="{28A0092B-C50C-407E-A947-70E740481C1C}"/>
                      </a:extLst>
                    </a:blip>
                    <a:srcRect/>
                    <a:stretch>
                      <a:fillRect/>
                    </a:stretch>
                  </pic:blipFill>
                  <pic:spPr bwMode="auto">
                    <a:xfrm>
                      <a:off x="0" y="0"/>
                      <a:ext cx="7149465" cy="26035"/>
                    </a:xfrm>
                    <a:prstGeom prst="rect">
                      <a:avLst/>
                    </a:prstGeom>
                    <a:noFill/>
                  </pic:spPr>
                </pic:pic>
              </a:graphicData>
            </a:graphic>
          </wp:anchor>
        </w:drawing>
        <w:t>contain any untrue statement of a material fact or omit to state a material fact required to be stated therein or necessary to make the statements therein not misleading. The Prospectus, as amended or supplemented, as of its date, did not and, as of each Settlement Date, will not contain any untrue statement of a material fact or omit to state a material fact necessary in order to make the statements therein, in the light of the circumstances under which they were made, not misleading. The representations and warranties set forth in the two immediately preceding sentences do not apply to statements in or omissions from the Registration Statement, any Rule 462(b) Registration Statement, or any post-effective amendment thereto, or the Prospectus, or any amendments or supplements thereto, made in reliance upon and in conformity with information relating to the Agent furnished to the Company in writing by the Agent expressly for use therein. There are no contracts or other documents required to be described in the Prospectus or to be filed as exhibits to the Registration Statement which have not been described or filed as required.</w:t>
      </w:r>
    </w:p>
    <w:p>
      <w:pPr>
        <w:spacing w:after="0" w:line="73" w:lineRule="exact"/>
        <w:rPr>
          <w:sz w:val="20"/>
          <w:szCs w:val="20"/>
          <w:color w:val="auto"/>
        </w:rPr>
      </w:pPr>
    </w:p>
    <w:p>
      <w:pPr>
        <w:ind w:right="160" w:firstLine="948"/>
        <w:spacing w:after="0" w:line="301" w:lineRule="auto"/>
        <w:tabs>
          <w:tab w:leader="none" w:pos="1256" w:val="left"/>
        </w:tabs>
        <w:numPr>
          <w:ilvl w:val="0"/>
          <w:numId w:val="50"/>
        </w:numPr>
        <w:rPr>
          <w:rFonts w:ascii="Arial" w:cs="Arial" w:eastAsia="Arial" w:hAnsi="Arial"/>
          <w:sz w:val="16"/>
          <w:szCs w:val="16"/>
          <w:color w:val="auto"/>
        </w:rPr>
      </w:pPr>
      <w:r>
        <w:rPr>
          <w:rFonts w:ascii="Arial" w:cs="Arial" w:eastAsia="Arial" w:hAnsi="Arial"/>
          <w:sz w:val="16"/>
          <w:szCs w:val="16"/>
          <w:i w:val="1"/>
          <w:iCs w:val="1"/>
          <w:color w:val="auto"/>
        </w:rPr>
        <w:t>Eligible Issuer</w:t>
      </w:r>
      <w:r>
        <w:rPr>
          <w:rFonts w:ascii="Arial" w:cs="Arial" w:eastAsia="Arial" w:hAnsi="Arial"/>
          <w:sz w:val="16"/>
          <w:szCs w:val="16"/>
          <w:color w:val="auto"/>
        </w:rPr>
        <w:t>. The Company is not an “ineligible issuer” (as defined in Rule 405 under the Securities Act) as of the eligibility</w:t>
      </w:r>
      <w:r>
        <w:rPr>
          <w:rFonts w:ascii="Arial" w:cs="Arial" w:eastAsia="Arial" w:hAnsi="Arial"/>
          <w:sz w:val="16"/>
          <w:szCs w:val="16"/>
          <w:i w:val="1"/>
          <w:iCs w:val="1"/>
          <w:color w:val="auto"/>
        </w:rPr>
        <w:t xml:space="preserve"> </w:t>
      </w:r>
      <w:r>
        <w:rPr>
          <w:rFonts w:ascii="Arial" w:cs="Arial" w:eastAsia="Arial" w:hAnsi="Arial"/>
          <w:sz w:val="16"/>
          <w:szCs w:val="16"/>
          <w:color w:val="auto"/>
        </w:rPr>
        <w:t>determination date for purposes of Rules 164 and 433 under the Securities Act with respect to the offering of the Shares contemplated by the Registration Statement; the parties hereto agree and understand that the content of any and all “road shows” (as defined in Rule 433 under the Securities Act) related to the offering of the Shares contemplated hereby is solely the property of the Company.</w:t>
      </w:r>
    </w:p>
    <w:p>
      <w:pPr>
        <w:spacing w:after="0" w:line="49" w:lineRule="exact"/>
        <w:rPr>
          <w:rFonts w:ascii="Arial" w:cs="Arial" w:eastAsia="Arial" w:hAnsi="Arial"/>
          <w:sz w:val="16"/>
          <w:szCs w:val="16"/>
          <w:color w:val="auto"/>
        </w:rPr>
      </w:pPr>
    </w:p>
    <w:p>
      <w:pPr>
        <w:ind w:left="1200" w:hanging="252"/>
        <w:spacing w:after="0"/>
        <w:tabs>
          <w:tab w:leader="none" w:pos="1200" w:val="left"/>
        </w:tabs>
        <w:numPr>
          <w:ilvl w:val="0"/>
          <w:numId w:val="50"/>
        </w:numPr>
        <w:rPr>
          <w:rFonts w:ascii="Arial" w:cs="Arial" w:eastAsia="Arial" w:hAnsi="Arial"/>
          <w:sz w:val="18"/>
          <w:szCs w:val="18"/>
          <w:color w:val="auto"/>
        </w:rPr>
      </w:pPr>
      <w:r>
        <w:rPr>
          <w:rFonts w:ascii="Arial" w:cs="Arial" w:eastAsia="Arial" w:hAnsi="Arial"/>
          <w:sz w:val="18"/>
          <w:szCs w:val="18"/>
          <w:color w:val="auto"/>
        </w:rPr>
        <w:t>Reserved.</w:t>
      </w:r>
    </w:p>
    <w:p>
      <w:pPr>
        <w:spacing w:after="0" w:line="117" w:lineRule="exact"/>
        <w:rPr>
          <w:rFonts w:ascii="Arial" w:cs="Arial" w:eastAsia="Arial" w:hAnsi="Arial"/>
          <w:sz w:val="18"/>
          <w:szCs w:val="18"/>
          <w:color w:val="auto"/>
        </w:rPr>
      </w:pPr>
    </w:p>
    <w:p>
      <w:pPr>
        <w:ind w:firstLine="948"/>
        <w:spacing w:after="0" w:line="286" w:lineRule="auto"/>
        <w:tabs>
          <w:tab w:leader="none" w:pos="1256" w:val="left"/>
        </w:tabs>
        <w:numPr>
          <w:ilvl w:val="0"/>
          <w:numId w:val="50"/>
        </w:numPr>
        <w:rPr>
          <w:rFonts w:ascii="Arial" w:cs="Arial" w:eastAsia="Arial" w:hAnsi="Arial"/>
          <w:sz w:val="16"/>
          <w:szCs w:val="16"/>
          <w:color w:val="auto"/>
        </w:rPr>
      </w:pPr>
      <w:r>
        <w:rPr>
          <w:rFonts w:ascii="Arial" w:cs="Arial" w:eastAsia="Arial" w:hAnsi="Arial"/>
          <w:sz w:val="16"/>
          <w:szCs w:val="16"/>
          <w:i w:val="1"/>
          <w:iCs w:val="1"/>
          <w:color w:val="auto"/>
        </w:rPr>
        <w:t>Financial Statements</w:t>
      </w:r>
      <w:r>
        <w:rPr>
          <w:rFonts w:ascii="Arial" w:cs="Arial" w:eastAsia="Arial" w:hAnsi="Arial"/>
          <w:sz w:val="16"/>
          <w:szCs w:val="16"/>
          <w:color w:val="auto"/>
        </w:rPr>
        <w:t>. The historical financial statements (including the related notes and supporting schedules) to be included or</w:t>
      </w:r>
      <w:r>
        <w:rPr>
          <w:rFonts w:ascii="Arial" w:cs="Arial" w:eastAsia="Arial" w:hAnsi="Arial"/>
          <w:sz w:val="16"/>
          <w:szCs w:val="16"/>
          <w:i w:val="1"/>
          <w:iCs w:val="1"/>
          <w:color w:val="auto"/>
        </w:rPr>
        <w:t xml:space="preserve"> </w:t>
      </w:r>
      <w:r>
        <w:rPr>
          <w:rFonts w:ascii="Arial" w:cs="Arial" w:eastAsia="Arial" w:hAnsi="Arial"/>
          <w:sz w:val="16"/>
          <w:szCs w:val="16"/>
          <w:color w:val="auto"/>
        </w:rPr>
        <w:t>incorporated by reference, in the Registration Statement, and the Prospectus comply as to form in all material respects with the requirements of Regulation S-X under the Securities Act (</w:t>
      </w:r>
      <w:r>
        <w:rPr>
          <w:rFonts w:ascii="Arial" w:cs="Arial" w:eastAsia="Arial" w:hAnsi="Arial"/>
          <w:sz w:val="16"/>
          <w:szCs w:val="16"/>
          <w:b w:val="1"/>
          <w:bCs w:val="1"/>
          <w:i w:val="1"/>
          <w:iCs w:val="1"/>
          <w:color w:val="auto"/>
        </w:rPr>
        <w:t>“Regulation S-X”</w:t>
      </w:r>
      <w:r>
        <w:rPr>
          <w:rFonts w:ascii="Arial" w:cs="Arial" w:eastAsia="Arial" w:hAnsi="Arial"/>
          <w:sz w:val="16"/>
          <w:szCs w:val="16"/>
          <w:color w:val="auto"/>
        </w:rPr>
        <w:t>) and present fairly in all material respects the financial condition, results of operations and cash flows of the entities purported to be shown thereby at the dates and for the periods indicated and have been prepared in conformity with generally accepted accounting principles in the United States applied on a consistent basis throughout the periods involved (except (i) as may be otherwise indicated in such financial statements or the notes thereto, or (ii) in the case of unaudited interim statements, to the extent they may exclude footnotes and are subject to normal and recurring year-end adjustments that are not reasonably expected to be material in amount). All disclosures contained in the Registration Statement and Prospectus regarding “non-GAAP financial measures” (as such term is defined by the rules and regulations of the Commission) comply with Regulation G of the Exchange Act and Item 10 of Regulation S-K of the Act, to the extent applicable. There are no financial statements (historical or pro forma) that are required to be included in the Registration Statement or the Prospectus that are not so included as required. The interactive data in eXtensible Business Reporting Language (</w:t>
      </w:r>
      <w:r>
        <w:rPr>
          <w:rFonts w:ascii="Arial" w:cs="Arial" w:eastAsia="Arial" w:hAnsi="Arial"/>
          <w:sz w:val="16"/>
          <w:szCs w:val="16"/>
          <w:b w:val="1"/>
          <w:bCs w:val="1"/>
          <w:i w:val="1"/>
          <w:iCs w:val="1"/>
          <w:color w:val="auto"/>
        </w:rPr>
        <w:t>“XBRL”</w:t>
      </w:r>
      <w:r>
        <w:rPr>
          <w:rFonts w:ascii="Arial" w:cs="Arial" w:eastAsia="Arial" w:hAnsi="Arial"/>
          <w:sz w:val="16"/>
          <w:szCs w:val="16"/>
          <w:color w:val="auto"/>
        </w:rPr>
        <w:t>) included or incorporated by reference in the Registration Statement and the Prospectus fairly present the information called for in all material respects and have been prepared in accordance with the Commission’s rules and guidelines applicable thereto.</w:t>
      </w:r>
    </w:p>
    <w:p>
      <w:pPr>
        <w:sectPr>
          <w:pgSz w:w="11900" w:h="16838" w:orient="portrait"/>
          <w:cols w:equalWidth="0" w:num="1">
            <w:col w:w="10540"/>
          </w:cols>
          <w:pgMar w:left="880" w:top="274" w:right="479" w:bottom="1440" w:gutter="0" w:footer="0" w:header="0"/>
        </w:sectPr>
      </w:pPr>
    </w:p>
    <w:bookmarkStart w:id="73" w:name="page74"/>
    <w:bookmarkEnd w:id="73"/>
    <w:p>
      <w:pPr>
        <w:ind w:left="-560" w:firstLine="948"/>
        <w:spacing w:after="0" w:line="293" w:lineRule="auto"/>
        <w:tabs>
          <w:tab w:leader="none" w:pos="746" w:val="left"/>
        </w:tabs>
        <w:numPr>
          <w:ilvl w:val="0"/>
          <w:numId w:val="51"/>
        </w:numPr>
        <w:rPr>
          <w:rFonts w:ascii="Arial" w:cs="Arial" w:eastAsia="Arial" w:hAnsi="Arial"/>
          <w:sz w:val="16"/>
          <w:szCs w:val="16"/>
          <w:color w:val="auto"/>
        </w:rPr>
      </w:pPr>
      <w:r>
        <w:rPr>
          <w:rFonts w:ascii="Arial" w:cs="Arial" w:eastAsia="Arial" w:hAnsi="Arial"/>
          <w:sz w:val="16"/>
          <w:szCs w:val="16"/>
          <w:i w:val="1"/>
          <w:iCs w:val="1"/>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106" name="Picture 1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
                    <pic:cNvPicPr>
                      <a:picLocks noChangeAspect="1" noChangeArrowheads="1"/>
                    </pic:cNvPicPr>
                  </pic:nvPicPr>
                  <pic:blipFill>
                    <a:blip r:embed="rId128">
                      <a:extLst>
                        <a:ext uri="{28A0092B-C50C-407E-A947-70E740481C1C}"/>
                      </a:extLst>
                    </a:blip>
                    <a:srcRect/>
                    <a:stretch>
                      <a:fillRect/>
                    </a:stretch>
                  </pic:blipFill>
                  <pic:spPr bwMode="auto">
                    <a:xfrm>
                      <a:off x="0" y="0"/>
                      <a:ext cx="7149465" cy="26035"/>
                    </a:xfrm>
                    <a:prstGeom prst="rect">
                      <a:avLst/>
                    </a:prstGeom>
                    <a:noFill/>
                  </pic:spPr>
                </pic:pic>
              </a:graphicData>
            </a:graphic>
          </wp:anchor>
        </w:drawing>
        <w:t>No Off-Balance Sheet Transactions</w:t>
      </w:r>
      <w:r>
        <w:rPr>
          <w:rFonts w:ascii="Arial" w:cs="Arial" w:eastAsia="Arial" w:hAnsi="Arial"/>
          <w:sz w:val="16"/>
          <w:szCs w:val="16"/>
          <w:color w:val="auto"/>
        </w:rPr>
        <w:t>. There are no transactions, arrangements and other relationships between and/or among the</w:t>
      </w:r>
      <w:r>
        <w:rPr>
          <w:rFonts w:ascii="Arial" w:cs="Arial" w:eastAsia="Arial" w:hAnsi="Arial"/>
          <w:sz w:val="16"/>
          <w:szCs w:val="16"/>
          <w:i w:val="1"/>
          <w:iCs w:val="1"/>
          <w:color w:val="auto"/>
        </w:rPr>
        <w:t xml:space="preserve"> </w:t>
      </w:r>
      <w:r>
        <w:rPr>
          <w:rFonts w:ascii="Arial" w:cs="Arial" w:eastAsia="Arial" w:hAnsi="Arial"/>
          <w:sz w:val="16"/>
          <w:szCs w:val="16"/>
          <w:color w:val="auto"/>
        </w:rPr>
        <w:t>Company, and/or, to the knowledge of the Company, any of its affiliates and any unconsolidated entity, including, but not limited to, any structural finance, special purpose or limited purpose entity (each, an “</w:t>
      </w:r>
      <w:r>
        <w:rPr>
          <w:rFonts w:ascii="Arial" w:cs="Arial" w:eastAsia="Arial" w:hAnsi="Arial"/>
          <w:sz w:val="16"/>
          <w:szCs w:val="16"/>
          <w:b w:val="1"/>
          <w:bCs w:val="1"/>
          <w:i w:val="1"/>
          <w:iCs w:val="1"/>
          <w:color w:val="auto"/>
        </w:rPr>
        <w:t>Off-Balance Sheet Transaction”</w:t>
      </w:r>
      <w:r>
        <w:rPr>
          <w:rFonts w:ascii="Arial" w:cs="Arial" w:eastAsia="Arial" w:hAnsi="Arial"/>
          <w:sz w:val="16"/>
          <w:szCs w:val="16"/>
          <w:color w:val="auto"/>
        </w:rPr>
        <w:t>) that could reasonably be expected to affect materially the Company’s liquidity or the availability of or requirements for its capital resources, including those Off Balance Sheet Transactions described in the Commission’s Statement about Management’s Discussion and Analysis of Financial Conditions and Results of Operations (Release Nos. 33-8056; 34-45321; FR-61), and are required to be described in the Prospectus, which have not been described as required.</w:t>
      </w:r>
    </w:p>
    <w:p>
      <w:pPr>
        <w:spacing w:after="0" w:line="56" w:lineRule="exact"/>
        <w:rPr>
          <w:rFonts w:ascii="Arial" w:cs="Arial" w:eastAsia="Arial" w:hAnsi="Arial"/>
          <w:sz w:val="16"/>
          <w:szCs w:val="16"/>
          <w:color w:val="auto"/>
        </w:rPr>
      </w:pPr>
    </w:p>
    <w:p>
      <w:pPr>
        <w:ind w:left="-560" w:right="200" w:firstLine="948"/>
        <w:spacing w:after="0" w:line="263" w:lineRule="auto"/>
        <w:tabs>
          <w:tab w:leader="none" w:pos="796" w:val="left"/>
        </w:tabs>
        <w:numPr>
          <w:ilvl w:val="0"/>
          <w:numId w:val="51"/>
        </w:numPr>
        <w:rPr>
          <w:rFonts w:ascii="Arial" w:cs="Arial" w:eastAsia="Arial" w:hAnsi="Arial"/>
          <w:sz w:val="18"/>
          <w:szCs w:val="18"/>
          <w:color w:val="auto"/>
        </w:rPr>
      </w:pPr>
      <w:r>
        <w:rPr>
          <w:rFonts w:ascii="Arial" w:cs="Arial" w:eastAsia="Arial" w:hAnsi="Arial"/>
          <w:sz w:val="18"/>
          <w:szCs w:val="18"/>
          <w:i w:val="1"/>
          <w:iCs w:val="1"/>
          <w:color w:val="auto"/>
        </w:rPr>
        <w:t xml:space="preserve">Auditor Independence. </w:t>
      </w:r>
      <w:r>
        <w:rPr>
          <w:rFonts w:ascii="Arial" w:cs="Arial" w:eastAsia="Arial" w:hAnsi="Arial"/>
          <w:sz w:val="18"/>
          <w:szCs w:val="18"/>
          <w:color w:val="auto"/>
        </w:rPr>
        <w:t>PricewaterhouseCoopers LLP, who have certified certain financial statements of the Company and its</w:t>
      </w:r>
      <w:r>
        <w:rPr>
          <w:rFonts w:ascii="Arial" w:cs="Arial" w:eastAsia="Arial" w:hAnsi="Arial"/>
          <w:sz w:val="18"/>
          <w:szCs w:val="18"/>
          <w:i w:val="1"/>
          <w:iCs w:val="1"/>
          <w:color w:val="auto"/>
        </w:rPr>
        <w:t xml:space="preserve"> </w:t>
      </w:r>
      <w:r>
        <w:rPr>
          <w:rFonts w:ascii="Arial" w:cs="Arial" w:eastAsia="Arial" w:hAnsi="Arial"/>
          <w:sz w:val="18"/>
          <w:szCs w:val="18"/>
          <w:color w:val="auto"/>
        </w:rPr>
        <w:t xml:space="preserve">consolidated subsidiaries (the </w:t>
      </w:r>
      <w:r>
        <w:rPr>
          <w:rFonts w:ascii="Arial" w:cs="Arial" w:eastAsia="Arial" w:hAnsi="Arial"/>
          <w:sz w:val="18"/>
          <w:szCs w:val="18"/>
          <w:b w:val="1"/>
          <w:bCs w:val="1"/>
          <w:i w:val="1"/>
          <w:iCs w:val="1"/>
          <w:color w:val="auto"/>
        </w:rPr>
        <w:t>“Subsidiaries”</w:t>
      </w:r>
      <w:r>
        <w:rPr>
          <w:rFonts w:ascii="Arial" w:cs="Arial" w:eastAsia="Arial" w:hAnsi="Arial"/>
          <w:sz w:val="18"/>
          <w:szCs w:val="18"/>
          <w:color w:val="auto"/>
        </w:rPr>
        <w:t>), whose report appears in the Registration Statement and the Prospectus, are independent public accountants as required by the Securities Act and the Public Accounting Oversight Board.</w:t>
      </w:r>
    </w:p>
    <w:p>
      <w:pPr>
        <w:spacing w:after="0" w:line="75" w:lineRule="exact"/>
        <w:rPr>
          <w:rFonts w:ascii="Arial" w:cs="Arial" w:eastAsia="Arial" w:hAnsi="Arial"/>
          <w:sz w:val="18"/>
          <w:szCs w:val="18"/>
          <w:color w:val="auto"/>
        </w:rPr>
      </w:pPr>
    </w:p>
    <w:p>
      <w:pPr>
        <w:ind w:left="-560" w:right="20" w:firstLine="948"/>
        <w:spacing w:after="0" w:line="286" w:lineRule="auto"/>
        <w:tabs>
          <w:tab w:leader="none" w:pos="696" w:val="left"/>
        </w:tabs>
        <w:numPr>
          <w:ilvl w:val="0"/>
          <w:numId w:val="51"/>
        </w:numPr>
        <w:rPr>
          <w:rFonts w:ascii="Arial" w:cs="Arial" w:eastAsia="Arial" w:hAnsi="Arial"/>
          <w:sz w:val="16"/>
          <w:szCs w:val="16"/>
          <w:color w:val="auto"/>
        </w:rPr>
      </w:pPr>
      <w:r>
        <w:rPr>
          <w:rFonts w:ascii="Arial" w:cs="Arial" w:eastAsia="Arial" w:hAnsi="Arial"/>
          <w:sz w:val="16"/>
          <w:szCs w:val="16"/>
          <w:i w:val="1"/>
          <w:iCs w:val="1"/>
          <w:color w:val="auto"/>
        </w:rPr>
        <w:t>No Material Adverse Effect</w:t>
      </w:r>
      <w:r>
        <w:rPr>
          <w:rFonts w:ascii="Arial" w:cs="Arial" w:eastAsia="Arial" w:hAnsi="Arial"/>
          <w:sz w:val="16"/>
          <w:szCs w:val="16"/>
          <w:color w:val="auto"/>
        </w:rPr>
        <w:t>. The Company and each of its Subsidiaries (a complete list of the Subsidiaries is included as</w:t>
      </w:r>
      <w:r>
        <w:rPr>
          <w:rFonts w:ascii="Arial" w:cs="Arial" w:eastAsia="Arial" w:hAnsi="Arial"/>
          <w:sz w:val="16"/>
          <w:szCs w:val="16"/>
          <w:i w:val="1"/>
          <w:iCs w:val="1"/>
          <w:color w:val="auto"/>
        </w:rPr>
        <w:t xml:space="preserve"> </w:t>
      </w:r>
      <w:r>
        <w:rPr>
          <w:rFonts w:ascii="Arial" w:cs="Arial" w:eastAsia="Arial" w:hAnsi="Arial"/>
          <w:sz w:val="16"/>
          <w:szCs w:val="16"/>
          <w:u w:val="single" w:color="auto"/>
          <w:color w:val="auto"/>
        </w:rPr>
        <w:t>Schedule 4</w:t>
      </w:r>
      <w:r>
        <w:rPr>
          <w:rFonts w:ascii="Arial" w:cs="Arial" w:eastAsia="Arial" w:hAnsi="Arial"/>
          <w:sz w:val="16"/>
          <w:szCs w:val="16"/>
          <w:color w:val="auto"/>
        </w:rPr>
        <w:t xml:space="preserve"> hereto) has been duly organized, validly existing as a corporation and in good standing under the laws of their respective jurisdictions of organization. The Company and each of its Subsidiaries are, and will be, duly licensed or qualified as a foreign corporation for transaction of business and in good standing under the laws of each other jurisdiction in which their respective ownership or lease of property or the conduct of their respective businesses requires such license or qualification, and have all corporate power and authority necessary to own or hold their respective properties and to conduct their respective businesses as described in the Registration Statement and the Prospectus, except where the failure to be so qualified or in good standing or have such power or authority would not, individually or in the aggregate, reasonably be expected to have a Material Adverse Effect. “</w:t>
      </w:r>
      <w:r>
        <w:rPr>
          <w:rFonts w:ascii="Arial" w:cs="Arial" w:eastAsia="Arial" w:hAnsi="Arial"/>
          <w:sz w:val="16"/>
          <w:szCs w:val="16"/>
          <w:b w:val="1"/>
          <w:bCs w:val="1"/>
          <w:i w:val="1"/>
          <w:iCs w:val="1"/>
          <w:color w:val="auto"/>
        </w:rPr>
        <w:t>Material Adverse Effect</w:t>
      </w:r>
      <w:r>
        <w:rPr>
          <w:rFonts w:ascii="Arial" w:cs="Arial" w:eastAsia="Arial" w:hAnsi="Arial"/>
          <w:sz w:val="16"/>
          <w:szCs w:val="16"/>
          <w:color w:val="auto"/>
        </w:rPr>
        <w:t xml:space="preserve">” shall mean any material adverse change or effect on or affecting (i) the business, earnings, assets, liabilities, prospects, condition (financial or otherwise), operations, general affairs, management, financial position, stockholders’ equity or results of operations of the Company and the Subsidiaries taken as a whole, or (ii) the ability of the Company to perform its obligations under this Agreement, including this issuance and sale of the Shares, or to consummate the transactions contemplated by this Agreement. The Company does not own or control, directly or indirectly, any corporation, association or other entity other than the subsidiaries listed in Exhibit 21.1 to the Company’s Annual Report on Form 10-K for the fiscal year ended December 31, 2020 except for subsidiaries that in the aggregate would not constitute a “significant subsidiary” (as defined in Rule 405 under the Securities Act). None of the Subsidiaries is a </w:t>
      </w:r>
      <w:r>
        <w:rPr>
          <w:rFonts w:ascii="Arial" w:cs="Arial" w:eastAsia="Arial" w:hAnsi="Arial"/>
          <w:sz w:val="16"/>
          <w:szCs w:val="16"/>
          <w:b w:val="1"/>
          <w:bCs w:val="1"/>
          <w:i w:val="1"/>
          <w:iCs w:val="1"/>
          <w:color w:val="auto"/>
        </w:rPr>
        <w:t>“significant</w:t>
      </w:r>
      <w:r>
        <w:rPr>
          <w:rFonts w:ascii="Arial" w:cs="Arial" w:eastAsia="Arial" w:hAnsi="Arial"/>
          <w:sz w:val="16"/>
          <w:szCs w:val="16"/>
          <w:color w:val="auto"/>
        </w:rPr>
        <w:t xml:space="preserve"> </w:t>
      </w:r>
      <w:r>
        <w:rPr>
          <w:rFonts w:ascii="Arial" w:cs="Arial" w:eastAsia="Arial" w:hAnsi="Arial"/>
          <w:sz w:val="16"/>
          <w:szCs w:val="16"/>
          <w:b w:val="1"/>
          <w:bCs w:val="1"/>
          <w:i w:val="1"/>
          <w:iCs w:val="1"/>
          <w:color w:val="auto"/>
        </w:rPr>
        <w:t xml:space="preserve">subsidiary” </w:t>
      </w:r>
      <w:r>
        <w:rPr>
          <w:rFonts w:ascii="Arial" w:cs="Arial" w:eastAsia="Arial" w:hAnsi="Arial"/>
          <w:sz w:val="16"/>
          <w:szCs w:val="16"/>
          <w:color w:val="auto"/>
        </w:rPr>
        <w:t>(as defined in Rule 405 under the Securities Act).</w:t>
      </w:r>
    </w:p>
    <w:p>
      <w:pPr>
        <w:spacing w:after="0" w:line="59" w:lineRule="exact"/>
        <w:rPr>
          <w:rFonts w:ascii="Arial" w:cs="Arial" w:eastAsia="Arial" w:hAnsi="Arial"/>
          <w:sz w:val="16"/>
          <w:szCs w:val="16"/>
          <w:color w:val="auto"/>
        </w:rPr>
      </w:pPr>
    </w:p>
    <w:p>
      <w:pPr>
        <w:ind w:left="-560" w:right="80" w:firstLine="948"/>
        <w:spacing w:after="0" w:line="263" w:lineRule="auto"/>
        <w:tabs>
          <w:tab w:leader="none" w:pos="646" w:val="left"/>
        </w:tabs>
        <w:numPr>
          <w:ilvl w:val="0"/>
          <w:numId w:val="51"/>
        </w:numPr>
        <w:rPr>
          <w:rFonts w:ascii="Arial" w:cs="Arial" w:eastAsia="Arial" w:hAnsi="Arial"/>
          <w:sz w:val="18"/>
          <w:szCs w:val="18"/>
          <w:color w:val="auto"/>
        </w:rPr>
      </w:pPr>
      <w:r>
        <w:rPr>
          <w:rFonts w:ascii="Arial" w:cs="Arial" w:eastAsia="Arial" w:hAnsi="Arial"/>
          <w:sz w:val="18"/>
          <w:szCs w:val="18"/>
          <w:i w:val="1"/>
          <w:iCs w:val="1"/>
          <w:color w:val="auto"/>
        </w:rPr>
        <w:t>Capitalization</w:t>
      </w:r>
      <w:r>
        <w:rPr>
          <w:rFonts w:ascii="Arial" w:cs="Arial" w:eastAsia="Arial" w:hAnsi="Arial"/>
          <w:sz w:val="18"/>
          <w:szCs w:val="18"/>
          <w:color w:val="auto"/>
        </w:rPr>
        <w:t>. The Company has an authorized capitalization as set forth in each of the Registration Statement and the</w:t>
      </w:r>
      <w:r>
        <w:rPr>
          <w:rFonts w:ascii="Arial" w:cs="Arial" w:eastAsia="Arial" w:hAnsi="Arial"/>
          <w:sz w:val="18"/>
          <w:szCs w:val="18"/>
          <w:i w:val="1"/>
          <w:iCs w:val="1"/>
          <w:color w:val="auto"/>
        </w:rPr>
        <w:t xml:space="preserve"> </w:t>
      </w:r>
      <w:r>
        <w:rPr>
          <w:rFonts w:ascii="Arial" w:cs="Arial" w:eastAsia="Arial" w:hAnsi="Arial"/>
          <w:sz w:val="18"/>
          <w:szCs w:val="18"/>
          <w:color w:val="auto"/>
        </w:rPr>
        <w:t>Prospectus, and all of the issued shares of the Company have been duly authorized and validly issued, are fully paid and non-assessable, conform in all material respects to the description thereof contained in the</w:t>
      </w:r>
    </w:p>
    <w:p>
      <w:pPr>
        <w:sectPr>
          <w:pgSz w:w="11900" w:h="16838" w:orient="portrait"/>
          <w:cols w:equalWidth="0" w:num="1">
            <w:col w:w="9980"/>
          </w:cols>
          <w:pgMar w:left="1440" w:top="274" w:right="479" w:bottom="1440" w:gutter="0" w:footer="0" w:header="0"/>
        </w:sectPr>
      </w:pPr>
    </w:p>
    <w:bookmarkStart w:id="74" w:name="page75"/>
    <w:bookmarkEnd w:id="74"/>
    <w:p>
      <w:pPr>
        <w:ind w:right="240"/>
        <w:spacing w:after="0" w:line="272" w:lineRule="auto"/>
        <w:rPr>
          <w:sz w:val="20"/>
          <w:szCs w:val="20"/>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107" name="Picture 1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
                    <pic:cNvPicPr>
                      <a:picLocks noChangeAspect="1" noChangeArrowheads="1"/>
                    </pic:cNvPicPr>
                  </pic:nvPicPr>
                  <pic:blipFill>
                    <a:blip r:embed="rId129">
                      <a:extLst>
                        <a:ext uri="{28A0092B-C50C-407E-A947-70E740481C1C}"/>
                      </a:extLst>
                    </a:blip>
                    <a:srcRect/>
                    <a:stretch>
                      <a:fillRect/>
                    </a:stretch>
                  </pic:blipFill>
                  <pic:spPr bwMode="auto">
                    <a:xfrm>
                      <a:off x="0" y="0"/>
                      <a:ext cx="7149465" cy="25400"/>
                    </a:xfrm>
                    <a:prstGeom prst="rect">
                      <a:avLst/>
                    </a:prstGeom>
                    <a:noFill/>
                  </pic:spPr>
                </pic:pic>
              </a:graphicData>
            </a:graphic>
          </wp:anchor>
        </w:drawing>
        <w:t>Registration Statement and the Prospectus and were not issued in violation of any preemptive right, resale right, right of first refusal or similar right. All of the Company’s options, warrants and other rights to purchase or exchange any securities for shares of the Company’s capital stock have been duly authorized and validly issued, and conform in all material respects to the description thereof contained in the Registration Statement and the Prospectus. All of the issued shares of capital stock or other ownership interest of each subsidiary of the Company have been duly authorized and validly issued, are fully paid and non-assessable and are owned directly or indirectly by the Company, free and clear of all liens, encumbrances, equities or claims, except for such liens, encumbrances, equities or claims as would not, individually or in the aggregate, reasonably be expected to have a Material Adverse Effect.</w:t>
      </w:r>
    </w:p>
    <w:p>
      <w:pPr>
        <w:spacing w:after="0" w:line="69" w:lineRule="exact"/>
        <w:rPr>
          <w:sz w:val="20"/>
          <w:szCs w:val="20"/>
          <w:color w:val="auto"/>
        </w:rPr>
      </w:pPr>
    </w:p>
    <w:p>
      <w:pPr>
        <w:ind w:firstLine="948"/>
        <w:spacing w:after="0" w:line="257" w:lineRule="auto"/>
        <w:tabs>
          <w:tab w:leader="none" w:pos="1256" w:val="left"/>
        </w:tabs>
        <w:numPr>
          <w:ilvl w:val="0"/>
          <w:numId w:val="52"/>
        </w:numPr>
        <w:rPr>
          <w:rFonts w:ascii="Arial" w:cs="Arial" w:eastAsia="Arial" w:hAnsi="Arial"/>
          <w:sz w:val="18"/>
          <w:szCs w:val="18"/>
          <w:color w:val="auto"/>
        </w:rPr>
      </w:pPr>
      <w:r>
        <w:rPr>
          <w:rFonts w:ascii="Arial" w:cs="Arial" w:eastAsia="Arial" w:hAnsi="Arial"/>
          <w:sz w:val="18"/>
          <w:szCs w:val="18"/>
          <w:i w:val="1"/>
          <w:iCs w:val="1"/>
          <w:color w:val="auto"/>
        </w:rPr>
        <w:t>Due Authorization, Valid Issuance and Non-Assessiblity of Shares</w:t>
      </w:r>
      <w:r>
        <w:rPr>
          <w:rFonts w:ascii="Arial" w:cs="Arial" w:eastAsia="Arial" w:hAnsi="Arial"/>
          <w:sz w:val="18"/>
          <w:szCs w:val="18"/>
          <w:color w:val="auto"/>
        </w:rPr>
        <w:t>. The Shares to be issued and sold by the Company to the</w:t>
      </w:r>
      <w:r>
        <w:rPr>
          <w:rFonts w:ascii="Arial" w:cs="Arial" w:eastAsia="Arial" w:hAnsi="Arial"/>
          <w:sz w:val="18"/>
          <w:szCs w:val="18"/>
          <w:i w:val="1"/>
          <w:iCs w:val="1"/>
          <w:color w:val="auto"/>
        </w:rPr>
        <w:t xml:space="preserve"> </w:t>
      </w:r>
      <w:r>
        <w:rPr>
          <w:rFonts w:ascii="Arial" w:cs="Arial" w:eastAsia="Arial" w:hAnsi="Arial"/>
          <w:sz w:val="18"/>
          <w:szCs w:val="18"/>
          <w:color w:val="auto"/>
        </w:rPr>
        <w:t>Agent hereunder have been duly authorized and, upon payment and delivery in accordance with this Agreement, will be validly issued, fully paid and non-assessable, will conform in all material respects to the description thereof contained in the Registration Statement and the Prospectus, will be issued in compliance with federal and state securities laws and will be free of statutory and contractual preemptive rights, rights of first refusal and similar rights.</w:t>
      </w:r>
    </w:p>
    <w:p>
      <w:pPr>
        <w:spacing w:after="0" w:line="79" w:lineRule="exact"/>
        <w:rPr>
          <w:rFonts w:ascii="Arial" w:cs="Arial" w:eastAsia="Arial" w:hAnsi="Arial"/>
          <w:sz w:val="18"/>
          <w:szCs w:val="18"/>
          <w:color w:val="auto"/>
        </w:rPr>
      </w:pPr>
    </w:p>
    <w:p>
      <w:pPr>
        <w:jc w:val="both"/>
        <w:ind w:right="320" w:firstLine="948"/>
        <w:spacing w:after="0" w:line="342" w:lineRule="auto"/>
        <w:tabs>
          <w:tab w:leader="none" w:pos="1306" w:val="left"/>
        </w:tabs>
        <w:numPr>
          <w:ilvl w:val="0"/>
          <w:numId w:val="52"/>
        </w:numPr>
        <w:rPr>
          <w:rFonts w:ascii="Arial" w:cs="Arial" w:eastAsia="Arial" w:hAnsi="Arial"/>
          <w:sz w:val="16"/>
          <w:szCs w:val="16"/>
          <w:color w:val="auto"/>
        </w:rPr>
      </w:pPr>
      <w:r>
        <w:rPr>
          <w:rFonts w:ascii="Arial" w:cs="Arial" w:eastAsia="Arial" w:hAnsi="Arial"/>
          <w:sz w:val="16"/>
          <w:szCs w:val="16"/>
          <w:i w:val="1"/>
          <w:iCs w:val="1"/>
          <w:color w:val="auto"/>
        </w:rPr>
        <w:t>Authority to Enter into this Agreement</w:t>
      </w:r>
      <w:r>
        <w:rPr>
          <w:rFonts w:ascii="Arial" w:cs="Arial" w:eastAsia="Arial" w:hAnsi="Arial"/>
          <w:sz w:val="16"/>
          <w:szCs w:val="16"/>
          <w:color w:val="auto"/>
        </w:rPr>
        <w:t>. The Company has all requisite corporate power and authority to execute, deliver and</w:t>
      </w:r>
      <w:r>
        <w:rPr>
          <w:rFonts w:ascii="Arial" w:cs="Arial" w:eastAsia="Arial" w:hAnsi="Arial"/>
          <w:sz w:val="16"/>
          <w:szCs w:val="16"/>
          <w:i w:val="1"/>
          <w:iCs w:val="1"/>
          <w:color w:val="auto"/>
        </w:rPr>
        <w:t xml:space="preserve"> </w:t>
      </w:r>
      <w:r>
        <w:rPr>
          <w:rFonts w:ascii="Arial" w:cs="Arial" w:eastAsia="Arial" w:hAnsi="Arial"/>
          <w:sz w:val="16"/>
          <w:szCs w:val="16"/>
          <w:color w:val="auto"/>
        </w:rPr>
        <w:t>perform its obligations under this Agreement. This Agreement has been duly and validly authorized, executed and delivered by the Company.</w:t>
      </w:r>
    </w:p>
    <w:p>
      <w:pPr>
        <w:spacing w:after="0" w:line="15" w:lineRule="exact"/>
        <w:rPr>
          <w:rFonts w:ascii="Arial" w:cs="Arial" w:eastAsia="Arial" w:hAnsi="Arial"/>
          <w:sz w:val="16"/>
          <w:szCs w:val="16"/>
          <w:color w:val="auto"/>
        </w:rPr>
      </w:pPr>
    </w:p>
    <w:p>
      <w:pPr>
        <w:ind w:right="100" w:firstLine="948"/>
        <w:spacing w:after="0" w:line="287" w:lineRule="auto"/>
        <w:tabs>
          <w:tab w:leader="none" w:pos="1356" w:val="left"/>
        </w:tabs>
        <w:numPr>
          <w:ilvl w:val="0"/>
          <w:numId w:val="52"/>
        </w:numPr>
        <w:rPr>
          <w:rFonts w:ascii="Arial" w:cs="Arial" w:eastAsia="Arial" w:hAnsi="Arial"/>
          <w:sz w:val="16"/>
          <w:szCs w:val="16"/>
          <w:color w:val="auto"/>
        </w:rPr>
      </w:pPr>
      <w:r>
        <w:rPr>
          <w:rFonts w:ascii="Arial" w:cs="Arial" w:eastAsia="Arial" w:hAnsi="Arial"/>
          <w:sz w:val="16"/>
          <w:szCs w:val="16"/>
          <w:i w:val="1"/>
          <w:iCs w:val="1"/>
          <w:color w:val="auto"/>
        </w:rPr>
        <w:t>Non-Contravention</w:t>
      </w:r>
      <w:r>
        <w:rPr>
          <w:rFonts w:ascii="Arial" w:cs="Arial" w:eastAsia="Arial" w:hAnsi="Arial"/>
          <w:sz w:val="16"/>
          <w:szCs w:val="16"/>
          <w:color w:val="auto"/>
        </w:rPr>
        <w:t>. The issue and sale of the Shares, the execution, delivery and performance of this Agreement by the</w:t>
      </w:r>
      <w:r>
        <w:rPr>
          <w:rFonts w:ascii="Arial" w:cs="Arial" w:eastAsia="Arial" w:hAnsi="Arial"/>
          <w:sz w:val="16"/>
          <w:szCs w:val="16"/>
          <w:i w:val="1"/>
          <w:iCs w:val="1"/>
          <w:color w:val="auto"/>
        </w:rPr>
        <w:t xml:space="preserve"> </w:t>
      </w:r>
      <w:r>
        <w:rPr>
          <w:rFonts w:ascii="Arial" w:cs="Arial" w:eastAsia="Arial" w:hAnsi="Arial"/>
          <w:sz w:val="16"/>
          <w:szCs w:val="16"/>
          <w:color w:val="auto"/>
        </w:rPr>
        <w:t>Company, the consummation of the transactions contemplated hereby and the application of the proceeds from the sale of the Shares as described under “Use of Proceeds” in the Registration Statement and the Prospectus will not (i) conflict with or result in a breach or violation of any of the terms or provisions of, impose any lien, charge or encumbrance upon any property or assets of the Company and its subsidiaries, or constitute a default under, any indenture, mortgage, deed of trust, loan agreement, license, lease or other agreement or instrument to which the Company or any of its subsidiaries is a party or by which the Company or any of its subsidiaries is bound or to which any of the property or assets of the Company or any of its subsidiaries is subject; (ii) result in any violation of the provisions of the certificate of incorporation or by-laws (or similar organizational documents) of the Company or any of its subsidiaries; or (iii) result in any violation of any statute or any judgment, order, decree, rule or regulation of any court or governmental agency or body having jurisdiction over the Company or any of its subsidiaries or any of their properties or assets, except, with respect to clauses (i) and (iii), for such conflicts, breaches, violations, liens, charges, encumbrances or defaults that would not, individually or in the aggregate, reasonably be expected to have a Material Adverse Effect.</w:t>
      </w:r>
    </w:p>
    <w:p>
      <w:pPr>
        <w:sectPr>
          <w:pgSz w:w="11900" w:h="16838" w:orient="portrait"/>
          <w:cols w:equalWidth="0" w:num="1">
            <w:col w:w="10560"/>
          </w:cols>
          <w:pgMar w:left="880" w:top="274" w:right="459" w:bottom="1440" w:gutter="0" w:footer="0" w:header="0"/>
        </w:sectPr>
      </w:pPr>
    </w:p>
    <w:bookmarkStart w:id="75" w:name="page76"/>
    <w:bookmarkEnd w:id="75"/>
    <w:p>
      <w:pPr>
        <w:ind w:left="-560" w:firstLine="948"/>
        <w:spacing w:after="0" w:line="271" w:lineRule="auto"/>
        <w:tabs>
          <w:tab w:leader="none" w:pos="786" w:val="left"/>
        </w:tabs>
        <w:numPr>
          <w:ilvl w:val="0"/>
          <w:numId w:val="53"/>
        </w:numPr>
        <w:rPr>
          <w:rFonts w:ascii="Arial" w:cs="Arial" w:eastAsia="Arial" w:hAnsi="Arial"/>
          <w:sz w:val="17"/>
          <w:szCs w:val="17"/>
          <w:color w:val="auto"/>
        </w:rPr>
      </w:pPr>
      <w:r>
        <w:rPr>
          <w:rFonts w:ascii="Arial" w:cs="Arial" w:eastAsia="Arial" w:hAnsi="Arial"/>
          <w:sz w:val="17"/>
          <w:szCs w:val="17"/>
          <w:i w:val="1"/>
          <w:iCs w:val="1"/>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108" name="Picture 1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
                    <pic:cNvPicPr>
                      <a:picLocks noChangeAspect="1" noChangeArrowheads="1"/>
                    </pic:cNvPicPr>
                  </pic:nvPicPr>
                  <pic:blipFill>
                    <a:blip r:embed="rId130">
                      <a:extLst>
                        <a:ext uri="{28A0092B-C50C-407E-A947-70E740481C1C}"/>
                      </a:extLst>
                    </a:blip>
                    <a:srcRect/>
                    <a:stretch>
                      <a:fillRect/>
                    </a:stretch>
                  </pic:blipFill>
                  <pic:spPr bwMode="auto">
                    <a:xfrm>
                      <a:off x="0" y="0"/>
                      <a:ext cx="7149465" cy="25400"/>
                    </a:xfrm>
                    <a:prstGeom prst="rect">
                      <a:avLst/>
                    </a:prstGeom>
                    <a:noFill/>
                  </pic:spPr>
                </pic:pic>
              </a:graphicData>
            </a:graphic>
          </wp:anchor>
        </w:drawing>
        <w:t>No Consent or Approval Required</w:t>
      </w:r>
      <w:r>
        <w:rPr>
          <w:rFonts w:ascii="Arial" w:cs="Arial" w:eastAsia="Arial" w:hAnsi="Arial"/>
          <w:sz w:val="17"/>
          <w:szCs w:val="17"/>
          <w:color w:val="auto"/>
        </w:rPr>
        <w:t>. No consent, approval, authorization or order of, or filing, registration or qualification with,</w:t>
      </w:r>
      <w:r>
        <w:rPr>
          <w:rFonts w:ascii="Arial" w:cs="Arial" w:eastAsia="Arial" w:hAnsi="Arial"/>
          <w:sz w:val="17"/>
          <w:szCs w:val="17"/>
          <w:i w:val="1"/>
          <w:iCs w:val="1"/>
          <w:color w:val="auto"/>
        </w:rPr>
        <w:t xml:space="preserve"> </w:t>
      </w:r>
      <w:r>
        <w:rPr>
          <w:rFonts w:ascii="Arial" w:cs="Arial" w:eastAsia="Arial" w:hAnsi="Arial"/>
          <w:sz w:val="17"/>
          <w:szCs w:val="17"/>
          <w:color w:val="auto"/>
        </w:rPr>
        <w:t xml:space="preserve">any court or governmental agency or body having jurisdiction over the Company or any of its subsidiaries or any of their properties or assets is required for the issue and sale of the Shares, the execution, delivery and performance of this Agreement by the Company, the consummation of the transactions contemplated hereby, the application of the proceeds from the sale of the Shares as described under “Use of Proceeds” in the Registration Statement and the Prospectus, except for (i) the registration of the Shares under the Securities Act; (ii) such consents, approvals, authorizations, orders, filings, registrations or qualifications as may be required under the Exchange Act, and applicable state or foreign securities laws and/or the bylaws and rules of the Financial Industry Regulatory Authority (the </w:t>
      </w:r>
      <w:r>
        <w:rPr>
          <w:rFonts w:ascii="Arial" w:cs="Arial" w:eastAsia="Arial" w:hAnsi="Arial"/>
          <w:sz w:val="17"/>
          <w:szCs w:val="17"/>
          <w:b w:val="1"/>
          <w:bCs w:val="1"/>
          <w:i w:val="1"/>
          <w:iCs w:val="1"/>
          <w:color w:val="auto"/>
        </w:rPr>
        <w:t>“FINRA”</w:t>
      </w:r>
      <w:r>
        <w:rPr>
          <w:rFonts w:ascii="Arial" w:cs="Arial" w:eastAsia="Arial" w:hAnsi="Arial"/>
          <w:sz w:val="17"/>
          <w:szCs w:val="17"/>
          <w:color w:val="auto"/>
        </w:rPr>
        <w:t xml:space="preserve">) in connection with the sale of the Shares by the Agent; and (iii) the inclusion of the Shares on the Nasdaq Global Market (the </w:t>
      </w:r>
      <w:r>
        <w:rPr>
          <w:rFonts w:ascii="Arial" w:cs="Arial" w:eastAsia="Arial" w:hAnsi="Arial"/>
          <w:sz w:val="17"/>
          <w:szCs w:val="17"/>
          <w:b w:val="1"/>
          <w:bCs w:val="1"/>
          <w:i w:val="1"/>
          <w:iCs w:val="1"/>
          <w:color w:val="auto"/>
        </w:rPr>
        <w:t>“Exchange”</w:t>
      </w:r>
      <w:r>
        <w:rPr>
          <w:rFonts w:ascii="Arial" w:cs="Arial" w:eastAsia="Arial" w:hAnsi="Arial"/>
          <w:sz w:val="17"/>
          <w:szCs w:val="17"/>
          <w:color w:val="auto"/>
        </w:rPr>
        <w:t>).</w:t>
      </w:r>
    </w:p>
    <w:p>
      <w:pPr>
        <w:spacing w:after="0" w:line="70" w:lineRule="exact"/>
        <w:rPr>
          <w:rFonts w:ascii="Arial" w:cs="Arial" w:eastAsia="Arial" w:hAnsi="Arial"/>
          <w:sz w:val="17"/>
          <w:szCs w:val="17"/>
          <w:color w:val="auto"/>
        </w:rPr>
      </w:pPr>
    </w:p>
    <w:p>
      <w:pPr>
        <w:ind w:left="-560" w:firstLine="948"/>
        <w:spacing w:after="0" w:line="284" w:lineRule="auto"/>
        <w:tabs>
          <w:tab w:leader="none" w:pos="736" w:val="left"/>
        </w:tabs>
        <w:numPr>
          <w:ilvl w:val="0"/>
          <w:numId w:val="53"/>
        </w:numPr>
        <w:rPr>
          <w:rFonts w:ascii="Arial" w:cs="Arial" w:eastAsia="Arial" w:hAnsi="Arial"/>
          <w:sz w:val="16"/>
          <w:szCs w:val="16"/>
          <w:color w:val="auto"/>
        </w:rPr>
      </w:pPr>
      <w:r>
        <w:rPr>
          <w:rFonts w:ascii="Arial" w:cs="Arial" w:eastAsia="Arial" w:hAnsi="Arial"/>
          <w:sz w:val="16"/>
          <w:szCs w:val="16"/>
          <w:i w:val="1"/>
          <w:iCs w:val="1"/>
          <w:color w:val="auto"/>
        </w:rPr>
        <w:t>Internal Controls</w:t>
      </w:r>
      <w:r>
        <w:rPr>
          <w:rFonts w:ascii="Arial" w:cs="Arial" w:eastAsia="Arial" w:hAnsi="Arial"/>
          <w:sz w:val="16"/>
          <w:szCs w:val="16"/>
          <w:color w:val="auto"/>
        </w:rPr>
        <w:t>. The Company and each of its subsidiaries maintain a system of “internal controls over financial reporting” (as</w:t>
      </w:r>
      <w:r>
        <w:rPr>
          <w:rFonts w:ascii="Arial" w:cs="Arial" w:eastAsia="Arial" w:hAnsi="Arial"/>
          <w:sz w:val="16"/>
          <w:szCs w:val="16"/>
          <w:i w:val="1"/>
          <w:iCs w:val="1"/>
          <w:color w:val="auto"/>
        </w:rPr>
        <w:t xml:space="preserve"> </w:t>
      </w:r>
      <w:r>
        <w:rPr>
          <w:rFonts w:ascii="Arial" w:cs="Arial" w:eastAsia="Arial" w:hAnsi="Arial"/>
          <w:sz w:val="16"/>
          <w:szCs w:val="16"/>
          <w:color w:val="auto"/>
        </w:rPr>
        <w:t>defined in Rule 13a-15(f) of the Exchange Act) designed to provide reasonable assurances regarding the reliability of financial reporting and the preparation of financial statements for external purposes in accordance with generally accepted accounting principles in the United States, including, but not limited to, internal accounting controls sufficient to provide reasonable assurance that (i) transactions are executed in accordance with management’s general or specific authorization, (ii) transactions are recorded as necessary to permit preparation of the Company’s financial statements in conformity with generally accepted accounting principles in the United States and to maintain accountability for its assets, (iii) access to the Company’s assets is permitted only in accordance with management’s general or specific authorization, (iv) the recorded accountability for the Company’s assets is compared with existing assets at reasonable intervals and appropriate action is taken with respect to any differences, and (v) the interactive data in eXtensible Business Reporting Language included or incorporated by reference in the Registration Statement and the Prospectus fairly present the information called for in all material respects and are prepared in accordance with the Commission’s rules and guidelines applicable thereto. Except as disclosed in the Registration Statement or the Prospectus, as of the date of the most recent balance sheet of the Company and its consolidated subsidiaries audited by PricewaterhouseCoopers LLP, there were no “material weaknesses” (as defined by the Public Company Accounting Oversight Board) in the Company’s internal controls over financial reporting, or any fraud, whether or not material, that involves management or other employees of the Company and its subsidiaries who have a significant role in the Company’s internal controls; and since the end of the latest audited fiscal year, there has been no change in the Company’s internal control over financial reporting (whether or not remediated) that has materially affected, or is reasonably likely to materially affect, the Company’s internal control over financial reporting. The Company’s board of directors has, subject to the exceptions, cure periods and the phase in periods specified in the Exchange rules (“</w:t>
      </w:r>
      <w:r>
        <w:rPr>
          <w:rFonts w:ascii="Arial" w:cs="Arial" w:eastAsia="Arial" w:hAnsi="Arial"/>
          <w:sz w:val="16"/>
          <w:szCs w:val="16"/>
          <w:b w:val="1"/>
          <w:bCs w:val="1"/>
          <w:i w:val="1"/>
          <w:iCs w:val="1"/>
          <w:color w:val="auto"/>
        </w:rPr>
        <w:t>Exchange Rules</w:t>
      </w:r>
      <w:r>
        <w:rPr>
          <w:rFonts w:ascii="Arial" w:cs="Arial" w:eastAsia="Arial" w:hAnsi="Arial"/>
          <w:sz w:val="16"/>
          <w:szCs w:val="16"/>
          <w:color w:val="auto"/>
        </w:rPr>
        <w:t>”), validly appointed an audit committee to oversee internal accounting controls whose composition satisfies the applicable requirements of the Exchange Rules and the Company’s board of directors and/or the audit committee has adopted a charter that satisfies the requirements of the Exchange Rules.</w:t>
      </w:r>
    </w:p>
    <w:p>
      <w:pPr>
        <w:sectPr>
          <w:pgSz w:w="11900" w:h="16838" w:orient="portrait"/>
          <w:cols w:equalWidth="0" w:num="1">
            <w:col w:w="10000"/>
          </w:cols>
          <w:pgMar w:left="1440" w:top="274" w:right="459" w:bottom="1440" w:gutter="0" w:footer="0" w:header="0"/>
        </w:sectPr>
      </w:pPr>
    </w:p>
    <w:bookmarkStart w:id="76" w:name="page77"/>
    <w:bookmarkEnd w:id="76"/>
    <w:p>
      <w:pPr>
        <w:ind w:left="-560" w:right="100" w:firstLine="948"/>
        <w:spacing w:after="0" w:line="291" w:lineRule="auto"/>
        <w:tabs>
          <w:tab w:leader="none" w:pos="786" w:val="left"/>
        </w:tabs>
        <w:numPr>
          <w:ilvl w:val="0"/>
          <w:numId w:val="54"/>
        </w:numPr>
        <w:rPr>
          <w:rFonts w:ascii="Arial" w:cs="Arial" w:eastAsia="Arial" w:hAnsi="Arial"/>
          <w:sz w:val="16"/>
          <w:szCs w:val="16"/>
          <w:color w:val="auto"/>
        </w:rPr>
      </w:pPr>
      <w:r>
        <w:rPr>
          <w:rFonts w:ascii="Arial" w:cs="Arial" w:eastAsia="Arial" w:hAnsi="Arial"/>
          <w:sz w:val="16"/>
          <w:szCs w:val="16"/>
          <w:i w:val="1"/>
          <w:iCs w:val="1"/>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109" name="Picture 1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9"/>
                    <pic:cNvPicPr>
                      <a:picLocks noChangeAspect="1" noChangeArrowheads="1"/>
                    </pic:cNvPicPr>
                  </pic:nvPicPr>
                  <pic:blipFill>
                    <a:blip r:embed="rId131">
                      <a:extLst>
                        <a:ext uri="{28A0092B-C50C-407E-A947-70E740481C1C}"/>
                      </a:extLst>
                    </a:blip>
                    <a:srcRect/>
                    <a:stretch>
                      <a:fillRect/>
                    </a:stretch>
                  </pic:blipFill>
                  <pic:spPr bwMode="auto">
                    <a:xfrm>
                      <a:off x="0" y="0"/>
                      <a:ext cx="7149465" cy="26035"/>
                    </a:xfrm>
                    <a:prstGeom prst="rect">
                      <a:avLst/>
                    </a:prstGeom>
                    <a:noFill/>
                  </pic:spPr>
                </pic:pic>
              </a:graphicData>
            </a:graphic>
          </wp:anchor>
        </w:drawing>
        <w:t>Disclosure Controls</w:t>
      </w:r>
      <w:r>
        <w:rPr>
          <w:rFonts w:ascii="Arial" w:cs="Arial" w:eastAsia="Arial" w:hAnsi="Arial"/>
          <w:sz w:val="16"/>
          <w:szCs w:val="16"/>
          <w:color w:val="auto"/>
        </w:rPr>
        <w:t>. Except as disclosed in the Registration Statement or the Prospectus, the Company and its subsidiaries</w:t>
      </w:r>
      <w:r>
        <w:rPr>
          <w:rFonts w:ascii="Arial" w:cs="Arial" w:eastAsia="Arial" w:hAnsi="Arial"/>
          <w:sz w:val="16"/>
          <w:szCs w:val="16"/>
          <w:i w:val="1"/>
          <w:iCs w:val="1"/>
          <w:color w:val="auto"/>
        </w:rPr>
        <w:t xml:space="preserve"> </w:t>
      </w:r>
      <w:r>
        <w:rPr>
          <w:rFonts w:ascii="Arial" w:cs="Arial" w:eastAsia="Arial" w:hAnsi="Arial"/>
          <w:sz w:val="16"/>
          <w:szCs w:val="16"/>
          <w:color w:val="auto"/>
        </w:rPr>
        <w:t>maintain “disclosure controls and procedures” (as defined in Rule 13a-15(e) of the Exchange Act) that comply with the requirements of the Exchange Act and that have been designed to ensure that information required to be disclosed by the Company in reports that it files or submits under the Exchange Act is recorded, processed, summarized and reported within the time periods specified in the Commission’s rules and forms, including controls and procedures designed to ensure that such information is accumulated and communicated to the Company’s management as appropriate to allow timely decisions regarding required disclosure. The Company and its subsidiaries have carried out evaluations of the effectiveness of their disclosure controls and procedures as required by Rule 13a-15 of the Exchange Act.</w:t>
      </w:r>
    </w:p>
    <w:p>
      <w:pPr>
        <w:spacing w:after="0" w:line="58" w:lineRule="exact"/>
        <w:rPr>
          <w:rFonts w:ascii="Arial" w:cs="Arial" w:eastAsia="Arial" w:hAnsi="Arial"/>
          <w:sz w:val="16"/>
          <w:szCs w:val="16"/>
          <w:color w:val="auto"/>
        </w:rPr>
      </w:pPr>
    </w:p>
    <w:p>
      <w:pPr>
        <w:ind w:left="-560" w:firstLine="948"/>
        <w:spacing w:after="0" w:line="255" w:lineRule="auto"/>
        <w:tabs>
          <w:tab w:leader="none" w:pos="836" w:val="left"/>
        </w:tabs>
        <w:numPr>
          <w:ilvl w:val="0"/>
          <w:numId w:val="54"/>
        </w:numPr>
        <w:rPr>
          <w:rFonts w:ascii="Arial" w:cs="Arial" w:eastAsia="Arial" w:hAnsi="Arial"/>
          <w:sz w:val="18"/>
          <w:szCs w:val="18"/>
          <w:color w:val="auto"/>
        </w:rPr>
      </w:pPr>
      <w:r>
        <w:rPr>
          <w:rFonts w:ascii="Arial" w:cs="Arial" w:eastAsia="Arial" w:hAnsi="Arial"/>
          <w:sz w:val="18"/>
          <w:szCs w:val="18"/>
          <w:i w:val="1"/>
          <w:iCs w:val="1"/>
          <w:color w:val="auto"/>
        </w:rPr>
        <w:t>Critical Accounting Policies</w:t>
      </w:r>
      <w:r>
        <w:rPr>
          <w:rFonts w:ascii="Arial" w:cs="Arial" w:eastAsia="Arial" w:hAnsi="Arial"/>
          <w:sz w:val="18"/>
          <w:szCs w:val="18"/>
          <w:color w:val="auto"/>
        </w:rPr>
        <w:t>. The section entitled “Critical Accounting Policies and Significant Judgments and Estimates”</w:t>
      </w:r>
      <w:r>
        <w:rPr>
          <w:rFonts w:ascii="Arial" w:cs="Arial" w:eastAsia="Arial" w:hAnsi="Arial"/>
          <w:sz w:val="18"/>
          <w:szCs w:val="18"/>
          <w:i w:val="1"/>
          <w:iCs w:val="1"/>
          <w:color w:val="auto"/>
        </w:rPr>
        <w:t xml:space="preserve"> </w:t>
      </w:r>
      <w:r>
        <w:rPr>
          <w:rFonts w:ascii="Arial" w:cs="Arial" w:eastAsia="Arial" w:hAnsi="Arial"/>
          <w:sz w:val="18"/>
          <w:szCs w:val="18"/>
          <w:color w:val="auto"/>
        </w:rPr>
        <w:t>incorporated by reference in the Registration Statement and the Prospectus accurately describes in all material respects (i) the accounting policies that the Company believes are the most important in the portrayal of the Company’s financial condition and results of operations and that require management’s most difficult, subjective or complex judgments (“</w:t>
      </w:r>
      <w:r>
        <w:rPr>
          <w:rFonts w:ascii="Arial" w:cs="Arial" w:eastAsia="Arial" w:hAnsi="Arial"/>
          <w:sz w:val="18"/>
          <w:szCs w:val="18"/>
          <w:b w:val="1"/>
          <w:bCs w:val="1"/>
          <w:i w:val="1"/>
          <w:iCs w:val="1"/>
          <w:color w:val="auto"/>
        </w:rPr>
        <w:t>Critical Accounting Policies</w:t>
      </w:r>
      <w:r>
        <w:rPr>
          <w:rFonts w:ascii="Arial" w:cs="Arial" w:eastAsia="Arial" w:hAnsi="Arial"/>
          <w:sz w:val="18"/>
          <w:szCs w:val="18"/>
          <w:color w:val="auto"/>
        </w:rPr>
        <w:t>”); (ii) the judgments and uncertainties affecting the application of Critical Accounting Policies; and (iii) the likelihood that materially different amounts would be reported under different conditions or using different assumptions, and an explanation thereof.</w:t>
      </w:r>
    </w:p>
    <w:p>
      <w:pPr>
        <w:spacing w:after="0" w:line="84" w:lineRule="exact"/>
        <w:rPr>
          <w:rFonts w:ascii="Arial" w:cs="Arial" w:eastAsia="Arial" w:hAnsi="Arial"/>
          <w:sz w:val="18"/>
          <w:szCs w:val="18"/>
          <w:color w:val="auto"/>
        </w:rPr>
      </w:pPr>
    </w:p>
    <w:p>
      <w:pPr>
        <w:ind w:left="-560" w:firstLine="948"/>
        <w:spacing w:after="0" w:line="259" w:lineRule="auto"/>
        <w:tabs>
          <w:tab w:leader="none" w:pos="886" w:val="left"/>
        </w:tabs>
        <w:numPr>
          <w:ilvl w:val="0"/>
          <w:numId w:val="54"/>
        </w:numPr>
        <w:rPr>
          <w:rFonts w:ascii="Arial" w:cs="Arial" w:eastAsia="Arial" w:hAnsi="Arial"/>
          <w:sz w:val="18"/>
          <w:szCs w:val="18"/>
          <w:color w:val="auto"/>
        </w:rPr>
      </w:pPr>
      <w:r>
        <w:rPr>
          <w:rFonts w:ascii="Arial" w:cs="Arial" w:eastAsia="Arial" w:hAnsi="Arial"/>
          <w:sz w:val="18"/>
          <w:szCs w:val="18"/>
          <w:i w:val="1"/>
          <w:iCs w:val="1"/>
          <w:color w:val="auto"/>
        </w:rPr>
        <w:t>Sarbanes-Oxley Compliance</w:t>
      </w:r>
      <w:r>
        <w:rPr>
          <w:rFonts w:ascii="Arial" w:cs="Arial" w:eastAsia="Arial" w:hAnsi="Arial"/>
          <w:sz w:val="18"/>
          <w:szCs w:val="18"/>
          <w:color w:val="auto"/>
        </w:rPr>
        <w:t>. There is and has been no failure on the part of the Company or, to the knowledge of the</w:t>
      </w:r>
      <w:r>
        <w:rPr>
          <w:rFonts w:ascii="Arial" w:cs="Arial" w:eastAsia="Arial" w:hAnsi="Arial"/>
          <w:sz w:val="18"/>
          <w:szCs w:val="18"/>
          <w:i w:val="1"/>
          <w:iCs w:val="1"/>
          <w:color w:val="auto"/>
        </w:rPr>
        <w:t xml:space="preserve"> </w:t>
      </w:r>
      <w:r>
        <w:rPr>
          <w:rFonts w:ascii="Arial" w:cs="Arial" w:eastAsia="Arial" w:hAnsi="Arial"/>
          <w:sz w:val="18"/>
          <w:szCs w:val="18"/>
          <w:color w:val="auto"/>
        </w:rPr>
        <w:t>Company, any of the Company’s directors or officers, in their capacities as such, to comply with any provision of the Sarbanes-Oxley Act of 2002 and the rules and regulations promulgated in connection therewith that are applicable to the Company or its directors or officers in their capacities as directors or officers of the Company.</w:t>
      </w:r>
    </w:p>
    <w:p>
      <w:pPr>
        <w:spacing w:after="0" w:line="78" w:lineRule="exact"/>
        <w:rPr>
          <w:rFonts w:ascii="Arial" w:cs="Arial" w:eastAsia="Arial" w:hAnsi="Arial"/>
          <w:sz w:val="18"/>
          <w:szCs w:val="18"/>
          <w:color w:val="auto"/>
        </w:rPr>
      </w:pPr>
    </w:p>
    <w:p>
      <w:pPr>
        <w:ind w:left="-560" w:firstLine="948"/>
        <w:spacing w:after="0" w:line="269" w:lineRule="auto"/>
        <w:tabs>
          <w:tab w:leader="none" w:pos="786" w:val="left"/>
        </w:tabs>
        <w:numPr>
          <w:ilvl w:val="0"/>
          <w:numId w:val="54"/>
        </w:numPr>
        <w:rPr>
          <w:rFonts w:ascii="Arial" w:cs="Arial" w:eastAsia="Arial" w:hAnsi="Arial"/>
          <w:sz w:val="17"/>
          <w:szCs w:val="17"/>
          <w:color w:val="auto"/>
        </w:rPr>
      </w:pPr>
      <w:r>
        <w:rPr>
          <w:rFonts w:ascii="Arial" w:cs="Arial" w:eastAsia="Arial" w:hAnsi="Arial"/>
          <w:sz w:val="17"/>
          <w:szCs w:val="17"/>
          <w:i w:val="1"/>
          <w:iCs w:val="1"/>
          <w:color w:val="auto"/>
        </w:rPr>
        <w:t>Exceptions</w:t>
      </w:r>
      <w:r>
        <w:rPr>
          <w:rFonts w:ascii="Arial" w:cs="Arial" w:eastAsia="Arial" w:hAnsi="Arial"/>
          <w:sz w:val="17"/>
          <w:szCs w:val="17"/>
          <w:color w:val="auto"/>
        </w:rPr>
        <w:t>. Except as would not, in the aggregate, reasonably be expected to have a Material Adverse Effect, since the date of</w:t>
      </w:r>
      <w:r>
        <w:rPr>
          <w:rFonts w:ascii="Arial" w:cs="Arial" w:eastAsia="Arial" w:hAnsi="Arial"/>
          <w:sz w:val="17"/>
          <w:szCs w:val="17"/>
          <w:i w:val="1"/>
          <w:iCs w:val="1"/>
          <w:color w:val="auto"/>
        </w:rPr>
        <w:t xml:space="preserve"> </w:t>
      </w:r>
      <w:r>
        <w:rPr>
          <w:rFonts w:ascii="Arial" w:cs="Arial" w:eastAsia="Arial" w:hAnsi="Arial"/>
          <w:sz w:val="17"/>
          <w:szCs w:val="17"/>
          <w:color w:val="auto"/>
        </w:rPr>
        <w:t xml:space="preserve">the latest audited financial statements included in the Registration Statement and the Prospectus, and, except as disclosed in the Registration Statement and the Prospectus, neither the Company nor any of its subsidiaries has (i) sustained any loss or interference with its business from fire, explosion, flood or other calamity, whether or not covered by insurance, or from any labor dispute or court or governmental action, order or decree, (ii) issued or granted any securities (other than pursuant to employee benefit plans, qualified stock option plans or other equity compensation plans or arrangements existing on the date hereof and disclosed in the Registration Statement and the Prospectus (the </w:t>
      </w:r>
      <w:r>
        <w:rPr>
          <w:rFonts w:ascii="Arial" w:cs="Arial" w:eastAsia="Arial" w:hAnsi="Arial"/>
          <w:sz w:val="17"/>
          <w:szCs w:val="17"/>
          <w:b w:val="1"/>
          <w:bCs w:val="1"/>
          <w:i w:val="1"/>
          <w:iCs w:val="1"/>
          <w:color w:val="auto"/>
        </w:rPr>
        <w:t>“Specified</w:t>
      </w:r>
      <w:r>
        <w:rPr>
          <w:rFonts w:ascii="Arial" w:cs="Arial" w:eastAsia="Arial" w:hAnsi="Arial"/>
          <w:sz w:val="17"/>
          <w:szCs w:val="17"/>
          <w:color w:val="auto"/>
        </w:rPr>
        <w:t xml:space="preserve"> </w:t>
      </w:r>
      <w:r>
        <w:rPr>
          <w:rFonts w:ascii="Arial" w:cs="Arial" w:eastAsia="Arial" w:hAnsi="Arial"/>
          <w:sz w:val="17"/>
          <w:szCs w:val="17"/>
          <w:b w:val="1"/>
          <w:bCs w:val="1"/>
          <w:i w:val="1"/>
          <w:iCs w:val="1"/>
          <w:color w:val="auto"/>
        </w:rPr>
        <w:t>Equity Plans”</w:t>
      </w:r>
      <w:r>
        <w:rPr>
          <w:rFonts w:ascii="Arial" w:cs="Arial" w:eastAsia="Arial" w:hAnsi="Arial"/>
          <w:sz w:val="17"/>
          <w:szCs w:val="17"/>
          <w:color w:val="auto"/>
        </w:rPr>
        <w:t>)), (iii) incurred any material liability or obligation, direct or contingent, other than liabilities and obligations that were incurred in</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the ordinary course of business, (iv) entered into any material transaction not in the ordinary course of business, or (v) declared or paid any dividend on its share capital; and since such date, except as disclosed in the Registration Statement and the Prospectus, there has not been any change in the share capital, long-term</w:t>
      </w:r>
    </w:p>
    <w:p>
      <w:pPr>
        <w:sectPr>
          <w:pgSz w:w="11900" w:h="16838" w:orient="portrait"/>
          <w:cols w:equalWidth="0" w:num="1">
            <w:col w:w="9960"/>
          </w:cols>
          <w:pgMar w:left="1440" w:top="274" w:right="499" w:bottom="1440" w:gutter="0" w:footer="0" w:header="0"/>
        </w:sectPr>
      </w:pPr>
    </w:p>
    <w:bookmarkStart w:id="77" w:name="page78"/>
    <w:bookmarkEnd w:id="77"/>
    <w:p>
      <w:pPr>
        <w:ind w:right="520"/>
        <w:spacing w:after="0" w:line="286" w:lineRule="auto"/>
        <w:rPr>
          <w:sz w:val="20"/>
          <w:szCs w:val="20"/>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110" name="Picture 1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0"/>
                    <pic:cNvPicPr>
                      <a:picLocks noChangeAspect="1" noChangeArrowheads="1"/>
                    </pic:cNvPicPr>
                  </pic:nvPicPr>
                  <pic:blipFill>
                    <a:blip r:embed="rId132">
                      <a:extLst>
                        <a:ext uri="{28A0092B-C50C-407E-A947-70E740481C1C}"/>
                      </a:extLst>
                    </a:blip>
                    <a:srcRect/>
                    <a:stretch>
                      <a:fillRect/>
                    </a:stretch>
                  </pic:blipFill>
                  <pic:spPr bwMode="auto">
                    <a:xfrm>
                      <a:off x="0" y="0"/>
                      <a:ext cx="7149465" cy="26035"/>
                    </a:xfrm>
                    <a:prstGeom prst="rect">
                      <a:avLst/>
                    </a:prstGeom>
                    <a:noFill/>
                  </pic:spPr>
                </pic:pic>
              </a:graphicData>
            </a:graphic>
          </wp:anchor>
        </w:drawing>
        <w:t>debt, net current assets or short-term debt of the Company or any of its subsidiaries or any adverse change, or any development involving a prospective adverse change, in or affecting the condition (financial or otherwise), results of operations, shareholders’ equity, properties, management, business or prospects of the Company and its subsidiaries taken as a whole.</w:t>
      </w:r>
    </w:p>
    <w:p>
      <w:pPr>
        <w:spacing w:after="0" w:line="57" w:lineRule="exact"/>
        <w:rPr>
          <w:sz w:val="20"/>
          <w:szCs w:val="20"/>
          <w:color w:val="auto"/>
        </w:rPr>
      </w:pPr>
    </w:p>
    <w:p>
      <w:pPr>
        <w:ind w:right="80" w:firstLine="948"/>
        <w:spacing w:after="0" w:line="254" w:lineRule="auto"/>
        <w:tabs>
          <w:tab w:leader="none" w:pos="1296" w:val="left"/>
        </w:tabs>
        <w:numPr>
          <w:ilvl w:val="0"/>
          <w:numId w:val="55"/>
        </w:numPr>
        <w:rPr>
          <w:rFonts w:ascii="Arial" w:cs="Arial" w:eastAsia="Arial" w:hAnsi="Arial"/>
          <w:sz w:val="18"/>
          <w:szCs w:val="18"/>
          <w:color w:val="auto"/>
        </w:rPr>
      </w:pPr>
      <w:r>
        <w:rPr>
          <w:rFonts w:ascii="Arial" w:cs="Arial" w:eastAsia="Arial" w:hAnsi="Arial"/>
          <w:sz w:val="18"/>
          <w:szCs w:val="18"/>
          <w:i w:val="1"/>
          <w:iCs w:val="1"/>
          <w:color w:val="auto"/>
        </w:rPr>
        <w:t>Valid Title</w:t>
      </w:r>
      <w:r>
        <w:rPr>
          <w:rFonts w:ascii="Arial" w:cs="Arial" w:eastAsia="Arial" w:hAnsi="Arial"/>
          <w:sz w:val="18"/>
          <w:szCs w:val="18"/>
          <w:color w:val="auto"/>
        </w:rPr>
        <w:t>. The Company and each of its subsidiaries have good and marketable title in fee simple to all real property and good</w:t>
      </w:r>
      <w:r>
        <w:rPr>
          <w:rFonts w:ascii="Arial" w:cs="Arial" w:eastAsia="Arial" w:hAnsi="Arial"/>
          <w:sz w:val="18"/>
          <w:szCs w:val="18"/>
          <w:i w:val="1"/>
          <w:iCs w:val="1"/>
          <w:color w:val="auto"/>
        </w:rPr>
        <w:t xml:space="preserve"> </w:t>
      </w:r>
      <w:r>
        <w:rPr>
          <w:rFonts w:ascii="Arial" w:cs="Arial" w:eastAsia="Arial" w:hAnsi="Arial"/>
          <w:sz w:val="18"/>
          <w:szCs w:val="18"/>
          <w:color w:val="auto"/>
        </w:rPr>
        <w:t>and marketable title to all personal property owned by them, that are material to the business of the Company, in each case free and clear of all liens, encumbrances and defects, except such liens, encumbrances and defects as do not materially affect the value of such property and do not materially interfere with the use made and proposed to be made of such property by the Company and its subsidiaries. All assets held under lease by the Company and its subsidiaries, that are material to the business of the Company, are held by them under valid, subsisting and enforceable leases, with such exceptions as do not materially interfere with the use made and proposed to be made of such assets by the Company and its subsidiaries.</w:t>
      </w:r>
    </w:p>
    <w:p>
      <w:pPr>
        <w:spacing w:after="0" w:line="86" w:lineRule="exact"/>
        <w:rPr>
          <w:rFonts w:ascii="Arial" w:cs="Arial" w:eastAsia="Arial" w:hAnsi="Arial"/>
          <w:sz w:val="18"/>
          <w:szCs w:val="18"/>
          <w:color w:val="auto"/>
        </w:rPr>
      </w:pPr>
    </w:p>
    <w:p>
      <w:pPr>
        <w:ind w:firstLine="948"/>
        <w:spacing w:after="0" w:line="285" w:lineRule="auto"/>
        <w:tabs>
          <w:tab w:leader="none" w:pos="1346" w:val="left"/>
        </w:tabs>
        <w:numPr>
          <w:ilvl w:val="0"/>
          <w:numId w:val="55"/>
        </w:numPr>
        <w:rPr>
          <w:rFonts w:ascii="Arial" w:cs="Arial" w:eastAsia="Arial" w:hAnsi="Arial"/>
          <w:sz w:val="16"/>
          <w:szCs w:val="16"/>
          <w:color w:val="auto"/>
        </w:rPr>
      </w:pPr>
      <w:r>
        <w:rPr>
          <w:rFonts w:ascii="Arial" w:cs="Arial" w:eastAsia="Arial" w:hAnsi="Arial"/>
          <w:sz w:val="16"/>
          <w:szCs w:val="16"/>
          <w:i w:val="1"/>
          <w:iCs w:val="1"/>
          <w:color w:val="auto"/>
        </w:rPr>
        <w:t>Intellectual Property</w:t>
      </w:r>
      <w:r>
        <w:rPr>
          <w:rFonts w:ascii="Arial" w:cs="Arial" w:eastAsia="Arial" w:hAnsi="Arial"/>
          <w:sz w:val="16"/>
          <w:szCs w:val="16"/>
          <w:color w:val="auto"/>
        </w:rPr>
        <w:t>. The Company and each of its subsidiaries owns, possesses, or can acquire on reasonable terms, all</w:t>
      </w:r>
      <w:r>
        <w:rPr>
          <w:rFonts w:ascii="Arial" w:cs="Arial" w:eastAsia="Arial" w:hAnsi="Arial"/>
          <w:sz w:val="16"/>
          <w:szCs w:val="16"/>
          <w:i w:val="1"/>
          <w:iCs w:val="1"/>
          <w:color w:val="auto"/>
        </w:rPr>
        <w:t xml:space="preserve"> </w:t>
      </w:r>
      <w:r>
        <w:rPr>
          <w:rFonts w:ascii="Arial" w:cs="Arial" w:eastAsia="Arial" w:hAnsi="Arial"/>
          <w:sz w:val="16"/>
          <w:szCs w:val="16"/>
          <w:color w:val="auto"/>
        </w:rPr>
        <w:t>Intellectual Property necessary for the conduct of the Company’s and it subsidiaries’ business as now conducted or as proposed to be conducted, as described in the Registration Statement and the Prospectus. Furthermore, (A) to the knowledge of the Company, there is no infringement, misappropriation or violation by third parties of any such Intellectual Property; (B) there is no pending or, to the knowledge of the Company, threatened, action, suit, proceeding or claim by others challenging the Company’s or any of its subsidiaries’ rights in or to any such Intellectual Property, and the Company is unaware of any facts which would form a reasonable basis for any such claim; (C) the Intellectual Property owned by the Company and its subsidiaries, and to the knowledge of the Company, the Intellectual Property licensed to the Company and its subsidiaries, in each case that is necessary for the conduct of the Company’s and its subsidiaries’ business as now conducted or as proposed to be conducted, has not been adjudged invalid or unenforceable, in whole or in part, and there is no pending or, to the knowledge of the Company, threatened action, suit, proceeding or claim by others challenging the validity or scope of any such Intellectual Property and the Company is unaware of any facts which would form a reasonable basis for any such claim; (D) there is no pending or, to the knowledge of the Company, threatened action, suit, proceeding or claim by others that the Company or any of its subsidiaries infringes, misappropriates or otherwise violates any Intellectual Property or other proprietary rights of others, and neither the Company or any of its subsidiaries has received any written notice of such claim and the Company is unaware of any other fact which would form a reasonable basis for any such claim; (E) to the Company’s knowledge, no employee of the Company or any of its subsidiaries is in or has ever been in material violation of any employment contract, patent disclosure agreement, invention assignment agreement, non-competition agreement, non-solicitation agreement, nondisclosure agreement or any restrictive covenant to or with a former employer where the basis of such violation relates to such employee’s employment with the Company nor any of its subsidiaries or actions undertaken by the employee while employed with the Company or any of its subsidiaries; (F) with respect to the Intellectual Property that is necessary for the conduct of the Company’s</w:t>
      </w:r>
    </w:p>
    <w:p>
      <w:pPr>
        <w:sectPr>
          <w:pgSz w:w="11900" w:h="16838" w:orient="portrait"/>
          <w:cols w:equalWidth="0" w:num="1">
            <w:col w:w="10540"/>
          </w:cols>
          <w:pgMar w:left="880" w:top="274" w:right="479" w:bottom="1440" w:gutter="0" w:footer="0" w:header="0"/>
        </w:sectPr>
      </w:pPr>
    </w:p>
    <w:bookmarkStart w:id="78" w:name="page79"/>
    <w:bookmarkEnd w:id="78"/>
    <w:p>
      <w:pPr>
        <w:spacing w:after="0" w:line="285"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111" name="Picture 1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1"/>
                    <pic:cNvPicPr>
                      <a:picLocks noChangeAspect="1" noChangeArrowheads="1"/>
                    </pic:cNvPicPr>
                  </pic:nvPicPr>
                  <pic:blipFill>
                    <a:blip r:embed="rId133">
                      <a:extLst>
                        <a:ext uri="{28A0092B-C50C-407E-A947-70E740481C1C}"/>
                      </a:extLst>
                    </a:blip>
                    <a:srcRect/>
                    <a:stretch>
                      <a:fillRect/>
                    </a:stretch>
                  </pic:blipFill>
                  <pic:spPr bwMode="auto">
                    <a:xfrm>
                      <a:off x="0" y="0"/>
                      <a:ext cx="7149465" cy="26035"/>
                    </a:xfrm>
                    <a:prstGeom prst="rect">
                      <a:avLst/>
                    </a:prstGeom>
                    <a:noFill/>
                  </pic:spPr>
                </pic:pic>
              </a:graphicData>
            </a:graphic>
          </wp:anchor>
        </w:drawing>
        <w:t>and its subsidiaries’ business as now conducted or as proposed to be conducted, there is no prior art or public or commercial activity of which the Company is aware that may render any patent included with respect to such Intellectual Property invalid or that would preclude the issuance of any patent on any patent application included in such Intellectual Property, which has not been disclosed to the U.S. Patent and Trademark Office or the relevant foreign patent authority, as the case may be; (G) to the Company’s knowledge, the issued patents included in the Intellectual Property that is necessary for the conduct of the Company’s and its subsidiaries’ business as now conducted or as proposed to be conducted are valid and enforceable and the Company is unaware of any facts that would preclude the issuance of a valid and enforceable patent on any pending patent application included in such Intellectual Property; (H) with respect to the Intellectual Property that is necessary for the conduct of the Company’s and it subsidiaries’ business as now conducted or proposed to be conducted and that is owned or purported to be owned by the Company, the Company has taken reasonable steps necessary to secure the interests of the Company in such Intellectual Property from all employees, consultants, agents or contractors that developed (in whole or in part) such Intellectual Property; (I) no government funding, facilities or resources of a university, college, other educational institution or research center was used in the development of any Intellectual Property necessary for the conduct of the Company’s and it subsidiaries’ business as now conducted or proposed to be conducted and that is owned or purported to be owned by the Company that would confer upon any governmental agency or body, university, college, other educational institution or research center any claim or right in or to any such Intellectual Property; and (J) to the Company’s knowledge, none of the technology employed by the Company has been obtained or is being used by the Company in violation of the rights of any entity. “</w:t>
      </w:r>
      <w:r>
        <w:rPr>
          <w:rFonts w:ascii="Arial" w:cs="Arial" w:eastAsia="Arial" w:hAnsi="Arial"/>
          <w:sz w:val="16"/>
          <w:szCs w:val="16"/>
          <w:b w:val="1"/>
          <w:bCs w:val="1"/>
          <w:i w:val="1"/>
          <w:iCs w:val="1"/>
          <w:color w:val="auto"/>
        </w:rPr>
        <w:t>Intellectual Property</w:t>
      </w:r>
      <w:r>
        <w:rPr>
          <w:rFonts w:ascii="Arial" w:cs="Arial" w:eastAsia="Arial" w:hAnsi="Arial"/>
          <w:sz w:val="16"/>
          <w:szCs w:val="16"/>
          <w:color w:val="auto"/>
        </w:rPr>
        <w:t>” shall mean all patents, patent applications, trade and service marks, trade and service mark registrations, trade names, copyrights, licenses, inventions, trade secrets, domain names, technology, know-how and other intellectual property in the United States and foreign jurisdictions.</w:t>
      </w:r>
    </w:p>
    <w:p>
      <w:pPr>
        <w:spacing w:after="0" w:line="66" w:lineRule="exact"/>
        <w:rPr>
          <w:sz w:val="20"/>
          <w:szCs w:val="20"/>
          <w:color w:val="auto"/>
        </w:rPr>
      </w:pPr>
    </w:p>
    <w:p>
      <w:pPr>
        <w:ind w:right="60" w:firstLine="948"/>
        <w:spacing w:after="0" w:line="290" w:lineRule="auto"/>
        <w:tabs>
          <w:tab w:leader="none" w:pos="1396" w:val="left"/>
        </w:tabs>
        <w:numPr>
          <w:ilvl w:val="0"/>
          <w:numId w:val="56"/>
        </w:numPr>
        <w:rPr>
          <w:rFonts w:ascii="Arial" w:cs="Arial" w:eastAsia="Arial" w:hAnsi="Arial"/>
          <w:sz w:val="16"/>
          <w:szCs w:val="16"/>
          <w:color w:val="auto"/>
        </w:rPr>
      </w:pPr>
      <w:r>
        <w:rPr>
          <w:rFonts w:ascii="Arial" w:cs="Arial" w:eastAsia="Arial" w:hAnsi="Arial"/>
          <w:sz w:val="16"/>
          <w:szCs w:val="16"/>
          <w:i w:val="1"/>
          <w:iCs w:val="1"/>
          <w:color w:val="auto"/>
        </w:rPr>
        <w:t>Health Care Authorizations</w:t>
      </w:r>
      <w:r>
        <w:rPr>
          <w:rFonts w:ascii="Arial" w:cs="Arial" w:eastAsia="Arial" w:hAnsi="Arial"/>
          <w:sz w:val="16"/>
          <w:szCs w:val="16"/>
          <w:color w:val="auto"/>
        </w:rPr>
        <w:t>. The Company has submitted and possesses, or qualifies for applicable exemptions to, such valid</w:t>
      </w:r>
      <w:r>
        <w:rPr>
          <w:rFonts w:ascii="Arial" w:cs="Arial" w:eastAsia="Arial" w:hAnsi="Arial"/>
          <w:sz w:val="16"/>
          <w:szCs w:val="16"/>
          <w:i w:val="1"/>
          <w:iCs w:val="1"/>
          <w:color w:val="auto"/>
        </w:rPr>
        <w:t xml:space="preserve"> </w:t>
      </w:r>
      <w:r>
        <w:rPr>
          <w:rFonts w:ascii="Arial" w:cs="Arial" w:eastAsia="Arial" w:hAnsi="Arial"/>
          <w:sz w:val="16"/>
          <w:szCs w:val="16"/>
          <w:color w:val="auto"/>
        </w:rPr>
        <w:t>and current registrations, listings, approvals, clearances, licenses, certificates, authorizations or permits and supplements or amendments thereto issued or required by the appropriate state, federal or foreign regulatory agencies or bodies necessary to conduct their business (“</w:t>
      </w:r>
      <w:r>
        <w:rPr>
          <w:rFonts w:ascii="Arial" w:cs="Arial" w:eastAsia="Arial" w:hAnsi="Arial"/>
          <w:sz w:val="16"/>
          <w:szCs w:val="16"/>
          <w:b w:val="1"/>
          <w:bCs w:val="1"/>
          <w:i w:val="1"/>
          <w:iCs w:val="1"/>
          <w:color w:val="auto"/>
        </w:rPr>
        <w:t>Permits</w:t>
      </w:r>
      <w:r>
        <w:rPr>
          <w:rFonts w:ascii="Arial" w:cs="Arial" w:eastAsia="Arial" w:hAnsi="Arial"/>
          <w:sz w:val="16"/>
          <w:szCs w:val="16"/>
          <w:color w:val="auto"/>
        </w:rPr>
        <w:t>”), including, without limitation, all such Permits required by the U.S. Food and Drug Administration (the “</w:t>
      </w:r>
      <w:r>
        <w:rPr>
          <w:rFonts w:ascii="Arial" w:cs="Arial" w:eastAsia="Arial" w:hAnsi="Arial"/>
          <w:sz w:val="16"/>
          <w:szCs w:val="16"/>
          <w:b w:val="1"/>
          <w:bCs w:val="1"/>
          <w:i w:val="1"/>
          <w:iCs w:val="1"/>
          <w:color w:val="auto"/>
        </w:rPr>
        <w:t>FDA</w:t>
      </w:r>
      <w:r>
        <w:rPr>
          <w:rFonts w:ascii="Arial" w:cs="Arial" w:eastAsia="Arial" w:hAnsi="Arial"/>
          <w:sz w:val="16"/>
          <w:szCs w:val="16"/>
          <w:color w:val="auto"/>
        </w:rPr>
        <w:t>”), the U.S. Department of Health and Human Services (“</w:t>
      </w:r>
      <w:r>
        <w:rPr>
          <w:rFonts w:ascii="Arial" w:cs="Arial" w:eastAsia="Arial" w:hAnsi="Arial"/>
          <w:sz w:val="16"/>
          <w:szCs w:val="16"/>
          <w:b w:val="1"/>
          <w:bCs w:val="1"/>
          <w:i w:val="1"/>
          <w:iCs w:val="1"/>
          <w:color w:val="auto"/>
        </w:rPr>
        <w:t>HHS</w:t>
      </w:r>
      <w:r>
        <w:rPr>
          <w:rFonts w:ascii="Arial" w:cs="Arial" w:eastAsia="Arial" w:hAnsi="Arial"/>
          <w:sz w:val="16"/>
          <w:szCs w:val="16"/>
          <w:color w:val="auto"/>
        </w:rPr>
        <w:t>”), the U.S. Centers for Medicare &amp; Medicaid Services (“</w:t>
      </w:r>
      <w:r>
        <w:rPr>
          <w:rFonts w:ascii="Arial" w:cs="Arial" w:eastAsia="Arial" w:hAnsi="Arial"/>
          <w:sz w:val="16"/>
          <w:szCs w:val="16"/>
          <w:b w:val="1"/>
          <w:bCs w:val="1"/>
          <w:i w:val="1"/>
          <w:iCs w:val="1"/>
          <w:color w:val="auto"/>
        </w:rPr>
        <w:t>CMS</w:t>
      </w:r>
      <w:r>
        <w:rPr>
          <w:rFonts w:ascii="Arial" w:cs="Arial" w:eastAsia="Arial" w:hAnsi="Arial"/>
          <w:sz w:val="16"/>
          <w:szCs w:val="16"/>
          <w:color w:val="auto"/>
        </w:rPr>
        <w:t>”), the European Medicines Agency (“</w:t>
      </w:r>
      <w:r>
        <w:rPr>
          <w:rFonts w:ascii="Arial" w:cs="Arial" w:eastAsia="Arial" w:hAnsi="Arial"/>
          <w:sz w:val="16"/>
          <w:szCs w:val="16"/>
          <w:b w:val="1"/>
          <w:bCs w:val="1"/>
          <w:i w:val="1"/>
          <w:iCs w:val="1"/>
          <w:color w:val="auto"/>
        </w:rPr>
        <w:t>EMA</w:t>
      </w:r>
      <w:r>
        <w:rPr>
          <w:rFonts w:ascii="Arial" w:cs="Arial" w:eastAsia="Arial" w:hAnsi="Arial"/>
          <w:sz w:val="16"/>
          <w:szCs w:val="16"/>
          <w:color w:val="auto"/>
        </w:rPr>
        <w:t>”), Health Canada or any other comparable state, federal or foreign agencies or bodies to which it is subject, and the Company has not received any notice of proceedings relating to the revocation or modification of, or non-compliance with, any such Permit, except for such Permits, the lack of which would not, individually or in the aggregate, reasonably be expected to result in a Material Adverse Effect.</w:t>
      </w:r>
    </w:p>
    <w:p>
      <w:pPr>
        <w:spacing w:after="0" w:line="57" w:lineRule="exact"/>
        <w:rPr>
          <w:rFonts w:ascii="Arial" w:cs="Arial" w:eastAsia="Arial" w:hAnsi="Arial"/>
          <w:sz w:val="16"/>
          <w:szCs w:val="16"/>
          <w:color w:val="auto"/>
        </w:rPr>
      </w:pPr>
    </w:p>
    <w:p>
      <w:pPr>
        <w:ind w:right="160" w:firstLine="948"/>
        <w:spacing w:after="0" w:line="263" w:lineRule="auto"/>
        <w:tabs>
          <w:tab w:leader="none" w:pos="1446" w:val="left"/>
        </w:tabs>
        <w:numPr>
          <w:ilvl w:val="0"/>
          <w:numId w:val="56"/>
        </w:numPr>
        <w:rPr>
          <w:rFonts w:ascii="Arial" w:cs="Arial" w:eastAsia="Arial" w:hAnsi="Arial"/>
          <w:sz w:val="18"/>
          <w:szCs w:val="18"/>
          <w:color w:val="auto"/>
        </w:rPr>
      </w:pPr>
      <w:r>
        <w:rPr>
          <w:rFonts w:ascii="Arial" w:cs="Arial" w:eastAsia="Arial" w:hAnsi="Arial"/>
          <w:sz w:val="18"/>
          <w:szCs w:val="18"/>
          <w:i w:val="1"/>
          <w:iCs w:val="1"/>
          <w:color w:val="auto"/>
        </w:rPr>
        <w:t>Compliance with Health Care Laws</w:t>
      </w:r>
      <w:r>
        <w:rPr>
          <w:rFonts w:ascii="Arial" w:cs="Arial" w:eastAsia="Arial" w:hAnsi="Arial"/>
          <w:sz w:val="18"/>
          <w:szCs w:val="18"/>
          <w:color w:val="auto"/>
        </w:rPr>
        <w:t>. The Company and, to the Company’s knowledge, its directors, employees and agents</w:t>
      </w:r>
      <w:r>
        <w:rPr>
          <w:rFonts w:ascii="Arial" w:cs="Arial" w:eastAsia="Arial" w:hAnsi="Arial"/>
          <w:sz w:val="18"/>
          <w:szCs w:val="18"/>
          <w:i w:val="1"/>
          <w:iCs w:val="1"/>
          <w:color w:val="auto"/>
        </w:rPr>
        <w:t xml:space="preserve"> </w:t>
      </w:r>
      <w:r>
        <w:rPr>
          <w:rFonts w:ascii="Arial" w:cs="Arial" w:eastAsia="Arial" w:hAnsi="Arial"/>
          <w:sz w:val="18"/>
          <w:szCs w:val="18"/>
          <w:color w:val="auto"/>
        </w:rPr>
        <w:t>(while acting in such capacity) are and at all times have been in material compliance with, all health care laws applicable to the Company, or any of its products or activities, including, but not limited to, the federal</w:t>
      </w:r>
    </w:p>
    <w:p>
      <w:pPr>
        <w:sectPr>
          <w:pgSz w:w="11900" w:h="16838" w:orient="portrait"/>
          <w:cols w:equalWidth="0" w:num="1">
            <w:col w:w="10580"/>
          </w:cols>
          <w:pgMar w:left="880" w:top="274" w:right="439" w:bottom="1440" w:gutter="0" w:footer="0" w:header="0"/>
        </w:sectPr>
      </w:pPr>
    </w:p>
    <w:bookmarkStart w:id="79" w:name="page80"/>
    <w:bookmarkEnd w:id="79"/>
    <w:p>
      <w:pPr>
        <w:spacing w:after="0"/>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112" name="Picture 1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2"/>
                    <pic:cNvPicPr>
                      <a:picLocks noChangeAspect="1" noChangeArrowheads="1"/>
                    </pic:cNvPicPr>
                  </pic:nvPicPr>
                  <pic:blipFill>
                    <a:blip r:embed="rId134">
                      <a:extLst>
                        <a:ext uri="{28A0092B-C50C-407E-A947-70E740481C1C}"/>
                      </a:extLst>
                    </a:blip>
                    <a:srcRect/>
                    <a:stretch>
                      <a:fillRect/>
                    </a:stretch>
                  </pic:blipFill>
                  <pic:spPr bwMode="auto">
                    <a:xfrm>
                      <a:off x="0" y="0"/>
                      <a:ext cx="7149465" cy="26035"/>
                    </a:xfrm>
                    <a:prstGeom prst="rect">
                      <a:avLst/>
                    </a:prstGeom>
                    <a:noFill/>
                  </pic:spPr>
                </pic:pic>
              </a:graphicData>
            </a:graphic>
          </wp:anchor>
        </w:drawing>
        <w:t>Anti-Kickback Statute (42 U.S.C. Section 1320a-7b(b)), the Anti-Inducement Law (42 U.S.C. Section 1320a-7a(a)(5)), the civil False Claims Act</w:t>
      </w:r>
    </w:p>
    <w:p>
      <w:pPr>
        <w:spacing w:after="0" w:line="46" w:lineRule="exact"/>
        <w:rPr>
          <w:sz w:val="20"/>
          <w:szCs w:val="20"/>
          <w:color w:val="auto"/>
        </w:rPr>
      </w:pPr>
    </w:p>
    <w:p>
      <w:pPr>
        <w:spacing w:after="0"/>
        <w:rPr>
          <w:sz w:val="20"/>
          <w:szCs w:val="20"/>
          <w:color w:val="auto"/>
        </w:rPr>
      </w:pPr>
      <w:r>
        <w:rPr>
          <w:rFonts w:ascii="Arial" w:cs="Arial" w:eastAsia="Arial" w:hAnsi="Arial"/>
          <w:sz w:val="16"/>
          <w:szCs w:val="16"/>
          <w:color w:val="auto"/>
        </w:rPr>
        <w:t>(31 U.S.C. Section 3729 et seq.), the administrative False Claims Law (42 U.S.C. Section 1320a-7b(a)), the Stark law (42 U.S.C. Section 1395nn),</w:t>
      </w:r>
    </w:p>
    <w:p>
      <w:pPr>
        <w:spacing w:after="0" w:line="32" w:lineRule="exact"/>
        <w:rPr>
          <w:sz w:val="20"/>
          <w:szCs w:val="20"/>
          <w:color w:val="auto"/>
        </w:rPr>
      </w:pPr>
    </w:p>
    <w:p>
      <w:pPr>
        <w:spacing w:after="0"/>
        <w:rPr>
          <w:sz w:val="20"/>
          <w:szCs w:val="20"/>
          <w:color w:val="auto"/>
        </w:rPr>
      </w:pPr>
      <w:r>
        <w:rPr>
          <w:rFonts w:ascii="Arial" w:cs="Arial" w:eastAsia="Arial" w:hAnsi="Arial"/>
          <w:sz w:val="17"/>
          <w:szCs w:val="17"/>
          <w:color w:val="auto"/>
        </w:rPr>
        <w:t>the Health Insurance Portability and Accountability Act of 1996 (42 U.S.C. Section 1320d et seq.) as amended by the Health Information</w:t>
      </w:r>
    </w:p>
    <w:p>
      <w:pPr>
        <w:spacing w:after="0" w:line="21" w:lineRule="exact"/>
        <w:rPr>
          <w:sz w:val="20"/>
          <w:szCs w:val="20"/>
          <w:color w:val="auto"/>
        </w:rPr>
      </w:pPr>
    </w:p>
    <w:p>
      <w:pPr>
        <w:spacing w:after="0"/>
        <w:rPr>
          <w:sz w:val="20"/>
          <w:szCs w:val="20"/>
          <w:color w:val="auto"/>
        </w:rPr>
      </w:pPr>
      <w:r>
        <w:rPr>
          <w:rFonts w:ascii="Arial" w:cs="Arial" w:eastAsia="Arial" w:hAnsi="Arial"/>
          <w:sz w:val="16"/>
          <w:szCs w:val="16"/>
          <w:color w:val="auto"/>
        </w:rPr>
        <w:t>Technology for Economic and Clinical Health Act (42 U.S.C. Section 17921 et seq.), the exclusion laws (42 U.S.C. Section 1320a-7), the Federal</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Food, Drug, and Cosmetic Act (21 U.S.C. Section 301 et seq.), the Controlled Substances Act (21 U.S.C. Section 801 et seq.), the Public Health</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Service Act (42 U.S.C. Section 201 et seq.), the Clinical Laboratory Improvement Amendments of 1988 (42 U.S.C. Section 263a), Medicare (Title</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XVIII of the Social Security Act), Medicaid (Title XIX of the Social Security Act), and the Patient Protection and Affordable Care Act of 2010, as</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amended by the Health Care and Education Reconciliation Act of 2010, the regulations promulgated pursuant to such laws, and any other state,</w:t>
      </w:r>
    </w:p>
    <w:p>
      <w:pPr>
        <w:spacing w:after="0" w:line="32" w:lineRule="exact"/>
        <w:rPr>
          <w:sz w:val="20"/>
          <w:szCs w:val="20"/>
          <w:color w:val="auto"/>
        </w:rPr>
      </w:pPr>
    </w:p>
    <w:p>
      <w:pPr>
        <w:spacing w:after="0"/>
        <w:rPr>
          <w:sz w:val="20"/>
          <w:szCs w:val="20"/>
          <w:color w:val="auto"/>
        </w:rPr>
      </w:pPr>
      <w:r>
        <w:rPr>
          <w:rFonts w:ascii="Arial" w:cs="Arial" w:eastAsia="Arial" w:hAnsi="Arial"/>
          <w:sz w:val="17"/>
          <w:szCs w:val="17"/>
          <w:color w:val="auto"/>
        </w:rPr>
        <w:t>federal or foreign law, accreditation standards, regulation, memorandum, opinion letter, or other issuance which imposes legally binding</w:t>
      </w:r>
    </w:p>
    <w:p>
      <w:pPr>
        <w:spacing w:after="0" w:line="21" w:lineRule="exact"/>
        <w:rPr>
          <w:sz w:val="20"/>
          <w:szCs w:val="20"/>
          <w:color w:val="auto"/>
        </w:rPr>
      </w:pPr>
    </w:p>
    <w:p>
      <w:pPr>
        <w:spacing w:after="0"/>
        <w:rPr>
          <w:sz w:val="20"/>
          <w:szCs w:val="20"/>
          <w:color w:val="auto"/>
        </w:rPr>
      </w:pPr>
      <w:r>
        <w:rPr>
          <w:rFonts w:ascii="Arial" w:cs="Arial" w:eastAsia="Arial" w:hAnsi="Arial"/>
          <w:sz w:val="16"/>
          <w:szCs w:val="16"/>
          <w:color w:val="auto"/>
        </w:rPr>
        <w:t>requirements on manufacturing, development, testing, labeling, advertising, marketing, promotion, distribution, reporting, kickbacks, patient or</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program charges, recordkeeping, claims process, documentation requirements, medical necessity, referrals, the hiring of employees or acquisition</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of services or supplies from those who have been excluded from government health care programs, quality, safety, privacy, security, licensure,</w:t>
      </w:r>
    </w:p>
    <w:p>
      <w:pPr>
        <w:spacing w:after="0" w:line="32" w:lineRule="exact"/>
        <w:rPr>
          <w:sz w:val="20"/>
          <w:szCs w:val="20"/>
          <w:color w:val="auto"/>
        </w:rPr>
      </w:pPr>
    </w:p>
    <w:p>
      <w:pPr>
        <w:spacing w:after="0"/>
        <w:rPr>
          <w:sz w:val="20"/>
          <w:szCs w:val="20"/>
          <w:color w:val="auto"/>
        </w:rPr>
      </w:pPr>
      <w:r>
        <w:rPr>
          <w:rFonts w:ascii="Arial" w:cs="Arial" w:eastAsia="Arial" w:hAnsi="Arial"/>
          <w:sz w:val="17"/>
          <w:szCs w:val="17"/>
          <w:color w:val="auto"/>
        </w:rPr>
        <w:t>accreditation or any other aspect of providing health care, clinical laboratory or diagnostics products or services (collectively, “</w:t>
      </w:r>
      <w:r>
        <w:rPr>
          <w:rFonts w:ascii="Arial" w:cs="Arial" w:eastAsia="Arial" w:hAnsi="Arial"/>
          <w:sz w:val="17"/>
          <w:szCs w:val="17"/>
          <w:b w:val="1"/>
          <w:bCs w:val="1"/>
          <w:i w:val="1"/>
          <w:iCs w:val="1"/>
          <w:color w:val="auto"/>
        </w:rPr>
        <w:t>Health Care</w:t>
      </w:r>
    </w:p>
    <w:p>
      <w:pPr>
        <w:spacing w:after="0" w:line="21"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Laws</w:t>
      </w:r>
      <w:r>
        <w:rPr>
          <w:rFonts w:ascii="Arial" w:cs="Arial" w:eastAsia="Arial" w:hAnsi="Arial"/>
          <w:sz w:val="16"/>
          <w:szCs w:val="16"/>
          <w:color w:val="auto"/>
        </w:rPr>
        <w:t>”). The Company has not received any notification, correspondence or any other written or oral communication, including notification of any</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pending or threatened claim, suit, proceeding, hearing, enforcement, investigation, arbitration or other action from any governmental authority,</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including, without limitation, the FDA, the EMA, Health Canada, the U.S. Federal Trade Commission, the U.S. Drug Enforcement Administration</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w:t>
      </w:r>
      <w:r>
        <w:rPr>
          <w:rFonts w:ascii="Arial" w:cs="Arial" w:eastAsia="Arial" w:hAnsi="Arial"/>
          <w:sz w:val="16"/>
          <w:szCs w:val="16"/>
          <w:b w:val="1"/>
          <w:bCs w:val="1"/>
          <w:i w:val="1"/>
          <w:iCs w:val="1"/>
          <w:color w:val="auto"/>
        </w:rPr>
        <w:t>DEA</w:t>
      </w:r>
      <w:r>
        <w:rPr>
          <w:rFonts w:ascii="Arial" w:cs="Arial" w:eastAsia="Arial" w:hAnsi="Arial"/>
          <w:sz w:val="16"/>
          <w:szCs w:val="16"/>
          <w:color w:val="auto"/>
        </w:rPr>
        <w:t>”), CMS, HHS’s Office of Inspector General, the U.S. Department of Justice and state Attorneys General or similar agencies of potential or</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actual non-compliance by, or liability of, the Company under any Health Care Laws, except, with respect to any of the foregoing, such as would</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not, individually or in the aggregate, result in a Material Adverse Effect. To the Company’s knowledge, there are no facts or circumstances that</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would reasonably be expected to give rise to material liability of the Company under any Health Care Laws. The statements with respect to Health</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Care Laws and the Company’s compliance therewith included in the Registration Statement and in the Prospectus fairly summarize the matters</w:t>
      </w:r>
    </w:p>
    <w:p>
      <w:pPr>
        <w:spacing w:after="0" w:line="32" w:lineRule="exact"/>
        <w:rPr>
          <w:sz w:val="20"/>
          <w:szCs w:val="20"/>
          <w:color w:val="auto"/>
        </w:rPr>
      </w:pPr>
    </w:p>
    <w:p>
      <w:pPr>
        <w:spacing w:after="0"/>
        <w:rPr>
          <w:sz w:val="20"/>
          <w:szCs w:val="20"/>
          <w:color w:val="auto"/>
        </w:rPr>
      </w:pPr>
      <w:r>
        <w:rPr>
          <w:rFonts w:ascii="Arial" w:cs="Arial" w:eastAsia="Arial" w:hAnsi="Arial"/>
          <w:sz w:val="18"/>
          <w:szCs w:val="18"/>
          <w:color w:val="auto"/>
        </w:rPr>
        <w:t>therein described.</w:t>
      </w:r>
    </w:p>
    <w:p>
      <w:pPr>
        <w:spacing w:after="0" w:line="103" w:lineRule="exact"/>
        <w:rPr>
          <w:sz w:val="20"/>
          <w:szCs w:val="20"/>
          <w:color w:val="auto"/>
        </w:rPr>
      </w:pPr>
    </w:p>
    <w:p>
      <w:pPr>
        <w:ind w:right="40" w:firstLine="948"/>
        <w:spacing w:after="0" w:line="254" w:lineRule="auto"/>
        <w:tabs>
          <w:tab w:leader="none" w:pos="1436" w:val="left"/>
        </w:tabs>
        <w:numPr>
          <w:ilvl w:val="0"/>
          <w:numId w:val="57"/>
        </w:numPr>
        <w:rPr>
          <w:rFonts w:ascii="Arial" w:cs="Arial" w:eastAsia="Arial" w:hAnsi="Arial"/>
          <w:sz w:val="18"/>
          <w:szCs w:val="18"/>
          <w:color w:val="auto"/>
        </w:rPr>
      </w:pPr>
      <w:r>
        <w:rPr>
          <w:rFonts w:ascii="Arial" w:cs="Arial" w:eastAsia="Arial" w:hAnsi="Arial"/>
          <w:sz w:val="18"/>
          <w:szCs w:val="18"/>
          <w:i w:val="1"/>
          <w:iCs w:val="1"/>
          <w:color w:val="auto"/>
        </w:rPr>
        <w:t>Clinical Trials</w:t>
      </w:r>
      <w:r>
        <w:rPr>
          <w:rFonts w:ascii="Arial" w:cs="Arial" w:eastAsia="Arial" w:hAnsi="Arial"/>
          <w:sz w:val="18"/>
          <w:szCs w:val="18"/>
          <w:color w:val="auto"/>
        </w:rPr>
        <w:t>. The studies, tests and preclinical and clinical trials conducted by or on behalf of, or sponsored by, the</w:t>
      </w:r>
      <w:r>
        <w:rPr>
          <w:rFonts w:ascii="Arial" w:cs="Arial" w:eastAsia="Arial" w:hAnsi="Arial"/>
          <w:sz w:val="18"/>
          <w:szCs w:val="18"/>
          <w:i w:val="1"/>
          <w:iCs w:val="1"/>
          <w:color w:val="auto"/>
        </w:rPr>
        <w:t xml:space="preserve"> </w:t>
      </w:r>
      <w:r>
        <w:rPr>
          <w:rFonts w:ascii="Arial" w:cs="Arial" w:eastAsia="Arial" w:hAnsi="Arial"/>
          <w:sz w:val="18"/>
          <w:szCs w:val="18"/>
          <w:color w:val="auto"/>
        </w:rPr>
        <w:t>Company, or in which the Company has participated, that are described in the Registration Statement or the Prospectus, or the results of which are referred to in the Registration Statement or the Prospectus, were and, if still pending, are being conducted in all material respects in accordance with protocols, procedures and controls pursuant to, where applicable, accepted professional and scientific standards for products or product candidates comparable to those being developed by the Company and all applicable statutes, rules and regulations of the FDA, the EMA, Health Canada and other comparable regulatory agencies outside of the U.S. to which they are subject, including, without limitation, 21 C.F.R. Parts 50, 54, 56, 58, 312, and 812; the</w:t>
      </w:r>
    </w:p>
    <w:p>
      <w:pPr>
        <w:sectPr>
          <w:pgSz w:w="11900" w:h="16838" w:orient="portrait"/>
          <w:cols w:equalWidth="0" w:num="1">
            <w:col w:w="10560"/>
          </w:cols>
          <w:pgMar w:left="880" w:top="274" w:right="459" w:bottom="1440" w:gutter="0" w:footer="0" w:header="0"/>
        </w:sectPr>
      </w:pPr>
    </w:p>
    <w:bookmarkStart w:id="80" w:name="page81"/>
    <w:bookmarkEnd w:id="80"/>
    <w:p>
      <w:pPr>
        <w:ind w:right="20"/>
        <w:spacing w:after="0" w:line="269" w:lineRule="auto"/>
        <w:rPr>
          <w:sz w:val="20"/>
          <w:szCs w:val="20"/>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113" name="Picture 1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3"/>
                    <pic:cNvPicPr>
                      <a:picLocks noChangeAspect="1" noChangeArrowheads="1"/>
                    </pic:cNvPicPr>
                  </pic:nvPicPr>
                  <pic:blipFill>
                    <a:blip r:embed="rId135">
                      <a:extLst>
                        <a:ext uri="{28A0092B-C50C-407E-A947-70E740481C1C}"/>
                      </a:extLst>
                    </a:blip>
                    <a:srcRect/>
                    <a:stretch>
                      <a:fillRect/>
                    </a:stretch>
                  </pic:blipFill>
                  <pic:spPr bwMode="auto">
                    <a:xfrm>
                      <a:off x="0" y="0"/>
                      <a:ext cx="7149465" cy="25400"/>
                    </a:xfrm>
                    <a:prstGeom prst="rect">
                      <a:avLst/>
                    </a:prstGeom>
                    <a:noFill/>
                  </pic:spPr>
                </pic:pic>
              </a:graphicData>
            </a:graphic>
          </wp:anchor>
        </w:drawing>
        <w:t>descriptions of the results of such studies, tests and trials contained in the Registration Statement or the Prospectus do not contain any misstatement of a material fact or omit a material fact necessary to make such statements not misleading; the Company has no knowledge of any studies, tests or trials not described in the Registration Statement or the Prospectus the results of which reasonably call into question in any material respect the results of the studies, tests and trials described in the Registration Statement or Prospectus; and the Company has not received any notices or other correspondence from the FDA, EMA, Health Canada or any other foreign, state or local governmental body exercising comparable authority or any Institutional Review Board or comparable authority requiring or threatening the termination, suspension or material modification of any studies, tests or preclinical or clinical trials conducted by or on behalf of, or sponsored by, the Company or in which the Company has participated, and, to the Company’s knowledge, there are no reasonable grounds for the same. Except as disclosed in the Registration Statement and the Prospectus, there has not been any violation of law or regulation by the Company in its respective product development efforts, submissions or reports to any regulatory authority that could reasonably be expected to require investigation, corrective action or enforcement action.</w:t>
      </w:r>
    </w:p>
    <w:p>
      <w:pPr>
        <w:spacing w:after="0" w:line="74" w:lineRule="exact"/>
        <w:rPr>
          <w:sz w:val="20"/>
          <w:szCs w:val="20"/>
          <w:color w:val="auto"/>
        </w:rPr>
      </w:pPr>
    </w:p>
    <w:p>
      <w:pPr>
        <w:jc w:val="both"/>
        <w:ind w:right="120" w:firstLine="948"/>
        <w:spacing w:after="0" w:line="263" w:lineRule="auto"/>
        <w:tabs>
          <w:tab w:leader="none" w:pos="1386" w:val="left"/>
        </w:tabs>
        <w:numPr>
          <w:ilvl w:val="0"/>
          <w:numId w:val="58"/>
        </w:numPr>
        <w:rPr>
          <w:rFonts w:ascii="Arial" w:cs="Arial" w:eastAsia="Arial" w:hAnsi="Arial"/>
          <w:sz w:val="18"/>
          <w:szCs w:val="18"/>
          <w:color w:val="auto"/>
        </w:rPr>
      </w:pPr>
      <w:r>
        <w:rPr>
          <w:rFonts w:ascii="Arial" w:cs="Arial" w:eastAsia="Arial" w:hAnsi="Arial"/>
          <w:sz w:val="18"/>
          <w:szCs w:val="18"/>
          <w:i w:val="1"/>
          <w:iCs w:val="1"/>
          <w:color w:val="auto"/>
        </w:rPr>
        <w:t>Absence of Settlement Agreements or Undertakings</w:t>
      </w:r>
      <w:r>
        <w:rPr>
          <w:rFonts w:ascii="Arial" w:cs="Arial" w:eastAsia="Arial" w:hAnsi="Arial"/>
          <w:sz w:val="18"/>
          <w:szCs w:val="18"/>
          <w:color w:val="auto"/>
        </w:rPr>
        <w:t>. Except as disclosed in the Registration Statement and the Prospectus, the</w:t>
      </w:r>
      <w:r>
        <w:rPr>
          <w:rFonts w:ascii="Arial" w:cs="Arial" w:eastAsia="Arial" w:hAnsi="Arial"/>
          <w:sz w:val="18"/>
          <w:szCs w:val="18"/>
          <w:i w:val="1"/>
          <w:iCs w:val="1"/>
          <w:color w:val="auto"/>
        </w:rPr>
        <w:t xml:space="preserve"> </w:t>
      </w:r>
      <w:r>
        <w:rPr>
          <w:rFonts w:ascii="Arial" w:cs="Arial" w:eastAsia="Arial" w:hAnsi="Arial"/>
          <w:sz w:val="18"/>
          <w:szCs w:val="18"/>
          <w:color w:val="auto"/>
        </w:rPr>
        <w:t>Company is not a party to any corporate integrity agreements, monitoring agreements, consent decrees, settlement orders, or similar agreements with or imposed by any governmental authority.</w:t>
      </w:r>
    </w:p>
    <w:p>
      <w:pPr>
        <w:spacing w:after="0" w:line="75" w:lineRule="exact"/>
        <w:rPr>
          <w:rFonts w:ascii="Arial" w:cs="Arial" w:eastAsia="Arial" w:hAnsi="Arial"/>
          <w:sz w:val="18"/>
          <w:szCs w:val="18"/>
          <w:color w:val="auto"/>
        </w:rPr>
      </w:pPr>
    </w:p>
    <w:p>
      <w:pPr>
        <w:ind w:right="60" w:firstLine="948"/>
        <w:spacing w:after="0" w:line="257" w:lineRule="auto"/>
        <w:tabs>
          <w:tab w:leader="none" w:pos="1436" w:val="left"/>
        </w:tabs>
        <w:numPr>
          <w:ilvl w:val="0"/>
          <w:numId w:val="58"/>
        </w:numPr>
        <w:rPr>
          <w:rFonts w:ascii="Arial" w:cs="Arial" w:eastAsia="Arial" w:hAnsi="Arial"/>
          <w:sz w:val="18"/>
          <w:szCs w:val="18"/>
          <w:color w:val="auto"/>
        </w:rPr>
      </w:pPr>
      <w:r>
        <w:rPr>
          <w:rFonts w:ascii="Arial" w:cs="Arial" w:eastAsia="Arial" w:hAnsi="Arial"/>
          <w:sz w:val="18"/>
          <w:szCs w:val="18"/>
          <w:i w:val="1"/>
          <w:iCs w:val="1"/>
          <w:color w:val="auto"/>
        </w:rPr>
        <w:t>Absence of Legal or Governmental Proceedings</w:t>
      </w:r>
      <w:r>
        <w:rPr>
          <w:rFonts w:ascii="Arial" w:cs="Arial" w:eastAsia="Arial" w:hAnsi="Arial"/>
          <w:sz w:val="18"/>
          <w:szCs w:val="18"/>
          <w:color w:val="auto"/>
        </w:rPr>
        <w:t>. Except as disclosed in the Registration Statement and the Prospectus, there</w:t>
      </w:r>
      <w:r>
        <w:rPr>
          <w:rFonts w:ascii="Arial" w:cs="Arial" w:eastAsia="Arial" w:hAnsi="Arial"/>
          <w:sz w:val="18"/>
          <w:szCs w:val="18"/>
          <w:i w:val="1"/>
          <w:iCs w:val="1"/>
          <w:color w:val="auto"/>
        </w:rPr>
        <w:t xml:space="preserve"> </w:t>
      </w:r>
      <w:r>
        <w:rPr>
          <w:rFonts w:ascii="Arial" w:cs="Arial" w:eastAsia="Arial" w:hAnsi="Arial"/>
          <w:sz w:val="18"/>
          <w:szCs w:val="18"/>
          <w:color w:val="auto"/>
        </w:rPr>
        <w:t>are no legal or governmental proceedings pending to which the Company or any of its subsidiaries is a party or of which any property or assets of the Company or any of its subsidiaries is the subject that, if determined adversely to the Company, would, in the aggregate, reasonably be expected to have a Material Adverse Effect; and to the Company’s knowledge, no such proceedings are threatened in writing by governmental authorities or others.</w:t>
      </w:r>
    </w:p>
    <w:p>
      <w:pPr>
        <w:spacing w:after="0" w:line="79" w:lineRule="exact"/>
        <w:rPr>
          <w:rFonts w:ascii="Arial" w:cs="Arial" w:eastAsia="Arial" w:hAnsi="Arial"/>
          <w:sz w:val="18"/>
          <w:szCs w:val="18"/>
          <w:color w:val="auto"/>
        </w:rPr>
      </w:pPr>
    </w:p>
    <w:p>
      <w:pPr>
        <w:ind w:firstLine="948"/>
        <w:spacing w:after="0" w:line="273" w:lineRule="auto"/>
        <w:tabs>
          <w:tab w:leader="none" w:pos="1486" w:val="left"/>
        </w:tabs>
        <w:numPr>
          <w:ilvl w:val="0"/>
          <w:numId w:val="58"/>
        </w:numPr>
        <w:rPr>
          <w:rFonts w:ascii="Arial" w:cs="Arial" w:eastAsia="Arial" w:hAnsi="Arial"/>
          <w:sz w:val="17"/>
          <w:szCs w:val="17"/>
          <w:color w:val="auto"/>
        </w:rPr>
      </w:pPr>
      <w:r>
        <w:rPr>
          <w:rFonts w:ascii="Arial" w:cs="Arial" w:eastAsia="Arial" w:hAnsi="Arial"/>
          <w:sz w:val="17"/>
          <w:szCs w:val="17"/>
          <w:i w:val="1"/>
          <w:iCs w:val="1"/>
          <w:color w:val="auto"/>
        </w:rPr>
        <w:t>Material Contracts</w:t>
      </w:r>
      <w:r>
        <w:rPr>
          <w:rFonts w:ascii="Arial" w:cs="Arial" w:eastAsia="Arial" w:hAnsi="Arial"/>
          <w:sz w:val="17"/>
          <w:szCs w:val="17"/>
          <w:color w:val="auto"/>
        </w:rPr>
        <w:t>. There are no contracts or other documents required to be described in the Registration Statement or filed</w:t>
      </w:r>
      <w:r>
        <w:rPr>
          <w:rFonts w:ascii="Arial" w:cs="Arial" w:eastAsia="Arial" w:hAnsi="Arial"/>
          <w:sz w:val="17"/>
          <w:szCs w:val="17"/>
          <w:i w:val="1"/>
          <w:iCs w:val="1"/>
          <w:color w:val="auto"/>
        </w:rPr>
        <w:t xml:space="preserve"> </w:t>
      </w:r>
      <w:r>
        <w:rPr>
          <w:rFonts w:ascii="Arial" w:cs="Arial" w:eastAsia="Arial" w:hAnsi="Arial"/>
          <w:sz w:val="17"/>
          <w:szCs w:val="17"/>
          <w:color w:val="auto"/>
        </w:rPr>
        <w:t>as exhibits to the Registration Statement that are not described and filed as required. The statements made in the Registration Statement and Prospectus, insofar as they purport to constitute summaries of the terms of the contracts and other documents described and filed, constitute accurate summaries of the terms of such contracts and documents in all material respects. Except as disclosed in the Registration Statement and the Prospectus, neither the Company nor any of its subsidiaries has knowledge that any other party to any such contract or other document has any intention not to render full performance as contemplated by the terms thereof.</w:t>
      </w:r>
    </w:p>
    <w:p>
      <w:pPr>
        <w:spacing w:after="0" w:line="69" w:lineRule="exact"/>
        <w:rPr>
          <w:rFonts w:ascii="Arial" w:cs="Arial" w:eastAsia="Arial" w:hAnsi="Arial"/>
          <w:sz w:val="17"/>
          <w:szCs w:val="17"/>
          <w:color w:val="auto"/>
        </w:rPr>
      </w:pPr>
    </w:p>
    <w:p>
      <w:pPr>
        <w:ind w:right="40" w:firstLine="948"/>
        <w:spacing w:after="0" w:line="263" w:lineRule="auto"/>
        <w:tabs>
          <w:tab w:leader="none" w:pos="1536" w:val="left"/>
        </w:tabs>
        <w:numPr>
          <w:ilvl w:val="0"/>
          <w:numId w:val="58"/>
        </w:numPr>
        <w:rPr>
          <w:rFonts w:ascii="Arial" w:cs="Arial" w:eastAsia="Arial" w:hAnsi="Arial"/>
          <w:sz w:val="18"/>
          <w:szCs w:val="18"/>
          <w:color w:val="auto"/>
        </w:rPr>
      </w:pPr>
      <w:r>
        <w:rPr>
          <w:rFonts w:ascii="Arial" w:cs="Arial" w:eastAsia="Arial" w:hAnsi="Arial"/>
          <w:sz w:val="18"/>
          <w:szCs w:val="18"/>
          <w:i w:val="1"/>
          <w:iCs w:val="1"/>
          <w:color w:val="auto"/>
        </w:rPr>
        <w:t>Insurance</w:t>
      </w:r>
      <w:r>
        <w:rPr>
          <w:rFonts w:ascii="Arial" w:cs="Arial" w:eastAsia="Arial" w:hAnsi="Arial"/>
          <w:sz w:val="18"/>
          <w:szCs w:val="18"/>
          <w:color w:val="auto"/>
        </w:rPr>
        <w:t>. The Company and each of its subsidiaries maintain insurance from insurers of recognized financial responsibility</w:t>
      </w:r>
      <w:r>
        <w:rPr>
          <w:rFonts w:ascii="Arial" w:cs="Arial" w:eastAsia="Arial" w:hAnsi="Arial"/>
          <w:sz w:val="18"/>
          <w:szCs w:val="18"/>
          <w:i w:val="1"/>
          <w:iCs w:val="1"/>
          <w:color w:val="auto"/>
        </w:rPr>
        <w:t xml:space="preserve"> </w:t>
      </w:r>
      <w:r>
        <w:rPr>
          <w:rFonts w:ascii="Arial" w:cs="Arial" w:eastAsia="Arial" w:hAnsi="Arial"/>
          <w:sz w:val="18"/>
          <w:szCs w:val="18"/>
          <w:color w:val="auto"/>
        </w:rPr>
        <w:t>in such amounts and covering such risks is commercially reasonable in accordance with customary practices for companies engaged in similar businesses and similar industries for the conduct of their</w:t>
      </w:r>
    </w:p>
    <w:p>
      <w:pPr>
        <w:sectPr>
          <w:pgSz w:w="11900" w:h="16838" w:orient="portrait"/>
          <w:cols w:equalWidth="0" w:num="1">
            <w:col w:w="10540"/>
          </w:cols>
          <w:pgMar w:left="880" w:top="274" w:right="479" w:bottom="1440" w:gutter="0" w:footer="0" w:header="0"/>
        </w:sectPr>
      </w:pPr>
    </w:p>
    <w:bookmarkStart w:id="81" w:name="page82"/>
    <w:bookmarkEnd w:id="81"/>
    <w:p>
      <w:pPr>
        <w:ind w:right="20"/>
        <w:spacing w:after="0" w:line="290"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114" name="Picture 1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4"/>
                    <pic:cNvPicPr>
                      <a:picLocks noChangeAspect="1" noChangeArrowheads="1"/>
                    </pic:cNvPicPr>
                  </pic:nvPicPr>
                  <pic:blipFill>
                    <a:blip r:embed="rId136">
                      <a:extLst>
                        <a:ext uri="{28A0092B-C50C-407E-A947-70E740481C1C}"/>
                      </a:extLst>
                    </a:blip>
                    <a:srcRect/>
                    <a:stretch>
                      <a:fillRect/>
                    </a:stretch>
                  </pic:blipFill>
                  <pic:spPr bwMode="auto">
                    <a:xfrm>
                      <a:off x="0" y="0"/>
                      <a:ext cx="7149465" cy="25400"/>
                    </a:xfrm>
                    <a:prstGeom prst="rect">
                      <a:avLst/>
                    </a:prstGeom>
                    <a:noFill/>
                  </pic:spPr>
                </pic:pic>
              </a:graphicData>
            </a:graphic>
          </wp:anchor>
        </w:drawing>
        <w:t>respective businesses and the value of their respective properties and as is customary for companies engaged in similar businesses in similar industries. All policies of insurance of the Company and its subsidiaries are in full force and effect; the Company and each of its subsidiaries are in compliance with the terms of such policies in all material respects; neither the Company nor any of its subsidiaries has received notice from any insurer or agent of such insurer that capital improvements or other expenditures are required or necessary to be made in order to continue such insurance; there are no material claims by the Company or any of its subsidiaries under any such policy or instrument as to which any insurance company is denying liability or defending under a reservation of rights clause; and neither the Company nor any such subsidiary has any reason to believe that it will not be able to renew its existing insurance coverage as and when such coverage expires or to obtain similar coverage from similar insurers as may be necessary to continue its business at a cost that would not reasonably be expected to have a Material Adverse Effect.</w:t>
      </w:r>
    </w:p>
    <w:p>
      <w:pPr>
        <w:spacing w:after="0" w:line="57" w:lineRule="exact"/>
        <w:rPr>
          <w:sz w:val="20"/>
          <w:szCs w:val="20"/>
          <w:color w:val="auto"/>
        </w:rPr>
      </w:pPr>
    </w:p>
    <w:p>
      <w:pPr>
        <w:ind w:right="100" w:firstLine="948"/>
        <w:spacing w:after="0" w:line="263" w:lineRule="auto"/>
        <w:tabs>
          <w:tab w:leader="none" w:pos="1436" w:val="left"/>
        </w:tabs>
        <w:numPr>
          <w:ilvl w:val="0"/>
          <w:numId w:val="59"/>
        </w:numPr>
        <w:rPr>
          <w:rFonts w:ascii="Arial" w:cs="Arial" w:eastAsia="Arial" w:hAnsi="Arial"/>
          <w:sz w:val="18"/>
          <w:szCs w:val="18"/>
          <w:color w:val="auto"/>
        </w:rPr>
      </w:pPr>
      <w:r>
        <w:rPr>
          <w:rFonts w:ascii="Arial" w:cs="Arial" w:eastAsia="Arial" w:hAnsi="Arial"/>
          <w:sz w:val="18"/>
          <w:szCs w:val="18"/>
          <w:i w:val="1"/>
          <w:iCs w:val="1"/>
          <w:color w:val="auto"/>
        </w:rPr>
        <w:t>Related Party Disclosure</w:t>
      </w:r>
      <w:r>
        <w:rPr>
          <w:rFonts w:ascii="Arial" w:cs="Arial" w:eastAsia="Arial" w:hAnsi="Arial"/>
          <w:sz w:val="18"/>
          <w:szCs w:val="18"/>
          <w:color w:val="auto"/>
        </w:rPr>
        <w:t>. No relationship, direct or indirect, exists between or among the Company, on the one hand, and the</w:t>
      </w:r>
      <w:r>
        <w:rPr>
          <w:rFonts w:ascii="Arial" w:cs="Arial" w:eastAsia="Arial" w:hAnsi="Arial"/>
          <w:sz w:val="18"/>
          <w:szCs w:val="18"/>
          <w:i w:val="1"/>
          <w:iCs w:val="1"/>
          <w:color w:val="auto"/>
        </w:rPr>
        <w:t xml:space="preserve"> </w:t>
      </w:r>
      <w:r>
        <w:rPr>
          <w:rFonts w:ascii="Arial" w:cs="Arial" w:eastAsia="Arial" w:hAnsi="Arial"/>
          <w:sz w:val="18"/>
          <w:szCs w:val="18"/>
          <w:color w:val="auto"/>
        </w:rPr>
        <w:t>directors, officers, shareholders, customers or suppliers of the Company, on the other hand, that is required to be described in the Registration Statement or the Prospectus which is not so described.</w:t>
      </w:r>
    </w:p>
    <w:p>
      <w:pPr>
        <w:spacing w:after="0" w:line="75" w:lineRule="exact"/>
        <w:rPr>
          <w:rFonts w:ascii="Arial" w:cs="Arial" w:eastAsia="Arial" w:hAnsi="Arial"/>
          <w:sz w:val="18"/>
          <w:szCs w:val="18"/>
          <w:color w:val="auto"/>
        </w:rPr>
      </w:pPr>
    </w:p>
    <w:p>
      <w:pPr>
        <w:ind w:right="160" w:firstLine="948"/>
        <w:spacing w:after="0" w:line="308" w:lineRule="auto"/>
        <w:tabs>
          <w:tab w:leader="none" w:pos="1386" w:val="left"/>
        </w:tabs>
        <w:numPr>
          <w:ilvl w:val="0"/>
          <w:numId w:val="59"/>
        </w:numPr>
        <w:rPr>
          <w:rFonts w:ascii="Arial" w:cs="Arial" w:eastAsia="Arial" w:hAnsi="Arial"/>
          <w:sz w:val="17"/>
          <w:szCs w:val="17"/>
          <w:color w:val="auto"/>
        </w:rPr>
      </w:pPr>
      <w:r>
        <w:rPr>
          <w:rFonts w:ascii="Arial" w:cs="Arial" w:eastAsia="Arial" w:hAnsi="Arial"/>
          <w:sz w:val="17"/>
          <w:szCs w:val="17"/>
          <w:i w:val="1"/>
          <w:iCs w:val="1"/>
          <w:color w:val="auto"/>
        </w:rPr>
        <w:t>No Labor Dispute</w:t>
      </w:r>
      <w:r>
        <w:rPr>
          <w:rFonts w:ascii="Arial" w:cs="Arial" w:eastAsia="Arial" w:hAnsi="Arial"/>
          <w:sz w:val="17"/>
          <w:szCs w:val="17"/>
          <w:color w:val="auto"/>
        </w:rPr>
        <w:t>. No labor disturbance by or dispute with the employees of the Company or any of its subsidiaries exists or,</w:t>
      </w:r>
      <w:r>
        <w:rPr>
          <w:rFonts w:ascii="Arial" w:cs="Arial" w:eastAsia="Arial" w:hAnsi="Arial"/>
          <w:sz w:val="17"/>
          <w:szCs w:val="17"/>
          <w:i w:val="1"/>
          <w:iCs w:val="1"/>
          <w:color w:val="auto"/>
        </w:rPr>
        <w:t xml:space="preserve"> </w:t>
      </w:r>
      <w:r>
        <w:rPr>
          <w:rFonts w:ascii="Arial" w:cs="Arial" w:eastAsia="Arial" w:hAnsi="Arial"/>
          <w:sz w:val="17"/>
          <w:szCs w:val="17"/>
          <w:color w:val="auto"/>
        </w:rPr>
        <w:t>to the knowledge of the Company, is imminent that could reasonably be expected to have a Material Adverse Effect.</w:t>
      </w:r>
    </w:p>
    <w:p>
      <w:pPr>
        <w:spacing w:after="0" w:line="38" w:lineRule="exact"/>
        <w:rPr>
          <w:rFonts w:ascii="Arial" w:cs="Arial" w:eastAsia="Arial" w:hAnsi="Arial"/>
          <w:sz w:val="17"/>
          <w:szCs w:val="17"/>
          <w:color w:val="auto"/>
        </w:rPr>
      </w:pPr>
    </w:p>
    <w:p>
      <w:pPr>
        <w:ind w:firstLine="948"/>
        <w:spacing w:after="0" w:line="270" w:lineRule="auto"/>
        <w:tabs>
          <w:tab w:leader="none" w:pos="1436" w:val="left"/>
        </w:tabs>
        <w:numPr>
          <w:ilvl w:val="0"/>
          <w:numId w:val="59"/>
        </w:numPr>
        <w:rPr>
          <w:rFonts w:ascii="Arial" w:cs="Arial" w:eastAsia="Arial" w:hAnsi="Arial"/>
          <w:sz w:val="17"/>
          <w:szCs w:val="17"/>
          <w:color w:val="auto"/>
        </w:rPr>
      </w:pPr>
      <w:r>
        <w:rPr>
          <w:rFonts w:ascii="Arial" w:cs="Arial" w:eastAsia="Arial" w:hAnsi="Arial"/>
          <w:sz w:val="17"/>
          <w:szCs w:val="17"/>
          <w:i w:val="1"/>
          <w:iCs w:val="1"/>
          <w:color w:val="auto"/>
        </w:rPr>
        <w:t>No Violation or Default</w:t>
      </w:r>
      <w:r>
        <w:rPr>
          <w:rFonts w:ascii="Arial" w:cs="Arial" w:eastAsia="Arial" w:hAnsi="Arial"/>
          <w:sz w:val="17"/>
          <w:szCs w:val="17"/>
          <w:color w:val="auto"/>
        </w:rPr>
        <w:t>. Except as disclosed in the Registration Statement and the Prospectus, neither the Company nor any of</w:t>
      </w:r>
      <w:r>
        <w:rPr>
          <w:rFonts w:ascii="Arial" w:cs="Arial" w:eastAsia="Arial" w:hAnsi="Arial"/>
          <w:sz w:val="17"/>
          <w:szCs w:val="17"/>
          <w:i w:val="1"/>
          <w:iCs w:val="1"/>
          <w:color w:val="auto"/>
        </w:rPr>
        <w:t xml:space="preserve"> </w:t>
      </w:r>
      <w:r>
        <w:rPr>
          <w:rFonts w:ascii="Arial" w:cs="Arial" w:eastAsia="Arial" w:hAnsi="Arial"/>
          <w:sz w:val="17"/>
          <w:szCs w:val="17"/>
          <w:color w:val="auto"/>
        </w:rPr>
        <w:t>its subsidiaries (i) is in violation of its certificate of incorporation or by-laws (or similar organizational documents), (ii) is in default, and no event has occurred that, with notice or lapse of time or both, would constitute such a default, in the due performance or observance of any term, covenant, condition or other obligation contained in any indenture, mortgage, deed of trust, loan agreement, license or other agreement or instrument to which it is a party or by which it is bound or to which any of its properties or assets is subject, or (iii) is in violation of any statute or any order, rule or regulation of any court or governmental agency or body having jurisdiction over it or its property or assets or has failed to obtain any license, permit, certificate, franchise or other governmental authorization or permit necessary to the ownership of its property or to the conduct of its business, except in the case of clauses (ii) and (iii), to the extent any such conflict, breach, violation or default would not, individually or in the aggregate, reasonably be expected to have a Material Adverse Effect.</w:t>
      </w:r>
    </w:p>
    <w:p>
      <w:pPr>
        <w:spacing w:after="0" w:line="72" w:lineRule="exact"/>
        <w:rPr>
          <w:rFonts w:ascii="Arial" w:cs="Arial" w:eastAsia="Arial" w:hAnsi="Arial"/>
          <w:sz w:val="17"/>
          <w:szCs w:val="17"/>
          <w:color w:val="auto"/>
        </w:rPr>
      </w:pPr>
    </w:p>
    <w:p>
      <w:pPr>
        <w:ind w:right="160" w:firstLine="948"/>
        <w:spacing w:after="0" w:line="257" w:lineRule="auto"/>
        <w:tabs>
          <w:tab w:leader="none" w:pos="1486" w:val="left"/>
        </w:tabs>
        <w:numPr>
          <w:ilvl w:val="0"/>
          <w:numId w:val="59"/>
        </w:numPr>
        <w:rPr>
          <w:rFonts w:ascii="Arial" w:cs="Arial" w:eastAsia="Arial" w:hAnsi="Arial"/>
          <w:sz w:val="18"/>
          <w:szCs w:val="18"/>
          <w:color w:val="auto"/>
        </w:rPr>
      </w:pPr>
      <w:r>
        <w:rPr>
          <w:rFonts w:ascii="Arial" w:cs="Arial" w:eastAsia="Arial" w:hAnsi="Arial"/>
          <w:sz w:val="18"/>
          <w:szCs w:val="18"/>
          <w:i w:val="1"/>
          <w:iCs w:val="1"/>
          <w:color w:val="auto"/>
        </w:rPr>
        <w:t>Environmental Laws</w:t>
      </w:r>
      <w:r>
        <w:rPr>
          <w:rFonts w:ascii="Arial" w:cs="Arial" w:eastAsia="Arial" w:hAnsi="Arial"/>
          <w:sz w:val="18"/>
          <w:szCs w:val="18"/>
          <w:color w:val="auto"/>
        </w:rPr>
        <w:t>. Except as disclosed in the Registration Statement and the Prospectus, the Company and each of its</w:t>
      </w:r>
      <w:r>
        <w:rPr>
          <w:rFonts w:ascii="Arial" w:cs="Arial" w:eastAsia="Arial" w:hAnsi="Arial"/>
          <w:sz w:val="18"/>
          <w:szCs w:val="18"/>
          <w:i w:val="1"/>
          <w:iCs w:val="1"/>
          <w:color w:val="auto"/>
        </w:rPr>
        <w:t xml:space="preserve"> </w:t>
      </w:r>
      <w:r>
        <w:rPr>
          <w:rFonts w:ascii="Arial" w:cs="Arial" w:eastAsia="Arial" w:hAnsi="Arial"/>
          <w:sz w:val="18"/>
          <w:szCs w:val="18"/>
          <w:color w:val="auto"/>
        </w:rPr>
        <w:t>subsidiaries (i) are, and at all times prior hereto were, in compliance with all laws, regulations, ordinances, rules, orders, judgments, decrees, permits or other legal requirements of any governmental authority, including without limitation any international, foreign, national, state, provincial, regional, or local authority, relating to pollution, the protection of human health or safety, the environment, or natural resources, or to use, handling, storage,</w:t>
      </w:r>
    </w:p>
    <w:p>
      <w:pPr>
        <w:sectPr>
          <w:pgSz w:w="11900" w:h="16838" w:orient="portrait"/>
          <w:cols w:equalWidth="0" w:num="1">
            <w:col w:w="10560"/>
          </w:cols>
          <w:pgMar w:left="880" w:top="274" w:right="459" w:bottom="1440" w:gutter="0" w:footer="0" w:header="0"/>
        </w:sectPr>
      </w:pPr>
    </w:p>
    <w:bookmarkStart w:id="82" w:name="page83"/>
    <w:bookmarkEnd w:id="82"/>
    <w:p>
      <w:pPr>
        <w:ind w:left="4"/>
        <w:spacing w:after="0"/>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115" name="Picture 1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5"/>
                    <pic:cNvPicPr>
                      <a:picLocks noChangeAspect="1" noChangeArrowheads="1"/>
                    </pic:cNvPicPr>
                  </pic:nvPicPr>
                  <pic:blipFill>
                    <a:blip r:embed="rId137">
                      <a:extLst>
                        <a:ext uri="{28A0092B-C50C-407E-A947-70E740481C1C}"/>
                      </a:extLst>
                    </a:blip>
                    <a:srcRect/>
                    <a:stretch>
                      <a:fillRect/>
                    </a:stretch>
                  </pic:blipFill>
                  <pic:spPr bwMode="auto">
                    <a:xfrm>
                      <a:off x="0" y="0"/>
                      <a:ext cx="7149465" cy="25400"/>
                    </a:xfrm>
                    <a:prstGeom prst="rect">
                      <a:avLst/>
                    </a:prstGeom>
                    <a:noFill/>
                  </pic:spPr>
                </pic:pic>
              </a:graphicData>
            </a:graphic>
          </wp:anchor>
        </w:drawing>
        <w:t>manufacturing, transportation, treatment, discharge, disposal or release of hazardous or toxic substances or wastes, pollutants or contaminants</w:t>
      </w:r>
    </w:p>
    <w:p>
      <w:pPr>
        <w:spacing w:after="0" w:line="46" w:lineRule="exact"/>
        <w:rPr>
          <w:sz w:val="20"/>
          <w:szCs w:val="20"/>
          <w:color w:val="auto"/>
        </w:rPr>
      </w:pPr>
    </w:p>
    <w:p>
      <w:pPr>
        <w:ind w:left="4" w:right="20"/>
        <w:spacing w:after="0" w:line="281" w:lineRule="auto"/>
        <w:rPr>
          <w:sz w:val="20"/>
          <w:szCs w:val="20"/>
          <w:color w:val="auto"/>
        </w:rPr>
      </w:pPr>
      <w:r>
        <w:rPr>
          <w:rFonts w:ascii="Arial" w:cs="Arial" w:eastAsia="Arial" w:hAnsi="Arial"/>
          <w:sz w:val="16"/>
          <w:szCs w:val="16"/>
          <w:color w:val="auto"/>
        </w:rPr>
        <w:t>(</w:t>
      </w:r>
      <w:r>
        <w:rPr>
          <w:rFonts w:ascii="Arial" w:cs="Arial" w:eastAsia="Arial" w:hAnsi="Arial"/>
          <w:sz w:val="16"/>
          <w:szCs w:val="16"/>
          <w:b w:val="1"/>
          <w:bCs w:val="1"/>
          <w:i w:val="1"/>
          <w:iCs w:val="1"/>
          <w:color w:val="auto"/>
        </w:rPr>
        <w:t>“Environmental Laws”</w:t>
      </w:r>
      <w:r>
        <w:rPr>
          <w:rFonts w:ascii="Arial" w:cs="Arial" w:eastAsia="Arial" w:hAnsi="Arial"/>
          <w:sz w:val="16"/>
          <w:szCs w:val="16"/>
          <w:color w:val="auto"/>
        </w:rPr>
        <w:t>) applicable to such entity, which compliance includes, without limitation, obtaining, maintaining and complying with all permits and authorizations and approvals required by Environmental Laws to conduct their respective businesses, and (ii) have not received written notice or otherwise have knowledge of any actual or alleged violation of Environmental Laws, or of any actual or potential liability for or other obligation concerning the presence, disposal or release of hazardous or toxic substances or wastes, pollutants or contaminants, except in the case of clauses (i) and (ii), to the extent any such non-compliance, violation, liability or other obligation would not, individually or in the aggregate, reasonably be expected to have a Material Adverse Effect. Except as described in the Registration Statement and the Prospectus,</w:t>
      </w:r>
    </w:p>
    <w:p>
      <w:pPr>
        <w:spacing w:after="0" w:line="4" w:lineRule="exact"/>
        <w:rPr>
          <w:sz w:val="20"/>
          <w:szCs w:val="20"/>
          <w:color w:val="auto"/>
        </w:rPr>
      </w:pPr>
    </w:p>
    <w:p>
      <w:pPr>
        <w:ind w:left="4" w:right="60" w:hanging="4"/>
        <w:spacing w:after="0" w:line="290" w:lineRule="auto"/>
        <w:tabs>
          <w:tab w:leader="none" w:pos="258" w:val="left"/>
        </w:tabs>
        <w:numPr>
          <w:ilvl w:val="0"/>
          <w:numId w:val="60"/>
        </w:numPr>
        <w:rPr>
          <w:rFonts w:ascii="Arial" w:cs="Arial" w:eastAsia="Arial" w:hAnsi="Arial"/>
          <w:sz w:val="16"/>
          <w:szCs w:val="16"/>
          <w:color w:val="auto"/>
        </w:rPr>
      </w:pPr>
      <w:r>
        <w:rPr>
          <w:rFonts w:ascii="Arial" w:cs="Arial" w:eastAsia="Arial" w:hAnsi="Arial"/>
          <w:sz w:val="16"/>
          <w:szCs w:val="16"/>
          <w:color w:val="auto"/>
        </w:rPr>
        <w:t>there are no proceedings that are pending, or to the Company’s knowledge, threatened, against the Company or any of its subsidiaries under Environmental Laws in which a governmental authority is also a party, other than such proceedings regarding which it is reasonably believed no monetary sanctions of $100,000 or more will be imposed, (y) the Company and its subsidiaries are not aware of any issues regarding compliance with Environmental Laws, including any pending or proposed Environmental Laws, or liabilities or other obligations under Environmental Laws or concerning hazardous or toxic substances or wastes, pollutants or contaminants, that would reasonably be expected to have a Material Adverse Effect, and (z) none of the Company and its subsidiaries anticipates material capital expenditures relating to Environmental Laws.</w:t>
      </w:r>
    </w:p>
    <w:p>
      <w:pPr>
        <w:spacing w:after="0" w:line="55" w:lineRule="exact"/>
        <w:rPr>
          <w:rFonts w:ascii="Arial" w:cs="Arial" w:eastAsia="Arial" w:hAnsi="Arial"/>
          <w:sz w:val="16"/>
          <w:szCs w:val="16"/>
          <w:color w:val="auto"/>
        </w:rPr>
      </w:pPr>
    </w:p>
    <w:p>
      <w:pPr>
        <w:ind w:left="4" w:firstLine="948"/>
        <w:spacing w:after="0" w:line="296" w:lineRule="auto"/>
        <w:tabs>
          <w:tab w:leader="none" w:pos="1540" w:val="left"/>
        </w:tabs>
        <w:numPr>
          <w:ilvl w:val="1"/>
          <w:numId w:val="60"/>
        </w:numPr>
        <w:rPr>
          <w:rFonts w:ascii="Arial" w:cs="Arial" w:eastAsia="Arial" w:hAnsi="Arial"/>
          <w:sz w:val="16"/>
          <w:szCs w:val="16"/>
          <w:color w:val="auto"/>
        </w:rPr>
      </w:pPr>
      <w:r>
        <w:rPr>
          <w:rFonts w:ascii="Arial" w:cs="Arial" w:eastAsia="Arial" w:hAnsi="Arial"/>
          <w:sz w:val="16"/>
          <w:szCs w:val="16"/>
          <w:i w:val="1"/>
          <w:iCs w:val="1"/>
          <w:color w:val="auto"/>
        </w:rPr>
        <w:t>Taxes</w:t>
      </w:r>
      <w:r>
        <w:rPr>
          <w:rFonts w:ascii="Arial" w:cs="Arial" w:eastAsia="Arial" w:hAnsi="Arial"/>
          <w:sz w:val="16"/>
          <w:szCs w:val="16"/>
          <w:color w:val="auto"/>
        </w:rPr>
        <w:t>. The Company and each of its subsidiaries have filed all federal, state, local and foreign tax returns required to be filed</w:t>
      </w:r>
      <w:r>
        <w:rPr>
          <w:rFonts w:ascii="Arial" w:cs="Arial" w:eastAsia="Arial" w:hAnsi="Arial"/>
          <w:sz w:val="16"/>
          <w:szCs w:val="16"/>
          <w:i w:val="1"/>
          <w:iCs w:val="1"/>
          <w:color w:val="auto"/>
        </w:rPr>
        <w:t xml:space="preserve"> </w:t>
      </w:r>
      <w:r>
        <w:rPr>
          <w:rFonts w:ascii="Arial" w:cs="Arial" w:eastAsia="Arial" w:hAnsi="Arial"/>
          <w:sz w:val="16"/>
          <w:szCs w:val="16"/>
          <w:color w:val="auto"/>
        </w:rPr>
        <w:t>through the date hereof, subject to permitted extensions, and have paid all taxes due except where the failure to file or pay would not, individually or in the aggregate, reasonably be expected to have a Material Adverse Effect, and no tax deficiency has been determined adversely to the Company or any of its subsidiaries, nor does the Company have any knowledge of any tax deficiencies that have been, or would reasonably be expected to be asserted against the Company, that would, in the aggregate, reasonably be expected to have a Material Adverse Effect.</w:t>
      </w:r>
    </w:p>
    <w:p>
      <w:pPr>
        <w:spacing w:after="0" w:line="53" w:lineRule="exact"/>
        <w:rPr>
          <w:rFonts w:ascii="Arial" w:cs="Arial" w:eastAsia="Arial" w:hAnsi="Arial"/>
          <w:sz w:val="16"/>
          <w:szCs w:val="16"/>
          <w:color w:val="auto"/>
        </w:rPr>
      </w:pPr>
    </w:p>
    <w:p>
      <w:pPr>
        <w:ind w:left="4" w:right="100" w:firstLine="948"/>
        <w:spacing w:after="0" w:line="253" w:lineRule="auto"/>
        <w:tabs>
          <w:tab w:leader="none" w:pos="1530" w:val="left"/>
        </w:tabs>
        <w:numPr>
          <w:ilvl w:val="1"/>
          <w:numId w:val="60"/>
        </w:numPr>
        <w:rPr>
          <w:rFonts w:ascii="Arial" w:cs="Arial" w:eastAsia="Arial" w:hAnsi="Arial"/>
          <w:sz w:val="18"/>
          <w:szCs w:val="18"/>
          <w:color w:val="auto"/>
        </w:rPr>
      </w:pPr>
      <w:r>
        <w:rPr>
          <w:rFonts w:ascii="Arial" w:cs="Arial" w:eastAsia="Arial" w:hAnsi="Arial"/>
          <w:sz w:val="18"/>
          <w:szCs w:val="18"/>
          <w:i w:val="1"/>
          <w:iCs w:val="1"/>
          <w:color w:val="auto"/>
        </w:rPr>
        <w:t>ERISA Compliance</w:t>
      </w:r>
      <w:r>
        <w:rPr>
          <w:rFonts w:ascii="Arial" w:cs="Arial" w:eastAsia="Arial" w:hAnsi="Arial"/>
          <w:sz w:val="18"/>
          <w:szCs w:val="18"/>
          <w:color w:val="auto"/>
        </w:rPr>
        <w:t>. (i) Each “employee benefit plan” (within the meaning of Section 3(3) of the Employee Retirement</w:t>
      </w:r>
      <w:r>
        <w:rPr>
          <w:rFonts w:ascii="Arial" w:cs="Arial" w:eastAsia="Arial" w:hAnsi="Arial"/>
          <w:sz w:val="18"/>
          <w:szCs w:val="18"/>
          <w:i w:val="1"/>
          <w:iCs w:val="1"/>
          <w:color w:val="auto"/>
        </w:rPr>
        <w:t xml:space="preserve"> </w:t>
      </w:r>
      <w:r>
        <w:rPr>
          <w:rFonts w:ascii="Arial" w:cs="Arial" w:eastAsia="Arial" w:hAnsi="Arial"/>
          <w:sz w:val="18"/>
          <w:szCs w:val="18"/>
          <w:color w:val="auto"/>
        </w:rPr>
        <w:t>Security Act of 1974, as amended (</w:t>
      </w:r>
      <w:r>
        <w:rPr>
          <w:rFonts w:ascii="Arial" w:cs="Arial" w:eastAsia="Arial" w:hAnsi="Arial"/>
          <w:sz w:val="18"/>
          <w:szCs w:val="18"/>
          <w:b w:val="1"/>
          <w:bCs w:val="1"/>
          <w:i w:val="1"/>
          <w:iCs w:val="1"/>
          <w:color w:val="auto"/>
        </w:rPr>
        <w:t>“ERISA”</w:t>
      </w:r>
      <w:r>
        <w:rPr>
          <w:rFonts w:ascii="Arial" w:cs="Arial" w:eastAsia="Arial" w:hAnsi="Arial"/>
          <w:sz w:val="18"/>
          <w:szCs w:val="18"/>
          <w:color w:val="auto"/>
        </w:rPr>
        <w:t xml:space="preserve">)) for which the Company or any member of its “Controlled Group” (defined as any organization which is a member of a controlled group of corporations within the meaning of Section 414 of the Internal Revenue Code of 1986, as amended (the </w:t>
      </w:r>
      <w:r>
        <w:rPr>
          <w:rFonts w:ascii="Arial" w:cs="Arial" w:eastAsia="Arial" w:hAnsi="Arial"/>
          <w:sz w:val="18"/>
          <w:szCs w:val="18"/>
          <w:b w:val="1"/>
          <w:bCs w:val="1"/>
          <w:i w:val="1"/>
          <w:iCs w:val="1"/>
          <w:color w:val="auto"/>
        </w:rPr>
        <w:t>“Code”</w:t>
      </w:r>
      <w:r>
        <w:rPr>
          <w:rFonts w:ascii="Arial" w:cs="Arial" w:eastAsia="Arial" w:hAnsi="Arial"/>
          <w:sz w:val="18"/>
          <w:szCs w:val="18"/>
          <w:color w:val="auto"/>
        </w:rPr>
        <w:t xml:space="preserve">)) would have any liability (each a </w:t>
      </w:r>
      <w:r>
        <w:rPr>
          <w:rFonts w:ascii="Arial" w:cs="Arial" w:eastAsia="Arial" w:hAnsi="Arial"/>
          <w:sz w:val="18"/>
          <w:szCs w:val="18"/>
          <w:b w:val="1"/>
          <w:bCs w:val="1"/>
          <w:i w:val="1"/>
          <w:iCs w:val="1"/>
          <w:color w:val="auto"/>
        </w:rPr>
        <w:t>“Plan”</w:t>
      </w:r>
      <w:r>
        <w:rPr>
          <w:rFonts w:ascii="Arial" w:cs="Arial" w:eastAsia="Arial" w:hAnsi="Arial"/>
          <w:sz w:val="18"/>
          <w:szCs w:val="18"/>
          <w:color w:val="auto"/>
        </w:rPr>
        <w:t>) has been maintained in compliance in all material respects with its terms and with the requirements of all applicable statutes, rules and regulations including ERISA and the Code; (ii) no prohibited transaction, within the meaning of Section 406 of ERISA or Section 4975 of the Code, has occurred with respect to any Plan excluding transactions effected pursuant to a statutory or administrative exemption; (iii) with respect to each Plan subject to Title IV of ERISA (A) no “reportable event” (within the meaning of Section 4043(c) of ERISA) has occurred or is reasonably expected to occur that would result in a material loss to the Company, (B) no “accumulated</w:t>
      </w:r>
    </w:p>
    <w:p>
      <w:pPr>
        <w:sectPr>
          <w:pgSz w:w="11900" w:h="16838" w:orient="portrait"/>
          <w:cols w:equalWidth="0" w:num="1">
            <w:col w:w="10524"/>
          </w:cols>
          <w:pgMar w:left="876" w:top="274" w:right="499" w:bottom="1440" w:gutter="0" w:footer="0" w:header="0"/>
        </w:sectPr>
      </w:pPr>
    </w:p>
    <w:bookmarkStart w:id="83" w:name="page84"/>
    <w:bookmarkEnd w:id="83"/>
    <w:p>
      <w:pPr>
        <w:ind w:right="80"/>
        <w:spacing w:after="0" w:line="284"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116" name="Picture 1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6"/>
                    <pic:cNvPicPr>
                      <a:picLocks noChangeAspect="1" noChangeArrowheads="1"/>
                    </pic:cNvPicPr>
                  </pic:nvPicPr>
                  <pic:blipFill>
                    <a:blip r:embed="rId138">
                      <a:extLst>
                        <a:ext uri="{28A0092B-C50C-407E-A947-70E740481C1C}"/>
                      </a:extLst>
                    </a:blip>
                    <a:srcRect/>
                    <a:stretch>
                      <a:fillRect/>
                    </a:stretch>
                  </pic:blipFill>
                  <pic:spPr bwMode="auto">
                    <a:xfrm>
                      <a:off x="0" y="0"/>
                      <a:ext cx="7149465" cy="25400"/>
                    </a:xfrm>
                    <a:prstGeom prst="rect">
                      <a:avLst/>
                    </a:prstGeom>
                    <a:noFill/>
                  </pic:spPr>
                </pic:pic>
              </a:graphicData>
            </a:graphic>
          </wp:anchor>
        </w:drawing>
        <w:t>funding deficiency” (within the meaning of Section 302 of ERISA or Section 412 of the Code), whether or not waived, has occurred or is reasonably expected to occur, (C) the fair market value of the assets under each Plan that is required to be funded exceeds the present value of all benefits accrued under such Plan (determined based on those assumptions used to fund such Plan), and (D) neither the Company or any member of its Controlled Group has incurred, or reasonably expects to incur, any liability under Title IV of ERISA (other than contributions to the Plan or premiums to the Pension Benefit Guaranty Corporation in the ordinary course and without default) in respect of a Plan (including a “multiemployer plan”, within the meaning of Section 4001(c)(3) of ERISA); and (iv) each Plan that is intended to be qualified under</w:t>
      </w:r>
    </w:p>
    <w:p>
      <w:pPr>
        <w:spacing w:after="0" w:line="4" w:lineRule="exact"/>
        <w:rPr>
          <w:sz w:val="20"/>
          <w:szCs w:val="20"/>
          <w:color w:val="auto"/>
        </w:rPr>
      </w:pPr>
    </w:p>
    <w:p>
      <w:pPr>
        <w:ind w:right="220"/>
        <w:spacing w:after="0" w:line="260" w:lineRule="auto"/>
        <w:rPr>
          <w:sz w:val="20"/>
          <w:szCs w:val="20"/>
          <w:color w:val="auto"/>
        </w:rPr>
      </w:pPr>
      <w:r>
        <w:rPr>
          <w:rFonts w:ascii="Arial" w:cs="Arial" w:eastAsia="Arial" w:hAnsi="Arial"/>
          <w:sz w:val="18"/>
          <w:szCs w:val="18"/>
          <w:color w:val="auto"/>
        </w:rPr>
        <w:t>Section 401(a) of the Code is so qualified and nothing has occurred, to the Company’s knowledge, whether by action or by failure to act, which would cause the loss of such qualification.</w:t>
      </w:r>
    </w:p>
    <w:p>
      <w:pPr>
        <w:spacing w:after="0" w:line="77" w:lineRule="exact"/>
        <w:rPr>
          <w:sz w:val="20"/>
          <w:szCs w:val="20"/>
          <w:color w:val="auto"/>
        </w:rPr>
      </w:pPr>
    </w:p>
    <w:p>
      <w:pPr>
        <w:ind w:right="140" w:firstLine="948"/>
        <w:spacing w:after="0" w:line="311" w:lineRule="auto"/>
        <w:tabs>
          <w:tab w:leader="none" w:pos="1476" w:val="left"/>
        </w:tabs>
        <w:numPr>
          <w:ilvl w:val="0"/>
          <w:numId w:val="61"/>
        </w:numPr>
        <w:rPr>
          <w:rFonts w:ascii="Arial" w:cs="Arial" w:eastAsia="Arial" w:hAnsi="Arial"/>
          <w:sz w:val="16"/>
          <w:szCs w:val="16"/>
          <w:color w:val="auto"/>
        </w:rPr>
      </w:pPr>
      <w:r>
        <w:rPr>
          <w:rFonts w:ascii="Arial" w:cs="Arial" w:eastAsia="Arial" w:hAnsi="Arial"/>
          <w:sz w:val="16"/>
          <w:szCs w:val="16"/>
          <w:i w:val="1"/>
          <w:iCs w:val="1"/>
          <w:color w:val="auto"/>
        </w:rPr>
        <w:t>Accuracy of Statistical and Market Data</w:t>
      </w:r>
      <w:r>
        <w:rPr>
          <w:rFonts w:ascii="Arial" w:cs="Arial" w:eastAsia="Arial" w:hAnsi="Arial"/>
          <w:sz w:val="16"/>
          <w:szCs w:val="16"/>
          <w:color w:val="auto"/>
        </w:rPr>
        <w:t>. The statistical and market-related data included in the Registration Statement and</w:t>
      </w:r>
      <w:r>
        <w:rPr>
          <w:rFonts w:ascii="Arial" w:cs="Arial" w:eastAsia="Arial" w:hAnsi="Arial"/>
          <w:sz w:val="16"/>
          <w:szCs w:val="16"/>
          <w:i w:val="1"/>
          <w:iCs w:val="1"/>
          <w:color w:val="auto"/>
        </w:rPr>
        <w:t xml:space="preserve"> </w:t>
      </w:r>
      <w:r>
        <w:rPr>
          <w:rFonts w:ascii="Arial" w:cs="Arial" w:eastAsia="Arial" w:hAnsi="Arial"/>
          <w:sz w:val="16"/>
          <w:szCs w:val="16"/>
          <w:color w:val="auto"/>
        </w:rPr>
        <w:t>the Prospectus and the consolidated financial statements of the Company and its subsidiaries included or incorporated by reference in the Registration Statement and the Prospectus are based on or derived from sources that the Company believes to be reliable in all material respects.</w:t>
      </w:r>
    </w:p>
    <w:p>
      <w:pPr>
        <w:spacing w:after="0" w:line="40" w:lineRule="exact"/>
        <w:rPr>
          <w:rFonts w:ascii="Arial" w:cs="Arial" w:eastAsia="Arial" w:hAnsi="Arial"/>
          <w:sz w:val="16"/>
          <w:szCs w:val="16"/>
          <w:color w:val="auto"/>
        </w:rPr>
      </w:pPr>
    </w:p>
    <w:p>
      <w:pPr>
        <w:ind w:right="100" w:firstLine="948"/>
        <w:spacing w:after="0" w:line="255" w:lineRule="auto"/>
        <w:tabs>
          <w:tab w:leader="none" w:pos="1526" w:val="left"/>
        </w:tabs>
        <w:numPr>
          <w:ilvl w:val="0"/>
          <w:numId w:val="61"/>
        </w:numPr>
        <w:rPr>
          <w:rFonts w:ascii="Arial" w:cs="Arial" w:eastAsia="Arial" w:hAnsi="Arial"/>
          <w:sz w:val="18"/>
          <w:szCs w:val="18"/>
          <w:color w:val="auto"/>
        </w:rPr>
      </w:pPr>
      <w:r>
        <w:rPr>
          <w:rFonts w:ascii="Arial" w:cs="Arial" w:eastAsia="Arial" w:hAnsi="Arial"/>
          <w:sz w:val="18"/>
          <w:szCs w:val="18"/>
          <w:i w:val="1"/>
          <w:iCs w:val="1"/>
          <w:color w:val="auto"/>
        </w:rPr>
        <w:t>Not an Investment Company</w:t>
      </w:r>
      <w:r>
        <w:rPr>
          <w:rFonts w:ascii="Arial" w:cs="Arial" w:eastAsia="Arial" w:hAnsi="Arial"/>
          <w:sz w:val="18"/>
          <w:szCs w:val="18"/>
          <w:color w:val="auto"/>
        </w:rPr>
        <w:t>. Neither the Company nor any of its subsidiaries is, and as of the applicable Settlement Date</w:t>
      </w:r>
      <w:r>
        <w:rPr>
          <w:rFonts w:ascii="Arial" w:cs="Arial" w:eastAsia="Arial" w:hAnsi="Arial"/>
          <w:sz w:val="18"/>
          <w:szCs w:val="18"/>
          <w:i w:val="1"/>
          <w:iCs w:val="1"/>
          <w:color w:val="auto"/>
        </w:rPr>
        <w:t xml:space="preserve"> </w:t>
      </w:r>
      <w:r>
        <w:rPr>
          <w:rFonts w:ascii="Arial" w:cs="Arial" w:eastAsia="Arial" w:hAnsi="Arial"/>
          <w:sz w:val="18"/>
          <w:szCs w:val="18"/>
          <w:color w:val="auto"/>
        </w:rPr>
        <w:t xml:space="preserve">and, after giving effect to the offer and sale of the Shares and the application of the proceeds therefrom as described under “Use of Proceeds” in the Registration Statement and the Prospectus, none of them will be, (i) an “investment company” or a company “controlled” by an “investment company” within the meaning of the Investment Company Act of 1940, as amended (the </w:t>
      </w:r>
      <w:r>
        <w:rPr>
          <w:rFonts w:ascii="Arial" w:cs="Arial" w:eastAsia="Arial" w:hAnsi="Arial"/>
          <w:sz w:val="18"/>
          <w:szCs w:val="18"/>
          <w:b w:val="1"/>
          <w:bCs w:val="1"/>
          <w:i w:val="1"/>
          <w:iCs w:val="1"/>
          <w:color w:val="auto"/>
        </w:rPr>
        <w:t>“Investment Company Act”</w:t>
      </w:r>
      <w:r>
        <w:rPr>
          <w:rFonts w:ascii="Arial" w:cs="Arial" w:eastAsia="Arial" w:hAnsi="Arial"/>
          <w:sz w:val="18"/>
          <w:szCs w:val="18"/>
          <w:color w:val="auto"/>
        </w:rPr>
        <w:t>), and the rules and regulations of the Commission thereunder, or (ii) a “business development company” (as defined in Section 2(a)(48) of the Investment Company Act).</w:t>
      </w:r>
    </w:p>
    <w:p>
      <w:pPr>
        <w:spacing w:after="0" w:line="84" w:lineRule="exact"/>
        <w:rPr>
          <w:rFonts w:ascii="Arial" w:cs="Arial" w:eastAsia="Arial" w:hAnsi="Arial"/>
          <w:sz w:val="18"/>
          <w:szCs w:val="18"/>
          <w:color w:val="auto"/>
        </w:rPr>
      </w:pPr>
    </w:p>
    <w:p>
      <w:pPr>
        <w:ind w:firstLine="948"/>
        <w:spacing w:after="0" w:line="259" w:lineRule="auto"/>
        <w:tabs>
          <w:tab w:leader="none" w:pos="1576" w:val="left"/>
        </w:tabs>
        <w:numPr>
          <w:ilvl w:val="0"/>
          <w:numId w:val="61"/>
        </w:numPr>
        <w:rPr>
          <w:rFonts w:ascii="Arial" w:cs="Arial" w:eastAsia="Arial" w:hAnsi="Arial"/>
          <w:sz w:val="18"/>
          <w:szCs w:val="18"/>
          <w:color w:val="auto"/>
        </w:rPr>
      </w:pPr>
      <w:r>
        <w:rPr>
          <w:rFonts w:ascii="Arial" w:cs="Arial" w:eastAsia="Arial" w:hAnsi="Arial"/>
          <w:sz w:val="18"/>
          <w:szCs w:val="18"/>
          <w:i w:val="1"/>
          <w:iCs w:val="1"/>
          <w:color w:val="auto"/>
        </w:rPr>
        <w:t>Accuracy of Certain Summaries and Statements</w:t>
      </w:r>
      <w:r>
        <w:rPr>
          <w:rFonts w:ascii="Arial" w:cs="Arial" w:eastAsia="Arial" w:hAnsi="Arial"/>
          <w:sz w:val="18"/>
          <w:szCs w:val="18"/>
          <w:color w:val="auto"/>
        </w:rPr>
        <w:t>. The statements set forth or incorporated by reference, as applicable, in each</w:t>
      </w:r>
      <w:r>
        <w:rPr>
          <w:rFonts w:ascii="Arial" w:cs="Arial" w:eastAsia="Arial" w:hAnsi="Arial"/>
          <w:sz w:val="18"/>
          <w:szCs w:val="18"/>
          <w:i w:val="1"/>
          <w:iCs w:val="1"/>
          <w:color w:val="auto"/>
        </w:rPr>
        <w:t xml:space="preserve"> </w:t>
      </w:r>
      <w:r>
        <w:rPr>
          <w:rFonts w:ascii="Arial" w:cs="Arial" w:eastAsia="Arial" w:hAnsi="Arial"/>
          <w:sz w:val="18"/>
          <w:szCs w:val="18"/>
          <w:color w:val="auto"/>
        </w:rPr>
        <w:t>of the Registration Statement and the Prospectus under the captions “Description of Capital Stock,” “Legal Proceedings” and “Certain Relationships and Related Transactions, and Director Independence”, insofar as they purport to summarize the provisions of the laws and documents referred to therein, are accurate summaries in all material respects.</w:t>
      </w:r>
    </w:p>
    <w:p>
      <w:pPr>
        <w:spacing w:after="0" w:line="78" w:lineRule="exact"/>
        <w:rPr>
          <w:rFonts w:ascii="Arial" w:cs="Arial" w:eastAsia="Arial" w:hAnsi="Arial"/>
          <w:sz w:val="18"/>
          <w:szCs w:val="18"/>
          <w:color w:val="auto"/>
        </w:rPr>
      </w:pPr>
    </w:p>
    <w:p>
      <w:pPr>
        <w:ind w:right="200" w:firstLine="948"/>
        <w:spacing w:after="0" w:line="257" w:lineRule="auto"/>
        <w:tabs>
          <w:tab w:leader="none" w:pos="1626" w:val="left"/>
        </w:tabs>
        <w:numPr>
          <w:ilvl w:val="0"/>
          <w:numId w:val="61"/>
        </w:numPr>
        <w:rPr>
          <w:rFonts w:ascii="Arial" w:cs="Arial" w:eastAsia="Arial" w:hAnsi="Arial"/>
          <w:sz w:val="18"/>
          <w:szCs w:val="18"/>
          <w:color w:val="auto"/>
        </w:rPr>
      </w:pPr>
      <w:r>
        <w:rPr>
          <w:rFonts w:ascii="Arial" w:cs="Arial" w:eastAsia="Arial" w:hAnsi="Arial"/>
          <w:sz w:val="18"/>
          <w:szCs w:val="18"/>
          <w:i w:val="1"/>
          <w:iCs w:val="1"/>
          <w:color w:val="auto"/>
        </w:rPr>
        <w:t>Registration Rights</w:t>
      </w:r>
      <w:r>
        <w:rPr>
          <w:rFonts w:ascii="Arial" w:cs="Arial" w:eastAsia="Arial" w:hAnsi="Arial"/>
          <w:sz w:val="18"/>
          <w:szCs w:val="18"/>
          <w:color w:val="auto"/>
        </w:rPr>
        <w:t>. Except as disclosed in the Registration Statement and the Prospectus, there are no contracts,</w:t>
      </w:r>
      <w:r>
        <w:rPr>
          <w:rFonts w:ascii="Arial" w:cs="Arial" w:eastAsia="Arial" w:hAnsi="Arial"/>
          <w:sz w:val="18"/>
          <w:szCs w:val="18"/>
          <w:i w:val="1"/>
          <w:iCs w:val="1"/>
          <w:color w:val="auto"/>
        </w:rPr>
        <w:t xml:space="preserve"> </w:t>
      </w:r>
      <w:r>
        <w:rPr>
          <w:rFonts w:ascii="Arial" w:cs="Arial" w:eastAsia="Arial" w:hAnsi="Arial"/>
          <w:sz w:val="18"/>
          <w:szCs w:val="18"/>
          <w:color w:val="auto"/>
        </w:rPr>
        <w:t>agreements or understandings between the Company and any person granting such person the right to require the Company to file a registration statement under the Securities Act with respect to any securities of the Company owned or to be owned by such person. There are no contracts, agreements or understandings to require the Company to include any such securities in the securities proposed to be offered pursuant to this Agreement, except as have been waived.</w:t>
      </w:r>
    </w:p>
    <w:p>
      <w:pPr>
        <w:sectPr>
          <w:pgSz w:w="11900" w:h="16838" w:orient="portrait"/>
          <w:cols w:equalWidth="0" w:num="1">
            <w:col w:w="10540"/>
          </w:cols>
          <w:pgMar w:left="880" w:top="274" w:right="479" w:bottom="1440" w:gutter="0" w:footer="0" w:header="0"/>
        </w:sectPr>
      </w:pPr>
    </w:p>
    <w:bookmarkStart w:id="84" w:name="page85"/>
    <w:bookmarkEnd w:id="84"/>
    <w:p>
      <w:pPr>
        <w:ind w:right="240" w:firstLine="948"/>
        <w:spacing w:after="0" w:line="263" w:lineRule="auto"/>
        <w:tabs>
          <w:tab w:leader="none" w:pos="1526" w:val="left"/>
        </w:tabs>
        <w:numPr>
          <w:ilvl w:val="0"/>
          <w:numId w:val="62"/>
        </w:numPr>
        <w:rPr>
          <w:rFonts w:ascii="Arial" w:cs="Arial" w:eastAsia="Arial" w:hAnsi="Arial"/>
          <w:sz w:val="18"/>
          <w:szCs w:val="18"/>
          <w:color w:val="auto"/>
        </w:rPr>
      </w:pPr>
      <w:r>
        <w:rPr>
          <w:rFonts w:ascii="Arial" w:cs="Arial" w:eastAsia="Arial" w:hAnsi="Arial"/>
          <w:sz w:val="18"/>
          <w:szCs w:val="18"/>
          <w:i w:val="1"/>
          <w:iCs w:val="1"/>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117" name="Picture 1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7"/>
                    <pic:cNvPicPr>
                      <a:picLocks noChangeAspect="1" noChangeArrowheads="1"/>
                    </pic:cNvPicPr>
                  </pic:nvPicPr>
                  <pic:blipFill>
                    <a:blip r:embed="rId139">
                      <a:extLst>
                        <a:ext uri="{28A0092B-C50C-407E-A947-70E740481C1C}"/>
                      </a:extLst>
                    </a:blip>
                    <a:srcRect/>
                    <a:stretch>
                      <a:fillRect/>
                    </a:stretch>
                  </pic:blipFill>
                  <pic:spPr bwMode="auto">
                    <a:xfrm>
                      <a:off x="0" y="0"/>
                      <a:ext cx="7149465" cy="25400"/>
                    </a:xfrm>
                    <a:prstGeom prst="rect">
                      <a:avLst/>
                    </a:prstGeom>
                    <a:noFill/>
                  </pic:spPr>
                </pic:pic>
              </a:graphicData>
            </a:graphic>
          </wp:anchor>
        </w:drawing>
        <w:t>No Other Brokers</w:t>
      </w:r>
      <w:r>
        <w:rPr>
          <w:rFonts w:ascii="Arial" w:cs="Arial" w:eastAsia="Arial" w:hAnsi="Arial"/>
          <w:sz w:val="18"/>
          <w:szCs w:val="18"/>
          <w:color w:val="auto"/>
        </w:rPr>
        <w:t>. Neither the Company nor any of its subsidiaries is a party to any contract, agreement or understanding</w:t>
      </w:r>
      <w:r>
        <w:rPr>
          <w:rFonts w:ascii="Arial" w:cs="Arial" w:eastAsia="Arial" w:hAnsi="Arial"/>
          <w:sz w:val="18"/>
          <w:szCs w:val="18"/>
          <w:i w:val="1"/>
          <w:iCs w:val="1"/>
          <w:color w:val="auto"/>
        </w:rPr>
        <w:t xml:space="preserve"> </w:t>
      </w:r>
      <w:r>
        <w:rPr>
          <w:rFonts w:ascii="Arial" w:cs="Arial" w:eastAsia="Arial" w:hAnsi="Arial"/>
          <w:sz w:val="18"/>
          <w:szCs w:val="18"/>
          <w:color w:val="auto"/>
        </w:rPr>
        <w:t>with any person (other than this Agreement) that would give rise to a valid claim against any of them or the Agent for a brokerage commission, finder’s fee or like payment in connection with the offering and sale of the Shares.</w:t>
      </w:r>
    </w:p>
    <w:p>
      <w:pPr>
        <w:spacing w:after="0" w:line="76" w:lineRule="exact"/>
        <w:rPr>
          <w:sz w:val="20"/>
          <w:szCs w:val="20"/>
          <w:color w:val="auto"/>
        </w:rPr>
      </w:pPr>
    </w:p>
    <w:p>
      <w:pPr>
        <w:ind w:right="480" w:firstLine="952"/>
        <w:spacing w:after="0" w:line="277" w:lineRule="auto"/>
        <w:rPr>
          <w:sz w:val="20"/>
          <w:szCs w:val="20"/>
          <w:color w:val="auto"/>
        </w:rPr>
      </w:pPr>
      <w:r>
        <w:rPr>
          <w:rFonts w:ascii="Arial" w:cs="Arial" w:eastAsia="Arial" w:hAnsi="Arial"/>
          <w:sz w:val="18"/>
          <w:szCs w:val="18"/>
          <w:color w:val="auto"/>
        </w:rPr>
        <w:t xml:space="preserve">(xl) </w:t>
      </w:r>
      <w:r>
        <w:rPr>
          <w:rFonts w:ascii="Arial" w:cs="Arial" w:eastAsia="Arial" w:hAnsi="Arial"/>
          <w:sz w:val="18"/>
          <w:szCs w:val="18"/>
          <w:i w:val="1"/>
          <w:iCs w:val="1"/>
          <w:color w:val="auto"/>
        </w:rPr>
        <w:t>No Integration</w:t>
      </w:r>
      <w:r>
        <w:rPr>
          <w:rFonts w:ascii="Arial" w:cs="Arial" w:eastAsia="Arial" w:hAnsi="Arial"/>
          <w:sz w:val="18"/>
          <w:szCs w:val="18"/>
          <w:color w:val="auto"/>
        </w:rPr>
        <w:t>. The Company has not sold or issued any securities that would be integrated with the offering of the Shares contemplated by this Agreement pursuant to the Securities Act or the interpretations thereof by the Commission.</w:t>
      </w:r>
    </w:p>
    <w:p>
      <w:pPr>
        <w:spacing w:after="0" w:line="62" w:lineRule="exact"/>
        <w:rPr>
          <w:sz w:val="20"/>
          <w:szCs w:val="20"/>
          <w:color w:val="auto"/>
        </w:rPr>
      </w:pPr>
    </w:p>
    <w:p>
      <w:pPr>
        <w:ind w:right="240" w:firstLine="952"/>
        <w:spacing w:after="0" w:line="263" w:lineRule="auto"/>
        <w:rPr>
          <w:sz w:val="20"/>
          <w:szCs w:val="20"/>
          <w:color w:val="auto"/>
        </w:rPr>
      </w:pPr>
      <w:r>
        <w:rPr>
          <w:rFonts w:ascii="Arial" w:cs="Arial" w:eastAsia="Arial" w:hAnsi="Arial"/>
          <w:sz w:val="18"/>
          <w:szCs w:val="18"/>
          <w:color w:val="auto"/>
        </w:rPr>
        <w:t xml:space="preserve">(xli) </w:t>
      </w:r>
      <w:r>
        <w:rPr>
          <w:rFonts w:ascii="Arial" w:cs="Arial" w:eastAsia="Arial" w:hAnsi="Arial"/>
          <w:sz w:val="18"/>
          <w:szCs w:val="18"/>
          <w:i w:val="1"/>
          <w:iCs w:val="1"/>
          <w:color w:val="auto"/>
        </w:rPr>
        <w:t>Absence of Stabilization or Manipulation</w:t>
      </w:r>
      <w:r>
        <w:rPr>
          <w:rFonts w:ascii="Arial" w:cs="Arial" w:eastAsia="Arial" w:hAnsi="Arial"/>
          <w:sz w:val="18"/>
          <w:szCs w:val="18"/>
          <w:color w:val="auto"/>
        </w:rPr>
        <w:t>. The Company and its affiliates have not taken, directly or indirectly, any action designed to or that has constituted or that could reasonably be expected to cause or result in the stabilization or manipulation of the price of any security of the Company in connection with the offering of the Shares.</w:t>
      </w:r>
    </w:p>
    <w:p>
      <w:pPr>
        <w:spacing w:after="0" w:line="76" w:lineRule="exact"/>
        <w:rPr>
          <w:sz w:val="20"/>
          <w:szCs w:val="20"/>
          <w:color w:val="auto"/>
        </w:rPr>
      </w:pPr>
    </w:p>
    <w:p>
      <w:pPr>
        <w:ind w:right="180" w:firstLine="952"/>
        <w:spacing w:after="0" w:line="301" w:lineRule="auto"/>
        <w:rPr>
          <w:sz w:val="20"/>
          <w:szCs w:val="20"/>
          <w:color w:val="auto"/>
        </w:rPr>
      </w:pPr>
      <w:r>
        <w:rPr>
          <w:rFonts w:ascii="Arial" w:cs="Arial" w:eastAsia="Arial" w:hAnsi="Arial"/>
          <w:sz w:val="16"/>
          <w:szCs w:val="16"/>
          <w:color w:val="auto"/>
        </w:rPr>
        <w:t xml:space="preserve">(xlii) </w:t>
      </w:r>
      <w:r>
        <w:rPr>
          <w:rFonts w:ascii="Arial" w:cs="Arial" w:eastAsia="Arial" w:hAnsi="Arial"/>
          <w:sz w:val="16"/>
          <w:szCs w:val="16"/>
          <w:i w:val="1"/>
          <w:iCs w:val="1"/>
          <w:color w:val="auto"/>
        </w:rPr>
        <w:t>Exchange Act Registration and Listing of the Common Stock</w:t>
      </w:r>
      <w:r>
        <w:rPr>
          <w:rFonts w:ascii="Arial" w:cs="Arial" w:eastAsia="Arial" w:hAnsi="Arial"/>
          <w:sz w:val="16"/>
          <w:szCs w:val="16"/>
          <w:color w:val="auto"/>
        </w:rPr>
        <w:t>. The shares of Common Stock are registered pursuant to Section 12(b) of the Exchange Act and listed on the Exchange; the Company has taken no action designed to, or reasonably likely to have the effect of, terminating the registration of the Common Stock under the Exchange Act or delisting the Common Stock from the Exchange, nor has the Company received any notification that the Commission or the Exchange is contemplating terminating such registration or listing.</w:t>
      </w:r>
    </w:p>
    <w:p>
      <w:pPr>
        <w:spacing w:after="0" w:line="49" w:lineRule="exact"/>
        <w:rPr>
          <w:sz w:val="20"/>
          <w:szCs w:val="20"/>
          <w:color w:val="auto"/>
        </w:rPr>
      </w:pPr>
    </w:p>
    <w:p>
      <w:pPr>
        <w:jc w:val="both"/>
        <w:ind w:right="60" w:firstLine="952"/>
        <w:spacing w:after="0" w:line="263" w:lineRule="auto"/>
        <w:rPr>
          <w:sz w:val="20"/>
          <w:szCs w:val="20"/>
          <w:color w:val="auto"/>
        </w:rPr>
      </w:pPr>
      <w:r>
        <w:rPr>
          <w:rFonts w:ascii="Arial" w:cs="Arial" w:eastAsia="Arial" w:hAnsi="Arial"/>
          <w:sz w:val="18"/>
          <w:szCs w:val="18"/>
          <w:color w:val="auto"/>
        </w:rPr>
        <w:t xml:space="preserve">(xliii) </w:t>
      </w:r>
      <w:r>
        <w:rPr>
          <w:rFonts w:ascii="Arial" w:cs="Arial" w:eastAsia="Arial" w:hAnsi="Arial"/>
          <w:sz w:val="18"/>
          <w:szCs w:val="18"/>
          <w:i w:val="1"/>
          <w:iCs w:val="1"/>
          <w:color w:val="auto"/>
        </w:rPr>
        <w:t>Offering Material</w:t>
      </w:r>
      <w:r>
        <w:rPr>
          <w:rFonts w:ascii="Arial" w:cs="Arial" w:eastAsia="Arial" w:hAnsi="Arial"/>
          <w:sz w:val="18"/>
          <w:szCs w:val="18"/>
          <w:color w:val="auto"/>
        </w:rPr>
        <w:t>. The Company has not distributed and prior to any Settlement Date, will not distribute any offering material in connection with any Placement (as defined in Section 2(a)(i) below), other than any Preliminary Prospectus, the Prospectus, and any Permitted Free Writing Prospectus to which the Agent has consented.</w:t>
      </w:r>
    </w:p>
    <w:p>
      <w:pPr>
        <w:spacing w:after="0" w:line="76" w:lineRule="exact"/>
        <w:rPr>
          <w:sz w:val="20"/>
          <w:szCs w:val="20"/>
          <w:color w:val="auto"/>
        </w:rPr>
      </w:pPr>
    </w:p>
    <w:p>
      <w:pPr>
        <w:ind w:firstLine="952"/>
        <w:spacing w:after="0" w:line="259" w:lineRule="auto"/>
        <w:rPr>
          <w:sz w:val="20"/>
          <w:szCs w:val="20"/>
          <w:color w:val="auto"/>
        </w:rPr>
      </w:pPr>
      <w:r>
        <w:rPr>
          <w:rFonts w:ascii="Arial" w:cs="Arial" w:eastAsia="Arial" w:hAnsi="Arial"/>
          <w:sz w:val="18"/>
          <w:szCs w:val="18"/>
          <w:color w:val="auto"/>
        </w:rPr>
        <w:t xml:space="preserve">(xliv) </w:t>
      </w:r>
      <w:r>
        <w:rPr>
          <w:rFonts w:ascii="Arial" w:cs="Arial" w:eastAsia="Arial" w:hAnsi="Arial"/>
          <w:sz w:val="18"/>
          <w:szCs w:val="18"/>
          <w:i w:val="1"/>
          <w:iCs w:val="1"/>
          <w:color w:val="auto"/>
        </w:rPr>
        <w:t>Compliance with Labor Laws</w:t>
      </w:r>
      <w:r>
        <w:rPr>
          <w:rFonts w:ascii="Arial" w:cs="Arial" w:eastAsia="Arial" w:hAnsi="Arial"/>
          <w:sz w:val="18"/>
          <w:szCs w:val="18"/>
          <w:color w:val="auto"/>
        </w:rPr>
        <w:t>. Neither the Company nor any subsidiary is in violation of or has received notice of any violation with respect to any federal or state law relating to discrimination in the hiring, promotion or pay of employees, nor any applicable federal or state wage and hour laws, nor any state law precluding the denial of credit due to the neighborhood in which a property is situated, the violation of any of which could reasonably be expected to have a Material Adverse Effect.</w:t>
      </w:r>
    </w:p>
    <w:p>
      <w:pPr>
        <w:spacing w:after="0" w:line="79" w:lineRule="exact"/>
        <w:rPr>
          <w:sz w:val="20"/>
          <w:szCs w:val="20"/>
          <w:color w:val="auto"/>
        </w:rPr>
      </w:pPr>
    </w:p>
    <w:p>
      <w:pPr>
        <w:ind w:right="20" w:firstLine="952"/>
        <w:spacing w:after="0" w:line="253" w:lineRule="auto"/>
        <w:rPr>
          <w:sz w:val="20"/>
          <w:szCs w:val="20"/>
          <w:color w:val="auto"/>
        </w:rPr>
      </w:pPr>
      <w:r>
        <w:rPr>
          <w:rFonts w:ascii="Arial" w:cs="Arial" w:eastAsia="Arial" w:hAnsi="Arial"/>
          <w:sz w:val="18"/>
          <w:szCs w:val="18"/>
          <w:color w:val="auto"/>
        </w:rPr>
        <w:t xml:space="preserve">(xlv) </w:t>
      </w:r>
      <w:r>
        <w:rPr>
          <w:rFonts w:ascii="Arial" w:cs="Arial" w:eastAsia="Arial" w:hAnsi="Arial"/>
          <w:sz w:val="18"/>
          <w:szCs w:val="18"/>
          <w:i w:val="1"/>
          <w:iCs w:val="1"/>
          <w:color w:val="auto"/>
        </w:rPr>
        <w:t>No Unlawful Payments</w:t>
      </w:r>
      <w:r>
        <w:rPr>
          <w:rFonts w:ascii="Arial" w:cs="Arial" w:eastAsia="Arial" w:hAnsi="Arial"/>
          <w:sz w:val="18"/>
          <w:szCs w:val="18"/>
          <w:color w:val="auto"/>
        </w:rPr>
        <w:t>. Neither the Company nor any of its subsidiaries, nor, to the knowledge of the Company, any director, officer, agent, employee or other person acting on behalf of the Company or any of its subsidiaries, has (i) used any corporate funds for any unlawful contribution, gift, entertainment or other unlawful expense relating to political activity; (ii) made any direct or indirect unlawful payment to any foreign or domestic government official or employee from corporate funds; (iii) violated or is in violation of any provision of the U.S. Foreign Corrupt Practices Act of 1977, the Organization for Economic Co-operation and Development Convention on Bribery of Foreign Public Officials in International Business Transactions, and the rules and regulations thereunder and any other similar foreign or domestic law or regulation; or (iv) made any bribe, rebate, payoff, influence payment, kickback or other unlawful payment. The Company has instituted and maintains policies and procedures designed to ensure continued compliance with the laws and regulations referenced in clause (iii) of this paragraph.</w:t>
      </w:r>
    </w:p>
    <w:p>
      <w:pPr>
        <w:sectPr>
          <w:pgSz w:w="11900" w:h="16838" w:orient="portrait"/>
          <w:cols w:equalWidth="0" w:num="1">
            <w:col w:w="10560"/>
          </w:cols>
          <w:pgMar w:left="880" w:top="274" w:right="459" w:bottom="1440" w:gutter="0" w:footer="0" w:header="0"/>
        </w:sectPr>
      </w:pPr>
    </w:p>
    <w:bookmarkStart w:id="85" w:name="page86"/>
    <w:bookmarkEnd w:id="85"/>
    <w:p>
      <w:pPr>
        <w:ind w:right="40" w:firstLine="952"/>
        <w:spacing w:after="0" w:line="293"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118" name="Picture 1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8"/>
                    <pic:cNvPicPr>
                      <a:picLocks noChangeAspect="1" noChangeArrowheads="1"/>
                    </pic:cNvPicPr>
                  </pic:nvPicPr>
                  <pic:blipFill>
                    <a:blip r:embed="rId140">
                      <a:extLst>
                        <a:ext uri="{28A0092B-C50C-407E-A947-70E740481C1C}"/>
                      </a:extLst>
                    </a:blip>
                    <a:srcRect/>
                    <a:stretch>
                      <a:fillRect/>
                    </a:stretch>
                  </pic:blipFill>
                  <pic:spPr bwMode="auto">
                    <a:xfrm>
                      <a:off x="0" y="0"/>
                      <a:ext cx="7149465" cy="25400"/>
                    </a:xfrm>
                    <a:prstGeom prst="rect">
                      <a:avLst/>
                    </a:prstGeom>
                    <a:noFill/>
                  </pic:spPr>
                </pic:pic>
              </a:graphicData>
            </a:graphic>
          </wp:anchor>
        </w:drawing>
        <w:t xml:space="preserve">(xlvi) </w:t>
      </w:r>
      <w:r>
        <w:rPr>
          <w:rFonts w:ascii="Arial" w:cs="Arial" w:eastAsia="Arial" w:hAnsi="Arial"/>
          <w:sz w:val="16"/>
          <w:szCs w:val="16"/>
          <w:i w:val="1"/>
          <w:iCs w:val="1"/>
          <w:color w:val="auto"/>
        </w:rPr>
        <w:t>Anti-Money Laundering Compliance</w:t>
      </w:r>
      <w:r>
        <w:rPr>
          <w:rFonts w:ascii="Arial" w:cs="Arial" w:eastAsia="Arial" w:hAnsi="Arial"/>
          <w:sz w:val="16"/>
          <w:szCs w:val="16"/>
          <w:color w:val="auto"/>
        </w:rPr>
        <w:t xml:space="preserve">. The operations of the Company and its subsidiaries are and have been conducted at all times in compliance with applicable financial recordkeeping and reporting requirements of the Currency and Foreign Transactions Reporting Act of 1970, as amended, the money laundering statutes of all applicable jurisdictions, the rules and regulations thereunder and any applicable related or similar rules, regulations or guidelines, issued, administered or enforced by any governmental agency (collectively, the </w:t>
      </w:r>
      <w:r>
        <w:rPr>
          <w:rFonts w:ascii="Arial" w:cs="Arial" w:eastAsia="Arial" w:hAnsi="Arial"/>
          <w:sz w:val="16"/>
          <w:szCs w:val="16"/>
          <w:b w:val="1"/>
          <w:bCs w:val="1"/>
          <w:i w:val="1"/>
          <w:iCs w:val="1"/>
          <w:color w:val="auto"/>
        </w:rPr>
        <w:t>“Money Laundering</w:t>
      </w:r>
      <w:r>
        <w:rPr>
          <w:rFonts w:ascii="Arial" w:cs="Arial" w:eastAsia="Arial" w:hAnsi="Arial"/>
          <w:sz w:val="16"/>
          <w:szCs w:val="16"/>
          <w:color w:val="auto"/>
        </w:rPr>
        <w:t xml:space="preserve"> </w:t>
      </w:r>
      <w:r>
        <w:rPr>
          <w:rFonts w:ascii="Arial" w:cs="Arial" w:eastAsia="Arial" w:hAnsi="Arial"/>
          <w:sz w:val="16"/>
          <w:szCs w:val="16"/>
          <w:b w:val="1"/>
          <w:bCs w:val="1"/>
          <w:i w:val="1"/>
          <w:iCs w:val="1"/>
          <w:color w:val="auto"/>
        </w:rPr>
        <w:t>Laws”</w:t>
      </w:r>
      <w:r>
        <w:rPr>
          <w:rFonts w:ascii="Arial" w:cs="Arial" w:eastAsia="Arial" w:hAnsi="Arial"/>
          <w:sz w:val="16"/>
          <w:szCs w:val="16"/>
          <w:color w:val="auto"/>
        </w:rPr>
        <w:t>) and no action, suit or proceeding by or before any court or governmental agency, authority or body or any arbitrator involving the</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Company or any of its subsidiaries with respect to the Money Laundering Laws is pending or, to the knowledge of the Company, threatened.</w:t>
      </w:r>
    </w:p>
    <w:p>
      <w:pPr>
        <w:spacing w:after="0" w:line="56" w:lineRule="exact"/>
        <w:rPr>
          <w:sz w:val="20"/>
          <w:szCs w:val="20"/>
          <w:color w:val="auto"/>
        </w:rPr>
      </w:pPr>
    </w:p>
    <w:p>
      <w:pPr>
        <w:ind w:left="940"/>
        <w:spacing w:after="0"/>
        <w:rPr>
          <w:sz w:val="20"/>
          <w:szCs w:val="20"/>
          <w:color w:val="auto"/>
        </w:rPr>
      </w:pPr>
      <w:r>
        <w:rPr>
          <w:rFonts w:ascii="Arial" w:cs="Arial" w:eastAsia="Arial" w:hAnsi="Arial"/>
          <w:sz w:val="18"/>
          <w:szCs w:val="18"/>
          <w:color w:val="auto"/>
        </w:rPr>
        <w:t xml:space="preserve">(xlvii) </w:t>
      </w:r>
      <w:r>
        <w:rPr>
          <w:rFonts w:ascii="Arial" w:cs="Arial" w:eastAsia="Arial" w:hAnsi="Arial"/>
          <w:sz w:val="18"/>
          <w:szCs w:val="18"/>
          <w:i w:val="1"/>
          <w:iCs w:val="1"/>
          <w:color w:val="auto"/>
        </w:rPr>
        <w:t>OFAC</w:t>
      </w:r>
      <w:r>
        <w:rPr>
          <w:rFonts w:ascii="Arial" w:cs="Arial" w:eastAsia="Arial" w:hAnsi="Arial"/>
          <w:sz w:val="18"/>
          <w:szCs w:val="18"/>
          <w:color w:val="auto"/>
        </w:rPr>
        <w:t>.</w:t>
      </w:r>
    </w:p>
    <w:p>
      <w:pPr>
        <w:spacing w:after="0" w:line="117" w:lineRule="exact"/>
        <w:rPr>
          <w:sz w:val="20"/>
          <w:szCs w:val="20"/>
          <w:color w:val="auto"/>
        </w:rPr>
      </w:pPr>
    </w:p>
    <w:p>
      <w:pPr>
        <w:ind w:left="540" w:right="100" w:firstLine="910"/>
        <w:spacing w:after="0" w:line="263" w:lineRule="auto"/>
        <w:tabs>
          <w:tab w:leader="none" w:pos="1737" w:val="left"/>
        </w:tabs>
        <w:numPr>
          <w:ilvl w:val="0"/>
          <w:numId w:val="63"/>
        </w:numPr>
        <w:rPr>
          <w:rFonts w:ascii="Arial" w:cs="Arial" w:eastAsia="Arial" w:hAnsi="Arial"/>
          <w:sz w:val="18"/>
          <w:szCs w:val="18"/>
          <w:color w:val="auto"/>
        </w:rPr>
      </w:pPr>
      <w:r>
        <w:rPr>
          <w:rFonts w:ascii="Arial" w:cs="Arial" w:eastAsia="Arial" w:hAnsi="Arial"/>
          <w:sz w:val="18"/>
          <w:szCs w:val="18"/>
          <w:color w:val="auto"/>
        </w:rPr>
        <w:t>Neither the Company nor any of its subsidiaries, nor any or their directors, officers or employees, nor, to the Company’s knowledge, any agent, affiliate or representative of the Company or its subsidiaries, is an individual or entity that is, or is owned or controlled by an individual or entity that is:</w:t>
      </w:r>
    </w:p>
    <w:p>
      <w:pPr>
        <w:spacing w:after="0" w:line="75" w:lineRule="exact"/>
        <w:rPr>
          <w:rFonts w:ascii="Arial" w:cs="Arial" w:eastAsia="Arial" w:hAnsi="Arial"/>
          <w:sz w:val="18"/>
          <w:szCs w:val="18"/>
          <w:color w:val="auto"/>
        </w:rPr>
      </w:pPr>
    </w:p>
    <w:p>
      <w:pPr>
        <w:ind w:left="980" w:firstLine="871"/>
        <w:spacing w:after="0" w:line="263" w:lineRule="auto"/>
        <w:tabs>
          <w:tab w:leader="none" w:pos="2097" w:val="left"/>
        </w:tabs>
        <w:numPr>
          <w:ilvl w:val="1"/>
          <w:numId w:val="63"/>
        </w:numPr>
        <w:rPr>
          <w:rFonts w:ascii="Arial" w:cs="Arial" w:eastAsia="Arial" w:hAnsi="Arial"/>
          <w:sz w:val="18"/>
          <w:szCs w:val="18"/>
          <w:color w:val="auto"/>
        </w:rPr>
      </w:pPr>
      <w:r>
        <w:rPr>
          <w:rFonts w:ascii="Arial" w:cs="Arial" w:eastAsia="Arial" w:hAnsi="Arial"/>
          <w:sz w:val="18"/>
          <w:szCs w:val="18"/>
          <w:color w:val="auto"/>
        </w:rPr>
        <w:t>the subject of any sanctions administered or enforced by the U.S. Department of Treasury’s Office of Foreign Assets Control, the United Nations Security Council, the European Union, Her Majesty’s Treasury, or other relevant sanctions authority (collectively, “</w:t>
      </w:r>
      <w:r>
        <w:rPr>
          <w:rFonts w:ascii="Arial" w:cs="Arial" w:eastAsia="Arial" w:hAnsi="Arial"/>
          <w:sz w:val="18"/>
          <w:szCs w:val="18"/>
          <w:b w:val="1"/>
          <w:bCs w:val="1"/>
          <w:i w:val="1"/>
          <w:iCs w:val="1"/>
          <w:color w:val="auto"/>
        </w:rPr>
        <w:t>Sanctions</w:t>
      </w:r>
      <w:r>
        <w:rPr>
          <w:rFonts w:ascii="Arial" w:cs="Arial" w:eastAsia="Arial" w:hAnsi="Arial"/>
          <w:sz w:val="18"/>
          <w:szCs w:val="18"/>
          <w:color w:val="auto"/>
        </w:rPr>
        <w:t>”), nor</w:t>
      </w:r>
    </w:p>
    <w:p>
      <w:pPr>
        <w:spacing w:after="0" w:line="75" w:lineRule="exact"/>
        <w:rPr>
          <w:rFonts w:ascii="Arial" w:cs="Arial" w:eastAsia="Arial" w:hAnsi="Arial"/>
          <w:sz w:val="18"/>
          <w:szCs w:val="18"/>
          <w:color w:val="auto"/>
        </w:rPr>
      </w:pPr>
    </w:p>
    <w:p>
      <w:pPr>
        <w:ind w:left="980" w:right="80" w:firstLine="871"/>
        <w:spacing w:after="0" w:line="277" w:lineRule="auto"/>
        <w:tabs>
          <w:tab w:leader="none" w:pos="2097" w:val="left"/>
        </w:tabs>
        <w:numPr>
          <w:ilvl w:val="1"/>
          <w:numId w:val="63"/>
        </w:numPr>
        <w:rPr>
          <w:rFonts w:ascii="Arial" w:cs="Arial" w:eastAsia="Arial" w:hAnsi="Arial"/>
          <w:sz w:val="18"/>
          <w:szCs w:val="18"/>
          <w:color w:val="auto"/>
        </w:rPr>
      </w:pPr>
      <w:r>
        <w:rPr>
          <w:rFonts w:ascii="Arial" w:cs="Arial" w:eastAsia="Arial" w:hAnsi="Arial"/>
          <w:sz w:val="18"/>
          <w:szCs w:val="18"/>
          <w:color w:val="auto"/>
        </w:rPr>
        <w:t>located, organized or resident in a country or territory that is the subject of Sanctions (including, without limitation, Crimea, Cuba, Iran, North Korea and Syria).</w:t>
      </w:r>
    </w:p>
    <w:p>
      <w:pPr>
        <w:spacing w:after="0" w:line="62" w:lineRule="exact"/>
        <w:rPr>
          <w:rFonts w:ascii="Arial" w:cs="Arial" w:eastAsia="Arial" w:hAnsi="Arial"/>
          <w:sz w:val="18"/>
          <w:szCs w:val="18"/>
          <w:color w:val="auto"/>
        </w:rPr>
      </w:pPr>
    </w:p>
    <w:p>
      <w:pPr>
        <w:ind w:left="540" w:right="440" w:firstLine="910"/>
        <w:spacing w:after="0" w:line="308" w:lineRule="auto"/>
        <w:tabs>
          <w:tab w:leader="none" w:pos="1727" w:val="left"/>
        </w:tabs>
        <w:numPr>
          <w:ilvl w:val="0"/>
          <w:numId w:val="63"/>
        </w:numPr>
        <w:rPr>
          <w:rFonts w:ascii="Arial" w:cs="Arial" w:eastAsia="Arial" w:hAnsi="Arial"/>
          <w:sz w:val="17"/>
          <w:szCs w:val="17"/>
          <w:color w:val="auto"/>
        </w:rPr>
      </w:pPr>
      <w:r>
        <w:rPr>
          <w:rFonts w:ascii="Arial" w:cs="Arial" w:eastAsia="Arial" w:hAnsi="Arial"/>
          <w:sz w:val="17"/>
          <w:szCs w:val="17"/>
          <w:color w:val="auto"/>
        </w:rPr>
        <w:t>Neither the Company nor any of its subsidiaries will, directly or indirectly, use the proceeds of the offering, or lend, contribute or otherwise make available such proceeds to any subsidiary, joint venture partner or other individual or entity:</w:t>
      </w:r>
    </w:p>
    <w:p>
      <w:pPr>
        <w:spacing w:after="0" w:line="38" w:lineRule="exact"/>
        <w:rPr>
          <w:rFonts w:ascii="Arial" w:cs="Arial" w:eastAsia="Arial" w:hAnsi="Arial"/>
          <w:sz w:val="17"/>
          <w:szCs w:val="17"/>
          <w:color w:val="auto"/>
        </w:rPr>
      </w:pPr>
    </w:p>
    <w:p>
      <w:pPr>
        <w:ind w:left="980" w:right="40" w:firstLine="871"/>
        <w:spacing w:after="0" w:line="277" w:lineRule="auto"/>
        <w:tabs>
          <w:tab w:leader="none" w:pos="2097" w:val="left"/>
        </w:tabs>
        <w:numPr>
          <w:ilvl w:val="1"/>
          <w:numId w:val="63"/>
        </w:numPr>
        <w:rPr>
          <w:rFonts w:ascii="Arial" w:cs="Arial" w:eastAsia="Arial" w:hAnsi="Arial"/>
          <w:sz w:val="18"/>
          <w:szCs w:val="18"/>
          <w:color w:val="auto"/>
        </w:rPr>
      </w:pPr>
      <w:r>
        <w:rPr>
          <w:rFonts w:ascii="Arial" w:cs="Arial" w:eastAsia="Arial" w:hAnsi="Arial"/>
          <w:sz w:val="18"/>
          <w:szCs w:val="18"/>
          <w:color w:val="auto"/>
        </w:rPr>
        <w:t>to fund or facilitate any activities or business of or with any individual or entity or in any country or territory that, at the time of such funding or facilitation, is the subject of Sanctions; or</w:t>
      </w:r>
    </w:p>
    <w:p>
      <w:pPr>
        <w:spacing w:after="0" w:line="62" w:lineRule="exact"/>
        <w:rPr>
          <w:rFonts w:ascii="Arial" w:cs="Arial" w:eastAsia="Arial" w:hAnsi="Arial"/>
          <w:sz w:val="18"/>
          <w:szCs w:val="18"/>
          <w:color w:val="auto"/>
        </w:rPr>
      </w:pPr>
    </w:p>
    <w:p>
      <w:pPr>
        <w:ind w:left="980" w:right="120" w:firstLine="871"/>
        <w:spacing w:after="0" w:line="277" w:lineRule="auto"/>
        <w:tabs>
          <w:tab w:leader="none" w:pos="2097" w:val="left"/>
        </w:tabs>
        <w:numPr>
          <w:ilvl w:val="1"/>
          <w:numId w:val="63"/>
        </w:numPr>
        <w:rPr>
          <w:rFonts w:ascii="Arial" w:cs="Arial" w:eastAsia="Arial" w:hAnsi="Arial"/>
          <w:sz w:val="18"/>
          <w:szCs w:val="18"/>
          <w:color w:val="auto"/>
        </w:rPr>
      </w:pPr>
      <w:r>
        <w:rPr>
          <w:rFonts w:ascii="Arial" w:cs="Arial" w:eastAsia="Arial" w:hAnsi="Arial"/>
          <w:sz w:val="18"/>
          <w:szCs w:val="18"/>
          <w:color w:val="auto"/>
        </w:rPr>
        <w:t>in any other manner that will result in a violation of Sanctions by any individual or entity (including any individual or entity participating in the offering, whether as underwriter, advisor, investor or otherwise).</w:t>
      </w:r>
    </w:p>
    <w:p>
      <w:pPr>
        <w:sectPr>
          <w:pgSz w:w="11900" w:h="16838" w:orient="portrait"/>
          <w:cols w:equalWidth="0" w:num="1">
            <w:col w:w="10500"/>
          </w:cols>
          <w:pgMar w:left="880" w:top="274" w:right="519" w:bottom="1440" w:gutter="0" w:footer="0" w:header="0"/>
        </w:sectPr>
      </w:pPr>
    </w:p>
    <w:bookmarkStart w:id="86" w:name="page87"/>
    <w:bookmarkEnd w:id="86"/>
    <w:p>
      <w:pPr>
        <w:ind w:left="540" w:right="480" w:firstLine="910"/>
        <w:spacing w:after="0" w:line="263" w:lineRule="auto"/>
        <w:tabs>
          <w:tab w:leader="none" w:pos="1727" w:val="left"/>
        </w:tabs>
        <w:numPr>
          <w:ilvl w:val="0"/>
          <w:numId w:val="64"/>
        </w:numPr>
        <w:rPr>
          <w:rFonts w:ascii="Arial" w:cs="Arial" w:eastAsia="Arial" w:hAnsi="Arial"/>
          <w:sz w:val="18"/>
          <w:szCs w:val="18"/>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119" name="Picture 1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9"/>
                    <pic:cNvPicPr>
                      <a:picLocks noChangeAspect="1" noChangeArrowheads="1"/>
                    </pic:cNvPicPr>
                  </pic:nvPicPr>
                  <pic:blipFill>
                    <a:blip r:embed="rId141">
                      <a:extLst>
                        <a:ext uri="{28A0092B-C50C-407E-A947-70E740481C1C}"/>
                      </a:extLst>
                    </a:blip>
                    <a:srcRect/>
                    <a:stretch>
                      <a:fillRect/>
                    </a:stretch>
                  </pic:blipFill>
                  <pic:spPr bwMode="auto">
                    <a:xfrm>
                      <a:off x="0" y="0"/>
                      <a:ext cx="7149465" cy="25400"/>
                    </a:xfrm>
                    <a:prstGeom prst="rect">
                      <a:avLst/>
                    </a:prstGeom>
                    <a:noFill/>
                  </pic:spPr>
                </pic:pic>
              </a:graphicData>
            </a:graphic>
          </wp:anchor>
        </w:drawing>
        <w:t>For the past five years, neither the Company nor any of its subsidiaries has knowingly engaged in, and is not now knowingly engaged in, any dealings or transactions with any individual or entity, or in any country or territory, that at the time of the dealing or transaction is or was the subject of Sanctions.</w:t>
      </w:r>
    </w:p>
    <w:p>
      <w:pPr>
        <w:spacing w:after="0" w:line="76" w:lineRule="exact"/>
        <w:rPr>
          <w:sz w:val="20"/>
          <w:szCs w:val="20"/>
          <w:color w:val="auto"/>
        </w:rPr>
      </w:pPr>
    </w:p>
    <w:p>
      <w:pPr>
        <w:ind w:right="300" w:firstLine="952"/>
        <w:spacing w:after="0" w:line="286" w:lineRule="auto"/>
        <w:rPr>
          <w:sz w:val="20"/>
          <w:szCs w:val="20"/>
          <w:color w:val="auto"/>
        </w:rPr>
      </w:pPr>
      <w:r>
        <w:rPr>
          <w:rFonts w:ascii="Arial" w:cs="Arial" w:eastAsia="Arial" w:hAnsi="Arial"/>
          <w:sz w:val="17"/>
          <w:szCs w:val="17"/>
          <w:color w:val="auto"/>
        </w:rPr>
        <w:t xml:space="preserve">(xlviii) </w:t>
      </w:r>
      <w:r>
        <w:rPr>
          <w:rFonts w:ascii="Arial" w:cs="Arial" w:eastAsia="Arial" w:hAnsi="Arial"/>
          <w:sz w:val="17"/>
          <w:szCs w:val="17"/>
          <w:i w:val="1"/>
          <w:iCs w:val="1"/>
          <w:color w:val="auto"/>
        </w:rPr>
        <w:t>Not a Passive Foreign Investment Company</w:t>
      </w:r>
      <w:r>
        <w:rPr>
          <w:rFonts w:ascii="Arial" w:cs="Arial" w:eastAsia="Arial" w:hAnsi="Arial"/>
          <w:sz w:val="17"/>
          <w:szCs w:val="17"/>
          <w:color w:val="auto"/>
        </w:rPr>
        <w:t>. Subject to the qualifications and assumptions set forth in the Registration Statement, the Company is not, and upon the sale of the Shares contemplated by this Agreement does not expect to become, a “passive foreign investment company” (as defined in Section 1297 of the Code, and the regulations promulgated thereunder).</w:t>
      </w:r>
    </w:p>
    <w:p>
      <w:pPr>
        <w:spacing w:after="0" w:line="57" w:lineRule="exact"/>
        <w:rPr>
          <w:sz w:val="20"/>
          <w:szCs w:val="20"/>
          <w:color w:val="auto"/>
        </w:rPr>
      </w:pPr>
    </w:p>
    <w:p>
      <w:pPr>
        <w:jc w:val="both"/>
        <w:ind w:right="260" w:firstLine="952"/>
        <w:spacing w:after="0" w:line="263" w:lineRule="auto"/>
        <w:rPr>
          <w:sz w:val="20"/>
          <w:szCs w:val="20"/>
          <w:color w:val="auto"/>
        </w:rPr>
      </w:pPr>
      <w:r>
        <w:rPr>
          <w:rFonts w:ascii="Arial" w:cs="Arial" w:eastAsia="Arial" w:hAnsi="Arial"/>
          <w:sz w:val="18"/>
          <w:szCs w:val="18"/>
          <w:color w:val="auto"/>
        </w:rPr>
        <w:t xml:space="preserve">(xlix) </w:t>
      </w:r>
      <w:r>
        <w:rPr>
          <w:rFonts w:ascii="Arial" w:cs="Arial" w:eastAsia="Arial" w:hAnsi="Arial"/>
          <w:sz w:val="18"/>
          <w:szCs w:val="18"/>
          <w:i w:val="1"/>
          <w:iCs w:val="1"/>
          <w:color w:val="auto"/>
        </w:rPr>
        <w:t>No Taxes or Fees Due Upon Issuance</w:t>
      </w:r>
      <w:r>
        <w:rPr>
          <w:rFonts w:ascii="Arial" w:cs="Arial" w:eastAsia="Arial" w:hAnsi="Arial"/>
          <w:sz w:val="18"/>
          <w:szCs w:val="18"/>
          <w:color w:val="auto"/>
        </w:rPr>
        <w:t>. No stamp, issue, registration, documentary, transfer or other similar taxes and duties, including interest and penalties, are payable on or in connection with the issuance and sale of the Shares by the Company or the execution and delivery of this Agreement.</w:t>
      </w:r>
    </w:p>
    <w:p>
      <w:pPr>
        <w:spacing w:after="0" w:line="76" w:lineRule="exact"/>
        <w:rPr>
          <w:sz w:val="20"/>
          <w:szCs w:val="20"/>
          <w:color w:val="auto"/>
        </w:rPr>
      </w:pPr>
    </w:p>
    <w:p>
      <w:pPr>
        <w:ind w:right="60" w:firstLine="948"/>
        <w:spacing w:after="0" w:line="286" w:lineRule="auto"/>
        <w:tabs>
          <w:tab w:leader="none" w:pos="1167" w:val="left"/>
        </w:tabs>
        <w:numPr>
          <w:ilvl w:val="0"/>
          <w:numId w:val="65"/>
        </w:numPr>
        <w:rPr>
          <w:rFonts w:ascii="Arial" w:cs="Arial" w:eastAsia="Arial" w:hAnsi="Arial"/>
          <w:sz w:val="17"/>
          <w:szCs w:val="17"/>
          <w:color w:val="auto"/>
        </w:rPr>
      </w:pPr>
      <w:r>
        <w:rPr>
          <w:rFonts w:ascii="Arial" w:cs="Arial" w:eastAsia="Arial" w:hAnsi="Arial"/>
          <w:sz w:val="17"/>
          <w:szCs w:val="17"/>
          <w:i w:val="1"/>
          <w:iCs w:val="1"/>
          <w:color w:val="auto"/>
        </w:rPr>
        <w:t>No Immunity</w:t>
      </w:r>
      <w:r>
        <w:rPr>
          <w:rFonts w:ascii="Arial" w:cs="Arial" w:eastAsia="Arial" w:hAnsi="Arial"/>
          <w:sz w:val="17"/>
          <w:szCs w:val="17"/>
          <w:color w:val="auto"/>
        </w:rPr>
        <w:t>. Neither the Company nor any of its subsidiaries, nor any of their respective properties or assets, has any immunity</w:t>
      </w:r>
      <w:r>
        <w:rPr>
          <w:rFonts w:ascii="Arial" w:cs="Arial" w:eastAsia="Arial" w:hAnsi="Arial"/>
          <w:sz w:val="17"/>
          <w:szCs w:val="17"/>
          <w:i w:val="1"/>
          <w:iCs w:val="1"/>
          <w:color w:val="auto"/>
        </w:rPr>
        <w:t xml:space="preserve"> </w:t>
      </w:r>
      <w:r>
        <w:rPr>
          <w:rFonts w:ascii="Arial" w:cs="Arial" w:eastAsia="Arial" w:hAnsi="Arial"/>
          <w:sz w:val="17"/>
          <w:szCs w:val="17"/>
          <w:color w:val="auto"/>
        </w:rPr>
        <w:t>from the jurisdiction of any court or from any legal process (whether through service or notice, attachment to prior judgment, attachment in aid of execution or otherwise) under the laws of any jurisdiction in which it is organized, headquartered or doing business.</w:t>
      </w:r>
    </w:p>
    <w:p>
      <w:pPr>
        <w:spacing w:after="0" w:line="57" w:lineRule="exact"/>
        <w:rPr>
          <w:sz w:val="20"/>
          <w:szCs w:val="20"/>
          <w:color w:val="auto"/>
        </w:rPr>
      </w:pPr>
    </w:p>
    <w:p>
      <w:pPr>
        <w:ind w:firstLine="952"/>
        <w:spacing w:after="0" w:line="277" w:lineRule="auto"/>
        <w:rPr>
          <w:sz w:val="20"/>
          <w:szCs w:val="20"/>
          <w:color w:val="auto"/>
        </w:rPr>
      </w:pPr>
      <w:r>
        <w:rPr>
          <w:rFonts w:ascii="Arial" w:cs="Arial" w:eastAsia="Arial" w:hAnsi="Arial"/>
          <w:sz w:val="18"/>
          <w:szCs w:val="18"/>
          <w:color w:val="auto"/>
        </w:rPr>
        <w:t xml:space="preserve">(li) </w:t>
      </w:r>
      <w:r>
        <w:rPr>
          <w:rFonts w:ascii="Arial" w:cs="Arial" w:eastAsia="Arial" w:hAnsi="Arial"/>
          <w:sz w:val="18"/>
          <w:szCs w:val="18"/>
          <w:i w:val="1"/>
          <w:iCs w:val="1"/>
          <w:color w:val="auto"/>
        </w:rPr>
        <w:t>No Legal, Accounting or Tax Advice</w:t>
      </w:r>
      <w:r>
        <w:rPr>
          <w:rFonts w:ascii="Arial" w:cs="Arial" w:eastAsia="Arial" w:hAnsi="Arial"/>
          <w:sz w:val="18"/>
          <w:szCs w:val="18"/>
          <w:color w:val="auto"/>
        </w:rPr>
        <w:t>. The Company has not relied upon the Agent or legal counsel for the Agent for any legal, tax or accounting advice in connection with the offering and sale of the Shares.</w:t>
      </w:r>
    </w:p>
    <w:p>
      <w:pPr>
        <w:spacing w:after="0" w:line="62" w:lineRule="exact"/>
        <w:rPr>
          <w:sz w:val="20"/>
          <w:szCs w:val="20"/>
          <w:color w:val="auto"/>
        </w:rPr>
      </w:pPr>
    </w:p>
    <w:p>
      <w:pPr>
        <w:jc w:val="both"/>
        <w:ind w:right="80" w:firstLine="952"/>
        <w:spacing w:after="0" w:line="263" w:lineRule="auto"/>
        <w:rPr>
          <w:sz w:val="20"/>
          <w:szCs w:val="20"/>
          <w:color w:val="auto"/>
        </w:rPr>
      </w:pPr>
      <w:r>
        <w:rPr>
          <w:rFonts w:ascii="Arial" w:cs="Arial" w:eastAsia="Arial" w:hAnsi="Arial"/>
          <w:sz w:val="18"/>
          <w:szCs w:val="18"/>
          <w:color w:val="auto"/>
        </w:rPr>
        <w:t xml:space="preserve">(lii) </w:t>
      </w:r>
      <w:r>
        <w:rPr>
          <w:rFonts w:ascii="Arial" w:cs="Arial" w:eastAsia="Arial" w:hAnsi="Arial"/>
          <w:sz w:val="18"/>
          <w:szCs w:val="18"/>
          <w:i w:val="1"/>
          <w:iCs w:val="1"/>
          <w:color w:val="auto"/>
        </w:rPr>
        <w:t>Certificate as Representation and Warranty</w:t>
      </w:r>
      <w:r>
        <w:rPr>
          <w:rFonts w:ascii="Arial" w:cs="Arial" w:eastAsia="Arial" w:hAnsi="Arial"/>
          <w:sz w:val="18"/>
          <w:szCs w:val="18"/>
          <w:color w:val="auto"/>
        </w:rPr>
        <w:t>. Any certificate signed by any officer of the Company and delivered to the Agent or the Agent’s counsel in connection with the offering of the Shares shall be deemed a representation and warranty by the Company to the Agent as to the matters covered thereby.</w:t>
      </w:r>
    </w:p>
    <w:p>
      <w:pPr>
        <w:spacing w:after="0" w:line="76" w:lineRule="exact"/>
        <w:rPr>
          <w:sz w:val="20"/>
          <w:szCs w:val="20"/>
          <w:color w:val="auto"/>
        </w:rPr>
      </w:pPr>
    </w:p>
    <w:p>
      <w:pPr>
        <w:ind w:right="60" w:firstLine="952"/>
        <w:spacing w:after="0" w:line="269" w:lineRule="auto"/>
        <w:rPr>
          <w:sz w:val="20"/>
          <w:szCs w:val="20"/>
          <w:color w:val="auto"/>
        </w:rPr>
      </w:pPr>
      <w:r>
        <w:rPr>
          <w:rFonts w:ascii="Arial" w:cs="Arial" w:eastAsia="Arial" w:hAnsi="Arial"/>
          <w:sz w:val="17"/>
          <w:szCs w:val="17"/>
          <w:color w:val="auto"/>
        </w:rPr>
        <w:t xml:space="preserve">(liii) </w:t>
      </w:r>
      <w:r>
        <w:rPr>
          <w:rFonts w:ascii="Arial" w:cs="Arial" w:eastAsia="Arial" w:hAnsi="Arial"/>
          <w:sz w:val="17"/>
          <w:szCs w:val="17"/>
          <w:i w:val="1"/>
          <w:iCs w:val="1"/>
          <w:color w:val="auto"/>
        </w:rPr>
        <w:t>Cybersecurity.</w:t>
      </w:r>
      <w:r>
        <w:rPr>
          <w:rFonts w:ascii="Arial" w:cs="Arial" w:eastAsia="Arial" w:hAnsi="Arial"/>
          <w:sz w:val="17"/>
          <w:szCs w:val="17"/>
          <w:color w:val="auto"/>
        </w:rPr>
        <w:t xml:space="preserve"> The Company and its subsidiaries’ information technology assets and equipment, computers, systems, networks, hardware, software, websites, applications, and databases (collectively, “</w:t>
      </w:r>
      <w:r>
        <w:rPr>
          <w:rFonts w:ascii="Arial" w:cs="Arial" w:eastAsia="Arial" w:hAnsi="Arial"/>
          <w:sz w:val="17"/>
          <w:szCs w:val="17"/>
          <w:b w:val="1"/>
          <w:bCs w:val="1"/>
          <w:i w:val="1"/>
          <w:iCs w:val="1"/>
          <w:color w:val="auto"/>
        </w:rPr>
        <w:t>IT Systems</w:t>
      </w:r>
      <w:r>
        <w:rPr>
          <w:rFonts w:ascii="Arial" w:cs="Arial" w:eastAsia="Arial" w:hAnsi="Arial"/>
          <w:sz w:val="17"/>
          <w:szCs w:val="17"/>
          <w:color w:val="auto"/>
        </w:rPr>
        <w:t>”) are adequate for, and operate and perform in all material respects as required in connection with the operation of the business of the Company and its subsidiaries as currently conducted, free and clear of all material bugs, errors, defects, Trojan horses, time bombs, malware and other corruptants. The Company and its subsidiaries have implemented and maintained commercially reasonable physical, technical and administrative controls, policies, procedures, and safeguards to maintain and protect their material confidential information and the integrity, continuous operation, redundancy and security of all IT Systems and data, including “Personal Data,” used in connection with their businesses. “</w:t>
      </w:r>
      <w:r>
        <w:rPr>
          <w:rFonts w:ascii="Arial" w:cs="Arial" w:eastAsia="Arial" w:hAnsi="Arial"/>
          <w:sz w:val="17"/>
          <w:szCs w:val="17"/>
          <w:b w:val="1"/>
          <w:bCs w:val="1"/>
          <w:i w:val="1"/>
          <w:iCs w:val="1"/>
          <w:color w:val="auto"/>
        </w:rPr>
        <w:t>Personal Data</w:t>
      </w:r>
      <w:r>
        <w:rPr>
          <w:rFonts w:ascii="Arial" w:cs="Arial" w:eastAsia="Arial" w:hAnsi="Arial"/>
          <w:sz w:val="17"/>
          <w:szCs w:val="17"/>
          <w:color w:val="auto"/>
        </w:rPr>
        <w:t>” means (i) a natural person’s name, street address, telephone number, e-mail address, photograph, social security number or tax identification number, driver’s license number, passport number, credit card number, bank information, or customer or account number; (ii) any information which would qualify as “personally identifying information” under the</w:t>
      </w:r>
    </w:p>
    <w:p>
      <w:pPr>
        <w:sectPr>
          <w:pgSz w:w="11900" w:h="16838" w:orient="portrait"/>
          <w:cols w:equalWidth="0" w:num="1">
            <w:col w:w="10560"/>
          </w:cols>
          <w:pgMar w:left="880" w:top="274" w:right="459" w:bottom="1440" w:gutter="0" w:footer="0" w:header="0"/>
        </w:sectPr>
      </w:pPr>
    </w:p>
    <w:bookmarkStart w:id="87" w:name="page88"/>
    <w:bookmarkEnd w:id="87"/>
    <w:p>
      <w:pPr>
        <w:spacing w:after="0" w:line="269" w:lineRule="auto"/>
        <w:rPr>
          <w:sz w:val="20"/>
          <w:szCs w:val="20"/>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120" name="Picture 1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0"/>
                    <pic:cNvPicPr>
                      <a:picLocks noChangeAspect="1" noChangeArrowheads="1"/>
                    </pic:cNvPicPr>
                  </pic:nvPicPr>
                  <pic:blipFill>
                    <a:blip r:embed="rId142">
                      <a:extLst>
                        <a:ext uri="{28A0092B-C50C-407E-A947-70E740481C1C}"/>
                      </a:extLst>
                    </a:blip>
                    <a:srcRect/>
                    <a:stretch>
                      <a:fillRect/>
                    </a:stretch>
                  </pic:blipFill>
                  <pic:spPr bwMode="auto">
                    <a:xfrm>
                      <a:off x="0" y="0"/>
                      <a:ext cx="7149465" cy="25400"/>
                    </a:xfrm>
                    <a:prstGeom prst="rect">
                      <a:avLst/>
                    </a:prstGeom>
                    <a:noFill/>
                  </pic:spPr>
                </pic:pic>
              </a:graphicData>
            </a:graphic>
          </wp:anchor>
        </w:drawing>
        <w:t>Federal Trade Commission Act, as amended; (iii) “personal data” as defined by GDPR (as defined below); (iv) any information which would qualify as “protected health information” under the Health Insurance Portability and Accountability Act of 1996, as amended by the Health Information Technology for Economic and Clinical Health Act (collectively, “</w:t>
      </w:r>
      <w:r>
        <w:rPr>
          <w:rFonts w:ascii="Arial" w:cs="Arial" w:eastAsia="Arial" w:hAnsi="Arial"/>
          <w:sz w:val="17"/>
          <w:szCs w:val="17"/>
          <w:b w:val="1"/>
          <w:bCs w:val="1"/>
          <w:i w:val="1"/>
          <w:iCs w:val="1"/>
          <w:color w:val="auto"/>
        </w:rPr>
        <w:t>HIPAA</w:t>
      </w:r>
      <w:r>
        <w:rPr>
          <w:rFonts w:ascii="Arial" w:cs="Arial" w:eastAsia="Arial" w:hAnsi="Arial"/>
          <w:sz w:val="17"/>
          <w:szCs w:val="17"/>
          <w:color w:val="auto"/>
        </w:rPr>
        <w:t>”); and (v) any other piece of information that allows the identification of such natural person, or his or her family, or permits the collection or analysis of any data related to an identified person’s health or sexual orientation. There have been no breaches, violations, outages or unauthorized uses of or accesses to same, except for those that have been remedied without material cost or liability or the duty to notify any other person, nor any incidents under internal review or investigations relating to the same. The Company and its subsidiaries are presently in material compliance with all applicable laws or statutes and all judgments, orders, rules and regulations of any court or arbitrator or governmental or regulatory authority, internal policies and contractual obligations relating to the privacy and security of IT Systems and Personal Data and to the protection of such IT Systems and Personal Data from unauthorized use, access, misappropriation or modification.</w:t>
      </w:r>
    </w:p>
    <w:p>
      <w:pPr>
        <w:spacing w:after="0" w:line="77" w:lineRule="exact"/>
        <w:rPr>
          <w:sz w:val="20"/>
          <w:szCs w:val="20"/>
          <w:color w:val="auto"/>
        </w:rPr>
      </w:pPr>
    </w:p>
    <w:p>
      <w:pPr>
        <w:ind w:right="60" w:firstLine="952"/>
        <w:spacing w:after="0" w:line="268" w:lineRule="auto"/>
        <w:rPr>
          <w:sz w:val="20"/>
          <w:szCs w:val="20"/>
          <w:color w:val="auto"/>
        </w:rPr>
      </w:pPr>
      <w:r>
        <w:rPr>
          <w:rFonts w:ascii="Arial" w:cs="Arial" w:eastAsia="Arial" w:hAnsi="Arial"/>
          <w:sz w:val="17"/>
          <w:szCs w:val="17"/>
          <w:color w:val="auto"/>
        </w:rPr>
        <w:t xml:space="preserve">(liv) </w:t>
      </w:r>
      <w:r>
        <w:rPr>
          <w:rFonts w:ascii="Arial" w:cs="Arial" w:eastAsia="Arial" w:hAnsi="Arial"/>
          <w:sz w:val="17"/>
          <w:szCs w:val="17"/>
          <w:i w:val="1"/>
          <w:iCs w:val="1"/>
          <w:color w:val="auto"/>
        </w:rPr>
        <w:t>Compliance with Data Privacy Laws.</w:t>
      </w:r>
      <w:r>
        <w:rPr>
          <w:rFonts w:ascii="Arial" w:cs="Arial" w:eastAsia="Arial" w:hAnsi="Arial"/>
          <w:sz w:val="17"/>
          <w:szCs w:val="17"/>
          <w:color w:val="auto"/>
        </w:rPr>
        <w:t xml:space="preserve"> The Company and its subsidiaries are, and at all prior times were, in material compliance with all applicable state and federal data privacy and security laws and regulations, including without limitation HIPAA, and the Company and its subsidiaries have taken commercially reasonable actions to prepare to comply with, and since May 25, 2018, have been and currently are in compliance with, the European Union General Data Protection Regulation (“</w:t>
      </w:r>
      <w:r>
        <w:rPr>
          <w:rFonts w:ascii="Arial" w:cs="Arial" w:eastAsia="Arial" w:hAnsi="Arial"/>
          <w:sz w:val="17"/>
          <w:szCs w:val="17"/>
          <w:b w:val="1"/>
          <w:bCs w:val="1"/>
          <w:i w:val="1"/>
          <w:iCs w:val="1"/>
          <w:color w:val="auto"/>
        </w:rPr>
        <w:t>GDPR</w:t>
      </w:r>
      <w:r>
        <w:rPr>
          <w:rFonts w:ascii="Arial" w:cs="Arial" w:eastAsia="Arial" w:hAnsi="Arial"/>
          <w:sz w:val="17"/>
          <w:szCs w:val="17"/>
          <w:color w:val="auto"/>
        </w:rPr>
        <w:t>”) (EU 2016/679) (collectively, the “</w:t>
      </w:r>
      <w:r>
        <w:rPr>
          <w:rFonts w:ascii="Arial" w:cs="Arial" w:eastAsia="Arial" w:hAnsi="Arial"/>
          <w:sz w:val="17"/>
          <w:szCs w:val="17"/>
          <w:b w:val="1"/>
          <w:bCs w:val="1"/>
          <w:i w:val="1"/>
          <w:iCs w:val="1"/>
          <w:color w:val="auto"/>
        </w:rPr>
        <w:t>Privacy Laws</w:t>
      </w:r>
      <w:r>
        <w:rPr>
          <w:rFonts w:ascii="Arial" w:cs="Arial" w:eastAsia="Arial" w:hAnsi="Arial"/>
          <w:sz w:val="17"/>
          <w:szCs w:val="17"/>
          <w:color w:val="auto"/>
        </w:rPr>
        <w:t>”). To ensure compliance with the Privacy Laws, the Company and its subsidiaries have in place, comply with, and take appropriate steps reasonably designed to ensure compliance in all material respects with their policies and procedures relating to data privacy and security and the collection, storage, use, disclosure, handling, and analysis of Personal Data (the “</w:t>
      </w:r>
      <w:r>
        <w:rPr>
          <w:rFonts w:ascii="Arial" w:cs="Arial" w:eastAsia="Arial" w:hAnsi="Arial"/>
          <w:sz w:val="17"/>
          <w:szCs w:val="17"/>
          <w:b w:val="1"/>
          <w:bCs w:val="1"/>
          <w:i w:val="1"/>
          <w:iCs w:val="1"/>
          <w:color w:val="auto"/>
        </w:rPr>
        <w:t>Policies</w:t>
      </w:r>
      <w:r>
        <w:rPr>
          <w:rFonts w:ascii="Arial" w:cs="Arial" w:eastAsia="Arial" w:hAnsi="Arial"/>
          <w:sz w:val="17"/>
          <w:szCs w:val="17"/>
          <w:color w:val="auto"/>
        </w:rPr>
        <w:t>”). The Company and its subsidiaries have at all times made all disclosures to users or customers required by applicable laws and regulatory rules or requirements, and none of such disclosures made or contained in any Policy have, to the knowledge of the Company, been inaccurate or in violation of any applicable laws and regulatory rules or requirements in any material respect. The Company further certifies that neither it nor any subsidiary: (i) has received notice of any actual or potential liability under or relating to, or actual or potential violation of, any of the Privacy Laws, and has no knowledge of any event or condition that would reasonably be expected to result in any such notice; (ii) is currently conducting or paying for, in whole or in part, any investigation, remediation, or other corrective action pursuant to any Privacy Law; or (iii) is a party to any order, decree, or agreement that imposes any obligation or liability under any Privacy Law.</w:t>
      </w:r>
    </w:p>
    <w:p>
      <w:pPr>
        <w:spacing w:after="0" w:line="76" w:lineRule="exact"/>
        <w:rPr>
          <w:sz w:val="20"/>
          <w:szCs w:val="20"/>
          <w:color w:val="auto"/>
        </w:rPr>
      </w:pPr>
    </w:p>
    <w:p>
      <w:pPr>
        <w:ind w:right="120" w:firstLine="952"/>
        <w:spacing w:after="0" w:line="263" w:lineRule="auto"/>
        <w:rPr>
          <w:sz w:val="20"/>
          <w:szCs w:val="20"/>
          <w:color w:val="auto"/>
        </w:rPr>
      </w:pPr>
      <w:r>
        <w:rPr>
          <w:rFonts w:ascii="Arial" w:cs="Arial" w:eastAsia="Arial" w:hAnsi="Arial"/>
          <w:sz w:val="18"/>
          <w:szCs w:val="18"/>
          <w:color w:val="auto"/>
        </w:rPr>
        <w:t xml:space="preserve">(lv) </w:t>
      </w:r>
      <w:r>
        <w:rPr>
          <w:rFonts w:ascii="Arial" w:cs="Arial" w:eastAsia="Arial" w:hAnsi="Arial"/>
          <w:sz w:val="18"/>
          <w:szCs w:val="18"/>
          <w:i w:val="1"/>
          <w:iCs w:val="1"/>
          <w:color w:val="auto"/>
        </w:rPr>
        <w:t>eXtensible Business Reporting Language</w:t>
      </w:r>
      <w:r>
        <w:rPr>
          <w:rFonts w:ascii="Arial" w:cs="Arial" w:eastAsia="Arial" w:hAnsi="Arial"/>
          <w:sz w:val="18"/>
          <w:szCs w:val="18"/>
          <w:color w:val="auto"/>
        </w:rPr>
        <w:t>. The interactive data in eXtensible Business Reporting Language included or incorporated by reference in the Registration Statement fairly presents the information called for in all material respects and has been prepared in accordance with the Commission’s rules and guidelines applicable thereto.</w:t>
      </w:r>
    </w:p>
    <w:p>
      <w:pPr>
        <w:sectPr>
          <w:pgSz w:w="11900" w:h="16838" w:orient="portrait"/>
          <w:cols w:equalWidth="0" w:num="1">
            <w:col w:w="10560"/>
          </w:cols>
          <w:pgMar w:left="880" w:top="274" w:right="459" w:bottom="1440" w:gutter="0" w:footer="0" w:header="0"/>
        </w:sectPr>
      </w:pPr>
    </w:p>
    <w:bookmarkStart w:id="88" w:name="page89"/>
    <w:bookmarkEnd w:id="88"/>
    <w:p>
      <w:pPr>
        <w:ind w:left="4" w:right="80" w:firstLine="952"/>
        <w:spacing w:after="0" w:line="293"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121" name="Picture 1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1"/>
                    <pic:cNvPicPr>
                      <a:picLocks noChangeAspect="1" noChangeArrowheads="1"/>
                    </pic:cNvPicPr>
                  </pic:nvPicPr>
                  <pic:blipFill>
                    <a:blip r:embed="rId143">
                      <a:extLst>
                        <a:ext uri="{28A0092B-C50C-407E-A947-70E740481C1C}"/>
                      </a:extLst>
                    </a:blip>
                    <a:srcRect/>
                    <a:stretch>
                      <a:fillRect/>
                    </a:stretch>
                  </pic:blipFill>
                  <pic:spPr bwMode="auto">
                    <a:xfrm>
                      <a:off x="0" y="0"/>
                      <a:ext cx="7149465" cy="25400"/>
                    </a:xfrm>
                    <a:prstGeom prst="rect">
                      <a:avLst/>
                    </a:prstGeom>
                    <a:noFill/>
                  </pic:spPr>
                </pic:pic>
              </a:graphicData>
            </a:graphic>
          </wp:anchor>
        </w:drawing>
        <w:t xml:space="preserve">(lvi) </w:t>
      </w:r>
      <w:r>
        <w:rPr>
          <w:rFonts w:ascii="Arial" w:cs="Arial" w:eastAsia="Arial" w:hAnsi="Arial"/>
          <w:sz w:val="16"/>
          <w:szCs w:val="16"/>
          <w:i w:val="1"/>
          <w:iCs w:val="1"/>
          <w:color w:val="auto"/>
        </w:rPr>
        <w:t>No Shutdowns or Prohibitions</w:t>
      </w:r>
      <w:r>
        <w:rPr>
          <w:rFonts w:ascii="Arial" w:cs="Arial" w:eastAsia="Arial" w:hAnsi="Arial"/>
          <w:sz w:val="16"/>
          <w:szCs w:val="16"/>
          <w:color w:val="auto"/>
        </w:rPr>
        <w:t>. The Company has not had any product, clinical laboratory or manufacturing site (whether Company-owned or, to the Company’s knowledge, that of a third party manufacturer for the Company’s products) subject to a governmental authority (including FDA) shutdown or import or export prohibition, nor received any FDA Form 483 or other governmental authority notice of inspectional observations, “warning letters,” “untitled letters,” requests to make changes to the Company’s products, processes or operations, or similar correspondence or notice from the FDA or other governmental authority alleging or asserting material noncompliance with any applicable Health Care Laws. To the Company’s knowledge, neither the FDA nor any other governmental authority is considering such action.</w:t>
      </w:r>
    </w:p>
    <w:p>
      <w:pPr>
        <w:spacing w:after="0" w:line="56" w:lineRule="exact"/>
        <w:rPr>
          <w:sz w:val="20"/>
          <w:szCs w:val="20"/>
          <w:color w:val="auto"/>
        </w:rPr>
      </w:pPr>
    </w:p>
    <w:p>
      <w:pPr>
        <w:ind w:left="4" w:right="200" w:firstLine="952"/>
        <w:spacing w:after="0" w:line="273" w:lineRule="auto"/>
        <w:rPr>
          <w:sz w:val="20"/>
          <w:szCs w:val="20"/>
          <w:color w:val="auto"/>
        </w:rPr>
      </w:pPr>
      <w:r>
        <w:rPr>
          <w:rFonts w:ascii="Arial" w:cs="Arial" w:eastAsia="Arial" w:hAnsi="Arial"/>
          <w:sz w:val="17"/>
          <w:szCs w:val="17"/>
          <w:color w:val="auto"/>
        </w:rPr>
        <w:t xml:space="preserve">(lvii) </w:t>
      </w:r>
      <w:r>
        <w:rPr>
          <w:rFonts w:ascii="Arial" w:cs="Arial" w:eastAsia="Arial" w:hAnsi="Arial"/>
          <w:sz w:val="17"/>
          <w:szCs w:val="17"/>
          <w:i w:val="1"/>
          <w:iCs w:val="1"/>
          <w:color w:val="auto"/>
        </w:rPr>
        <w:t>No Safety Notices</w:t>
      </w:r>
      <w:r>
        <w:rPr>
          <w:rFonts w:ascii="Arial" w:cs="Arial" w:eastAsia="Arial" w:hAnsi="Arial"/>
          <w:sz w:val="17"/>
          <w:szCs w:val="17"/>
          <w:color w:val="auto"/>
        </w:rPr>
        <w:t>. (i) Except as disclosed in the Registration Statement and the Prospectus, there have been no recalls, field notifications, field corrections, market withdrawals or replacements, warnings, “dear doctor” letters, investigator notices, safety alerts or other notice of action relating to an alleged lack of safety, efficacy, or regulatory compliance of the Company’s products (“Safety Notices”) and (ii) to the Company’s knowledge, there are no facts that would be reasonably likely to result in (x) a Safety Notice with respect to the Company’s products or services, (y) a change in labeling of any of the Company’s respective products or services, or (z) a termination or suspension of marketing or testing of any of the Company’s products or services.</w:t>
      </w:r>
    </w:p>
    <w:p>
      <w:pPr>
        <w:spacing w:after="0" w:line="178" w:lineRule="exact"/>
        <w:rPr>
          <w:sz w:val="20"/>
          <w:szCs w:val="20"/>
          <w:color w:val="auto"/>
        </w:rPr>
      </w:pPr>
    </w:p>
    <w:p>
      <w:pPr>
        <w:ind w:left="184" w:hanging="184"/>
        <w:spacing w:after="0"/>
        <w:tabs>
          <w:tab w:leader="none" w:pos="184" w:val="left"/>
        </w:tabs>
        <w:numPr>
          <w:ilvl w:val="0"/>
          <w:numId w:val="66"/>
        </w:numPr>
        <w:rPr>
          <w:rFonts w:ascii="Arial" w:cs="Arial" w:eastAsia="Arial" w:hAnsi="Arial"/>
          <w:sz w:val="18"/>
          <w:szCs w:val="18"/>
          <w:b w:val="1"/>
          <w:bCs w:val="1"/>
          <w:i w:val="1"/>
          <w:iCs w:val="1"/>
          <w:color w:val="auto"/>
        </w:rPr>
      </w:pPr>
      <w:r>
        <w:rPr>
          <w:rFonts w:ascii="Arial" w:cs="Arial" w:eastAsia="Arial" w:hAnsi="Arial"/>
          <w:sz w:val="18"/>
          <w:szCs w:val="18"/>
          <w:b w:val="1"/>
          <w:bCs w:val="1"/>
          <w:i w:val="1"/>
          <w:iCs w:val="1"/>
          <w:color w:val="auto"/>
        </w:rPr>
        <w:t>Purchase, Sale and Delivery of Shares</w:t>
      </w:r>
      <w:r>
        <w:rPr>
          <w:rFonts w:ascii="Arial" w:cs="Arial" w:eastAsia="Arial" w:hAnsi="Arial"/>
          <w:sz w:val="18"/>
          <w:szCs w:val="18"/>
          <w:color w:val="auto"/>
        </w:rPr>
        <w:t>.</w:t>
      </w:r>
    </w:p>
    <w:p>
      <w:pPr>
        <w:spacing w:after="0" w:line="117" w:lineRule="exact"/>
        <w:rPr>
          <w:rFonts w:ascii="Arial" w:cs="Arial" w:eastAsia="Arial" w:hAnsi="Arial"/>
          <w:sz w:val="18"/>
          <w:szCs w:val="18"/>
          <w:b w:val="1"/>
          <w:bCs w:val="1"/>
          <w:i w:val="1"/>
          <w:iCs w:val="1"/>
          <w:color w:val="auto"/>
        </w:rPr>
      </w:pPr>
    </w:p>
    <w:p>
      <w:pPr>
        <w:ind w:left="-436" w:firstLine="987"/>
        <w:spacing w:after="0" w:line="270" w:lineRule="auto"/>
        <w:tabs>
          <w:tab w:leader="none" w:pos="799" w:val="left"/>
        </w:tabs>
        <w:numPr>
          <w:ilvl w:val="1"/>
          <w:numId w:val="66"/>
        </w:numPr>
        <w:rPr>
          <w:rFonts w:ascii="Arial" w:cs="Arial" w:eastAsia="Arial" w:hAnsi="Arial"/>
          <w:sz w:val="17"/>
          <w:szCs w:val="17"/>
          <w:color w:val="auto"/>
        </w:rPr>
      </w:pPr>
      <w:r>
        <w:rPr>
          <w:rFonts w:ascii="Arial" w:cs="Arial" w:eastAsia="Arial" w:hAnsi="Arial"/>
          <w:sz w:val="17"/>
          <w:szCs w:val="17"/>
          <w:i w:val="1"/>
          <w:iCs w:val="1"/>
          <w:color w:val="auto"/>
        </w:rPr>
        <w:t xml:space="preserve">At-the-Market Sales. </w:t>
      </w:r>
      <w:r>
        <w:rPr>
          <w:rFonts w:ascii="Arial" w:cs="Arial" w:eastAsia="Arial" w:hAnsi="Arial"/>
          <w:sz w:val="17"/>
          <w:szCs w:val="17"/>
          <w:color w:val="auto"/>
        </w:rPr>
        <w:t>On the basis of the representations, warranties and agreements herein contained, but subject to the terms and</w:t>
      </w:r>
      <w:r>
        <w:rPr>
          <w:rFonts w:ascii="Arial" w:cs="Arial" w:eastAsia="Arial" w:hAnsi="Arial"/>
          <w:sz w:val="17"/>
          <w:szCs w:val="17"/>
          <w:i w:val="1"/>
          <w:iCs w:val="1"/>
          <w:color w:val="auto"/>
        </w:rPr>
        <w:t xml:space="preserve"> </w:t>
      </w:r>
      <w:r>
        <w:rPr>
          <w:rFonts w:ascii="Arial" w:cs="Arial" w:eastAsia="Arial" w:hAnsi="Arial"/>
          <w:sz w:val="17"/>
          <w:szCs w:val="17"/>
          <w:color w:val="auto"/>
        </w:rPr>
        <w:t xml:space="preserve">conditions herein set forth, the Company agrees to issue and sell through the Agent as sales agent, and the Agent agrees to use its commercially reasonable efforts to sell for and on behalf of the Company, the Shares on the following terms and conditions; </w:t>
      </w:r>
      <w:r>
        <w:rPr>
          <w:rFonts w:ascii="Arial" w:cs="Arial" w:eastAsia="Arial" w:hAnsi="Arial"/>
          <w:sz w:val="17"/>
          <w:szCs w:val="17"/>
          <w:i w:val="1"/>
          <w:iCs w:val="1"/>
          <w:color w:val="auto"/>
        </w:rPr>
        <w:t>provided</w:t>
      </w:r>
      <w:r>
        <w:rPr>
          <w:rFonts w:ascii="Arial" w:cs="Arial" w:eastAsia="Arial" w:hAnsi="Arial"/>
          <w:sz w:val="17"/>
          <w:szCs w:val="17"/>
          <w:color w:val="auto"/>
        </w:rPr>
        <w:t xml:space="preserve">, </w:t>
      </w:r>
      <w:r>
        <w:rPr>
          <w:rFonts w:ascii="Arial" w:cs="Arial" w:eastAsia="Arial" w:hAnsi="Arial"/>
          <w:sz w:val="17"/>
          <w:szCs w:val="17"/>
          <w:i w:val="1"/>
          <w:iCs w:val="1"/>
          <w:color w:val="auto"/>
        </w:rPr>
        <w:t>however</w:t>
      </w:r>
      <w:r>
        <w:rPr>
          <w:rFonts w:ascii="Arial" w:cs="Arial" w:eastAsia="Arial" w:hAnsi="Arial"/>
          <w:sz w:val="17"/>
          <w:szCs w:val="17"/>
          <w:color w:val="auto"/>
        </w:rPr>
        <w:t>, that any obligation of the Agent to use such commercially reasonable efforts shall be subject to the continuing accuracy of the representations and warranties of the Company herein, the performance by the Company of its covenants and obligations hereunder and the continuing satisfaction of the additional conditions specified in Section 4 of this Agreement. The Company acknowledges and agrees that (i) there can be no assurance that the Agent will be successful in selling Shares, and (ii) the Agent will incur no liability or obligation to the Company or any other person or entity if it does not sell Shares for any reason other than a failure by the Agent to use its commercially reasonable efforts consistent with its normal trading and sales practices to sell such Shares as required under this Section 2.</w:t>
      </w:r>
    </w:p>
    <w:p>
      <w:pPr>
        <w:spacing w:after="0" w:line="72" w:lineRule="exact"/>
        <w:rPr>
          <w:rFonts w:ascii="Arial" w:cs="Arial" w:eastAsia="Arial" w:hAnsi="Arial"/>
          <w:sz w:val="17"/>
          <w:szCs w:val="17"/>
          <w:color w:val="auto"/>
        </w:rPr>
      </w:pPr>
    </w:p>
    <w:p>
      <w:pPr>
        <w:ind w:left="4" w:firstLine="948"/>
        <w:spacing w:after="0" w:line="296" w:lineRule="auto"/>
        <w:tabs>
          <w:tab w:leader="none" w:pos="1170" w:val="left"/>
        </w:tabs>
        <w:numPr>
          <w:ilvl w:val="2"/>
          <w:numId w:val="66"/>
        </w:numPr>
        <w:rPr>
          <w:rFonts w:ascii="Arial" w:cs="Arial" w:eastAsia="Arial" w:hAnsi="Arial"/>
          <w:sz w:val="16"/>
          <w:szCs w:val="16"/>
          <w:color w:val="auto"/>
        </w:rPr>
      </w:pPr>
      <w:r>
        <w:rPr>
          <w:rFonts w:ascii="Arial" w:cs="Arial" w:eastAsia="Arial" w:hAnsi="Arial"/>
          <w:sz w:val="16"/>
          <w:szCs w:val="16"/>
          <w:color w:val="auto"/>
        </w:rPr>
        <w:t xml:space="preserve">Each time that the Company wishes to issue and sell the Shares hereunder (each, a </w:t>
      </w:r>
      <w:r>
        <w:rPr>
          <w:rFonts w:ascii="Arial" w:cs="Arial" w:eastAsia="Arial" w:hAnsi="Arial"/>
          <w:sz w:val="16"/>
          <w:szCs w:val="16"/>
          <w:b w:val="1"/>
          <w:bCs w:val="1"/>
          <w:i w:val="1"/>
          <w:iCs w:val="1"/>
          <w:color w:val="auto"/>
        </w:rPr>
        <w:t>“Placement”</w:t>
      </w:r>
      <w:r>
        <w:rPr>
          <w:rFonts w:ascii="Arial" w:cs="Arial" w:eastAsia="Arial" w:hAnsi="Arial"/>
          <w:sz w:val="16"/>
          <w:szCs w:val="16"/>
          <w:color w:val="auto"/>
        </w:rPr>
        <w:t xml:space="preserve">), it will notify the Agent by email notice (or other method mutually agreed to in writing by the parties) (a </w:t>
      </w:r>
      <w:r>
        <w:rPr>
          <w:rFonts w:ascii="Arial" w:cs="Arial" w:eastAsia="Arial" w:hAnsi="Arial"/>
          <w:sz w:val="16"/>
          <w:szCs w:val="16"/>
          <w:b w:val="1"/>
          <w:bCs w:val="1"/>
          <w:i w:val="1"/>
          <w:iCs w:val="1"/>
          <w:color w:val="auto"/>
        </w:rPr>
        <w:t>“Placement Notice”</w:t>
      </w:r>
      <w:r>
        <w:rPr>
          <w:rFonts w:ascii="Arial" w:cs="Arial" w:eastAsia="Arial" w:hAnsi="Arial"/>
          <w:sz w:val="16"/>
          <w:szCs w:val="16"/>
          <w:color w:val="auto"/>
        </w:rPr>
        <w:t>) containing the parameters in accordance with which it desires the Shares to be sold, which shall at a minimum include the number of shares of Shares to be issued, the time period during which sales are requested to be made, any limitation on the number of Shares that may be sold in any one Trading Day (as defined below) and any minimum price below which sales may not be made, a form of which containing such minimum sales parameters necessary is</w:t>
      </w:r>
    </w:p>
    <w:p>
      <w:pPr>
        <w:sectPr>
          <w:pgSz w:w="11900" w:h="16838" w:orient="portrait"/>
          <w:cols w:equalWidth="0" w:num="1">
            <w:col w:w="10564"/>
          </w:cols>
          <w:pgMar w:left="876" w:top="274" w:right="459" w:bottom="1440" w:gutter="0" w:footer="0" w:header="0"/>
        </w:sectPr>
      </w:pPr>
    </w:p>
    <w:bookmarkStart w:id="89" w:name="page90"/>
    <w:bookmarkEnd w:id="89"/>
    <w:p>
      <w:pPr>
        <w:spacing w:after="0" w:line="268" w:lineRule="auto"/>
        <w:rPr>
          <w:sz w:val="20"/>
          <w:szCs w:val="20"/>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122" name="Picture 1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2"/>
                    <pic:cNvPicPr>
                      <a:picLocks noChangeAspect="1" noChangeArrowheads="1"/>
                    </pic:cNvPicPr>
                  </pic:nvPicPr>
                  <pic:blipFill>
                    <a:blip r:embed="rId144">
                      <a:extLst>
                        <a:ext uri="{28A0092B-C50C-407E-A947-70E740481C1C}"/>
                      </a:extLst>
                    </a:blip>
                    <a:srcRect/>
                    <a:stretch>
                      <a:fillRect/>
                    </a:stretch>
                  </pic:blipFill>
                  <pic:spPr bwMode="auto">
                    <a:xfrm>
                      <a:off x="0" y="0"/>
                      <a:ext cx="7149465" cy="25400"/>
                    </a:xfrm>
                    <a:prstGeom prst="rect">
                      <a:avLst/>
                    </a:prstGeom>
                    <a:noFill/>
                  </pic:spPr>
                </pic:pic>
              </a:graphicData>
            </a:graphic>
          </wp:anchor>
        </w:drawing>
        <w:t xml:space="preserve">attached hereto as </w:t>
      </w:r>
      <w:r>
        <w:rPr>
          <w:rFonts w:ascii="Arial" w:cs="Arial" w:eastAsia="Arial" w:hAnsi="Arial"/>
          <w:sz w:val="17"/>
          <w:szCs w:val="17"/>
          <w:u w:val="single" w:color="auto"/>
          <w:color w:val="auto"/>
        </w:rPr>
        <w:t>Schedule 1</w:t>
      </w:r>
      <w:r>
        <w:rPr>
          <w:rFonts w:ascii="Arial" w:cs="Arial" w:eastAsia="Arial" w:hAnsi="Arial"/>
          <w:sz w:val="17"/>
          <w:szCs w:val="17"/>
          <w:color w:val="auto"/>
        </w:rPr>
        <w:t xml:space="preserve">. The Placement Notice shall originate from any of the individuals from the Company set forth on </w:t>
      </w:r>
      <w:r>
        <w:rPr>
          <w:rFonts w:ascii="Arial" w:cs="Arial" w:eastAsia="Arial" w:hAnsi="Arial"/>
          <w:sz w:val="17"/>
          <w:szCs w:val="17"/>
          <w:u w:val="single" w:color="auto"/>
          <w:color w:val="auto"/>
        </w:rPr>
        <w:t>Schedule 2</w:t>
      </w:r>
      <w:r>
        <w:rPr>
          <w:rFonts w:ascii="Arial" w:cs="Arial" w:eastAsia="Arial" w:hAnsi="Arial"/>
          <w:sz w:val="17"/>
          <w:szCs w:val="17"/>
          <w:color w:val="auto"/>
        </w:rPr>
        <w:t xml:space="preserve"> (with a copy to each of the other individuals from the Company listed on such schedule), and shall be addressed to each of the individuals from the Agent set forth on </w:t>
      </w:r>
      <w:r>
        <w:rPr>
          <w:rFonts w:ascii="Arial" w:cs="Arial" w:eastAsia="Arial" w:hAnsi="Arial"/>
          <w:sz w:val="17"/>
          <w:szCs w:val="17"/>
          <w:u w:val="single" w:color="auto"/>
          <w:color w:val="auto"/>
        </w:rPr>
        <w:t>Schedule 2</w:t>
      </w:r>
      <w:r>
        <w:rPr>
          <w:rFonts w:ascii="Arial" w:cs="Arial" w:eastAsia="Arial" w:hAnsi="Arial"/>
          <w:sz w:val="17"/>
          <w:szCs w:val="17"/>
          <w:color w:val="auto"/>
        </w:rPr>
        <w:t xml:space="preserve">, as such </w:t>
      </w:r>
      <w:r>
        <w:rPr>
          <w:rFonts w:ascii="Arial" w:cs="Arial" w:eastAsia="Arial" w:hAnsi="Arial"/>
          <w:sz w:val="17"/>
          <w:szCs w:val="17"/>
          <w:u w:val="single" w:color="auto"/>
          <w:color w:val="auto"/>
        </w:rPr>
        <w:t>Schedule 2</w:t>
      </w:r>
      <w:r>
        <w:rPr>
          <w:rFonts w:ascii="Arial" w:cs="Arial" w:eastAsia="Arial" w:hAnsi="Arial"/>
          <w:sz w:val="17"/>
          <w:szCs w:val="17"/>
          <w:color w:val="auto"/>
        </w:rPr>
        <w:t xml:space="preserve"> may be amended from time to time. The Placement Notice shall be effective upon receipt by the Agent unless and until (i) in accordance with the notice requirements set forth in Section 2(a)(iii) of this Agreement, the Agent declines to accept the terms contained therein for any reason, in its sole discretion, (ii) the entire amount of the Shares subject to the Placement Notice or set forth on the Sales Prospectus have been sold, (iii) the Company suspends or terminates the Placement Notice in accordance with the notice requirements set forth in Section 2(a)(iii) below, (iv) the Company issues a subsequent Placement Notice with parameters superseding those on the earlier dated Placement Notice, or (v) this Agreement has been terminated under the provisions of Section 7. The amount of any commission or other compensation to be paid by the Company to the Agent in connection with the sale of the Shares shall be calculated in accordance with the terms set forth in Section 2(a)(v) below. It is expressly acknowledged and agreed that neither the Company nor the Agent will have any obligation whatsoever with respect to a Placement or any Shares unless and until the Company delivers a Placement Notice to the Agent and the Agent does not decline such Placement Notice pursuant to the terms set forth above, and then only upon the terms specified therein and herein. In the event of a conflict between the terms of this Agreement and the terms of the Placement Notice, the terms of the Placement Notice will control. For the purposes hereof, </w:t>
      </w:r>
      <w:r>
        <w:rPr>
          <w:rFonts w:ascii="Arial" w:cs="Arial" w:eastAsia="Arial" w:hAnsi="Arial"/>
          <w:sz w:val="17"/>
          <w:szCs w:val="17"/>
          <w:b w:val="1"/>
          <w:bCs w:val="1"/>
          <w:i w:val="1"/>
          <w:iCs w:val="1"/>
          <w:color w:val="auto"/>
        </w:rPr>
        <w:t>“Trading Day”</w:t>
      </w:r>
      <w:r>
        <w:rPr>
          <w:rFonts w:ascii="Arial" w:cs="Arial" w:eastAsia="Arial" w:hAnsi="Arial"/>
          <w:sz w:val="17"/>
          <w:szCs w:val="17"/>
          <w:color w:val="auto"/>
        </w:rPr>
        <w:t xml:space="preserve"> means any day on which the Company’s Common Stock is purchased and sold on the principal market on which the Common Stock is listed or quoted.</w:t>
      </w:r>
    </w:p>
    <w:p>
      <w:pPr>
        <w:spacing w:after="0" w:line="74" w:lineRule="exact"/>
        <w:rPr>
          <w:sz w:val="20"/>
          <w:szCs w:val="20"/>
          <w:color w:val="auto"/>
        </w:rPr>
      </w:pPr>
    </w:p>
    <w:p>
      <w:pPr>
        <w:ind w:right="140" w:firstLine="948"/>
        <w:spacing w:after="0" w:line="259" w:lineRule="auto"/>
        <w:tabs>
          <w:tab w:leader="none" w:pos="1217" w:val="left"/>
        </w:tabs>
        <w:numPr>
          <w:ilvl w:val="0"/>
          <w:numId w:val="67"/>
        </w:numPr>
        <w:rPr>
          <w:rFonts w:ascii="Arial" w:cs="Arial" w:eastAsia="Arial" w:hAnsi="Arial"/>
          <w:sz w:val="18"/>
          <w:szCs w:val="18"/>
          <w:color w:val="auto"/>
        </w:rPr>
      </w:pPr>
      <w:r>
        <w:rPr>
          <w:rFonts w:ascii="Arial" w:cs="Arial" w:eastAsia="Arial" w:hAnsi="Arial"/>
          <w:sz w:val="18"/>
          <w:szCs w:val="18"/>
          <w:color w:val="auto"/>
        </w:rPr>
        <w:t>The Shares are to be sold by the Agent on a daily basis or otherwise as shall be agreed to by the Company and the Agent on any day that is a Trading Day for the Exchange (other than a day on which the Exchange is scheduled to close prior to its regular weekday closing time). The gross sales price of the Shares sold under this Section 2(a) shall be the market price for the Company’s Common Stock sold by the Agent under this Section 2(a) at the time of such sale.</w:t>
      </w:r>
    </w:p>
    <w:p>
      <w:pPr>
        <w:spacing w:after="0" w:line="78" w:lineRule="exact"/>
        <w:rPr>
          <w:rFonts w:ascii="Arial" w:cs="Arial" w:eastAsia="Arial" w:hAnsi="Arial"/>
          <w:sz w:val="18"/>
          <w:szCs w:val="18"/>
          <w:color w:val="auto"/>
        </w:rPr>
      </w:pPr>
    </w:p>
    <w:p>
      <w:pPr>
        <w:ind w:right="60" w:firstLine="948"/>
        <w:spacing w:after="0" w:line="288" w:lineRule="auto"/>
        <w:tabs>
          <w:tab w:leader="none" w:pos="1267" w:val="left"/>
        </w:tabs>
        <w:numPr>
          <w:ilvl w:val="0"/>
          <w:numId w:val="67"/>
        </w:numPr>
        <w:rPr>
          <w:rFonts w:ascii="Arial" w:cs="Arial" w:eastAsia="Arial" w:hAnsi="Arial"/>
          <w:sz w:val="16"/>
          <w:szCs w:val="16"/>
          <w:color w:val="auto"/>
        </w:rPr>
      </w:pPr>
      <w:r>
        <w:rPr>
          <w:rFonts w:ascii="Arial" w:cs="Arial" w:eastAsia="Arial" w:hAnsi="Arial"/>
          <w:sz w:val="16"/>
          <w:szCs w:val="16"/>
          <w:color w:val="auto"/>
        </w:rPr>
        <w:t xml:space="preserve">Notwithstanding the foregoing, the Company may instruct the Agent by telephone (confirmed promptly by email) not to sell the Shares if such sales cannot be effected at or above the price designated by the Company in any such instruction. Furthermore, the Company shall not authorize the issuance and sale of, and the Agent shall not be obligated to use its commercially reasonable efforts to sell, any Share at a price lower than the minimum price therefor designated from time to time by the Company’s Board of Directors and notified to the Agent in writing. In addition, the Company or the Agent may, upon notice to the other party hereto by telephone (confirmed promptly by email), suspend the offering of the Shares, whereupon the Agent shall so suspend the offering of Shares until further notice is provided to the other party to the contrary; </w:t>
      </w:r>
      <w:r>
        <w:rPr>
          <w:rFonts w:ascii="Arial" w:cs="Arial" w:eastAsia="Arial" w:hAnsi="Arial"/>
          <w:sz w:val="16"/>
          <w:szCs w:val="16"/>
          <w:i w:val="1"/>
          <w:iCs w:val="1"/>
          <w:color w:val="auto"/>
        </w:rPr>
        <w:t>provided</w:t>
      </w:r>
      <w:r>
        <w:rPr>
          <w:rFonts w:ascii="Arial" w:cs="Arial" w:eastAsia="Arial" w:hAnsi="Arial"/>
          <w:sz w:val="16"/>
          <w:szCs w:val="16"/>
          <w:color w:val="auto"/>
        </w:rPr>
        <w:t>,</w:t>
      </w:r>
      <w:r>
        <w:rPr>
          <w:rFonts w:ascii="Arial" w:cs="Arial" w:eastAsia="Arial" w:hAnsi="Arial"/>
          <w:sz w:val="16"/>
          <w:szCs w:val="16"/>
          <w:i w:val="1"/>
          <w:iCs w:val="1"/>
          <w:color w:val="auto"/>
        </w:rPr>
        <w:t xml:space="preserve"> however</w:t>
      </w:r>
      <w:r>
        <w:rPr>
          <w:rFonts w:ascii="Arial" w:cs="Arial" w:eastAsia="Arial" w:hAnsi="Arial"/>
          <w:sz w:val="16"/>
          <w:szCs w:val="16"/>
          <w:color w:val="auto"/>
        </w:rPr>
        <w:t>, that such suspension or termination shall not affect or impair the parties’ respective obligations with respect to the Shares sold</w:t>
      </w:r>
      <w:r>
        <w:rPr>
          <w:rFonts w:ascii="Arial" w:cs="Arial" w:eastAsia="Arial" w:hAnsi="Arial"/>
          <w:sz w:val="16"/>
          <w:szCs w:val="16"/>
          <w:i w:val="1"/>
          <w:iCs w:val="1"/>
          <w:color w:val="auto"/>
        </w:rPr>
        <w:t xml:space="preserve"> </w:t>
      </w:r>
      <w:r>
        <w:rPr>
          <w:rFonts w:ascii="Arial" w:cs="Arial" w:eastAsia="Arial" w:hAnsi="Arial"/>
          <w:sz w:val="16"/>
          <w:szCs w:val="16"/>
          <w:color w:val="auto"/>
        </w:rPr>
        <w:t>hereunder prior to the giving of such notice. Notwithstanding any other provision of this Agreement, during any period in which the Company is in possession of material non-public information, the Company and the Agent agree that (i) no sale of Shares will take place, (ii) the Company shall not request the sale of any Shares, and (iii) the Agent shall not be obligated to sell or offer to sell any Shares.</w:t>
      </w:r>
    </w:p>
    <w:p>
      <w:pPr>
        <w:sectPr>
          <w:pgSz w:w="11900" w:h="16838" w:orient="portrait"/>
          <w:cols w:equalWidth="0" w:num="1">
            <w:col w:w="10560"/>
          </w:cols>
          <w:pgMar w:left="880" w:top="274" w:right="459" w:bottom="1440" w:gutter="0" w:footer="0" w:header="0"/>
        </w:sectPr>
      </w:pPr>
    </w:p>
    <w:bookmarkStart w:id="90" w:name="page91"/>
    <w:bookmarkEnd w:id="90"/>
    <w:p>
      <w:pPr>
        <w:ind w:left="-560" w:firstLine="948"/>
        <w:spacing w:after="0" w:line="301" w:lineRule="auto"/>
        <w:tabs>
          <w:tab w:leader="none" w:pos="697" w:val="left"/>
        </w:tabs>
        <w:numPr>
          <w:ilvl w:val="0"/>
          <w:numId w:val="68"/>
        </w:numPr>
        <w:rPr>
          <w:rFonts w:ascii="Arial" w:cs="Arial" w:eastAsia="Arial" w:hAnsi="Arial"/>
          <w:sz w:val="16"/>
          <w:szCs w:val="16"/>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123" name="Picture 1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3"/>
                    <pic:cNvPicPr>
                      <a:picLocks noChangeAspect="1" noChangeArrowheads="1"/>
                    </pic:cNvPicPr>
                  </pic:nvPicPr>
                  <pic:blipFill>
                    <a:blip r:embed="rId145">
                      <a:extLst>
                        <a:ext uri="{28A0092B-C50C-407E-A947-70E740481C1C}"/>
                      </a:extLst>
                    </a:blip>
                    <a:srcRect/>
                    <a:stretch>
                      <a:fillRect/>
                    </a:stretch>
                  </pic:blipFill>
                  <pic:spPr bwMode="auto">
                    <a:xfrm>
                      <a:off x="0" y="0"/>
                      <a:ext cx="7149465" cy="25400"/>
                    </a:xfrm>
                    <a:prstGeom prst="rect">
                      <a:avLst/>
                    </a:prstGeom>
                    <a:noFill/>
                  </pic:spPr>
                </pic:pic>
              </a:graphicData>
            </a:graphic>
          </wp:anchor>
        </w:drawing>
        <w:t>Subject to the terms of the Placement Notice, the Agent may sell the Shares by any method permitted by law deemed to be an “at the market offering” as defined in Rule 415(a)(4) under the Securities Act, including sales made directly on or through the Exchange. Subject to the terms of any Placement Notice, the Agent may also sell Shares in negotiated transactions at market prices prevailing at the time of sale or at prices related to such prevailing market prices and/or any other method permitted by law, subject to the prior written consent of the Company.</w:t>
      </w:r>
    </w:p>
    <w:p>
      <w:pPr>
        <w:spacing w:after="0" w:line="49" w:lineRule="exact"/>
        <w:rPr>
          <w:rFonts w:ascii="Arial" w:cs="Arial" w:eastAsia="Arial" w:hAnsi="Arial"/>
          <w:sz w:val="16"/>
          <w:szCs w:val="16"/>
          <w:color w:val="auto"/>
        </w:rPr>
      </w:pPr>
    </w:p>
    <w:p>
      <w:pPr>
        <w:ind w:left="-560" w:firstLine="948"/>
        <w:spacing w:after="0" w:line="293" w:lineRule="auto"/>
        <w:tabs>
          <w:tab w:leader="none" w:pos="647" w:val="left"/>
        </w:tabs>
        <w:numPr>
          <w:ilvl w:val="0"/>
          <w:numId w:val="68"/>
        </w:numPr>
        <w:rPr>
          <w:rFonts w:ascii="Arial" w:cs="Arial" w:eastAsia="Arial" w:hAnsi="Arial"/>
          <w:sz w:val="16"/>
          <w:szCs w:val="16"/>
          <w:color w:val="auto"/>
        </w:rPr>
      </w:pPr>
      <w:r>
        <w:rPr>
          <w:rFonts w:ascii="Arial" w:cs="Arial" w:eastAsia="Arial" w:hAnsi="Arial"/>
          <w:sz w:val="16"/>
          <w:szCs w:val="16"/>
          <w:color w:val="auto"/>
        </w:rPr>
        <w:t xml:space="preserve">The compensation to the Agent for sales of the Shares, as an agent of the Company, shall be 3.0% of the gross sales price of the Shares sold pursuant to this Section 2(a), payable in cash (the </w:t>
      </w:r>
      <w:r>
        <w:rPr>
          <w:rFonts w:ascii="Arial" w:cs="Arial" w:eastAsia="Arial" w:hAnsi="Arial"/>
          <w:sz w:val="16"/>
          <w:szCs w:val="16"/>
          <w:b w:val="1"/>
          <w:bCs w:val="1"/>
          <w:i w:val="1"/>
          <w:iCs w:val="1"/>
          <w:color w:val="auto"/>
        </w:rPr>
        <w:t>“Sales Commission”</w:t>
      </w:r>
      <w:r>
        <w:rPr>
          <w:rFonts w:ascii="Arial" w:cs="Arial" w:eastAsia="Arial" w:hAnsi="Arial"/>
          <w:sz w:val="16"/>
          <w:szCs w:val="16"/>
          <w:color w:val="auto"/>
        </w:rPr>
        <w:t xml:space="preserve">); </w:t>
      </w:r>
      <w:r>
        <w:rPr>
          <w:rFonts w:ascii="Arial" w:cs="Arial" w:eastAsia="Arial" w:hAnsi="Arial"/>
          <w:sz w:val="16"/>
          <w:szCs w:val="16"/>
          <w:i w:val="1"/>
          <w:iCs w:val="1"/>
          <w:color w:val="auto"/>
        </w:rPr>
        <w:t>provided that</w:t>
      </w:r>
      <w:r>
        <w:rPr>
          <w:rFonts w:ascii="Arial" w:cs="Arial" w:eastAsia="Arial" w:hAnsi="Arial"/>
          <w:sz w:val="16"/>
          <w:szCs w:val="16"/>
          <w:color w:val="auto"/>
        </w:rPr>
        <w:t xml:space="preserve"> the combined Sales Commission and reimbursement of the Agent for its out-of-pocket expenses pursuant to Section 3(g), including the reasonable and documented fees and disbursements of the Agent’s counsel, shall not exceed 8.0% of the gross sales price of the Shares. The remaining proceeds, after further deduction for any transaction fees imposed by any governmental or self-regulatory organization in respect of such sales, and reimbursement of expenses that the Agent may be entitled to pursuant to Section 3(g), shall constitute the net proceeds to the Company for such Shares (the “</w:t>
      </w:r>
      <w:r>
        <w:rPr>
          <w:rFonts w:ascii="Arial" w:cs="Arial" w:eastAsia="Arial" w:hAnsi="Arial"/>
          <w:sz w:val="16"/>
          <w:szCs w:val="16"/>
          <w:b w:val="1"/>
          <w:bCs w:val="1"/>
          <w:i w:val="1"/>
          <w:iCs w:val="1"/>
          <w:color w:val="auto"/>
        </w:rPr>
        <w:t>Net Proceeds</w:t>
      </w:r>
      <w:r>
        <w:rPr>
          <w:rFonts w:ascii="Arial" w:cs="Arial" w:eastAsia="Arial" w:hAnsi="Arial"/>
          <w:sz w:val="16"/>
          <w:szCs w:val="16"/>
          <w:color w:val="auto"/>
        </w:rPr>
        <w:t>”).</w:t>
      </w:r>
    </w:p>
    <w:p>
      <w:pPr>
        <w:spacing w:after="0" w:line="56" w:lineRule="exact"/>
        <w:rPr>
          <w:rFonts w:ascii="Arial" w:cs="Arial" w:eastAsia="Arial" w:hAnsi="Arial"/>
          <w:sz w:val="16"/>
          <w:szCs w:val="16"/>
          <w:color w:val="auto"/>
        </w:rPr>
      </w:pPr>
    </w:p>
    <w:p>
      <w:pPr>
        <w:ind w:left="-560" w:right="60" w:firstLine="948"/>
        <w:spacing w:after="0" w:line="259" w:lineRule="auto"/>
        <w:tabs>
          <w:tab w:leader="none" w:pos="697" w:val="left"/>
        </w:tabs>
        <w:numPr>
          <w:ilvl w:val="0"/>
          <w:numId w:val="68"/>
        </w:numPr>
        <w:rPr>
          <w:rFonts w:ascii="Arial" w:cs="Arial" w:eastAsia="Arial" w:hAnsi="Arial"/>
          <w:sz w:val="18"/>
          <w:szCs w:val="18"/>
          <w:color w:val="auto"/>
        </w:rPr>
      </w:pPr>
      <w:r>
        <w:rPr>
          <w:rFonts w:ascii="Arial" w:cs="Arial" w:eastAsia="Arial" w:hAnsi="Arial"/>
          <w:sz w:val="18"/>
          <w:szCs w:val="18"/>
          <w:color w:val="auto"/>
        </w:rPr>
        <w:t xml:space="preserve">The Agent will provide written confirmation to the Company (including by email correspondence to each of the individuals of the Company set forth on </w:t>
      </w:r>
      <w:r>
        <w:rPr>
          <w:rFonts w:ascii="Arial" w:cs="Arial" w:eastAsia="Arial" w:hAnsi="Arial"/>
          <w:sz w:val="18"/>
          <w:szCs w:val="18"/>
          <w:u w:val="single" w:color="auto"/>
          <w:color w:val="auto"/>
        </w:rPr>
        <w:t>Schedule 2</w:t>
      </w:r>
      <w:r>
        <w:rPr>
          <w:rFonts w:ascii="Arial" w:cs="Arial" w:eastAsia="Arial" w:hAnsi="Arial"/>
          <w:sz w:val="18"/>
          <w:szCs w:val="18"/>
          <w:color w:val="auto"/>
        </w:rPr>
        <w:t>), no later than the opening of the Trading Day immediately following the Trading Day on which it has made sales of Shares hereunder, setting forth the number of Shares sold on such day, the volume-weighted average price of the Shares sold, and the Net Proceeds payable to the Company.</w:t>
      </w:r>
    </w:p>
    <w:p>
      <w:pPr>
        <w:spacing w:after="0" w:line="78" w:lineRule="exact"/>
        <w:rPr>
          <w:rFonts w:ascii="Arial" w:cs="Arial" w:eastAsia="Arial" w:hAnsi="Arial"/>
          <w:sz w:val="18"/>
          <w:szCs w:val="18"/>
          <w:color w:val="auto"/>
        </w:rPr>
      </w:pPr>
    </w:p>
    <w:p>
      <w:pPr>
        <w:ind w:left="-560" w:firstLine="948"/>
        <w:spacing w:after="0" w:line="269" w:lineRule="auto"/>
        <w:tabs>
          <w:tab w:leader="none" w:pos="747" w:val="left"/>
        </w:tabs>
        <w:numPr>
          <w:ilvl w:val="0"/>
          <w:numId w:val="68"/>
        </w:numPr>
        <w:rPr>
          <w:rFonts w:ascii="Arial" w:cs="Arial" w:eastAsia="Arial" w:hAnsi="Arial"/>
          <w:sz w:val="17"/>
          <w:szCs w:val="17"/>
          <w:color w:val="auto"/>
        </w:rPr>
      </w:pPr>
      <w:r>
        <w:rPr>
          <w:rFonts w:ascii="Arial" w:cs="Arial" w:eastAsia="Arial" w:hAnsi="Arial"/>
          <w:sz w:val="17"/>
          <w:szCs w:val="17"/>
          <w:color w:val="auto"/>
        </w:rPr>
        <w:t>All Shares sold pursuant to this Section 2(a) will be delivered by the Company to the Agent for the account of the Agent, against payment of the Net Proceeds therefor, by wire transfer of same-day funds payable to the order of the Company at the offices of Piper Sandler &amp; Co., U.S. Bancorp Center, 800 Nicollet Mall, Minneapolis, Minnesota, or such other location as may be mutually acceptable, at 9:00 a.m. Central Time on the second full business day following the date on which such Shares are sold, or at such other time and date as the Agent and the Company determine pursuant to Rule 15c6-1(a) under the Exchange Act, each such time and date of delivery being herein referred to as a “</w:t>
      </w:r>
      <w:r>
        <w:rPr>
          <w:rFonts w:ascii="Arial" w:cs="Arial" w:eastAsia="Arial" w:hAnsi="Arial"/>
          <w:sz w:val="17"/>
          <w:szCs w:val="17"/>
          <w:b w:val="1"/>
          <w:bCs w:val="1"/>
          <w:i w:val="1"/>
          <w:iCs w:val="1"/>
          <w:color w:val="auto"/>
        </w:rPr>
        <w:t>Settlement Date</w:t>
      </w:r>
      <w:r>
        <w:rPr>
          <w:rFonts w:ascii="Arial" w:cs="Arial" w:eastAsia="Arial" w:hAnsi="Arial"/>
          <w:sz w:val="17"/>
          <w:szCs w:val="17"/>
          <w:color w:val="auto"/>
        </w:rPr>
        <w:t>.” If the Agent so elects, delivery of the Shares may be made by credit through full fast transfer to an account or accounts at The Depository Trust Company designated by the Agent. On each Settlement Date, the Agent will deliver the Net Proceeds in same day funds to an account designated by the Company on, or prior to, such Settlement Date. The Company agrees that if the Company, or its transfer agent (if applicable), defaults in its obligation to timely deliver duly authorized Shares on a Settlement Date, the Company agrees that in addition to and in no way limiting the rights and obligations set forth in Section 5 hereto, it will (i) hold the Agent harmless against any loss, claim, damage, or expense (including</w:t>
      </w:r>
    </w:p>
    <w:p>
      <w:pPr>
        <w:sectPr>
          <w:pgSz w:w="11900" w:h="16838" w:orient="portrait"/>
          <w:cols w:equalWidth="0" w:num="1">
            <w:col w:w="10000"/>
          </w:cols>
          <w:pgMar w:left="1440" w:top="274" w:right="459" w:bottom="1440" w:gutter="0" w:footer="0" w:header="0"/>
        </w:sectPr>
      </w:pPr>
    </w:p>
    <w:bookmarkStart w:id="91" w:name="page92"/>
    <w:bookmarkEnd w:id="91"/>
    <w:p>
      <w:pPr>
        <w:ind w:left="440" w:right="280"/>
        <w:spacing w:after="0" w:line="263"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124" name="Picture 1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4"/>
                    <pic:cNvPicPr>
                      <a:picLocks noChangeAspect="1" noChangeArrowheads="1"/>
                    </pic:cNvPicPr>
                  </pic:nvPicPr>
                  <pic:blipFill>
                    <a:blip r:embed="rId146">
                      <a:extLst>
                        <a:ext uri="{28A0092B-C50C-407E-A947-70E740481C1C}"/>
                      </a:extLst>
                    </a:blip>
                    <a:srcRect/>
                    <a:stretch>
                      <a:fillRect/>
                    </a:stretch>
                  </pic:blipFill>
                  <pic:spPr bwMode="auto">
                    <a:xfrm>
                      <a:off x="0" y="0"/>
                      <a:ext cx="7149465" cy="26035"/>
                    </a:xfrm>
                    <a:prstGeom prst="rect">
                      <a:avLst/>
                    </a:prstGeom>
                    <a:noFill/>
                  </pic:spPr>
                </pic:pic>
              </a:graphicData>
            </a:graphic>
          </wp:anchor>
        </w:drawing>
        <w:t>reasonable legal fees and expenses), as incurred, arising out of or in connection with such default by the Company, (ii) reimburse the Agent for any losses incurred by the Agent attributable, directly or indirectly, to such default and (iii) pay to the Agent any commission or other compensation to which the Agent would otherwise have been entitled absent such default.</w:t>
      </w:r>
    </w:p>
    <w:p>
      <w:pPr>
        <w:spacing w:after="0" w:line="76" w:lineRule="exact"/>
        <w:rPr>
          <w:sz w:val="20"/>
          <w:szCs w:val="20"/>
          <w:color w:val="auto"/>
        </w:rPr>
      </w:pPr>
    </w:p>
    <w:p>
      <w:pPr>
        <w:ind w:right="60" w:firstLine="987"/>
        <w:spacing w:after="0" w:line="272" w:lineRule="auto"/>
        <w:tabs>
          <w:tab w:leader="none" w:pos="1246" w:val="left"/>
        </w:tabs>
        <w:numPr>
          <w:ilvl w:val="1"/>
          <w:numId w:val="69"/>
        </w:numPr>
        <w:rPr>
          <w:rFonts w:ascii="Arial" w:cs="Arial" w:eastAsia="Arial" w:hAnsi="Arial"/>
          <w:sz w:val="17"/>
          <w:szCs w:val="17"/>
          <w:color w:val="auto"/>
        </w:rPr>
      </w:pPr>
      <w:r>
        <w:rPr>
          <w:rFonts w:ascii="Arial" w:cs="Arial" w:eastAsia="Arial" w:hAnsi="Arial"/>
          <w:sz w:val="17"/>
          <w:szCs w:val="17"/>
          <w:i w:val="1"/>
          <w:iCs w:val="1"/>
          <w:color w:val="auto"/>
        </w:rPr>
        <w:t>Maximum Amount</w:t>
      </w:r>
      <w:r>
        <w:rPr>
          <w:rFonts w:ascii="Arial" w:cs="Arial" w:eastAsia="Arial" w:hAnsi="Arial"/>
          <w:sz w:val="17"/>
          <w:szCs w:val="17"/>
          <w:color w:val="auto"/>
        </w:rPr>
        <w:t>. Under no circumstances shall the aggregate number or aggregate value of the Shares sold pursuant to this</w:t>
      </w:r>
      <w:r>
        <w:rPr>
          <w:rFonts w:ascii="Arial" w:cs="Arial" w:eastAsia="Arial" w:hAnsi="Arial"/>
          <w:sz w:val="17"/>
          <w:szCs w:val="17"/>
          <w:i w:val="1"/>
          <w:iCs w:val="1"/>
          <w:color w:val="auto"/>
        </w:rPr>
        <w:t xml:space="preserve"> </w:t>
      </w:r>
      <w:r>
        <w:rPr>
          <w:rFonts w:ascii="Arial" w:cs="Arial" w:eastAsia="Arial" w:hAnsi="Arial"/>
          <w:sz w:val="17"/>
          <w:szCs w:val="17"/>
          <w:color w:val="auto"/>
        </w:rPr>
        <w:t xml:space="preserve">Agreement exceed: (i) the aggregate number and aggregate dollar amount of shares of Common Stock available for issuance under the currently effective Registration Statement, (ii) the aggregate number of authorized but unissued shares of Common Stock that are available for issuance under the Company’s certificate of incorporation or certificate of designation, (iii) the aggregate dollar amount of shares of Common Stock permitted to be sold under the Company’s effective Registration Statement (including any limit set forth in General Instruction I.B.6 thereof, if applicable) or (iv) the aggregate number or aggregate dollar amount of shares of Common Stock for which the Company has filed the Sales Prospectus in connection with the Shares (the lesser of (i), (ii), (iii) and (iv), the </w:t>
      </w:r>
      <w:r>
        <w:rPr>
          <w:rFonts w:ascii="Arial" w:cs="Arial" w:eastAsia="Arial" w:hAnsi="Arial"/>
          <w:sz w:val="17"/>
          <w:szCs w:val="17"/>
          <w:i w:val="1"/>
          <w:iCs w:val="1"/>
          <w:color w:val="auto"/>
        </w:rPr>
        <w:t>“</w:t>
      </w:r>
      <w:r>
        <w:rPr>
          <w:rFonts w:ascii="Arial" w:cs="Arial" w:eastAsia="Arial" w:hAnsi="Arial"/>
          <w:sz w:val="17"/>
          <w:szCs w:val="17"/>
          <w:b w:val="1"/>
          <w:bCs w:val="1"/>
          <w:i w:val="1"/>
          <w:iCs w:val="1"/>
          <w:color w:val="auto"/>
        </w:rPr>
        <w:t>Maximum Amount</w:t>
      </w:r>
      <w:r>
        <w:rPr>
          <w:rFonts w:ascii="Arial" w:cs="Arial" w:eastAsia="Arial" w:hAnsi="Arial"/>
          <w:sz w:val="17"/>
          <w:szCs w:val="17"/>
          <w:color w:val="auto"/>
        </w:rPr>
        <w:t>”).</w:t>
      </w:r>
    </w:p>
    <w:p>
      <w:pPr>
        <w:spacing w:after="0" w:line="69" w:lineRule="exact"/>
        <w:rPr>
          <w:rFonts w:ascii="Arial" w:cs="Arial" w:eastAsia="Arial" w:hAnsi="Arial"/>
          <w:sz w:val="17"/>
          <w:szCs w:val="17"/>
          <w:color w:val="auto"/>
        </w:rPr>
      </w:pPr>
    </w:p>
    <w:p>
      <w:pPr>
        <w:ind w:left="1240" w:hanging="253"/>
        <w:spacing w:after="0"/>
        <w:tabs>
          <w:tab w:leader="none" w:pos="1240" w:val="left"/>
        </w:tabs>
        <w:numPr>
          <w:ilvl w:val="1"/>
          <w:numId w:val="69"/>
        </w:numPr>
        <w:rPr>
          <w:rFonts w:ascii="Arial" w:cs="Arial" w:eastAsia="Arial" w:hAnsi="Arial"/>
          <w:sz w:val="16"/>
          <w:szCs w:val="16"/>
          <w:color w:val="auto"/>
        </w:rPr>
      </w:pPr>
      <w:r>
        <w:rPr>
          <w:rFonts w:ascii="Arial" w:cs="Arial" w:eastAsia="Arial" w:hAnsi="Arial"/>
          <w:sz w:val="16"/>
          <w:szCs w:val="16"/>
          <w:i w:val="1"/>
          <w:iCs w:val="1"/>
          <w:color w:val="auto"/>
        </w:rPr>
        <w:t>No Association or Partnership</w:t>
      </w:r>
      <w:r>
        <w:rPr>
          <w:rFonts w:ascii="Arial" w:cs="Arial" w:eastAsia="Arial" w:hAnsi="Arial"/>
          <w:sz w:val="16"/>
          <w:szCs w:val="16"/>
          <w:color w:val="auto"/>
        </w:rPr>
        <w:t>. Nothing herein contained shall constitute the Agent as an unincorporated association or partner with the</w:t>
      </w:r>
    </w:p>
    <w:p>
      <w:pPr>
        <w:spacing w:after="0" w:line="46" w:lineRule="exact"/>
        <w:rPr>
          <w:rFonts w:ascii="Arial" w:cs="Arial" w:eastAsia="Arial" w:hAnsi="Arial"/>
          <w:sz w:val="16"/>
          <w:szCs w:val="16"/>
          <w:color w:val="auto"/>
        </w:rPr>
      </w:pPr>
    </w:p>
    <w:p>
      <w:pPr>
        <w:spacing w:after="0"/>
        <w:rPr>
          <w:rFonts w:ascii="Arial" w:cs="Arial" w:eastAsia="Arial" w:hAnsi="Arial"/>
          <w:sz w:val="16"/>
          <w:szCs w:val="16"/>
          <w:color w:val="auto"/>
        </w:rPr>
      </w:pPr>
      <w:r>
        <w:rPr>
          <w:rFonts w:ascii="Arial" w:cs="Arial" w:eastAsia="Arial" w:hAnsi="Arial"/>
          <w:sz w:val="18"/>
          <w:szCs w:val="18"/>
          <w:color w:val="auto"/>
        </w:rPr>
        <w:t>Company.</w:t>
      </w:r>
    </w:p>
    <w:p>
      <w:pPr>
        <w:spacing w:after="0" w:line="102" w:lineRule="exact"/>
        <w:rPr>
          <w:rFonts w:ascii="Arial" w:cs="Arial" w:eastAsia="Arial" w:hAnsi="Arial"/>
          <w:sz w:val="16"/>
          <w:szCs w:val="16"/>
          <w:color w:val="auto"/>
        </w:rPr>
      </w:pPr>
    </w:p>
    <w:p>
      <w:pPr>
        <w:ind w:right="400" w:firstLine="987"/>
        <w:spacing w:after="0" w:line="277" w:lineRule="auto"/>
        <w:tabs>
          <w:tab w:leader="none" w:pos="1246" w:val="left"/>
        </w:tabs>
        <w:numPr>
          <w:ilvl w:val="1"/>
          <w:numId w:val="69"/>
        </w:numPr>
        <w:rPr>
          <w:rFonts w:ascii="Arial" w:cs="Arial" w:eastAsia="Arial" w:hAnsi="Arial"/>
          <w:sz w:val="18"/>
          <w:szCs w:val="18"/>
          <w:color w:val="auto"/>
        </w:rPr>
      </w:pPr>
      <w:r>
        <w:rPr>
          <w:rFonts w:ascii="Arial" w:cs="Arial" w:eastAsia="Arial" w:hAnsi="Arial"/>
          <w:sz w:val="18"/>
          <w:szCs w:val="18"/>
          <w:i w:val="1"/>
          <w:iCs w:val="1"/>
          <w:color w:val="auto"/>
        </w:rPr>
        <w:t>Duration</w:t>
      </w:r>
      <w:r>
        <w:rPr>
          <w:rFonts w:ascii="Arial" w:cs="Arial" w:eastAsia="Arial" w:hAnsi="Arial"/>
          <w:sz w:val="18"/>
          <w:szCs w:val="18"/>
          <w:color w:val="auto"/>
        </w:rPr>
        <w:t>. Under no circumstances shall any Shares be sold pursuant to this Agreement after the date which is three years after the</w:t>
      </w:r>
      <w:r>
        <w:rPr>
          <w:rFonts w:ascii="Arial" w:cs="Arial" w:eastAsia="Arial" w:hAnsi="Arial"/>
          <w:sz w:val="18"/>
          <w:szCs w:val="18"/>
          <w:i w:val="1"/>
          <w:iCs w:val="1"/>
          <w:color w:val="auto"/>
        </w:rPr>
        <w:t xml:space="preserve"> </w:t>
      </w:r>
      <w:r>
        <w:rPr>
          <w:rFonts w:ascii="Arial" w:cs="Arial" w:eastAsia="Arial" w:hAnsi="Arial"/>
          <w:sz w:val="18"/>
          <w:szCs w:val="18"/>
          <w:color w:val="auto"/>
        </w:rPr>
        <w:t>Registration Statement is first declared effective by the Commission.</w:t>
      </w:r>
    </w:p>
    <w:p>
      <w:pPr>
        <w:spacing w:after="0" w:line="62" w:lineRule="exact"/>
        <w:rPr>
          <w:rFonts w:ascii="Arial" w:cs="Arial" w:eastAsia="Arial" w:hAnsi="Arial"/>
          <w:sz w:val="18"/>
          <w:szCs w:val="18"/>
          <w:color w:val="auto"/>
        </w:rPr>
      </w:pPr>
    </w:p>
    <w:p>
      <w:pPr>
        <w:ind w:firstLine="987"/>
        <w:spacing w:after="0" w:line="293" w:lineRule="auto"/>
        <w:tabs>
          <w:tab w:leader="none" w:pos="1236" w:val="left"/>
        </w:tabs>
        <w:numPr>
          <w:ilvl w:val="1"/>
          <w:numId w:val="69"/>
        </w:numPr>
        <w:rPr>
          <w:rFonts w:ascii="Arial" w:cs="Arial" w:eastAsia="Arial" w:hAnsi="Arial"/>
          <w:sz w:val="16"/>
          <w:szCs w:val="16"/>
          <w:color w:val="auto"/>
        </w:rPr>
      </w:pPr>
      <w:r>
        <w:rPr>
          <w:rFonts w:ascii="Arial" w:cs="Arial" w:eastAsia="Arial" w:hAnsi="Arial"/>
          <w:sz w:val="16"/>
          <w:szCs w:val="16"/>
          <w:i w:val="1"/>
          <w:iCs w:val="1"/>
          <w:color w:val="auto"/>
        </w:rPr>
        <w:t>Market Transactions by Agent</w:t>
      </w:r>
      <w:r>
        <w:rPr>
          <w:rFonts w:ascii="Arial" w:cs="Arial" w:eastAsia="Arial" w:hAnsi="Arial"/>
          <w:sz w:val="16"/>
          <w:szCs w:val="16"/>
          <w:color w:val="auto"/>
        </w:rPr>
        <w:t>. The Company acknowledges and agrees that the Agent has informed the Company that the Agent may,</w:t>
      </w:r>
      <w:r>
        <w:rPr>
          <w:rFonts w:ascii="Arial" w:cs="Arial" w:eastAsia="Arial" w:hAnsi="Arial"/>
          <w:sz w:val="16"/>
          <w:szCs w:val="16"/>
          <w:i w:val="1"/>
          <w:iCs w:val="1"/>
          <w:color w:val="auto"/>
        </w:rPr>
        <w:t xml:space="preserve"> </w:t>
      </w:r>
      <w:r>
        <w:rPr>
          <w:rFonts w:ascii="Arial" w:cs="Arial" w:eastAsia="Arial" w:hAnsi="Arial"/>
          <w:sz w:val="16"/>
          <w:szCs w:val="16"/>
          <w:color w:val="auto"/>
        </w:rPr>
        <w:t xml:space="preserve">to the extent permitted under the Securities Act, the Exchange Act and this Agreement, purchase and sell shares of Common Stock for its own account while this Agreement is in effect, </w:t>
      </w:r>
      <w:r>
        <w:rPr>
          <w:rFonts w:ascii="Arial" w:cs="Arial" w:eastAsia="Arial" w:hAnsi="Arial"/>
          <w:sz w:val="16"/>
          <w:szCs w:val="16"/>
          <w:i w:val="1"/>
          <w:iCs w:val="1"/>
          <w:color w:val="auto"/>
        </w:rPr>
        <w:t>provided, that</w:t>
      </w:r>
      <w:r>
        <w:rPr>
          <w:rFonts w:ascii="Arial" w:cs="Arial" w:eastAsia="Arial" w:hAnsi="Arial"/>
          <w:sz w:val="16"/>
          <w:szCs w:val="16"/>
          <w:color w:val="auto"/>
        </w:rPr>
        <w:t xml:space="preserve"> (i) no sale for its own account shall take place while a Placement Notice is in effect (except to the extent the Agent may engage in sales of Shares purchased or deemed purchased from the Company as a “riskless principal” or in a similar capacity) and (ii) the Company shall not be deemed to have authorized or consented to any such purchases or sales by the Agent. The Company consents to the Agent trading in the Common Stock for the account of any of its clients at the same time as sales of the Shares occur pursuant to this Agreement.</w:t>
      </w:r>
    </w:p>
    <w:p>
      <w:pPr>
        <w:spacing w:after="0" w:line="164" w:lineRule="exact"/>
        <w:rPr>
          <w:rFonts w:ascii="Arial" w:cs="Arial" w:eastAsia="Arial" w:hAnsi="Arial"/>
          <w:sz w:val="16"/>
          <w:szCs w:val="16"/>
          <w:color w:val="auto"/>
        </w:rPr>
      </w:pPr>
    </w:p>
    <w:p>
      <w:pPr>
        <w:ind w:left="620" w:hanging="184"/>
        <w:spacing w:after="0"/>
        <w:tabs>
          <w:tab w:leader="none" w:pos="620" w:val="left"/>
        </w:tabs>
        <w:numPr>
          <w:ilvl w:val="0"/>
          <w:numId w:val="70"/>
        </w:numPr>
        <w:rPr>
          <w:rFonts w:ascii="Arial" w:cs="Arial" w:eastAsia="Arial" w:hAnsi="Arial"/>
          <w:sz w:val="18"/>
          <w:szCs w:val="18"/>
          <w:b w:val="1"/>
          <w:bCs w:val="1"/>
          <w:i w:val="1"/>
          <w:iCs w:val="1"/>
          <w:color w:val="auto"/>
        </w:rPr>
      </w:pPr>
      <w:r>
        <w:rPr>
          <w:rFonts w:ascii="Arial" w:cs="Arial" w:eastAsia="Arial" w:hAnsi="Arial"/>
          <w:sz w:val="18"/>
          <w:szCs w:val="18"/>
          <w:b w:val="1"/>
          <w:bCs w:val="1"/>
          <w:i w:val="1"/>
          <w:iCs w:val="1"/>
          <w:color w:val="auto"/>
        </w:rPr>
        <w:t>Covenants of the Company</w:t>
      </w:r>
      <w:r>
        <w:rPr>
          <w:rFonts w:ascii="Arial" w:cs="Arial" w:eastAsia="Arial" w:hAnsi="Arial"/>
          <w:sz w:val="18"/>
          <w:szCs w:val="18"/>
          <w:color w:val="auto"/>
        </w:rPr>
        <w:t>. The Company covenants and agrees with the Agent as follows:</w:t>
      </w:r>
    </w:p>
    <w:p>
      <w:pPr>
        <w:spacing w:after="0" w:line="117" w:lineRule="exact"/>
        <w:rPr>
          <w:rFonts w:ascii="Arial" w:cs="Arial" w:eastAsia="Arial" w:hAnsi="Arial"/>
          <w:sz w:val="18"/>
          <w:szCs w:val="18"/>
          <w:b w:val="1"/>
          <w:bCs w:val="1"/>
          <w:i w:val="1"/>
          <w:iCs w:val="1"/>
          <w:color w:val="auto"/>
        </w:rPr>
      </w:pPr>
    </w:p>
    <w:p>
      <w:pPr>
        <w:ind w:right="80" w:firstLine="987"/>
        <w:spacing w:after="0" w:line="257" w:lineRule="auto"/>
        <w:tabs>
          <w:tab w:leader="none" w:pos="1236" w:val="left"/>
        </w:tabs>
        <w:numPr>
          <w:ilvl w:val="1"/>
          <w:numId w:val="70"/>
        </w:numPr>
        <w:rPr>
          <w:rFonts w:ascii="Arial" w:cs="Arial" w:eastAsia="Arial" w:hAnsi="Arial"/>
          <w:sz w:val="18"/>
          <w:szCs w:val="18"/>
          <w:color w:val="auto"/>
        </w:rPr>
      </w:pPr>
      <w:r>
        <w:rPr>
          <w:rFonts w:ascii="Arial" w:cs="Arial" w:eastAsia="Arial" w:hAnsi="Arial"/>
          <w:sz w:val="18"/>
          <w:szCs w:val="18"/>
          <w:i w:val="1"/>
          <w:iCs w:val="1"/>
          <w:color w:val="auto"/>
        </w:rPr>
        <w:t>Amendments to Registration Statement and Prospectus</w:t>
      </w:r>
      <w:r>
        <w:rPr>
          <w:rFonts w:ascii="Arial" w:cs="Arial" w:eastAsia="Arial" w:hAnsi="Arial"/>
          <w:sz w:val="18"/>
          <w:szCs w:val="18"/>
          <w:color w:val="auto"/>
        </w:rPr>
        <w:t>. After the date of this Agreement and during any period in which a Prospectus</w:t>
      </w:r>
      <w:r>
        <w:rPr>
          <w:rFonts w:ascii="Arial" w:cs="Arial" w:eastAsia="Arial" w:hAnsi="Arial"/>
          <w:sz w:val="18"/>
          <w:szCs w:val="18"/>
          <w:i w:val="1"/>
          <w:iCs w:val="1"/>
          <w:color w:val="auto"/>
        </w:rPr>
        <w:t xml:space="preserve"> </w:t>
      </w:r>
      <w:r>
        <w:rPr>
          <w:rFonts w:ascii="Arial" w:cs="Arial" w:eastAsia="Arial" w:hAnsi="Arial"/>
          <w:sz w:val="18"/>
          <w:szCs w:val="18"/>
          <w:color w:val="auto"/>
        </w:rPr>
        <w:t>relating to any Shares is required to be delivered by the Agent under the Securities Act (including in circumstances where such requirement may be satisfied pursuant to Rule 172 under the Securities Act), the Company agrees that it will: (i) notify the Agent promptly of the time when any subsequent amendment to the Registration Statement, other than documents incorporated by reference or amendments not related to the Shares, has been filed with the Commission and/or has become effective or any subsequent</w:t>
      </w:r>
    </w:p>
    <w:p>
      <w:pPr>
        <w:sectPr>
          <w:pgSz w:w="11900" w:h="16838" w:orient="portrait"/>
          <w:cols w:equalWidth="0" w:num="1">
            <w:col w:w="11000"/>
          </w:cols>
          <w:pgMar w:left="440" w:top="274" w:right="459" w:bottom="1440" w:gutter="0" w:footer="0" w:header="0"/>
        </w:sectPr>
      </w:pPr>
    </w:p>
    <w:bookmarkStart w:id="92" w:name="page93"/>
    <w:bookmarkEnd w:id="92"/>
    <w:p>
      <w:pPr>
        <w:spacing w:after="0" w:line="267" w:lineRule="auto"/>
        <w:rPr>
          <w:sz w:val="20"/>
          <w:szCs w:val="20"/>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125" name="Picture 1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5"/>
                    <pic:cNvPicPr>
                      <a:picLocks noChangeAspect="1" noChangeArrowheads="1"/>
                    </pic:cNvPicPr>
                  </pic:nvPicPr>
                  <pic:blipFill>
                    <a:blip r:embed="rId147">
                      <a:extLst>
                        <a:ext uri="{28A0092B-C50C-407E-A947-70E740481C1C}"/>
                      </a:extLst>
                    </a:blip>
                    <a:srcRect/>
                    <a:stretch>
                      <a:fillRect/>
                    </a:stretch>
                  </pic:blipFill>
                  <pic:spPr bwMode="auto">
                    <a:xfrm>
                      <a:off x="0" y="0"/>
                      <a:ext cx="7149465" cy="26035"/>
                    </a:xfrm>
                    <a:prstGeom prst="rect">
                      <a:avLst/>
                    </a:prstGeom>
                    <a:noFill/>
                  </pic:spPr>
                </pic:pic>
              </a:graphicData>
            </a:graphic>
          </wp:anchor>
        </w:drawing>
        <w:t>supplement to the Prospectus related to the Shares has been filed and of any request by the Commission for any amendment or supplement to the Registration Statement (insofar as it relates to the transactions contemplated hereby) or Prospectus or for additional information; (ii) prepare and file with the Commission, promptly upon the Agent’s request, any amendments or supplements to the Registration Statement or Prospectus that, in the Agent’s reasonable opinion, may be necessary or advisable in connection with the sale of the Shares by the Agent (</w:t>
      </w:r>
      <w:r>
        <w:rPr>
          <w:rFonts w:ascii="Arial" w:cs="Arial" w:eastAsia="Arial" w:hAnsi="Arial"/>
          <w:sz w:val="17"/>
          <w:szCs w:val="17"/>
          <w:i w:val="1"/>
          <w:iCs w:val="1"/>
          <w:color w:val="auto"/>
        </w:rPr>
        <w:t>provided, however</w:t>
      </w:r>
      <w:r>
        <w:rPr>
          <w:rFonts w:ascii="Arial" w:cs="Arial" w:eastAsia="Arial" w:hAnsi="Arial"/>
          <w:sz w:val="17"/>
          <w:szCs w:val="17"/>
          <w:color w:val="auto"/>
        </w:rPr>
        <w:t>, that the failure of the Agent to make such request shall not relieve the Company of any obligation or liability hereunder, or affect the Agent’s right to rely on the representations and warranties made by the Company in this Agreement); (iii) not file any amendment or supplement to the Registration Statement or Prospectus, other than documents incorporated by reference, relating to the Shares or a security convertible into the Shares unless a copy thereof has been submitted to the Agent within a reasonable period of time before the filing and the Agent has not reasonably objected thereto (</w:t>
      </w:r>
      <w:r>
        <w:rPr>
          <w:rFonts w:ascii="Arial" w:cs="Arial" w:eastAsia="Arial" w:hAnsi="Arial"/>
          <w:sz w:val="17"/>
          <w:szCs w:val="17"/>
          <w:i w:val="1"/>
          <w:iCs w:val="1"/>
          <w:color w:val="auto"/>
        </w:rPr>
        <w:t>provided, however</w:t>
      </w:r>
      <w:r>
        <w:rPr>
          <w:rFonts w:ascii="Arial" w:cs="Arial" w:eastAsia="Arial" w:hAnsi="Arial"/>
          <w:sz w:val="17"/>
          <w:szCs w:val="17"/>
          <w:color w:val="auto"/>
        </w:rPr>
        <w:t>, that (A) the failure of the Agent to make such objection shall not relieve the Company of any obligation or liability hereunder, or affect the Agent’s right to rely on the representations and warranties made by the Company in this Agreement), (B) the Company has no obligation to provide the Agent any advance copy of such filing or to provide the Agent an opportunity to object to such filing if the filing does not name the Agent or does not relate to a Placement or other transaction contemplated hereunder, and (C) the only remedy that the Agent shall have with respect to the failure by the Company to provide the Agent with such copy or the filing of such amendment or supplement despite the Agent’s objection shall be to cease making sales under this Agreement; (iv) furnish to the Agent at the time of filing thereof a copy of any document that upon filing is deemed to be incorporated by reference into the Registration Statement or Prospectus, except for those documents available via EDGAR; and (v) cause each amendment or supplement to the Prospectus, other than documents incorporated by reference, to be filed with the Commission as required pursuant to the applicable paragraph of Rule 424(b) of the Securities Act.</w:t>
      </w:r>
    </w:p>
    <w:p>
      <w:pPr>
        <w:spacing w:after="0" w:line="83" w:lineRule="exact"/>
        <w:rPr>
          <w:sz w:val="20"/>
          <w:szCs w:val="20"/>
          <w:color w:val="auto"/>
        </w:rPr>
      </w:pPr>
    </w:p>
    <w:p>
      <w:pPr>
        <w:ind w:right="180" w:firstLine="987"/>
        <w:spacing w:after="0" w:line="257" w:lineRule="auto"/>
        <w:tabs>
          <w:tab w:leader="none" w:pos="1246" w:val="left"/>
        </w:tabs>
        <w:numPr>
          <w:ilvl w:val="0"/>
          <w:numId w:val="71"/>
        </w:numPr>
        <w:rPr>
          <w:rFonts w:ascii="Arial" w:cs="Arial" w:eastAsia="Arial" w:hAnsi="Arial"/>
          <w:sz w:val="18"/>
          <w:szCs w:val="18"/>
          <w:color w:val="auto"/>
        </w:rPr>
      </w:pPr>
      <w:r>
        <w:rPr>
          <w:rFonts w:ascii="Arial" w:cs="Arial" w:eastAsia="Arial" w:hAnsi="Arial"/>
          <w:sz w:val="18"/>
          <w:szCs w:val="18"/>
          <w:i w:val="1"/>
          <w:iCs w:val="1"/>
          <w:color w:val="auto"/>
        </w:rPr>
        <w:t>Stop Order</w:t>
      </w:r>
      <w:r>
        <w:rPr>
          <w:rFonts w:ascii="Arial" w:cs="Arial" w:eastAsia="Arial" w:hAnsi="Arial"/>
          <w:sz w:val="18"/>
          <w:szCs w:val="18"/>
          <w:color w:val="auto"/>
        </w:rPr>
        <w:t>. The Company will advise the Agent, promptly after it receives notice or obtains knowledge thereof, of the issuance or</w:t>
      </w:r>
      <w:r>
        <w:rPr>
          <w:rFonts w:ascii="Arial" w:cs="Arial" w:eastAsia="Arial" w:hAnsi="Arial"/>
          <w:sz w:val="18"/>
          <w:szCs w:val="18"/>
          <w:i w:val="1"/>
          <w:iCs w:val="1"/>
          <w:color w:val="auto"/>
        </w:rPr>
        <w:t xml:space="preserve"> </w:t>
      </w:r>
      <w:r>
        <w:rPr>
          <w:rFonts w:ascii="Arial" w:cs="Arial" w:eastAsia="Arial" w:hAnsi="Arial"/>
          <w:sz w:val="18"/>
          <w:szCs w:val="18"/>
          <w:color w:val="auto"/>
        </w:rPr>
        <w:t>threatened issuance by the Commission of any stop order suspending the effectiveness of the Registration Statement, of the suspension of the qualification of the Shares for offering or sale in any jurisdiction, or of the initiation or threatening of any proceeding for any such purpose, and it will promptly use its commercially reasonable efforts to prevent the issuance of any stop order or to obtain its withdrawal if such a stop order should be issued.</w:t>
      </w:r>
    </w:p>
    <w:p>
      <w:pPr>
        <w:spacing w:after="0" w:line="79" w:lineRule="exact"/>
        <w:rPr>
          <w:rFonts w:ascii="Arial" w:cs="Arial" w:eastAsia="Arial" w:hAnsi="Arial"/>
          <w:sz w:val="18"/>
          <w:szCs w:val="18"/>
          <w:color w:val="auto"/>
        </w:rPr>
      </w:pPr>
    </w:p>
    <w:p>
      <w:pPr>
        <w:ind w:right="20" w:firstLine="987"/>
        <w:spacing w:after="0" w:line="254" w:lineRule="auto"/>
        <w:tabs>
          <w:tab w:leader="none" w:pos="1236" w:val="left"/>
        </w:tabs>
        <w:numPr>
          <w:ilvl w:val="0"/>
          <w:numId w:val="71"/>
        </w:numPr>
        <w:rPr>
          <w:rFonts w:ascii="Arial" w:cs="Arial" w:eastAsia="Arial" w:hAnsi="Arial"/>
          <w:sz w:val="18"/>
          <w:szCs w:val="18"/>
          <w:color w:val="auto"/>
        </w:rPr>
      </w:pPr>
      <w:r>
        <w:rPr>
          <w:rFonts w:ascii="Arial" w:cs="Arial" w:eastAsia="Arial" w:hAnsi="Arial"/>
          <w:sz w:val="18"/>
          <w:szCs w:val="18"/>
          <w:i w:val="1"/>
          <w:iCs w:val="1"/>
          <w:color w:val="auto"/>
        </w:rPr>
        <w:t>Continuing Amendments</w:t>
      </w:r>
      <w:r>
        <w:rPr>
          <w:rFonts w:ascii="Arial" w:cs="Arial" w:eastAsia="Arial" w:hAnsi="Arial"/>
          <w:sz w:val="18"/>
          <w:szCs w:val="18"/>
          <w:color w:val="auto"/>
        </w:rPr>
        <w:t>. During any period in which a Prospectus relating to the Shares is required to be delivered by the Agent under</w:t>
      </w:r>
      <w:r>
        <w:rPr>
          <w:rFonts w:ascii="Arial" w:cs="Arial" w:eastAsia="Arial" w:hAnsi="Arial"/>
          <w:sz w:val="18"/>
          <w:szCs w:val="18"/>
          <w:i w:val="1"/>
          <w:iCs w:val="1"/>
          <w:color w:val="auto"/>
        </w:rPr>
        <w:t xml:space="preserve"> </w:t>
      </w:r>
      <w:r>
        <w:rPr>
          <w:rFonts w:ascii="Arial" w:cs="Arial" w:eastAsia="Arial" w:hAnsi="Arial"/>
          <w:sz w:val="18"/>
          <w:szCs w:val="18"/>
          <w:color w:val="auto"/>
        </w:rPr>
        <w:t>the Securities Act with respect to any Placement or pending sale of the Shares, (including in circumstances where such requirement may be satisfied pursuant to Rule 172 under the Securities Act), the Company will comply with all requirements imposed upon it by the Securities Act, as from time to time in force, and to file on or before their respective due dates all reports (taking into account any extensions available under the Exchange Act) and any definitive proxy or information statements required to be filed by the Company with the Commission pursuant to Sections 13(a), 13(c), 14, 15(d) or any other provision of or under the Exchange Act. If during such period any event occurs as a result of which the Prospectus as then amended or supplemented would include an untrue statement of a material fact or omit to state a material fact necessary to make the statements therein, in the light of the</w:t>
      </w:r>
    </w:p>
    <w:p>
      <w:pPr>
        <w:sectPr>
          <w:pgSz w:w="11900" w:h="16838" w:orient="portrait"/>
          <w:cols w:equalWidth="0" w:num="1">
            <w:col w:w="10980"/>
          </w:cols>
          <w:pgMar w:left="440" w:top="274" w:right="479" w:bottom="1440" w:gutter="0" w:footer="0" w:header="0"/>
        </w:sectPr>
      </w:pPr>
    </w:p>
    <w:bookmarkStart w:id="93" w:name="page94"/>
    <w:bookmarkEnd w:id="93"/>
    <w:p>
      <w:pPr>
        <w:jc w:val="both"/>
        <w:spacing w:after="0" w:line="259"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126" name="Picture 1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6"/>
                    <pic:cNvPicPr>
                      <a:picLocks noChangeAspect="1" noChangeArrowheads="1"/>
                    </pic:cNvPicPr>
                  </pic:nvPicPr>
                  <pic:blipFill>
                    <a:blip r:embed="rId148">
                      <a:extLst>
                        <a:ext uri="{28A0092B-C50C-407E-A947-70E740481C1C}"/>
                      </a:extLst>
                    </a:blip>
                    <a:srcRect/>
                    <a:stretch>
                      <a:fillRect/>
                    </a:stretch>
                  </pic:blipFill>
                  <pic:spPr bwMode="auto">
                    <a:xfrm>
                      <a:off x="0" y="0"/>
                      <a:ext cx="7149465" cy="26035"/>
                    </a:xfrm>
                    <a:prstGeom prst="rect">
                      <a:avLst/>
                    </a:prstGeom>
                    <a:noFill/>
                  </pic:spPr>
                </pic:pic>
              </a:graphicData>
            </a:graphic>
          </wp:anchor>
        </w:drawing>
        <w:t>circumstances then existing, not misleading, or if during such period it is necessary to amend or supplement the Registration Statement or Prospectus to comply with the Securities Act, the Company will promptly notify the Agent to suspend the offering of Shares during such period and the Company will promptly amend or supplement the Registration Statement or Prospectus (at the expense of the Company) so as to correct such statement or omission or effect such compliance.</w:t>
      </w:r>
    </w:p>
    <w:p>
      <w:pPr>
        <w:spacing w:after="0" w:line="79" w:lineRule="exact"/>
        <w:rPr>
          <w:sz w:val="20"/>
          <w:szCs w:val="20"/>
          <w:color w:val="auto"/>
        </w:rPr>
      </w:pPr>
    </w:p>
    <w:p>
      <w:pPr>
        <w:ind w:right="60" w:firstLine="987"/>
        <w:spacing w:after="0" w:line="255" w:lineRule="auto"/>
        <w:tabs>
          <w:tab w:leader="none" w:pos="1246" w:val="left"/>
        </w:tabs>
        <w:numPr>
          <w:ilvl w:val="0"/>
          <w:numId w:val="72"/>
        </w:numPr>
        <w:rPr>
          <w:rFonts w:ascii="Arial" w:cs="Arial" w:eastAsia="Arial" w:hAnsi="Arial"/>
          <w:sz w:val="18"/>
          <w:szCs w:val="18"/>
          <w:color w:val="auto"/>
        </w:rPr>
      </w:pPr>
      <w:r>
        <w:rPr>
          <w:rFonts w:ascii="Arial" w:cs="Arial" w:eastAsia="Arial" w:hAnsi="Arial"/>
          <w:sz w:val="18"/>
          <w:szCs w:val="18"/>
          <w:i w:val="1"/>
          <w:iCs w:val="1"/>
          <w:color w:val="auto"/>
        </w:rPr>
        <w:t>Qualification of the Shares</w:t>
      </w:r>
      <w:r>
        <w:rPr>
          <w:rFonts w:ascii="Arial" w:cs="Arial" w:eastAsia="Arial" w:hAnsi="Arial"/>
          <w:sz w:val="18"/>
          <w:szCs w:val="18"/>
          <w:color w:val="auto"/>
        </w:rPr>
        <w:t>. The Company shall take or cause to be taken all necessary action to qualify the Shares for sale under the</w:t>
      </w:r>
      <w:r>
        <w:rPr>
          <w:rFonts w:ascii="Arial" w:cs="Arial" w:eastAsia="Arial" w:hAnsi="Arial"/>
          <w:sz w:val="18"/>
          <w:szCs w:val="18"/>
          <w:i w:val="1"/>
          <w:iCs w:val="1"/>
          <w:color w:val="auto"/>
        </w:rPr>
        <w:t xml:space="preserve"> </w:t>
      </w:r>
      <w:r>
        <w:rPr>
          <w:rFonts w:ascii="Arial" w:cs="Arial" w:eastAsia="Arial" w:hAnsi="Arial"/>
          <w:sz w:val="18"/>
          <w:szCs w:val="18"/>
          <w:color w:val="auto"/>
        </w:rPr>
        <w:t>securities laws of such jurisdictions as the Agent reasonably designates and to continue such qualifications in effect so long as required for the distribution of the Shares, except that the Company shall not be required in connection therewith to qualify as a foreign corporation or to execute a general consent to service of process in any state. The Company shall promptly advise the Agent of the receipt by the Company of any notification with respect to the suspension of the qualification of the Shares for offer or sale in any jurisdiction or the initiation or threatening of any proceeding for such purpose.</w:t>
      </w:r>
    </w:p>
    <w:p>
      <w:pPr>
        <w:spacing w:after="0" w:line="84" w:lineRule="exact"/>
        <w:rPr>
          <w:rFonts w:ascii="Arial" w:cs="Arial" w:eastAsia="Arial" w:hAnsi="Arial"/>
          <w:sz w:val="18"/>
          <w:szCs w:val="18"/>
          <w:color w:val="auto"/>
        </w:rPr>
      </w:pPr>
    </w:p>
    <w:p>
      <w:pPr>
        <w:ind w:right="20" w:firstLine="987"/>
        <w:spacing w:after="0" w:line="257" w:lineRule="auto"/>
        <w:tabs>
          <w:tab w:leader="none" w:pos="1236" w:val="left"/>
        </w:tabs>
        <w:numPr>
          <w:ilvl w:val="0"/>
          <w:numId w:val="72"/>
        </w:numPr>
        <w:rPr>
          <w:rFonts w:ascii="Arial" w:cs="Arial" w:eastAsia="Arial" w:hAnsi="Arial"/>
          <w:sz w:val="18"/>
          <w:szCs w:val="18"/>
          <w:color w:val="auto"/>
        </w:rPr>
      </w:pPr>
      <w:r>
        <w:rPr>
          <w:rFonts w:ascii="Arial" w:cs="Arial" w:eastAsia="Arial" w:hAnsi="Arial"/>
          <w:sz w:val="18"/>
          <w:szCs w:val="18"/>
          <w:i w:val="1"/>
          <w:iCs w:val="1"/>
          <w:color w:val="auto"/>
        </w:rPr>
        <w:t>Copies of Registration Statement and Prospectus</w:t>
      </w:r>
      <w:r>
        <w:rPr>
          <w:rFonts w:ascii="Arial" w:cs="Arial" w:eastAsia="Arial" w:hAnsi="Arial"/>
          <w:sz w:val="18"/>
          <w:szCs w:val="18"/>
          <w:color w:val="auto"/>
        </w:rPr>
        <w:t>. The Company will furnish to the Agent and counsel for the Agent copies of the</w:t>
      </w:r>
      <w:r>
        <w:rPr>
          <w:rFonts w:ascii="Arial" w:cs="Arial" w:eastAsia="Arial" w:hAnsi="Arial"/>
          <w:sz w:val="18"/>
          <w:szCs w:val="18"/>
          <w:i w:val="1"/>
          <w:iCs w:val="1"/>
          <w:color w:val="auto"/>
        </w:rPr>
        <w:t xml:space="preserve"> </w:t>
      </w:r>
      <w:r>
        <w:rPr>
          <w:rFonts w:ascii="Arial" w:cs="Arial" w:eastAsia="Arial" w:hAnsi="Arial"/>
          <w:sz w:val="18"/>
          <w:szCs w:val="18"/>
          <w:color w:val="auto"/>
        </w:rPr>
        <w:t>Registration Statement (which will include three complete manually signed copies of the Registration Statement and all consents and exhibits filed therewith), the Prospectus and all amendments and supplements to such documents, in each case as soon as available and in such quantities as the Agent may from time to time reasonably request; provided, however, that the Company’s obligations to provide such copies shall not apply to any filing available via EDGAR.</w:t>
      </w:r>
    </w:p>
    <w:p>
      <w:pPr>
        <w:spacing w:after="0" w:line="79" w:lineRule="exact"/>
        <w:rPr>
          <w:rFonts w:ascii="Arial" w:cs="Arial" w:eastAsia="Arial" w:hAnsi="Arial"/>
          <w:sz w:val="18"/>
          <w:szCs w:val="18"/>
          <w:color w:val="auto"/>
        </w:rPr>
      </w:pPr>
    </w:p>
    <w:p>
      <w:pPr>
        <w:ind w:right="180" w:firstLine="987"/>
        <w:spacing w:after="0" w:line="263" w:lineRule="auto"/>
        <w:tabs>
          <w:tab w:leader="none" w:pos="1216" w:val="left"/>
        </w:tabs>
        <w:numPr>
          <w:ilvl w:val="0"/>
          <w:numId w:val="72"/>
        </w:numPr>
        <w:rPr>
          <w:rFonts w:ascii="Arial" w:cs="Arial" w:eastAsia="Arial" w:hAnsi="Arial"/>
          <w:sz w:val="18"/>
          <w:szCs w:val="18"/>
          <w:color w:val="auto"/>
        </w:rPr>
      </w:pPr>
      <w:r>
        <w:rPr>
          <w:rFonts w:ascii="Arial" w:cs="Arial" w:eastAsia="Arial" w:hAnsi="Arial"/>
          <w:sz w:val="18"/>
          <w:szCs w:val="18"/>
          <w:i w:val="1"/>
          <w:iCs w:val="1"/>
          <w:color w:val="auto"/>
        </w:rPr>
        <w:t>Section 11(a)</w:t>
      </w:r>
      <w:r>
        <w:rPr>
          <w:rFonts w:ascii="Arial" w:cs="Arial" w:eastAsia="Arial" w:hAnsi="Arial"/>
          <w:sz w:val="18"/>
          <w:szCs w:val="18"/>
          <w:color w:val="auto"/>
        </w:rPr>
        <w:t>. The Company will make generally available to its security holders as soon as practicable an earnings statement (which</w:t>
      </w:r>
      <w:r>
        <w:rPr>
          <w:rFonts w:ascii="Arial" w:cs="Arial" w:eastAsia="Arial" w:hAnsi="Arial"/>
          <w:sz w:val="18"/>
          <w:szCs w:val="18"/>
          <w:i w:val="1"/>
          <w:iCs w:val="1"/>
          <w:color w:val="auto"/>
        </w:rPr>
        <w:t xml:space="preserve"> </w:t>
      </w:r>
      <w:r>
        <w:rPr>
          <w:rFonts w:ascii="Arial" w:cs="Arial" w:eastAsia="Arial" w:hAnsi="Arial"/>
          <w:sz w:val="18"/>
          <w:szCs w:val="18"/>
          <w:color w:val="auto"/>
        </w:rPr>
        <w:t>need not be audited) covering a 12-month period that shall satisfy the provisions of Section 11(a) of the Securities Act and Rule 158 promulgated thereunder.</w:t>
      </w:r>
    </w:p>
    <w:p>
      <w:pPr>
        <w:spacing w:after="0" w:line="75" w:lineRule="exact"/>
        <w:rPr>
          <w:rFonts w:ascii="Arial" w:cs="Arial" w:eastAsia="Arial" w:hAnsi="Arial"/>
          <w:sz w:val="18"/>
          <w:szCs w:val="18"/>
          <w:color w:val="auto"/>
        </w:rPr>
      </w:pPr>
    </w:p>
    <w:p>
      <w:pPr>
        <w:ind w:right="20" w:firstLine="987"/>
        <w:spacing w:after="0" w:line="287" w:lineRule="auto"/>
        <w:tabs>
          <w:tab w:leader="none" w:pos="1246" w:val="left"/>
        </w:tabs>
        <w:numPr>
          <w:ilvl w:val="0"/>
          <w:numId w:val="72"/>
        </w:numPr>
        <w:rPr>
          <w:rFonts w:ascii="Arial" w:cs="Arial" w:eastAsia="Arial" w:hAnsi="Arial"/>
          <w:sz w:val="16"/>
          <w:szCs w:val="16"/>
          <w:color w:val="auto"/>
        </w:rPr>
      </w:pPr>
      <w:r>
        <w:rPr>
          <w:rFonts w:ascii="Arial" w:cs="Arial" w:eastAsia="Arial" w:hAnsi="Arial"/>
          <w:sz w:val="16"/>
          <w:szCs w:val="16"/>
          <w:i w:val="1"/>
          <w:iCs w:val="1"/>
          <w:color w:val="auto"/>
        </w:rPr>
        <w:t>Expenses</w:t>
      </w:r>
      <w:r>
        <w:rPr>
          <w:rFonts w:ascii="Arial" w:cs="Arial" w:eastAsia="Arial" w:hAnsi="Arial"/>
          <w:sz w:val="16"/>
          <w:szCs w:val="16"/>
          <w:color w:val="auto"/>
        </w:rPr>
        <w:t>. The Company, whether or not the transactions contemplated hereunder are consummated or this Agreement is terminated,</w:t>
      </w:r>
      <w:r>
        <w:rPr>
          <w:rFonts w:ascii="Arial" w:cs="Arial" w:eastAsia="Arial" w:hAnsi="Arial"/>
          <w:sz w:val="16"/>
          <w:szCs w:val="16"/>
          <w:i w:val="1"/>
          <w:iCs w:val="1"/>
          <w:color w:val="auto"/>
        </w:rPr>
        <w:t xml:space="preserve"> </w:t>
      </w:r>
      <w:r>
        <w:rPr>
          <w:rFonts w:ascii="Arial" w:cs="Arial" w:eastAsia="Arial" w:hAnsi="Arial"/>
          <w:sz w:val="16"/>
          <w:szCs w:val="16"/>
          <w:color w:val="auto"/>
        </w:rPr>
        <w:t>will pay or cause to be paid (i) all expenses (including stock or transfer taxes and stamp or similar duties allocated to the respective transferees) incurred in connection with the registration, issue, sale and delivery of the Shares, (ii) all expenses and fees (including, without limitation, fees and expenses of the Company’s accountants and counsel) in connection with the preparation, printing, filing, delivery, and shipping of the Registration Statement (including the financial statements therein and all amendments, schedules, and exhibits thereto), the Shares, the Prospectus and any amendment thereof or supplement thereto, and the producing, word-processing, printing, delivery, and shipping of this Agreement and other underwriting documents or closing documents, including Blue Sky Memoranda (covering the states and other applicable jurisdictions) and including the cost to furnish copies of each thereof to the Agent, (iii) all filing fees, (iv) all fees and disbursements of the Agent’s counsel incurred in connection with the qualification of the Shares for offering and sale by the Agent or by dealers under the securities or blue sky laws of the states and other jurisdictions which the Agent shall designate, (v) the fees and expenses of any transfer agent or registrar, (vi) the filing fees and reasonable, actual and documented fees and disbursements of the Agent’s counsel incident to any required review and approval by FINRA of the terms of the sale of the Shares, (vii) listing fees, if any,</w:t>
      </w:r>
    </w:p>
    <w:p>
      <w:pPr>
        <w:sectPr>
          <w:pgSz w:w="11900" w:h="16838" w:orient="portrait"/>
          <w:cols w:equalWidth="0" w:num="1">
            <w:col w:w="10980"/>
          </w:cols>
          <w:pgMar w:left="440" w:top="274" w:right="479" w:bottom="1440" w:gutter="0" w:footer="0" w:header="0"/>
        </w:sectPr>
      </w:pPr>
    </w:p>
    <w:bookmarkStart w:id="94" w:name="page95"/>
    <w:bookmarkEnd w:id="94"/>
    <w:p>
      <w:pPr>
        <w:ind w:left="4" w:hanging="4"/>
        <w:spacing w:after="0" w:line="257" w:lineRule="auto"/>
        <w:tabs>
          <w:tab w:leader="none" w:pos="409" w:val="left"/>
        </w:tabs>
        <w:numPr>
          <w:ilvl w:val="0"/>
          <w:numId w:val="73"/>
        </w:numPr>
        <w:rPr>
          <w:rFonts w:ascii="Arial" w:cs="Arial" w:eastAsia="Arial" w:hAnsi="Arial"/>
          <w:sz w:val="18"/>
          <w:szCs w:val="18"/>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127" name="Picture 1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7"/>
                    <pic:cNvPicPr>
                      <a:picLocks noChangeAspect="1" noChangeArrowheads="1"/>
                    </pic:cNvPicPr>
                  </pic:nvPicPr>
                  <pic:blipFill>
                    <a:blip r:embed="rId149">
                      <a:extLst>
                        <a:ext uri="{28A0092B-C50C-407E-A947-70E740481C1C}"/>
                      </a:extLst>
                    </a:blip>
                    <a:srcRect/>
                    <a:stretch>
                      <a:fillRect/>
                    </a:stretch>
                  </pic:blipFill>
                  <pic:spPr bwMode="auto">
                    <a:xfrm>
                      <a:off x="0" y="0"/>
                      <a:ext cx="7149465" cy="26035"/>
                    </a:xfrm>
                    <a:prstGeom prst="rect">
                      <a:avLst/>
                    </a:prstGeom>
                    <a:noFill/>
                  </pic:spPr>
                </pic:pic>
              </a:graphicData>
            </a:graphic>
          </wp:anchor>
        </w:drawing>
        <w:t>the cost and expenses of the Company relating to investor presentations or any “roadshow” undertaken in connection with marketing of the Shares, and (ix) all other costs and expenses incident to the performance of its obligations hereunder that are not otherwise specifically provided for herein. In addition to (iv) and (vi) above, the Company shall reimburse the Agent for the out-of-pocket reasonable and documented expenses, including reasonable fees and disbursements of the Agent’s counsel (actually incurred in an amount which, taken together with the fees and disbursements of Agent’s counsel incurred pursuant to (iv) and (vi) above do not exceed $50,000).</w:t>
      </w:r>
    </w:p>
    <w:p>
      <w:pPr>
        <w:spacing w:after="0" w:line="79" w:lineRule="exact"/>
        <w:rPr>
          <w:rFonts w:ascii="Arial" w:cs="Arial" w:eastAsia="Arial" w:hAnsi="Arial"/>
          <w:sz w:val="18"/>
          <w:szCs w:val="18"/>
          <w:color w:val="auto"/>
        </w:rPr>
      </w:pPr>
    </w:p>
    <w:p>
      <w:pPr>
        <w:ind w:left="1244" w:hanging="253"/>
        <w:spacing w:after="0"/>
        <w:tabs>
          <w:tab w:leader="none" w:pos="1244" w:val="left"/>
        </w:tabs>
        <w:numPr>
          <w:ilvl w:val="1"/>
          <w:numId w:val="73"/>
        </w:numPr>
        <w:rPr>
          <w:rFonts w:ascii="Arial" w:cs="Arial" w:eastAsia="Arial" w:hAnsi="Arial"/>
          <w:sz w:val="16"/>
          <w:szCs w:val="16"/>
          <w:color w:val="auto"/>
        </w:rPr>
      </w:pPr>
      <w:r>
        <w:rPr>
          <w:rFonts w:ascii="Arial" w:cs="Arial" w:eastAsia="Arial" w:hAnsi="Arial"/>
          <w:sz w:val="16"/>
          <w:szCs w:val="16"/>
          <w:i w:val="1"/>
          <w:iCs w:val="1"/>
          <w:color w:val="auto"/>
        </w:rPr>
        <w:t>Use of Proceeds</w:t>
      </w:r>
      <w:r>
        <w:rPr>
          <w:rFonts w:ascii="Arial" w:cs="Arial" w:eastAsia="Arial" w:hAnsi="Arial"/>
          <w:sz w:val="16"/>
          <w:szCs w:val="16"/>
          <w:color w:val="auto"/>
        </w:rPr>
        <w:t>. The Company will apply the net proceeds from the sale of the Shares in the manner disclosed in the Prospectus.</w:t>
      </w:r>
    </w:p>
    <w:p>
      <w:pPr>
        <w:spacing w:after="0" w:line="140" w:lineRule="exact"/>
        <w:rPr>
          <w:rFonts w:ascii="Arial" w:cs="Arial" w:eastAsia="Arial" w:hAnsi="Arial"/>
          <w:sz w:val="16"/>
          <w:szCs w:val="16"/>
          <w:color w:val="auto"/>
        </w:rPr>
      </w:pPr>
    </w:p>
    <w:p>
      <w:pPr>
        <w:ind w:left="4" w:right="120" w:firstLine="987"/>
        <w:spacing w:after="0" w:line="283" w:lineRule="auto"/>
        <w:tabs>
          <w:tab w:leader="none" w:pos="1210" w:val="left"/>
        </w:tabs>
        <w:numPr>
          <w:ilvl w:val="1"/>
          <w:numId w:val="73"/>
        </w:numPr>
        <w:rPr>
          <w:rFonts w:ascii="Arial" w:cs="Arial" w:eastAsia="Arial" w:hAnsi="Arial"/>
          <w:sz w:val="16"/>
          <w:szCs w:val="16"/>
          <w:color w:val="auto"/>
        </w:rPr>
      </w:pPr>
      <w:r>
        <w:rPr>
          <w:rFonts w:ascii="Arial" w:cs="Arial" w:eastAsia="Arial" w:hAnsi="Arial"/>
          <w:sz w:val="16"/>
          <w:szCs w:val="16"/>
          <w:i w:val="1"/>
          <w:iCs w:val="1"/>
          <w:color w:val="auto"/>
        </w:rPr>
        <w:t>Restrictions on Future Sales</w:t>
      </w:r>
      <w:r>
        <w:rPr>
          <w:rFonts w:ascii="Arial" w:cs="Arial" w:eastAsia="Arial" w:hAnsi="Arial"/>
          <w:sz w:val="16"/>
          <w:szCs w:val="16"/>
          <w:color w:val="auto"/>
        </w:rPr>
        <w:t>. During the period beginning on the third Trading Day immediately prior to the date on which any</w:t>
      </w:r>
      <w:r>
        <w:rPr>
          <w:rFonts w:ascii="Arial" w:cs="Arial" w:eastAsia="Arial" w:hAnsi="Arial"/>
          <w:sz w:val="16"/>
          <w:szCs w:val="16"/>
          <w:i w:val="1"/>
          <w:iCs w:val="1"/>
          <w:color w:val="auto"/>
        </w:rPr>
        <w:t xml:space="preserve"> </w:t>
      </w:r>
      <w:r>
        <w:rPr>
          <w:rFonts w:ascii="Arial" w:cs="Arial" w:eastAsia="Arial" w:hAnsi="Arial"/>
          <w:sz w:val="16"/>
          <w:szCs w:val="16"/>
          <w:color w:val="auto"/>
        </w:rPr>
        <w:t>Placement Notice is delivered to the Agent hereunder and ending on the third Trading Day immediately following the earlier of (x) the Settlement Date with respect to Shares sold pursuant to such Placement Notice and (y) the termination or suspension by the Company of such Placement Notice, the Company will not, without the prior written consent of the Agent, offer for sale, sell, contract to sell, pledge, grant any option for the sale of, enter into any transaction which is designed to, or might reasonably be expected to, result in the disposition of Common Stock (whether by actual disposition or effective economic disposition due to cash settlement or otherwise) by the Company or any affiliate, or otherwise issue or dispose of, directly or indirectly (or publicly disclose the intention to make any such offer, sale, pledge, grant, issuance or other disposition), any Common Stock or any securities convertible into or exchangeable for, or any options or rights to purchase or acquire, Common Stock, or permit the registration under the Securities Act of any Common Stock, such securities, options or rights, except for: (i) the registration of the Shares and the sales through the Agent pursuant to this Agreement, (ii) sales of shares through any dividend reinvestment and stock purchase plan of the Company, (iii) sales of shares of restricted stock, restricted stock units and options granted pursuant to employee benefit plans existing as of the date hereof, and the Common Stock issuable upon the exercise of such outstanding options or vesting of such restricted stock units, (iv) grants made pursuant to Nasdaq Listing</w:t>
      </w:r>
    </w:p>
    <w:p>
      <w:pPr>
        <w:spacing w:after="0" w:line="2" w:lineRule="exact"/>
        <w:rPr>
          <w:rFonts w:ascii="Arial" w:cs="Arial" w:eastAsia="Arial" w:hAnsi="Arial"/>
          <w:sz w:val="16"/>
          <w:szCs w:val="16"/>
          <w:color w:val="auto"/>
        </w:rPr>
      </w:pPr>
    </w:p>
    <w:p>
      <w:pPr>
        <w:ind w:left="4" w:right="120"/>
        <w:spacing w:after="0" w:line="255" w:lineRule="auto"/>
        <w:rPr>
          <w:rFonts w:ascii="Arial" w:cs="Arial" w:eastAsia="Arial" w:hAnsi="Arial"/>
          <w:sz w:val="16"/>
          <w:szCs w:val="16"/>
          <w:color w:val="auto"/>
        </w:rPr>
      </w:pPr>
      <w:r>
        <w:rPr>
          <w:rFonts w:ascii="Arial" w:cs="Arial" w:eastAsia="Arial" w:hAnsi="Arial"/>
          <w:sz w:val="18"/>
          <w:szCs w:val="18"/>
          <w:color w:val="auto"/>
        </w:rPr>
        <w:t>Rule 5635(c)(4), (v) the issuance of shares pursuant to the exercise of warrants, options or other derivative securities, (vi) the filing of registration statements on Form S-8, and (vii) the filing of a registration statement pursuant to any registration rights granted prior to the date hereof as disclosed in the Registration Statement.</w:t>
      </w:r>
    </w:p>
    <w:p>
      <w:pPr>
        <w:spacing w:after="0" w:line="81" w:lineRule="exact"/>
        <w:rPr>
          <w:rFonts w:ascii="Arial" w:cs="Arial" w:eastAsia="Arial" w:hAnsi="Arial"/>
          <w:sz w:val="16"/>
          <w:szCs w:val="16"/>
          <w:color w:val="auto"/>
        </w:rPr>
      </w:pPr>
    </w:p>
    <w:p>
      <w:pPr>
        <w:ind w:left="4" w:right="60" w:firstLine="987"/>
        <w:spacing w:after="0" w:line="271" w:lineRule="auto"/>
        <w:tabs>
          <w:tab w:leader="none" w:pos="1210" w:val="left"/>
        </w:tabs>
        <w:numPr>
          <w:ilvl w:val="1"/>
          <w:numId w:val="73"/>
        </w:numPr>
        <w:rPr>
          <w:rFonts w:ascii="Arial" w:cs="Arial" w:eastAsia="Arial" w:hAnsi="Arial"/>
          <w:sz w:val="17"/>
          <w:szCs w:val="17"/>
          <w:color w:val="auto"/>
        </w:rPr>
      </w:pPr>
      <w:r>
        <w:rPr>
          <w:rFonts w:ascii="Arial" w:cs="Arial" w:eastAsia="Arial" w:hAnsi="Arial"/>
          <w:sz w:val="17"/>
          <w:szCs w:val="17"/>
          <w:i w:val="1"/>
          <w:iCs w:val="1"/>
          <w:color w:val="auto"/>
        </w:rPr>
        <w:t>No Stabilization or Manipulation</w:t>
      </w:r>
      <w:r>
        <w:rPr>
          <w:rFonts w:ascii="Arial" w:cs="Arial" w:eastAsia="Arial" w:hAnsi="Arial"/>
          <w:sz w:val="17"/>
          <w:szCs w:val="17"/>
          <w:color w:val="auto"/>
        </w:rPr>
        <w:t>. The Company has not taken and will not take, directly or indirectly, any action designed to, or which</w:t>
      </w:r>
      <w:r>
        <w:rPr>
          <w:rFonts w:ascii="Arial" w:cs="Arial" w:eastAsia="Arial" w:hAnsi="Arial"/>
          <w:sz w:val="17"/>
          <w:szCs w:val="17"/>
          <w:i w:val="1"/>
          <w:iCs w:val="1"/>
          <w:color w:val="auto"/>
        </w:rPr>
        <w:t xml:space="preserve"> </w:t>
      </w:r>
      <w:r>
        <w:rPr>
          <w:rFonts w:ascii="Arial" w:cs="Arial" w:eastAsia="Arial" w:hAnsi="Arial"/>
          <w:sz w:val="17"/>
          <w:szCs w:val="17"/>
          <w:color w:val="auto"/>
        </w:rPr>
        <w:t xml:space="preserve">might reasonably be expected to cause or result in, or which constitutes: (i) the stabilization or manipulation of the price of the Common Stock or any other security of the Company to facilitate the sale or resale of the Shares, (ii) a violation of Regulation M. The Company shall notify the Agent of any violation of Regulation M by the Company or any of its subsidiaries or any of their respective officers or directors promptly after the Company has received notice or obtained knowledge of any such violation. The Company shall not invest in futures contracts, options on futures contracts or options on commodities, unless the Company is exempt from the registration requirements of the Commodity Exchange Act, as amended (the </w:t>
      </w:r>
      <w:r>
        <w:rPr>
          <w:rFonts w:ascii="Arial" w:cs="Arial" w:eastAsia="Arial" w:hAnsi="Arial"/>
          <w:sz w:val="17"/>
          <w:szCs w:val="17"/>
          <w:b w:val="1"/>
          <w:bCs w:val="1"/>
          <w:i w:val="1"/>
          <w:iCs w:val="1"/>
          <w:color w:val="auto"/>
        </w:rPr>
        <w:t>“Commodity</w:t>
      </w:r>
      <w:r>
        <w:rPr>
          <w:rFonts w:ascii="Arial" w:cs="Arial" w:eastAsia="Arial" w:hAnsi="Arial"/>
          <w:sz w:val="17"/>
          <w:szCs w:val="17"/>
          <w:color w:val="auto"/>
        </w:rPr>
        <w:t xml:space="preserve"> </w:t>
      </w:r>
      <w:r>
        <w:rPr>
          <w:rFonts w:ascii="Arial" w:cs="Arial" w:eastAsia="Arial" w:hAnsi="Arial"/>
          <w:sz w:val="17"/>
          <w:szCs w:val="17"/>
          <w:b w:val="1"/>
          <w:bCs w:val="1"/>
          <w:i w:val="1"/>
          <w:iCs w:val="1"/>
          <w:color w:val="auto"/>
        </w:rPr>
        <w:t>Act”</w:t>
      </w:r>
      <w:r>
        <w:rPr>
          <w:rFonts w:ascii="Arial" w:cs="Arial" w:eastAsia="Arial" w:hAnsi="Arial"/>
          <w:sz w:val="17"/>
          <w:szCs w:val="17"/>
          <w:color w:val="auto"/>
        </w:rPr>
        <w:t>), or otherwise complies with the Commodity Act. The Company will not engage in any activities bearing on the Commodity Act, unless such</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activities are exempt from the Commodity Act or otherwise comply with the Commodity Act.</w:t>
      </w:r>
    </w:p>
    <w:p>
      <w:pPr>
        <w:sectPr>
          <w:pgSz w:w="11900" w:h="16838" w:orient="portrait"/>
          <w:cols w:equalWidth="0" w:num="1">
            <w:col w:w="11004"/>
          </w:cols>
          <w:pgMar w:left="436" w:top="274" w:right="459" w:bottom="1440" w:gutter="0" w:footer="0" w:header="0"/>
        </w:sectPr>
      </w:pPr>
    </w:p>
    <w:bookmarkStart w:id="95" w:name="page96"/>
    <w:bookmarkEnd w:id="95"/>
    <w:p>
      <w:pPr>
        <w:jc w:val="both"/>
        <w:ind w:left="-987" w:right="100" w:firstLine="987"/>
        <w:spacing w:after="0" w:line="342" w:lineRule="auto"/>
        <w:tabs>
          <w:tab w:leader="none" w:pos="259" w:val="left"/>
        </w:tabs>
        <w:numPr>
          <w:ilvl w:val="0"/>
          <w:numId w:val="74"/>
        </w:numPr>
        <w:rPr>
          <w:rFonts w:ascii="Arial" w:cs="Arial" w:eastAsia="Arial" w:hAnsi="Arial"/>
          <w:sz w:val="16"/>
          <w:szCs w:val="16"/>
          <w:color w:val="auto"/>
        </w:rPr>
      </w:pPr>
      <w:r>
        <w:rPr>
          <w:rFonts w:ascii="Arial" w:cs="Arial" w:eastAsia="Arial" w:hAnsi="Arial"/>
          <w:sz w:val="16"/>
          <w:szCs w:val="16"/>
          <w:i w:val="1"/>
          <w:iCs w:val="1"/>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128" name="Picture 1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8"/>
                    <pic:cNvPicPr>
                      <a:picLocks noChangeAspect="1" noChangeArrowheads="1"/>
                    </pic:cNvPicPr>
                  </pic:nvPicPr>
                  <pic:blipFill>
                    <a:blip r:embed="rId150">
                      <a:extLst>
                        <a:ext uri="{28A0092B-C50C-407E-A947-70E740481C1C}"/>
                      </a:extLst>
                    </a:blip>
                    <a:srcRect/>
                    <a:stretch>
                      <a:fillRect/>
                    </a:stretch>
                  </pic:blipFill>
                  <pic:spPr bwMode="auto">
                    <a:xfrm>
                      <a:off x="0" y="0"/>
                      <a:ext cx="7149465" cy="26035"/>
                    </a:xfrm>
                    <a:prstGeom prst="rect">
                      <a:avLst/>
                    </a:prstGeom>
                    <a:noFill/>
                  </pic:spPr>
                </pic:pic>
              </a:graphicData>
            </a:graphic>
          </wp:anchor>
        </w:drawing>
        <w:t>No Other Broker</w:t>
      </w:r>
      <w:r>
        <w:rPr>
          <w:rFonts w:ascii="Arial" w:cs="Arial" w:eastAsia="Arial" w:hAnsi="Arial"/>
          <w:sz w:val="16"/>
          <w:szCs w:val="16"/>
          <w:color w:val="auto"/>
        </w:rPr>
        <w:t>. Except as contemplated by this Agreement, the Company will not incur any liability for any finder’s or broker’s fee</w:t>
      </w:r>
      <w:r>
        <w:rPr>
          <w:rFonts w:ascii="Arial" w:cs="Arial" w:eastAsia="Arial" w:hAnsi="Arial"/>
          <w:sz w:val="16"/>
          <w:szCs w:val="16"/>
          <w:i w:val="1"/>
          <w:iCs w:val="1"/>
          <w:color w:val="auto"/>
        </w:rPr>
        <w:t xml:space="preserve"> </w:t>
      </w:r>
      <w:r>
        <w:rPr>
          <w:rFonts w:ascii="Arial" w:cs="Arial" w:eastAsia="Arial" w:hAnsi="Arial"/>
          <w:sz w:val="16"/>
          <w:szCs w:val="16"/>
          <w:color w:val="auto"/>
        </w:rPr>
        <w:t>or agent’s commission in connection with the execution and delivery of this Agreement, or the consummation of the transactions contemplated hereby.</w:t>
      </w:r>
    </w:p>
    <w:p>
      <w:pPr>
        <w:spacing w:after="0" w:line="15" w:lineRule="exact"/>
        <w:rPr>
          <w:rFonts w:ascii="Arial" w:cs="Arial" w:eastAsia="Arial" w:hAnsi="Arial"/>
          <w:sz w:val="16"/>
          <w:szCs w:val="16"/>
          <w:color w:val="auto"/>
        </w:rPr>
      </w:pPr>
    </w:p>
    <w:p>
      <w:pPr>
        <w:ind w:left="-987" w:right="260" w:firstLine="987"/>
        <w:spacing w:after="0" w:line="263" w:lineRule="auto"/>
        <w:tabs>
          <w:tab w:leader="none" w:pos="219" w:val="left"/>
        </w:tabs>
        <w:numPr>
          <w:ilvl w:val="0"/>
          <w:numId w:val="74"/>
        </w:numPr>
        <w:rPr>
          <w:rFonts w:ascii="Arial" w:cs="Arial" w:eastAsia="Arial" w:hAnsi="Arial"/>
          <w:sz w:val="18"/>
          <w:szCs w:val="18"/>
          <w:color w:val="auto"/>
        </w:rPr>
      </w:pPr>
      <w:r>
        <w:rPr>
          <w:rFonts w:ascii="Arial" w:cs="Arial" w:eastAsia="Arial" w:hAnsi="Arial"/>
          <w:sz w:val="18"/>
          <w:szCs w:val="18"/>
          <w:i w:val="1"/>
          <w:iCs w:val="1"/>
          <w:color w:val="auto"/>
        </w:rPr>
        <w:t>Timely Securities Act and Exchange Act Reports</w:t>
      </w:r>
      <w:r>
        <w:rPr>
          <w:rFonts w:ascii="Arial" w:cs="Arial" w:eastAsia="Arial" w:hAnsi="Arial"/>
          <w:sz w:val="18"/>
          <w:szCs w:val="18"/>
          <w:color w:val="auto"/>
        </w:rPr>
        <w:t>. During any prospectus delivery period, the Company will use its commercially</w:t>
      </w:r>
      <w:r>
        <w:rPr>
          <w:rFonts w:ascii="Arial" w:cs="Arial" w:eastAsia="Arial" w:hAnsi="Arial"/>
          <w:sz w:val="18"/>
          <w:szCs w:val="18"/>
          <w:i w:val="1"/>
          <w:iCs w:val="1"/>
          <w:color w:val="auto"/>
        </w:rPr>
        <w:t xml:space="preserve"> </w:t>
      </w:r>
      <w:r>
        <w:rPr>
          <w:rFonts w:ascii="Arial" w:cs="Arial" w:eastAsia="Arial" w:hAnsi="Arial"/>
          <w:sz w:val="18"/>
          <w:szCs w:val="18"/>
          <w:color w:val="auto"/>
        </w:rPr>
        <w:t>reasonable efforts to file on a timely basis with the Commission such periodic and special reports as required by the Securities Act and the Exchange Act.</w:t>
      </w:r>
    </w:p>
    <w:p>
      <w:pPr>
        <w:spacing w:after="0" w:line="75" w:lineRule="exact"/>
        <w:rPr>
          <w:rFonts w:ascii="Arial" w:cs="Arial" w:eastAsia="Arial" w:hAnsi="Arial"/>
          <w:sz w:val="18"/>
          <w:szCs w:val="18"/>
          <w:color w:val="auto"/>
        </w:rPr>
      </w:pPr>
    </w:p>
    <w:p>
      <w:pPr>
        <w:ind w:left="-987" w:right="40" w:firstLine="987"/>
        <w:spacing w:after="0" w:line="271" w:lineRule="auto"/>
        <w:tabs>
          <w:tab w:leader="none" w:pos="309" w:val="left"/>
        </w:tabs>
        <w:numPr>
          <w:ilvl w:val="0"/>
          <w:numId w:val="74"/>
        </w:numPr>
        <w:rPr>
          <w:rFonts w:ascii="Arial" w:cs="Arial" w:eastAsia="Arial" w:hAnsi="Arial"/>
          <w:sz w:val="17"/>
          <w:szCs w:val="17"/>
          <w:color w:val="auto"/>
        </w:rPr>
      </w:pPr>
      <w:r>
        <w:rPr>
          <w:rFonts w:ascii="Arial" w:cs="Arial" w:eastAsia="Arial" w:hAnsi="Arial"/>
          <w:sz w:val="17"/>
          <w:szCs w:val="17"/>
          <w:i w:val="1"/>
          <w:iCs w:val="1"/>
          <w:color w:val="auto"/>
        </w:rPr>
        <w:t>Internal Controls</w:t>
      </w:r>
      <w:r>
        <w:rPr>
          <w:rFonts w:ascii="Arial" w:cs="Arial" w:eastAsia="Arial" w:hAnsi="Arial"/>
          <w:sz w:val="17"/>
          <w:szCs w:val="17"/>
          <w:color w:val="auto"/>
        </w:rPr>
        <w:t>. The Company and its subsidiaries will maintain such controls and other procedures, including without limitation,</w:t>
      </w:r>
      <w:r>
        <w:rPr>
          <w:rFonts w:ascii="Arial" w:cs="Arial" w:eastAsia="Arial" w:hAnsi="Arial"/>
          <w:sz w:val="17"/>
          <w:szCs w:val="17"/>
          <w:i w:val="1"/>
          <w:iCs w:val="1"/>
          <w:color w:val="auto"/>
        </w:rPr>
        <w:t xml:space="preserve"> </w:t>
      </w:r>
      <w:r>
        <w:rPr>
          <w:rFonts w:ascii="Arial" w:cs="Arial" w:eastAsia="Arial" w:hAnsi="Arial"/>
          <w:sz w:val="17"/>
          <w:szCs w:val="17"/>
          <w:color w:val="auto"/>
        </w:rPr>
        <w:t>those required by Sections 302 and 906 of the Sarbanes-Oxley Act and the applicable regulations thereunder, that are designed to provide reasonable assurances that information required to be disclosed by the Company in the reports that it files or submits under the Exchange Act is recorded, processed, summarized and reported within the time periods specified in the Commission’s rules and forms, including without limitation, controls and procedures designed to ensure that information required to be disclosed by the Company in the reports that it files or submits under the Exchange Act is accumulated and communicated to the Company’s management, including its principal executive officer and its principal financial officer, or persons performing similar functions, as appropriate to allow timely decisions regarding required disclosure, to ensure that material information relating to Company, including its subsidiaries, is made known to them by others within those entities.</w:t>
      </w:r>
    </w:p>
    <w:p>
      <w:pPr>
        <w:spacing w:after="0" w:line="70" w:lineRule="exact"/>
        <w:rPr>
          <w:rFonts w:ascii="Arial" w:cs="Arial" w:eastAsia="Arial" w:hAnsi="Arial"/>
          <w:sz w:val="17"/>
          <w:szCs w:val="17"/>
          <w:color w:val="auto"/>
        </w:rPr>
      </w:pPr>
    </w:p>
    <w:p>
      <w:pPr>
        <w:ind w:left="-987" w:right="40" w:firstLine="987"/>
        <w:spacing w:after="0" w:line="271" w:lineRule="auto"/>
        <w:tabs>
          <w:tab w:leader="none" w:pos="259" w:val="left"/>
        </w:tabs>
        <w:numPr>
          <w:ilvl w:val="0"/>
          <w:numId w:val="74"/>
        </w:numPr>
        <w:rPr>
          <w:rFonts w:ascii="Arial" w:cs="Arial" w:eastAsia="Arial" w:hAnsi="Arial"/>
          <w:sz w:val="17"/>
          <w:szCs w:val="17"/>
          <w:color w:val="auto"/>
        </w:rPr>
      </w:pPr>
      <w:r>
        <w:rPr>
          <w:rFonts w:ascii="Arial" w:cs="Arial" w:eastAsia="Arial" w:hAnsi="Arial"/>
          <w:sz w:val="17"/>
          <w:szCs w:val="17"/>
          <w:i w:val="1"/>
          <w:iCs w:val="1"/>
          <w:color w:val="auto"/>
        </w:rPr>
        <w:t>Permitted Free Writing Prospectus</w:t>
      </w:r>
      <w:r>
        <w:rPr>
          <w:rFonts w:ascii="Arial" w:cs="Arial" w:eastAsia="Arial" w:hAnsi="Arial"/>
          <w:sz w:val="17"/>
          <w:szCs w:val="17"/>
          <w:color w:val="auto"/>
        </w:rPr>
        <w:t>. The Company represents and agrees that, unless it obtains the prior written consent of the Agent,</w:t>
      </w:r>
      <w:r>
        <w:rPr>
          <w:rFonts w:ascii="Arial" w:cs="Arial" w:eastAsia="Arial" w:hAnsi="Arial"/>
          <w:sz w:val="17"/>
          <w:szCs w:val="17"/>
          <w:i w:val="1"/>
          <w:iCs w:val="1"/>
          <w:color w:val="auto"/>
        </w:rPr>
        <w:t xml:space="preserve"> </w:t>
      </w:r>
      <w:r>
        <w:rPr>
          <w:rFonts w:ascii="Arial" w:cs="Arial" w:eastAsia="Arial" w:hAnsi="Arial"/>
          <w:sz w:val="17"/>
          <w:szCs w:val="17"/>
          <w:color w:val="auto"/>
        </w:rPr>
        <w:t xml:space="preserve">and the Agent severally represents and agrees that, unless it obtains the prior written consent of the Company, it has not made and will not make any offer relating to the Shares that would constitute an “issuer free writing prospectus,” as defined in Rule 433 under the Securities Act, or that would otherwise constitute a “free writing prospectus,” as defined in Rule 405 under the Securities Act, required to be filed with the Commission. Any such free writing prospectus consented to by the Company and the Agent is hereinafter referred to as a </w:t>
      </w:r>
      <w:r>
        <w:rPr>
          <w:rFonts w:ascii="Arial" w:cs="Arial" w:eastAsia="Arial" w:hAnsi="Arial"/>
          <w:sz w:val="17"/>
          <w:szCs w:val="17"/>
          <w:b w:val="1"/>
          <w:bCs w:val="1"/>
          <w:i w:val="1"/>
          <w:iCs w:val="1"/>
          <w:color w:val="auto"/>
        </w:rPr>
        <w:t>“Permitted Free Writing Prospectus.”</w:t>
      </w:r>
      <w:r>
        <w:rPr>
          <w:rFonts w:ascii="Arial" w:cs="Arial" w:eastAsia="Arial" w:hAnsi="Arial"/>
          <w:sz w:val="17"/>
          <w:szCs w:val="17"/>
          <w:color w:val="auto"/>
        </w:rPr>
        <w:t xml:space="preserve"> The Company represents that it has treated or agrees that it will treat each Permitted Free Writing Prospectus as an “issuer free writing prospectus,” as defined in Rule 433, and has complied and will comply with the requirements of Rule 433 applicable to any Permitted Free Writing Prospectus, including timely Commission filing where required, legending and record keeping.</w:t>
      </w:r>
    </w:p>
    <w:p>
      <w:pPr>
        <w:spacing w:after="0" w:line="70" w:lineRule="exact"/>
        <w:rPr>
          <w:rFonts w:ascii="Arial" w:cs="Arial" w:eastAsia="Arial" w:hAnsi="Arial"/>
          <w:sz w:val="17"/>
          <w:szCs w:val="17"/>
          <w:color w:val="auto"/>
        </w:rPr>
      </w:pPr>
    </w:p>
    <w:p>
      <w:pPr>
        <w:ind w:left="-987" w:firstLine="987"/>
        <w:spacing w:after="0" w:line="275" w:lineRule="auto"/>
        <w:tabs>
          <w:tab w:leader="none" w:pos="259" w:val="left"/>
        </w:tabs>
        <w:numPr>
          <w:ilvl w:val="0"/>
          <w:numId w:val="74"/>
        </w:numPr>
        <w:rPr>
          <w:rFonts w:ascii="Arial" w:cs="Arial" w:eastAsia="Arial" w:hAnsi="Arial"/>
          <w:sz w:val="17"/>
          <w:szCs w:val="17"/>
          <w:color w:val="auto"/>
        </w:rPr>
      </w:pPr>
      <w:r>
        <w:rPr>
          <w:rFonts w:ascii="Arial" w:cs="Arial" w:eastAsia="Arial" w:hAnsi="Arial"/>
          <w:sz w:val="17"/>
          <w:szCs w:val="17"/>
          <w:i w:val="1"/>
          <w:iCs w:val="1"/>
          <w:color w:val="auto"/>
        </w:rPr>
        <w:t>Representation Date and Opinions of Counsel</w:t>
      </w:r>
      <w:r>
        <w:rPr>
          <w:rFonts w:ascii="Arial" w:cs="Arial" w:eastAsia="Arial" w:hAnsi="Arial"/>
          <w:sz w:val="17"/>
          <w:szCs w:val="17"/>
          <w:color w:val="auto"/>
        </w:rPr>
        <w:t>. On or prior to the date of the first Placement Notice, and thereafter during the term of</w:t>
      </w:r>
      <w:r>
        <w:rPr>
          <w:rFonts w:ascii="Arial" w:cs="Arial" w:eastAsia="Arial" w:hAnsi="Arial"/>
          <w:sz w:val="17"/>
          <w:szCs w:val="17"/>
          <w:i w:val="1"/>
          <w:iCs w:val="1"/>
          <w:color w:val="auto"/>
        </w:rPr>
        <w:t xml:space="preserve"> </w:t>
      </w:r>
      <w:r>
        <w:rPr>
          <w:rFonts w:ascii="Arial" w:cs="Arial" w:eastAsia="Arial" w:hAnsi="Arial"/>
          <w:sz w:val="17"/>
          <w:szCs w:val="17"/>
          <w:color w:val="auto"/>
        </w:rPr>
        <w:t>this Agreement, each time the Company (A) files an amendment to the Registration Statement or Prospectus (other than relating solely to the offering of securities other than the Shares), (B) files an annual report on Form 10-K under the Exchange Act or files its quarterly reports on Form 10-Q under the Exchange Act; and (C) files a report on Form 8-K containing amended financial statements (other than an earnings release) under the Exchange Act, (each of the dates in (A), (B) and (C) are referred to herein as a “</w:t>
      </w:r>
      <w:r>
        <w:rPr>
          <w:rFonts w:ascii="Arial" w:cs="Arial" w:eastAsia="Arial" w:hAnsi="Arial"/>
          <w:sz w:val="17"/>
          <w:szCs w:val="17"/>
          <w:b w:val="1"/>
          <w:bCs w:val="1"/>
          <w:i w:val="1"/>
          <w:iCs w:val="1"/>
          <w:color w:val="auto"/>
        </w:rPr>
        <w:t>Representation Date</w:t>
      </w:r>
      <w:r>
        <w:rPr>
          <w:rFonts w:ascii="Arial" w:cs="Arial" w:eastAsia="Arial" w:hAnsi="Arial"/>
          <w:sz w:val="17"/>
          <w:szCs w:val="17"/>
          <w:color w:val="auto"/>
        </w:rPr>
        <w:t>”), the Company shall cause:</w:t>
      </w:r>
    </w:p>
    <w:p>
      <w:pPr>
        <w:sectPr>
          <w:pgSz w:w="11900" w:h="16838" w:orient="portrait"/>
          <w:cols w:equalWidth="0" w:num="1">
            <w:col w:w="9973"/>
          </w:cols>
          <w:pgMar w:left="1427" w:top="274" w:right="499" w:bottom="1440" w:gutter="0" w:footer="0" w:header="0"/>
        </w:sectPr>
      </w:pPr>
    </w:p>
    <w:bookmarkStart w:id="96" w:name="page97"/>
    <w:bookmarkEnd w:id="96"/>
    <w:p>
      <w:pPr>
        <w:ind w:left="440" w:right="160" w:firstLine="948"/>
        <w:spacing w:after="0" w:line="259" w:lineRule="auto"/>
        <w:tabs>
          <w:tab w:leader="none" w:pos="1607" w:val="left"/>
        </w:tabs>
        <w:numPr>
          <w:ilvl w:val="0"/>
          <w:numId w:val="75"/>
        </w:numPr>
        <w:rPr>
          <w:rFonts w:ascii="Arial" w:cs="Arial" w:eastAsia="Arial" w:hAnsi="Arial"/>
          <w:sz w:val="18"/>
          <w:szCs w:val="18"/>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129" name="Picture 1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9"/>
                    <pic:cNvPicPr>
                      <a:picLocks noChangeAspect="1" noChangeArrowheads="1"/>
                    </pic:cNvPicPr>
                  </pic:nvPicPr>
                  <pic:blipFill>
                    <a:blip r:embed="rId151">
                      <a:extLst>
                        <a:ext uri="{28A0092B-C50C-407E-A947-70E740481C1C}"/>
                      </a:extLst>
                    </a:blip>
                    <a:srcRect/>
                    <a:stretch>
                      <a:fillRect/>
                    </a:stretch>
                  </pic:blipFill>
                  <pic:spPr bwMode="auto">
                    <a:xfrm>
                      <a:off x="0" y="0"/>
                      <a:ext cx="7149465" cy="25400"/>
                    </a:xfrm>
                    <a:prstGeom prst="rect">
                      <a:avLst/>
                    </a:prstGeom>
                    <a:noFill/>
                  </pic:spPr>
                </pic:pic>
              </a:graphicData>
            </a:graphic>
          </wp:anchor>
        </w:drawing>
        <w:t>Troutman Pepper Hamilton Sanders LLP, counsel for the Company, to furnish to the Agent the opinion and negative assurance letter of such counsel, dated as of such date and addressed to the Agent, in form and substance reasonably satisfactory to the Agent; provided however, the opinion of such counsel shall be required only prior to the date of the first Placement Notice and only a negative assurance letter of such counsel shall be required for each Representation Date.</w:t>
      </w:r>
    </w:p>
    <w:p>
      <w:pPr>
        <w:spacing w:after="0" w:line="78" w:lineRule="exact"/>
        <w:rPr>
          <w:rFonts w:ascii="Arial" w:cs="Arial" w:eastAsia="Arial" w:hAnsi="Arial"/>
          <w:sz w:val="18"/>
          <w:szCs w:val="18"/>
          <w:color w:val="auto"/>
        </w:rPr>
      </w:pPr>
    </w:p>
    <w:p>
      <w:pPr>
        <w:ind w:left="440" w:right="160" w:firstLine="948"/>
        <w:spacing w:after="0" w:line="263" w:lineRule="auto"/>
        <w:tabs>
          <w:tab w:leader="none" w:pos="1657" w:val="left"/>
        </w:tabs>
        <w:numPr>
          <w:ilvl w:val="0"/>
          <w:numId w:val="75"/>
        </w:numPr>
        <w:rPr>
          <w:rFonts w:ascii="Arial" w:cs="Arial" w:eastAsia="Arial" w:hAnsi="Arial"/>
          <w:sz w:val="18"/>
          <w:szCs w:val="18"/>
          <w:color w:val="auto"/>
        </w:rPr>
      </w:pPr>
      <w:r>
        <w:rPr>
          <w:rFonts w:ascii="Arial" w:cs="Arial" w:eastAsia="Arial" w:hAnsi="Arial"/>
          <w:sz w:val="18"/>
          <w:szCs w:val="18"/>
          <w:color w:val="auto"/>
        </w:rPr>
        <w:t>McCarter &amp; English, LLP, intellectual property and patent counsel for the Company, to furnish to the Agent the opinion of such counsel, dated as of such date and addressed to the Agent, in form and substance reasonably satisfactory to the Agent; provided however, the opinion of counsel shall only be required for the first Settlement Date.</w:t>
      </w:r>
    </w:p>
    <w:p>
      <w:pPr>
        <w:spacing w:after="0" w:line="184" w:lineRule="exact"/>
        <w:rPr>
          <w:sz w:val="20"/>
          <w:szCs w:val="20"/>
          <w:color w:val="auto"/>
        </w:rPr>
      </w:pPr>
    </w:p>
    <w:p>
      <w:pPr>
        <w:ind w:right="40"/>
        <w:spacing w:after="0" w:line="272" w:lineRule="auto"/>
        <w:rPr>
          <w:sz w:val="20"/>
          <w:szCs w:val="20"/>
          <w:color w:val="auto"/>
        </w:rPr>
      </w:pPr>
      <w:r>
        <w:rPr>
          <w:rFonts w:ascii="Arial" w:cs="Arial" w:eastAsia="Arial" w:hAnsi="Arial"/>
          <w:sz w:val="17"/>
          <w:szCs w:val="17"/>
          <w:color w:val="auto"/>
        </w:rPr>
        <w:t>Notwithstanding the foregoing and Sections 3(p), 3(q) and 3(v) hereof, the requirement to provide counsel opinions, a comfort letter, certificates and documents under this Section 3 shall be waived for any Representation Date occurring at a time at which no Placement Notice is pending, which waiver shall continue until the date the Company delivers a Placement Notice to the Agent. Notwithstanding the foregoing, if the Company subsequently decides to sell Shares following a Representation Date when the Company relied on such waiver and did not provide the Agent with the opinions, comfort letter, certificates and documents under this Section 3, then before the Agent sells any Shares pursuant to Section 2(a), the Company shall cause the opinions (including the opinion pursuant to Section 3(o) if not delivered on the date of the prior Form 10-K), comfort letter, certificates and documents that would be delivered on a Representation Date to be delivered.</w:t>
      </w:r>
    </w:p>
    <w:p>
      <w:pPr>
        <w:spacing w:after="0" w:line="69" w:lineRule="exact"/>
        <w:rPr>
          <w:sz w:val="20"/>
          <w:szCs w:val="20"/>
          <w:color w:val="auto"/>
        </w:rPr>
      </w:pPr>
    </w:p>
    <w:p>
      <w:pPr>
        <w:ind w:firstLine="987"/>
        <w:spacing w:after="0" w:line="272" w:lineRule="auto"/>
        <w:tabs>
          <w:tab w:leader="none" w:pos="1246" w:val="left"/>
        </w:tabs>
        <w:numPr>
          <w:ilvl w:val="0"/>
          <w:numId w:val="76"/>
        </w:numPr>
        <w:rPr>
          <w:rFonts w:ascii="Arial" w:cs="Arial" w:eastAsia="Arial" w:hAnsi="Arial"/>
          <w:sz w:val="17"/>
          <w:szCs w:val="17"/>
          <w:color w:val="auto"/>
        </w:rPr>
      </w:pPr>
      <w:r>
        <w:rPr>
          <w:rFonts w:ascii="Arial" w:cs="Arial" w:eastAsia="Arial" w:hAnsi="Arial"/>
          <w:sz w:val="17"/>
          <w:szCs w:val="17"/>
          <w:i w:val="1"/>
          <w:iCs w:val="1"/>
          <w:color w:val="auto"/>
        </w:rPr>
        <w:t>Representation Date and Comfort Letter</w:t>
      </w:r>
      <w:r>
        <w:rPr>
          <w:rFonts w:ascii="Arial" w:cs="Arial" w:eastAsia="Arial" w:hAnsi="Arial"/>
          <w:sz w:val="17"/>
          <w:szCs w:val="17"/>
          <w:color w:val="auto"/>
        </w:rPr>
        <w:t>. On or prior to the date of the first Placement Notice and thereafter during the term of this</w:t>
      </w:r>
      <w:r>
        <w:rPr>
          <w:rFonts w:ascii="Arial" w:cs="Arial" w:eastAsia="Arial" w:hAnsi="Arial"/>
          <w:sz w:val="17"/>
          <w:szCs w:val="17"/>
          <w:i w:val="1"/>
          <w:iCs w:val="1"/>
          <w:color w:val="auto"/>
        </w:rPr>
        <w:t xml:space="preserve"> </w:t>
      </w:r>
      <w:r>
        <w:rPr>
          <w:rFonts w:ascii="Arial" w:cs="Arial" w:eastAsia="Arial" w:hAnsi="Arial"/>
          <w:sz w:val="17"/>
          <w:szCs w:val="17"/>
          <w:color w:val="auto"/>
        </w:rPr>
        <w:t>Agreement, on each Representation Date to which a waiver does not apply, the Company shall cause PricewaterhouseCoopers LLP, or other independent accountants reasonably satisfactory to the Agent (the “</w:t>
      </w:r>
      <w:r>
        <w:rPr>
          <w:rFonts w:ascii="Arial" w:cs="Arial" w:eastAsia="Arial" w:hAnsi="Arial"/>
          <w:sz w:val="17"/>
          <w:szCs w:val="17"/>
          <w:b w:val="1"/>
          <w:bCs w:val="1"/>
          <w:i w:val="1"/>
          <w:iCs w:val="1"/>
          <w:color w:val="auto"/>
        </w:rPr>
        <w:t>Accountants</w:t>
      </w:r>
      <w:r>
        <w:rPr>
          <w:rFonts w:ascii="Arial" w:cs="Arial" w:eastAsia="Arial" w:hAnsi="Arial"/>
          <w:sz w:val="17"/>
          <w:szCs w:val="17"/>
          <w:color w:val="auto"/>
        </w:rPr>
        <w:t>”), to deliver to the Agent a letter, dated as of such date and addressed to the Agent, confirming that they are independent public accountants within the meaning of the Securities Act and are in compliance with the applicable requirements relating to the qualifications of accountants under Rule 2-01 of Regulation S-X of the Commission, and stating the conclusions and findings of said firm with respect to the financial information and other matters covered by its letter in form and substance satisfactory to the Agent of the same tenor as the first such letter received hereunder.</w:t>
      </w:r>
    </w:p>
    <w:p>
      <w:pPr>
        <w:spacing w:after="0" w:line="69" w:lineRule="exact"/>
        <w:rPr>
          <w:rFonts w:ascii="Arial" w:cs="Arial" w:eastAsia="Arial" w:hAnsi="Arial"/>
          <w:sz w:val="17"/>
          <w:szCs w:val="17"/>
          <w:color w:val="auto"/>
        </w:rPr>
      </w:pPr>
    </w:p>
    <w:p>
      <w:pPr>
        <w:ind w:right="160" w:firstLine="987"/>
        <w:spacing w:after="0" w:line="259" w:lineRule="auto"/>
        <w:tabs>
          <w:tab w:leader="none" w:pos="1246" w:val="left"/>
        </w:tabs>
        <w:numPr>
          <w:ilvl w:val="0"/>
          <w:numId w:val="76"/>
        </w:numPr>
        <w:rPr>
          <w:rFonts w:ascii="Arial" w:cs="Arial" w:eastAsia="Arial" w:hAnsi="Arial"/>
          <w:sz w:val="18"/>
          <w:szCs w:val="18"/>
          <w:color w:val="auto"/>
        </w:rPr>
      </w:pPr>
      <w:r>
        <w:rPr>
          <w:rFonts w:ascii="Arial" w:cs="Arial" w:eastAsia="Arial" w:hAnsi="Arial"/>
          <w:sz w:val="18"/>
          <w:szCs w:val="18"/>
          <w:i w:val="1"/>
          <w:iCs w:val="1"/>
          <w:color w:val="auto"/>
        </w:rPr>
        <w:t>Representation Date and Representation Certificate</w:t>
      </w:r>
      <w:r>
        <w:rPr>
          <w:rFonts w:ascii="Arial" w:cs="Arial" w:eastAsia="Arial" w:hAnsi="Arial"/>
          <w:sz w:val="18"/>
          <w:szCs w:val="18"/>
          <w:color w:val="auto"/>
        </w:rPr>
        <w:t>. On or prior to the date of the First Placement Notice and thereafter during the</w:t>
      </w:r>
      <w:r>
        <w:rPr>
          <w:rFonts w:ascii="Arial" w:cs="Arial" w:eastAsia="Arial" w:hAnsi="Arial"/>
          <w:sz w:val="18"/>
          <w:szCs w:val="18"/>
          <w:i w:val="1"/>
          <w:iCs w:val="1"/>
          <w:color w:val="auto"/>
        </w:rPr>
        <w:t xml:space="preserve"> </w:t>
      </w:r>
      <w:r>
        <w:rPr>
          <w:rFonts w:ascii="Arial" w:cs="Arial" w:eastAsia="Arial" w:hAnsi="Arial"/>
          <w:sz w:val="18"/>
          <w:szCs w:val="18"/>
          <w:color w:val="auto"/>
        </w:rPr>
        <w:t xml:space="preserve">term of this Agreement, on each Representation Date to which a waiver does not apply, the Company shall furnish to the Agent a certificate (the </w:t>
      </w:r>
      <w:r>
        <w:rPr>
          <w:rFonts w:ascii="Arial" w:cs="Arial" w:eastAsia="Arial" w:hAnsi="Arial"/>
          <w:sz w:val="18"/>
          <w:szCs w:val="18"/>
          <w:b w:val="1"/>
          <w:bCs w:val="1"/>
          <w:i w:val="1"/>
          <w:iCs w:val="1"/>
          <w:color w:val="auto"/>
        </w:rPr>
        <w:t>“Representation Certificate”</w:t>
      </w:r>
      <w:r>
        <w:rPr>
          <w:rFonts w:ascii="Arial" w:cs="Arial" w:eastAsia="Arial" w:hAnsi="Arial"/>
          <w:sz w:val="18"/>
          <w:szCs w:val="18"/>
          <w:color w:val="auto"/>
        </w:rPr>
        <w:t>), substantially in the form of</w:t>
      </w:r>
      <w:r>
        <w:rPr>
          <w:rFonts w:ascii="Arial" w:cs="Arial" w:eastAsia="Arial" w:hAnsi="Arial"/>
          <w:sz w:val="18"/>
          <w:szCs w:val="18"/>
          <w:b w:val="1"/>
          <w:bCs w:val="1"/>
          <w:i w:val="1"/>
          <w:iCs w:val="1"/>
          <w:color w:val="auto"/>
        </w:rPr>
        <w:t xml:space="preserve"> </w:t>
      </w:r>
      <w:r>
        <w:rPr>
          <w:rFonts w:ascii="Arial" w:cs="Arial" w:eastAsia="Arial" w:hAnsi="Arial"/>
          <w:sz w:val="18"/>
          <w:szCs w:val="18"/>
          <w:u w:val="single" w:color="auto"/>
          <w:color w:val="auto"/>
        </w:rPr>
        <w:t>Schedule 3</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hereto and dated as of such date, addressed to the Agent and signed by the chief</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executive officer and by the chief financial officer of the Company.</w:t>
      </w:r>
    </w:p>
    <w:p>
      <w:pPr>
        <w:spacing w:after="0" w:line="78" w:lineRule="exact"/>
        <w:rPr>
          <w:rFonts w:ascii="Arial" w:cs="Arial" w:eastAsia="Arial" w:hAnsi="Arial"/>
          <w:sz w:val="18"/>
          <w:szCs w:val="18"/>
          <w:color w:val="auto"/>
        </w:rPr>
      </w:pPr>
    </w:p>
    <w:p>
      <w:pPr>
        <w:ind w:right="60" w:firstLine="987"/>
        <w:spacing w:after="0" w:line="263" w:lineRule="auto"/>
        <w:tabs>
          <w:tab w:leader="none" w:pos="1216" w:val="left"/>
        </w:tabs>
        <w:numPr>
          <w:ilvl w:val="0"/>
          <w:numId w:val="76"/>
        </w:numPr>
        <w:rPr>
          <w:rFonts w:ascii="Arial" w:cs="Arial" w:eastAsia="Arial" w:hAnsi="Arial"/>
          <w:sz w:val="18"/>
          <w:szCs w:val="18"/>
          <w:color w:val="auto"/>
        </w:rPr>
      </w:pPr>
      <w:r>
        <w:rPr>
          <w:rFonts w:ascii="Arial" w:cs="Arial" w:eastAsia="Arial" w:hAnsi="Arial"/>
          <w:sz w:val="18"/>
          <w:szCs w:val="18"/>
          <w:i w:val="1"/>
          <w:iCs w:val="1"/>
          <w:color w:val="auto"/>
        </w:rPr>
        <w:t>Disclosure of Shares Sold</w:t>
      </w:r>
      <w:r>
        <w:rPr>
          <w:rFonts w:ascii="Arial" w:cs="Arial" w:eastAsia="Arial" w:hAnsi="Arial"/>
          <w:sz w:val="18"/>
          <w:szCs w:val="18"/>
          <w:color w:val="auto"/>
        </w:rPr>
        <w:t>. The Company shall disclose in its quarterly reports on Form 10-Q and in its annual report on Form 10-K the</w:t>
      </w:r>
      <w:r>
        <w:rPr>
          <w:rFonts w:ascii="Arial" w:cs="Arial" w:eastAsia="Arial" w:hAnsi="Arial"/>
          <w:sz w:val="18"/>
          <w:szCs w:val="18"/>
          <w:i w:val="1"/>
          <w:iCs w:val="1"/>
          <w:color w:val="auto"/>
        </w:rPr>
        <w:t xml:space="preserve"> </w:t>
      </w:r>
      <w:r>
        <w:rPr>
          <w:rFonts w:ascii="Arial" w:cs="Arial" w:eastAsia="Arial" w:hAnsi="Arial"/>
          <w:sz w:val="18"/>
          <w:szCs w:val="18"/>
          <w:color w:val="auto"/>
        </w:rPr>
        <w:t>number of the Shares sold through the Agent under this Agreement, the net proceeds to the Company and the compensation paid by the Company with respect to sales of the Shares pursuant to this Agreement during the relevant quarter.</w:t>
      </w:r>
    </w:p>
    <w:p>
      <w:pPr>
        <w:sectPr>
          <w:pgSz w:w="11900" w:h="16838" w:orient="portrait"/>
          <w:cols w:equalWidth="0" w:num="1">
            <w:col w:w="11000"/>
          </w:cols>
          <w:pgMar w:left="440" w:top="274" w:right="459" w:bottom="1440" w:gutter="0" w:footer="0" w:header="0"/>
        </w:sectPr>
      </w:pPr>
    </w:p>
    <w:bookmarkStart w:id="97" w:name="page98"/>
    <w:bookmarkEnd w:id="97"/>
    <w:p>
      <w:pPr>
        <w:ind w:left="-436" w:right="60" w:firstLine="987"/>
        <w:spacing w:after="0" w:line="277" w:lineRule="auto"/>
        <w:tabs>
          <w:tab w:leader="none" w:pos="790" w:val="left"/>
        </w:tabs>
        <w:numPr>
          <w:ilvl w:val="1"/>
          <w:numId w:val="77"/>
        </w:numPr>
        <w:rPr>
          <w:rFonts w:ascii="Arial" w:cs="Arial" w:eastAsia="Arial" w:hAnsi="Arial"/>
          <w:sz w:val="18"/>
          <w:szCs w:val="18"/>
          <w:color w:val="auto"/>
        </w:rPr>
      </w:pPr>
      <w:r>
        <w:rPr>
          <w:rFonts w:ascii="Arial" w:cs="Arial" w:eastAsia="Arial" w:hAnsi="Arial"/>
          <w:sz w:val="18"/>
          <w:szCs w:val="18"/>
          <w:i w:val="1"/>
          <w:iCs w:val="1"/>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130" name="Picture 1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0"/>
                    <pic:cNvPicPr>
                      <a:picLocks noChangeAspect="1" noChangeArrowheads="1"/>
                    </pic:cNvPicPr>
                  </pic:nvPicPr>
                  <pic:blipFill>
                    <a:blip r:embed="rId152">
                      <a:extLst>
                        <a:ext uri="{28A0092B-C50C-407E-A947-70E740481C1C}"/>
                      </a:extLst>
                    </a:blip>
                    <a:srcRect/>
                    <a:stretch>
                      <a:fillRect/>
                    </a:stretch>
                  </pic:blipFill>
                  <pic:spPr bwMode="auto">
                    <a:xfrm>
                      <a:off x="0" y="0"/>
                      <a:ext cx="7149465" cy="25400"/>
                    </a:xfrm>
                    <a:prstGeom prst="rect">
                      <a:avLst/>
                    </a:prstGeom>
                    <a:noFill/>
                  </pic:spPr>
                </pic:pic>
              </a:graphicData>
            </a:graphic>
          </wp:anchor>
        </w:drawing>
        <w:t>Continued Listing of Shares</w:t>
      </w:r>
      <w:r>
        <w:rPr>
          <w:rFonts w:ascii="Arial" w:cs="Arial" w:eastAsia="Arial" w:hAnsi="Arial"/>
          <w:sz w:val="18"/>
          <w:szCs w:val="18"/>
          <w:color w:val="auto"/>
        </w:rPr>
        <w:t>. The Company shall use its commercially reasonable efforts to maintain the listing of the Common Stock</w:t>
      </w:r>
      <w:r>
        <w:rPr>
          <w:rFonts w:ascii="Arial" w:cs="Arial" w:eastAsia="Arial" w:hAnsi="Arial"/>
          <w:sz w:val="18"/>
          <w:szCs w:val="18"/>
          <w:i w:val="1"/>
          <w:iCs w:val="1"/>
          <w:color w:val="auto"/>
        </w:rPr>
        <w:t xml:space="preserve"> </w:t>
      </w:r>
      <w:r>
        <w:rPr>
          <w:rFonts w:ascii="Arial" w:cs="Arial" w:eastAsia="Arial" w:hAnsi="Arial"/>
          <w:sz w:val="18"/>
          <w:szCs w:val="18"/>
          <w:color w:val="auto"/>
        </w:rPr>
        <w:t>on the Exchange.</w:t>
      </w:r>
    </w:p>
    <w:p>
      <w:pPr>
        <w:spacing w:after="0" w:line="62" w:lineRule="exact"/>
        <w:rPr>
          <w:rFonts w:ascii="Arial" w:cs="Arial" w:eastAsia="Arial" w:hAnsi="Arial"/>
          <w:sz w:val="18"/>
          <w:szCs w:val="18"/>
          <w:color w:val="auto"/>
        </w:rPr>
      </w:pPr>
    </w:p>
    <w:p>
      <w:pPr>
        <w:ind w:left="-436" w:right="140" w:firstLine="987"/>
        <w:spacing w:after="0" w:line="263" w:lineRule="auto"/>
        <w:tabs>
          <w:tab w:leader="none" w:pos="770" w:val="left"/>
        </w:tabs>
        <w:numPr>
          <w:ilvl w:val="1"/>
          <w:numId w:val="77"/>
        </w:numPr>
        <w:rPr>
          <w:rFonts w:ascii="Arial" w:cs="Arial" w:eastAsia="Arial" w:hAnsi="Arial"/>
          <w:sz w:val="18"/>
          <w:szCs w:val="18"/>
          <w:color w:val="auto"/>
        </w:rPr>
      </w:pPr>
      <w:r>
        <w:rPr>
          <w:rFonts w:ascii="Arial" w:cs="Arial" w:eastAsia="Arial" w:hAnsi="Arial"/>
          <w:sz w:val="18"/>
          <w:szCs w:val="18"/>
          <w:i w:val="1"/>
          <w:iCs w:val="1"/>
          <w:color w:val="auto"/>
        </w:rPr>
        <w:t>Notice of Changes</w:t>
      </w:r>
      <w:r>
        <w:rPr>
          <w:rFonts w:ascii="Arial" w:cs="Arial" w:eastAsia="Arial" w:hAnsi="Arial"/>
          <w:sz w:val="18"/>
          <w:szCs w:val="18"/>
          <w:color w:val="auto"/>
        </w:rPr>
        <w:t>. At any time during the term of this Agreement, as supplemented from time to time, the Company shall advise the</w:t>
      </w:r>
      <w:r>
        <w:rPr>
          <w:rFonts w:ascii="Arial" w:cs="Arial" w:eastAsia="Arial" w:hAnsi="Arial"/>
          <w:sz w:val="18"/>
          <w:szCs w:val="18"/>
          <w:i w:val="1"/>
          <w:iCs w:val="1"/>
          <w:color w:val="auto"/>
        </w:rPr>
        <w:t xml:space="preserve"> </w:t>
      </w:r>
      <w:r>
        <w:rPr>
          <w:rFonts w:ascii="Arial" w:cs="Arial" w:eastAsia="Arial" w:hAnsi="Arial"/>
          <w:sz w:val="18"/>
          <w:szCs w:val="18"/>
          <w:color w:val="auto"/>
        </w:rPr>
        <w:t>Agent as soon as practicable after it shall have received notice or obtain knowledge thereof, of any information or fact that would alter or affect any opinion, certificate, letter and other document provided to the Agent pursuant to this Section 3.</w:t>
      </w:r>
    </w:p>
    <w:p>
      <w:pPr>
        <w:spacing w:after="0" w:line="75" w:lineRule="exact"/>
        <w:rPr>
          <w:rFonts w:ascii="Arial" w:cs="Arial" w:eastAsia="Arial" w:hAnsi="Arial"/>
          <w:sz w:val="18"/>
          <w:szCs w:val="18"/>
          <w:color w:val="auto"/>
        </w:rPr>
      </w:pPr>
    </w:p>
    <w:p>
      <w:pPr>
        <w:ind w:left="-436" w:right="100" w:firstLine="987"/>
        <w:spacing w:after="0" w:line="277" w:lineRule="auto"/>
        <w:tabs>
          <w:tab w:leader="none" w:pos="810" w:val="left"/>
        </w:tabs>
        <w:numPr>
          <w:ilvl w:val="1"/>
          <w:numId w:val="77"/>
        </w:numPr>
        <w:rPr>
          <w:rFonts w:ascii="Arial" w:cs="Arial" w:eastAsia="Arial" w:hAnsi="Arial"/>
          <w:sz w:val="18"/>
          <w:szCs w:val="18"/>
          <w:color w:val="auto"/>
        </w:rPr>
      </w:pPr>
      <w:r>
        <w:rPr>
          <w:rFonts w:ascii="Arial" w:cs="Arial" w:eastAsia="Arial" w:hAnsi="Arial"/>
          <w:sz w:val="18"/>
          <w:szCs w:val="18"/>
          <w:i w:val="1"/>
          <w:iCs w:val="1"/>
          <w:color w:val="auto"/>
        </w:rPr>
        <w:t>Maximum Amount</w:t>
      </w:r>
      <w:r>
        <w:rPr>
          <w:rFonts w:ascii="Arial" w:cs="Arial" w:eastAsia="Arial" w:hAnsi="Arial"/>
          <w:sz w:val="18"/>
          <w:szCs w:val="18"/>
          <w:color w:val="auto"/>
        </w:rPr>
        <w:t>. The Company will not instruct the Agent to sell or otherwise attempt to sell Shares pursuant to this Agreement in</w:t>
      </w:r>
      <w:r>
        <w:rPr>
          <w:rFonts w:ascii="Arial" w:cs="Arial" w:eastAsia="Arial" w:hAnsi="Arial"/>
          <w:sz w:val="18"/>
          <w:szCs w:val="18"/>
          <w:i w:val="1"/>
          <w:iCs w:val="1"/>
          <w:color w:val="auto"/>
        </w:rPr>
        <w:t xml:space="preserve"> </w:t>
      </w:r>
      <w:r>
        <w:rPr>
          <w:rFonts w:ascii="Arial" w:cs="Arial" w:eastAsia="Arial" w:hAnsi="Arial"/>
          <w:sz w:val="18"/>
          <w:szCs w:val="18"/>
          <w:color w:val="auto"/>
        </w:rPr>
        <w:t>excess of the Maximum Amount.</w:t>
      </w:r>
    </w:p>
    <w:p>
      <w:pPr>
        <w:spacing w:after="0" w:line="62" w:lineRule="exact"/>
        <w:rPr>
          <w:rFonts w:ascii="Arial" w:cs="Arial" w:eastAsia="Arial" w:hAnsi="Arial"/>
          <w:sz w:val="18"/>
          <w:szCs w:val="18"/>
          <w:color w:val="auto"/>
        </w:rPr>
      </w:pPr>
    </w:p>
    <w:p>
      <w:pPr>
        <w:ind w:left="-436" w:right="40" w:firstLine="987"/>
        <w:spacing w:after="0" w:line="279" w:lineRule="auto"/>
        <w:tabs>
          <w:tab w:leader="none" w:pos="810" w:val="left"/>
        </w:tabs>
        <w:numPr>
          <w:ilvl w:val="1"/>
          <w:numId w:val="77"/>
        </w:numPr>
        <w:rPr>
          <w:rFonts w:ascii="Arial" w:cs="Arial" w:eastAsia="Arial" w:hAnsi="Arial"/>
          <w:sz w:val="17"/>
          <w:szCs w:val="17"/>
          <w:color w:val="auto"/>
        </w:rPr>
      </w:pPr>
      <w:r>
        <w:rPr>
          <w:rFonts w:ascii="Arial" w:cs="Arial" w:eastAsia="Arial" w:hAnsi="Arial"/>
          <w:sz w:val="17"/>
          <w:szCs w:val="17"/>
          <w:i w:val="1"/>
          <w:iCs w:val="1"/>
          <w:color w:val="auto"/>
        </w:rPr>
        <w:t>CFO Certificate</w:t>
      </w:r>
      <w:r>
        <w:rPr>
          <w:rFonts w:ascii="Arial" w:cs="Arial" w:eastAsia="Arial" w:hAnsi="Arial"/>
          <w:sz w:val="17"/>
          <w:szCs w:val="17"/>
          <w:color w:val="auto"/>
        </w:rPr>
        <w:t>. On or prior to the date of the First Placement Notice and thereafter during the term of this Agreement, on each</w:t>
      </w:r>
      <w:r>
        <w:rPr>
          <w:rFonts w:ascii="Arial" w:cs="Arial" w:eastAsia="Arial" w:hAnsi="Arial"/>
          <w:sz w:val="17"/>
          <w:szCs w:val="17"/>
          <w:i w:val="1"/>
          <w:iCs w:val="1"/>
          <w:color w:val="auto"/>
        </w:rPr>
        <w:t xml:space="preserve"> </w:t>
      </w:r>
      <w:r>
        <w:rPr>
          <w:rFonts w:ascii="Arial" w:cs="Arial" w:eastAsia="Arial" w:hAnsi="Arial"/>
          <w:sz w:val="17"/>
          <w:szCs w:val="17"/>
          <w:color w:val="auto"/>
        </w:rPr>
        <w:t>Representation Date to which a waiver does not apply, the Company shall furnish to the Agent a certificate, dated the date of such Representation Date and addressed to the Agent, of its chief financial officer with respect to certain financial data contained in the Prospectus, providing “management comfort” with respect to such information, in form and substance reasonably satisfactory to the Agent.</w:t>
      </w:r>
    </w:p>
    <w:p>
      <w:pPr>
        <w:spacing w:after="0" w:line="171" w:lineRule="exact"/>
        <w:rPr>
          <w:rFonts w:ascii="Arial" w:cs="Arial" w:eastAsia="Arial" w:hAnsi="Arial"/>
          <w:sz w:val="17"/>
          <w:szCs w:val="17"/>
          <w:color w:val="auto"/>
        </w:rPr>
      </w:pPr>
    </w:p>
    <w:p>
      <w:pPr>
        <w:ind w:left="-436" w:firstLine="436"/>
        <w:spacing w:after="0" w:line="259" w:lineRule="auto"/>
        <w:tabs>
          <w:tab w:leader="none" w:pos="184" w:val="left"/>
        </w:tabs>
        <w:numPr>
          <w:ilvl w:val="0"/>
          <w:numId w:val="78"/>
        </w:numPr>
        <w:rPr>
          <w:rFonts w:ascii="Arial" w:cs="Arial" w:eastAsia="Arial" w:hAnsi="Arial"/>
          <w:sz w:val="18"/>
          <w:szCs w:val="18"/>
          <w:b w:val="1"/>
          <w:bCs w:val="1"/>
          <w:i w:val="1"/>
          <w:iCs w:val="1"/>
          <w:color w:val="auto"/>
        </w:rPr>
      </w:pPr>
      <w:r>
        <w:rPr>
          <w:rFonts w:ascii="Arial" w:cs="Arial" w:eastAsia="Arial" w:hAnsi="Arial"/>
          <w:sz w:val="18"/>
          <w:szCs w:val="18"/>
          <w:b w:val="1"/>
          <w:bCs w:val="1"/>
          <w:i w:val="1"/>
          <w:iCs w:val="1"/>
          <w:color w:val="auto"/>
        </w:rPr>
        <w:t>Conditions of Agent’s Obligations</w:t>
      </w:r>
      <w:r>
        <w:rPr>
          <w:rFonts w:ascii="Arial" w:cs="Arial" w:eastAsia="Arial" w:hAnsi="Arial"/>
          <w:sz w:val="18"/>
          <w:szCs w:val="18"/>
          <w:color w:val="auto"/>
        </w:rPr>
        <w:t>. The obligations of the Agent hereunder are subject to (i) the accuracy, as of the date of this Agreement,</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each Representation Date, each Notice Date, each Applicable Time, and each Settlement Date (in each case, as if made at such date) of and compliance with all representations, warranties and agreements of the Company contained herein, (ii) the performance by the Company of its obligations hereunder and (iii) the following additional conditions:</w:t>
      </w:r>
    </w:p>
    <w:p>
      <w:pPr>
        <w:spacing w:after="0" w:line="78" w:lineRule="exact"/>
        <w:rPr>
          <w:rFonts w:ascii="Arial" w:cs="Arial" w:eastAsia="Arial" w:hAnsi="Arial"/>
          <w:sz w:val="18"/>
          <w:szCs w:val="18"/>
          <w:b w:val="1"/>
          <w:bCs w:val="1"/>
          <w:i w:val="1"/>
          <w:iCs w:val="1"/>
          <w:color w:val="auto"/>
        </w:rPr>
      </w:pPr>
    </w:p>
    <w:p>
      <w:pPr>
        <w:ind w:left="-436" w:right="40" w:firstLine="987"/>
        <w:spacing w:after="0" w:line="271" w:lineRule="auto"/>
        <w:tabs>
          <w:tab w:leader="none" w:pos="799" w:val="left"/>
        </w:tabs>
        <w:numPr>
          <w:ilvl w:val="1"/>
          <w:numId w:val="78"/>
        </w:numPr>
        <w:rPr>
          <w:rFonts w:ascii="Arial" w:cs="Arial" w:eastAsia="Arial" w:hAnsi="Arial"/>
          <w:sz w:val="17"/>
          <w:szCs w:val="17"/>
          <w:color w:val="auto"/>
        </w:rPr>
      </w:pPr>
      <w:r>
        <w:rPr>
          <w:rFonts w:ascii="Arial" w:cs="Arial" w:eastAsia="Arial" w:hAnsi="Arial"/>
          <w:sz w:val="17"/>
          <w:szCs w:val="17"/>
          <w:i w:val="1"/>
          <w:iCs w:val="1"/>
          <w:color w:val="auto"/>
        </w:rPr>
        <w:t>Continuing Amendments; No Stop Order</w:t>
      </w:r>
      <w:r>
        <w:rPr>
          <w:rFonts w:ascii="Arial" w:cs="Arial" w:eastAsia="Arial" w:hAnsi="Arial"/>
          <w:sz w:val="17"/>
          <w:szCs w:val="17"/>
          <w:color w:val="auto"/>
        </w:rPr>
        <w:t>. If filing of the Prospectus, or any amendment or supplement thereto, or any Permitted Free</w:t>
      </w:r>
      <w:r>
        <w:rPr>
          <w:rFonts w:ascii="Arial" w:cs="Arial" w:eastAsia="Arial" w:hAnsi="Arial"/>
          <w:sz w:val="17"/>
          <w:szCs w:val="17"/>
          <w:i w:val="1"/>
          <w:iCs w:val="1"/>
          <w:color w:val="auto"/>
        </w:rPr>
        <w:t xml:space="preserve"> </w:t>
      </w:r>
      <w:r>
        <w:rPr>
          <w:rFonts w:ascii="Arial" w:cs="Arial" w:eastAsia="Arial" w:hAnsi="Arial"/>
          <w:sz w:val="17"/>
          <w:szCs w:val="17"/>
          <w:color w:val="auto"/>
        </w:rPr>
        <w:t>Writing Prospectus, is required under the Securities Act, the Company shall have filed the Prospectus (or such amendment or supplement) or such Permitted Free Writing Prospectus with the Commission in the manner and within the time period so required (without reliance on Rule 424(b)(8) or Rule 164(b) under the Securities Act); the Registration Statement shall be effective; no stop order suspending the effectiveness of the Registration Statement or any part thereof, any registration statement filed pursuant to Rule 462(b) under the Securities Act, or any amendment thereof, nor suspending or preventing the use of the Prospectus shall have been issued; no proceedings for the issuance of such an order shall have been initiated or threatened; and any request of the Commission for additional information (to be included in the Registration Statement, the Prospectus or otherwise) shall have been complied with to the Agent’s satisfaction.</w:t>
      </w:r>
    </w:p>
    <w:p>
      <w:pPr>
        <w:spacing w:after="0" w:line="70" w:lineRule="exact"/>
        <w:rPr>
          <w:rFonts w:ascii="Arial" w:cs="Arial" w:eastAsia="Arial" w:hAnsi="Arial"/>
          <w:sz w:val="17"/>
          <w:szCs w:val="17"/>
          <w:color w:val="auto"/>
        </w:rPr>
      </w:pPr>
    </w:p>
    <w:p>
      <w:pPr>
        <w:ind w:left="-436" w:right="20" w:firstLine="987"/>
        <w:spacing w:after="0" w:line="257" w:lineRule="auto"/>
        <w:tabs>
          <w:tab w:leader="none" w:pos="810" w:val="left"/>
        </w:tabs>
        <w:numPr>
          <w:ilvl w:val="1"/>
          <w:numId w:val="78"/>
        </w:numPr>
        <w:rPr>
          <w:rFonts w:ascii="Arial" w:cs="Arial" w:eastAsia="Arial" w:hAnsi="Arial"/>
          <w:sz w:val="18"/>
          <w:szCs w:val="18"/>
          <w:color w:val="auto"/>
        </w:rPr>
      </w:pPr>
      <w:r>
        <w:rPr>
          <w:rFonts w:ascii="Arial" w:cs="Arial" w:eastAsia="Arial" w:hAnsi="Arial"/>
          <w:sz w:val="18"/>
          <w:szCs w:val="18"/>
          <w:i w:val="1"/>
          <w:iCs w:val="1"/>
          <w:color w:val="auto"/>
        </w:rPr>
        <w:t>Absence of Certain Events</w:t>
      </w:r>
      <w:r>
        <w:rPr>
          <w:rFonts w:ascii="Arial" w:cs="Arial" w:eastAsia="Arial" w:hAnsi="Arial"/>
          <w:sz w:val="18"/>
          <w:szCs w:val="18"/>
          <w:color w:val="auto"/>
        </w:rPr>
        <w:t>. None of the following events shall have occurred and be continuing: (i) receipt by the Company or any of</w:t>
      </w:r>
      <w:r>
        <w:rPr>
          <w:rFonts w:ascii="Arial" w:cs="Arial" w:eastAsia="Arial" w:hAnsi="Arial"/>
          <w:sz w:val="18"/>
          <w:szCs w:val="18"/>
          <w:i w:val="1"/>
          <w:iCs w:val="1"/>
          <w:color w:val="auto"/>
        </w:rPr>
        <w:t xml:space="preserve"> </w:t>
      </w:r>
      <w:r>
        <w:rPr>
          <w:rFonts w:ascii="Arial" w:cs="Arial" w:eastAsia="Arial" w:hAnsi="Arial"/>
          <w:sz w:val="18"/>
          <w:szCs w:val="18"/>
          <w:color w:val="auto"/>
        </w:rPr>
        <w:t>its subsidiaries of any request for additional information from the Commission or any other federal or state governmental authority during the period of effectiveness of the Registration Statement, the response to which would require any post-effective amendments or supplements to the Registration Statement or the Prospectus; (ii) the issuance by the Commission or any other federal or state governmental authority of any stop order suspending the effectiveness of the Registration Statement or the</w:t>
      </w:r>
    </w:p>
    <w:p>
      <w:pPr>
        <w:sectPr>
          <w:pgSz w:w="11900" w:h="16838" w:orient="portrait"/>
          <w:cols w:equalWidth="0" w:num="1">
            <w:col w:w="10464"/>
          </w:cols>
          <w:pgMar w:left="876" w:top="274" w:right="559" w:bottom="1440" w:gutter="0" w:footer="0" w:header="0"/>
        </w:sectPr>
      </w:pPr>
    </w:p>
    <w:bookmarkStart w:id="98" w:name="page99"/>
    <w:bookmarkEnd w:id="98"/>
    <w:p>
      <w:pPr>
        <w:ind w:left="4" w:right="460"/>
        <w:spacing w:after="0" w:line="291"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131" name="Picture 1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1"/>
                    <pic:cNvPicPr>
                      <a:picLocks noChangeAspect="1" noChangeArrowheads="1"/>
                    </pic:cNvPicPr>
                  </pic:nvPicPr>
                  <pic:blipFill>
                    <a:blip r:embed="rId153">
                      <a:extLst>
                        <a:ext uri="{28A0092B-C50C-407E-A947-70E740481C1C}"/>
                      </a:extLst>
                    </a:blip>
                    <a:srcRect/>
                    <a:stretch>
                      <a:fillRect/>
                    </a:stretch>
                  </pic:blipFill>
                  <pic:spPr bwMode="auto">
                    <a:xfrm>
                      <a:off x="0" y="0"/>
                      <a:ext cx="7149465" cy="25400"/>
                    </a:xfrm>
                    <a:prstGeom prst="rect">
                      <a:avLst/>
                    </a:prstGeom>
                    <a:noFill/>
                  </pic:spPr>
                </pic:pic>
              </a:graphicData>
            </a:graphic>
          </wp:anchor>
        </w:drawing>
        <w:t>initiation of any proceedings for that purpose; (iii) receipt by the Company of any notification with respect to the suspension of the qualification or exemption from qualification of any of the Shares for sale in any jurisdiction or the initiation or threatening of any proceeding for such purpose; or</w:t>
      </w:r>
    </w:p>
    <w:p>
      <w:pPr>
        <w:ind w:left="4" w:right="120" w:hanging="4"/>
        <w:spacing w:after="0" w:line="290" w:lineRule="auto"/>
        <w:tabs>
          <w:tab w:leader="none" w:pos="309" w:val="left"/>
        </w:tabs>
        <w:numPr>
          <w:ilvl w:val="0"/>
          <w:numId w:val="79"/>
        </w:numPr>
        <w:rPr>
          <w:rFonts w:ascii="Arial" w:cs="Arial" w:eastAsia="Arial" w:hAnsi="Arial"/>
          <w:sz w:val="16"/>
          <w:szCs w:val="16"/>
          <w:color w:val="auto"/>
        </w:rPr>
      </w:pPr>
      <w:r>
        <w:rPr>
          <w:rFonts w:ascii="Arial" w:cs="Arial" w:eastAsia="Arial" w:hAnsi="Arial"/>
          <w:sz w:val="16"/>
          <w:szCs w:val="16"/>
          <w:color w:val="auto"/>
        </w:rPr>
        <w:t>the occurrence of any event that makes any material statement made in the Registration Statement or the Prospectus or any material document incorporated or deemed to be incorporated therein by reference untrue in any material respect or that requires the making of any changes in the Registration Statement, related Prospectus or such documents so that, in the case of the Registration Statement, it will not contain any materially untrue statement of a material fact or omit to state any material fact required to be stated therein or necessary to make the statements therein not misleading and, that in the case of the Prospectus, it will not contain any materially untrue statement of a material fact or omit to state any material fact required to be stated therein or necessary to make the statements therein, in the light of the circumstances under which they were made, not misleading.</w:t>
      </w:r>
    </w:p>
    <w:p>
      <w:pPr>
        <w:spacing w:after="0" w:line="55" w:lineRule="exact"/>
        <w:rPr>
          <w:rFonts w:ascii="Arial" w:cs="Arial" w:eastAsia="Arial" w:hAnsi="Arial"/>
          <w:sz w:val="16"/>
          <w:szCs w:val="16"/>
          <w:color w:val="auto"/>
        </w:rPr>
      </w:pPr>
    </w:p>
    <w:p>
      <w:pPr>
        <w:ind w:left="4" w:right="500" w:firstLine="987"/>
        <w:spacing w:after="0" w:line="286" w:lineRule="auto"/>
        <w:tabs>
          <w:tab w:leader="none" w:pos="1240" w:val="left"/>
        </w:tabs>
        <w:numPr>
          <w:ilvl w:val="1"/>
          <w:numId w:val="79"/>
        </w:numPr>
        <w:rPr>
          <w:rFonts w:ascii="Arial" w:cs="Arial" w:eastAsia="Arial" w:hAnsi="Arial"/>
          <w:sz w:val="17"/>
          <w:szCs w:val="17"/>
          <w:color w:val="auto"/>
        </w:rPr>
      </w:pPr>
      <w:r>
        <w:rPr>
          <w:rFonts w:ascii="Arial" w:cs="Arial" w:eastAsia="Arial" w:hAnsi="Arial"/>
          <w:sz w:val="17"/>
          <w:szCs w:val="17"/>
          <w:i w:val="1"/>
          <w:iCs w:val="1"/>
          <w:color w:val="auto"/>
        </w:rPr>
        <w:t>No Material Misstatement or Omission</w:t>
      </w:r>
      <w:r>
        <w:rPr>
          <w:rFonts w:ascii="Arial" w:cs="Arial" w:eastAsia="Arial" w:hAnsi="Arial"/>
          <w:sz w:val="17"/>
          <w:szCs w:val="17"/>
          <w:color w:val="auto"/>
        </w:rPr>
        <w:t>. The Agent shall not have advised the Company that the Registration Statement or the</w:t>
      </w:r>
      <w:r>
        <w:rPr>
          <w:rFonts w:ascii="Arial" w:cs="Arial" w:eastAsia="Arial" w:hAnsi="Arial"/>
          <w:sz w:val="17"/>
          <w:szCs w:val="17"/>
          <w:i w:val="1"/>
          <w:iCs w:val="1"/>
          <w:color w:val="auto"/>
        </w:rPr>
        <w:t xml:space="preserve"> </w:t>
      </w:r>
      <w:r>
        <w:rPr>
          <w:rFonts w:ascii="Arial" w:cs="Arial" w:eastAsia="Arial" w:hAnsi="Arial"/>
          <w:sz w:val="17"/>
          <w:szCs w:val="17"/>
          <w:color w:val="auto"/>
        </w:rPr>
        <w:t>Prospectus, contains an untrue statement of fact which, in the Agent’s opinion, is material, or omits to state a fact which, in the Agent’s opinion, is material and is required to be stated therein or necessary to make the statements therein not misleading.</w:t>
      </w:r>
    </w:p>
    <w:p>
      <w:pPr>
        <w:spacing w:after="0" w:line="57" w:lineRule="exact"/>
        <w:rPr>
          <w:rFonts w:ascii="Arial" w:cs="Arial" w:eastAsia="Arial" w:hAnsi="Arial"/>
          <w:sz w:val="17"/>
          <w:szCs w:val="17"/>
          <w:color w:val="auto"/>
        </w:rPr>
      </w:pPr>
    </w:p>
    <w:p>
      <w:pPr>
        <w:ind w:left="4" w:firstLine="987"/>
        <w:spacing w:after="0" w:line="269" w:lineRule="auto"/>
        <w:tabs>
          <w:tab w:leader="none" w:pos="1250" w:val="left"/>
        </w:tabs>
        <w:numPr>
          <w:ilvl w:val="1"/>
          <w:numId w:val="79"/>
        </w:numPr>
        <w:rPr>
          <w:rFonts w:ascii="Arial" w:cs="Arial" w:eastAsia="Arial" w:hAnsi="Arial"/>
          <w:sz w:val="17"/>
          <w:szCs w:val="17"/>
          <w:color w:val="auto"/>
        </w:rPr>
      </w:pPr>
      <w:r>
        <w:rPr>
          <w:rFonts w:ascii="Arial" w:cs="Arial" w:eastAsia="Arial" w:hAnsi="Arial"/>
          <w:sz w:val="17"/>
          <w:szCs w:val="17"/>
          <w:i w:val="1"/>
          <w:iCs w:val="1"/>
          <w:color w:val="auto"/>
        </w:rPr>
        <w:t>No Adverse Changes</w:t>
      </w:r>
      <w:r>
        <w:rPr>
          <w:rFonts w:ascii="Arial" w:cs="Arial" w:eastAsia="Arial" w:hAnsi="Arial"/>
          <w:sz w:val="17"/>
          <w:szCs w:val="17"/>
          <w:color w:val="auto"/>
        </w:rPr>
        <w:t>. Except as disclosed in the Prospectus, subsequent to the respective dates as of which information is given in the</w:t>
      </w:r>
      <w:r>
        <w:rPr>
          <w:rFonts w:ascii="Arial" w:cs="Arial" w:eastAsia="Arial" w:hAnsi="Arial"/>
          <w:sz w:val="17"/>
          <w:szCs w:val="17"/>
          <w:i w:val="1"/>
          <w:iCs w:val="1"/>
          <w:color w:val="auto"/>
        </w:rPr>
        <w:t xml:space="preserve"> </w:t>
      </w:r>
      <w:r>
        <w:rPr>
          <w:rFonts w:ascii="Arial" w:cs="Arial" w:eastAsia="Arial" w:hAnsi="Arial"/>
          <w:sz w:val="17"/>
          <w:szCs w:val="17"/>
          <w:color w:val="auto"/>
        </w:rPr>
        <w:t>Prospectus, neither the Company nor any of its subsidiaries shall have incurred any material liabilities or obligations, direct or contingent, or entered into any material transactions, or declared or paid any dividends or made any distribution of any kind with respect to its capital stock; and there shall not have been any material change in the capital stock (other than a change in the number of outstanding shares of Common Stock due to the issuance of shares of Common Stock upon the exercise of outstanding options or warrants), or any material change in the short-term or long-term debt of the Company, or any issuance of options, warrants, convertible securities or other rights to purchase the capital stock of the Company or any of its subsidiaries, or any development involving a prospective Material Adverse Effect (whether or not arising in the ordinary course of business), or any loss by strike, fire, flood, earthquake, accident or other calamity, whether or not covered by insurance, incurred by the Company or any of its subsidiaries, the effect of which, in any such case described above, in the Agent’s judgment, makes it impractical or inadvisable to offer or deliver the Shares on the terms and in the manner contemplated in the Prospectus.</w:t>
      </w:r>
    </w:p>
    <w:p>
      <w:pPr>
        <w:spacing w:after="0" w:line="77" w:lineRule="exact"/>
        <w:rPr>
          <w:rFonts w:ascii="Arial" w:cs="Arial" w:eastAsia="Arial" w:hAnsi="Arial"/>
          <w:sz w:val="17"/>
          <w:szCs w:val="17"/>
          <w:color w:val="auto"/>
        </w:rPr>
      </w:pPr>
    </w:p>
    <w:p>
      <w:pPr>
        <w:ind w:left="4" w:right="140" w:firstLine="987"/>
        <w:spacing w:after="0" w:line="259" w:lineRule="auto"/>
        <w:tabs>
          <w:tab w:leader="none" w:pos="1240" w:val="left"/>
        </w:tabs>
        <w:numPr>
          <w:ilvl w:val="1"/>
          <w:numId w:val="79"/>
        </w:numPr>
        <w:rPr>
          <w:rFonts w:ascii="Arial" w:cs="Arial" w:eastAsia="Arial" w:hAnsi="Arial"/>
          <w:sz w:val="18"/>
          <w:szCs w:val="18"/>
          <w:color w:val="auto"/>
        </w:rPr>
      </w:pPr>
      <w:r>
        <w:rPr>
          <w:rFonts w:ascii="Arial" w:cs="Arial" w:eastAsia="Arial" w:hAnsi="Arial"/>
          <w:sz w:val="18"/>
          <w:szCs w:val="18"/>
          <w:i w:val="1"/>
          <w:iCs w:val="1"/>
          <w:color w:val="auto"/>
        </w:rPr>
        <w:t>No Rating Downgrade</w:t>
      </w:r>
      <w:r>
        <w:rPr>
          <w:rFonts w:ascii="Arial" w:cs="Arial" w:eastAsia="Arial" w:hAnsi="Arial"/>
          <w:sz w:val="18"/>
          <w:szCs w:val="18"/>
          <w:color w:val="auto"/>
        </w:rPr>
        <w:t>. On or after each Applicable Time (i) no downgrading shall have occurred in the rating accorded any of the</w:t>
      </w:r>
      <w:r>
        <w:rPr>
          <w:rFonts w:ascii="Arial" w:cs="Arial" w:eastAsia="Arial" w:hAnsi="Arial"/>
          <w:sz w:val="18"/>
          <w:szCs w:val="18"/>
          <w:i w:val="1"/>
          <w:iCs w:val="1"/>
          <w:color w:val="auto"/>
        </w:rPr>
        <w:t xml:space="preserve"> </w:t>
      </w:r>
      <w:r>
        <w:rPr>
          <w:rFonts w:ascii="Arial" w:cs="Arial" w:eastAsia="Arial" w:hAnsi="Arial"/>
          <w:sz w:val="18"/>
          <w:szCs w:val="18"/>
          <w:color w:val="auto"/>
        </w:rPr>
        <w:t>Company’s securities by any “nationally recognized statistical organization,” as that term is defined by the Commission for purposes of Rule 436(g)(2) under the Securities Act, and (ii) no such organization shall have publicly announced that it has under surveillance or review, with possible negative implications, its rating of any of the Company’s securities.</w:t>
      </w:r>
    </w:p>
    <w:p>
      <w:pPr>
        <w:spacing w:after="0" w:line="78" w:lineRule="exact"/>
        <w:rPr>
          <w:rFonts w:ascii="Arial" w:cs="Arial" w:eastAsia="Arial" w:hAnsi="Arial"/>
          <w:sz w:val="18"/>
          <w:szCs w:val="18"/>
          <w:color w:val="auto"/>
        </w:rPr>
      </w:pPr>
    </w:p>
    <w:p>
      <w:pPr>
        <w:ind w:left="1224" w:hanging="233"/>
        <w:spacing w:after="0"/>
        <w:tabs>
          <w:tab w:leader="none" w:pos="1224" w:val="left"/>
        </w:tabs>
        <w:numPr>
          <w:ilvl w:val="1"/>
          <w:numId w:val="79"/>
        </w:numPr>
        <w:rPr>
          <w:rFonts w:ascii="Arial" w:cs="Arial" w:eastAsia="Arial" w:hAnsi="Arial"/>
          <w:sz w:val="17"/>
          <w:szCs w:val="17"/>
          <w:color w:val="auto"/>
        </w:rPr>
      </w:pPr>
      <w:r>
        <w:rPr>
          <w:rFonts w:ascii="Arial" w:cs="Arial" w:eastAsia="Arial" w:hAnsi="Arial"/>
          <w:sz w:val="17"/>
          <w:szCs w:val="17"/>
          <w:i w:val="1"/>
          <w:iCs w:val="1"/>
          <w:color w:val="auto"/>
        </w:rPr>
        <w:t>Compliance with Certain Obligations</w:t>
      </w:r>
      <w:r>
        <w:rPr>
          <w:rFonts w:ascii="Arial" w:cs="Arial" w:eastAsia="Arial" w:hAnsi="Arial"/>
          <w:sz w:val="17"/>
          <w:szCs w:val="17"/>
          <w:color w:val="auto"/>
        </w:rPr>
        <w:t>. The Company shall have performed each of its obligations under Section 3(o) – 3(q) and</w:t>
      </w:r>
    </w:p>
    <w:p>
      <w:pPr>
        <w:spacing w:after="0" w:line="34" w:lineRule="exact"/>
        <w:rPr>
          <w:rFonts w:ascii="Arial" w:cs="Arial" w:eastAsia="Arial" w:hAnsi="Arial"/>
          <w:sz w:val="17"/>
          <w:szCs w:val="17"/>
          <w:color w:val="auto"/>
        </w:rPr>
      </w:pPr>
    </w:p>
    <w:p>
      <w:pPr>
        <w:ind w:left="4"/>
        <w:spacing w:after="0"/>
        <w:rPr>
          <w:rFonts w:ascii="Arial" w:cs="Arial" w:eastAsia="Arial" w:hAnsi="Arial"/>
          <w:sz w:val="17"/>
          <w:szCs w:val="17"/>
          <w:color w:val="auto"/>
        </w:rPr>
      </w:pPr>
      <w:r>
        <w:rPr>
          <w:rFonts w:ascii="Arial" w:cs="Arial" w:eastAsia="Arial" w:hAnsi="Arial"/>
          <w:sz w:val="18"/>
          <w:szCs w:val="18"/>
          <w:color w:val="auto"/>
        </w:rPr>
        <w:t>Section 3(v).</w:t>
      </w:r>
    </w:p>
    <w:p>
      <w:pPr>
        <w:sectPr>
          <w:pgSz w:w="11900" w:h="16838" w:orient="portrait"/>
          <w:cols w:equalWidth="0" w:num="1">
            <w:col w:w="11024"/>
          </w:cols>
          <w:pgMar w:left="436" w:top="274" w:right="439" w:bottom="1440" w:gutter="0" w:footer="0" w:header="0"/>
        </w:sectPr>
      </w:pPr>
    </w:p>
    <w:bookmarkStart w:id="99" w:name="page100"/>
    <w:bookmarkEnd w:id="99"/>
    <w:p>
      <w:pPr>
        <w:ind w:firstLine="987"/>
        <w:spacing w:after="0" w:line="275" w:lineRule="auto"/>
        <w:tabs>
          <w:tab w:leader="none" w:pos="1246" w:val="left"/>
        </w:tabs>
        <w:numPr>
          <w:ilvl w:val="0"/>
          <w:numId w:val="80"/>
        </w:numPr>
        <w:rPr>
          <w:rFonts w:ascii="Arial" w:cs="Arial" w:eastAsia="Arial" w:hAnsi="Arial"/>
          <w:sz w:val="17"/>
          <w:szCs w:val="17"/>
          <w:color w:val="auto"/>
        </w:rPr>
      </w:pPr>
      <w:r>
        <w:rPr>
          <w:rFonts w:ascii="Arial" w:cs="Arial" w:eastAsia="Arial" w:hAnsi="Arial"/>
          <w:sz w:val="17"/>
          <w:szCs w:val="17"/>
          <w:i w:val="1"/>
          <w:iCs w:val="1"/>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132" name="Picture 1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2"/>
                    <pic:cNvPicPr>
                      <a:picLocks noChangeAspect="1" noChangeArrowheads="1"/>
                    </pic:cNvPicPr>
                  </pic:nvPicPr>
                  <pic:blipFill>
                    <a:blip r:embed="rId154">
                      <a:extLst>
                        <a:ext uri="{28A0092B-C50C-407E-A947-70E740481C1C}"/>
                      </a:extLst>
                    </a:blip>
                    <a:srcRect/>
                    <a:stretch>
                      <a:fillRect/>
                    </a:stretch>
                  </pic:blipFill>
                  <pic:spPr bwMode="auto">
                    <a:xfrm>
                      <a:off x="0" y="0"/>
                      <a:ext cx="7149465" cy="25400"/>
                    </a:xfrm>
                    <a:prstGeom prst="rect">
                      <a:avLst/>
                    </a:prstGeom>
                    <a:noFill/>
                  </pic:spPr>
                </pic:pic>
              </a:graphicData>
            </a:graphic>
          </wp:anchor>
        </w:drawing>
        <w:t>Opinion of Agent Counsel</w:t>
      </w:r>
      <w:r>
        <w:rPr>
          <w:rFonts w:ascii="Arial" w:cs="Arial" w:eastAsia="Arial" w:hAnsi="Arial"/>
          <w:sz w:val="17"/>
          <w:szCs w:val="17"/>
          <w:color w:val="auto"/>
        </w:rPr>
        <w:t>. On each Representation Date to which a waiver does not apply, there shall have been furnished to the Agent</w:t>
      </w:r>
      <w:r>
        <w:rPr>
          <w:rFonts w:ascii="Arial" w:cs="Arial" w:eastAsia="Arial" w:hAnsi="Arial"/>
          <w:sz w:val="17"/>
          <w:szCs w:val="17"/>
          <w:i w:val="1"/>
          <w:iCs w:val="1"/>
          <w:color w:val="auto"/>
        </w:rPr>
        <w:t xml:space="preserve"> </w:t>
      </w:r>
      <w:r>
        <w:rPr>
          <w:rFonts w:ascii="Arial" w:cs="Arial" w:eastAsia="Arial" w:hAnsi="Arial"/>
          <w:sz w:val="17"/>
          <w:szCs w:val="17"/>
          <w:color w:val="auto"/>
        </w:rPr>
        <w:t>the opinion and negative assurance letter of Dechert LLP, counsel for the Agent, dated as of such Representation Date and addressed to the Agent, in a form reasonably satisfactory to the Agent, and such counsel shall have received such papers and information as they request to enable them to pass upon such matters; provided however, the opinion of Dechert LLP shall only be required prior to the first Placement Notice, and thereafter, only a negative assurance letter of such counsel shall be required for each subsequent Representation Date.</w:t>
      </w:r>
    </w:p>
    <w:p>
      <w:pPr>
        <w:spacing w:after="0" w:line="68" w:lineRule="exact"/>
        <w:rPr>
          <w:rFonts w:ascii="Arial" w:cs="Arial" w:eastAsia="Arial" w:hAnsi="Arial"/>
          <w:sz w:val="17"/>
          <w:szCs w:val="17"/>
          <w:color w:val="auto"/>
        </w:rPr>
      </w:pPr>
    </w:p>
    <w:p>
      <w:pPr>
        <w:ind w:right="420" w:firstLine="987"/>
        <w:spacing w:after="0" w:line="277" w:lineRule="auto"/>
        <w:tabs>
          <w:tab w:leader="none" w:pos="1246" w:val="left"/>
        </w:tabs>
        <w:numPr>
          <w:ilvl w:val="0"/>
          <w:numId w:val="80"/>
        </w:numPr>
        <w:rPr>
          <w:rFonts w:ascii="Arial" w:cs="Arial" w:eastAsia="Arial" w:hAnsi="Arial"/>
          <w:sz w:val="18"/>
          <w:szCs w:val="18"/>
          <w:color w:val="auto"/>
        </w:rPr>
      </w:pPr>
      <w:r>
        <w:rPr>
          <w:rFonts w:ascii="Arial" w:cs="Arial" w:eastAsia="Arial" w:hAnsi="Arial"/>
          <w:sz w:val="18"/>
          <w:szCs w:val="18"/>
          <w:i w:val="1"/>
          <w:iCs w:val="1"/>
          <w:color w:val="auto"/>
        </w:rPr>
        <w:t>Representation Certificate</w:t>
      </w:r>
      <w:r>
        <w:rPr>
          <w:rFonts w:ascii="Arial" w:cs="Arial" w:eastAsia="Arial" w:hAnsi="Arial"/>
          <w:sz w:val="18"/>
          <w:szCs w:val="18"/>
          <w:color w:val="auto"/>
        </w:rPr>
        <w:t>. On or prior to the first Placement Notice, the Agent shall have received the Representation Certificate</w:t>
      </w:r>
      <w:r>
        <w:rPr>
          <w:rFonts w:ascii="Arial" w:cs="Arial" w:eastAsia="Arial" w:hAnsi="Arial"/>
          <w:sz w:val="18"/>
          <w:szCs w:val="18"/>
          <w:i w:val="1"/>
          <w:iCs w:val="1"/>
          <w:color w:val="auto"/>
        </w:rPr>
        <w:t xml:space="preserve"> </w:t>
      </w:r>
      <w:r>
        <w:rPr>
          <w:rFonts w:ascii="Arial" w:cs="Arial" w:eastAsia="Arial" w:hAnsi="Arial"/>
          <w:sz w:val="18"/>
          <w:szCs w:val="18"/>
          <w:color w:val="auto"/>
        </w:rPr>
        <w:t xml:space="preserve">substantially in the form of </w:t>
      </w:r>
      <w:r>
        <w:rPr>
          <w:rFonts w:ascii="Arial" w:cs="Arial" w:eastAsia="Arial" w:hAnsi="Arial"/>
          <w:sz w:val="18"/>
          <w:szCs w:val="18"/>
          <w:u w:val="single" w:color="auto"/>
          <w:color w:val="auto"/>
        </w:rPr>
        <w:t>Schedule 3</w:t>
      </w:r>
      <w:r>
        <w:rPr>
          <w:rFonts w:ascii="Arial" w:cs="Arial" w:eastAsia="Arial" w:hAnsi="Arial"/>
          <w:sz w:val="18"/>
          <w:szCs w:val="18"/>
          <w:color w:val="auto"/>
        </w:rPr>
        <w:t xml:space="preserve"> hereto.</w:t>
      </w:r>
    </w:p>
    <w:p>
      <w:pPr>
        <w:spacing w:after="0" w:line="62" w:lineRule="exact"/>
        <w:rPr>
          <w:rFonts w:ascii="Arial" w:cs="Arial" w:eastAsia="Arial" w:hAnsi="Arial"/>
          <w:sz w:val="18"/>
          <w:szCs w:val="18"/>
          <w:color w:val="auto"/>
        </w:rPr>
      </w:pPr>
    </w:p>
    <w:p>
      <w:pPr>
        <w:ind w:left="1200" w:hanging="213"/>
        <w:spacing w:after="0"/>
        <w:tabs>
          <w:tab w:leader="none" w:pos="1200" w:val="left"/>
        </w:tabs>
        <w:numPr>
          <w:ilvl w:val="0"/>
          <w:numId w:val="80"/>
        </w:numPr>
        <w:rPr>
          <w:rFonts w:ascii="Arial" w:cs="Arial" w:eastAsia="Arial" w:hAnsi="Arial"/>
          <w:sz w:val="17"/>
          <w:szCs w:val="17"/>
          <w:color w:val="auto"/>
        </w:rPr>
      </w:pPr>
      <w:r>
        <w:rPr>
          <w:rFonts w:ascii="Arial" w:cs="Arial" w:eastAsia="Arial" w:hAnsi="Arial"/>
          <w:sz w:val="17"/>
          <w:szCs w:val="17"/>
          <w:i w:val="1"/>
          <w:iCs w:val="1"/>
          <w:color w:val="auto"/>
        </w:rPr>
        <w:t>No Objection by FINRA</w:t>
      </w:r>
      <w:r>
        <w:rPr>
          <w:rFonts w:ascii="Arial" w:cs="Arial" w:eastAsia="Arial" w:hAnsi="Arial"/>
          <w:sz w:val="17"/>
          <w:szCs w:val="17"/>
          <w:color w:val="auto"/>
        </w:rPr>
        <w:t>. FINRA shall have raised no objection to the fairness and reasonableness of the underwriting terms and</w:t>
      </w:r>
    </w:p>
    <w:p>
      <w:pPr>
        <w:spacing w:after="0" w:line="34" w:lineRule="exact"/>
        <w:rPr>
          <w:rFonts w:ascii="Arial" w:cs="Arial" w:eastAsia="Arial" w:hAnsi="Arial"/>
          <w:sz w:val="17"/>
          <w:szCs w:val="17"/>
          <w:color w:val="auto"/>
        </w:rPr>
      </w:pPr>
    </w:p>
    <w:p>
      <w:pPr>
        <w:spacing w:after="0"/>
        <w:rPr>
          <w:rFonts w:ascii="Arial" w:cs="Arial" w:eastAsia="Arial" w:hAnsi="Arial"/>
          <w:sz w:val="17"/>
          <w:szCs w:val="17"/>
          <w:color w:val="auto"/>
        </w:rPr>
      </w:pPr>
      <w:r>
        <w:rPr>
          <w:rFonts w:ascii="Arial" w:cs="Arial" w:eastAsia="Arial" w:hAnsi="Arial"/>
          <w:sz w:val="18"/>
          <w:szCs w:val="18"/>
          <w:color w:val="auto"/>
        </w:rPr>
        <w:t>arrangements.</w:t>
      </w:r>
    </w:p>
    <w:p>
      <w:pPr>
        <w:spacing w:after="0" w:line="102" w:lineRule="exact"/>
        <w:rPr>
          <w:rFonts w:ascii="Arial" w:cs="Arial" w:eastAsia="Arial" w:hAnsi="Arial"/>
          <w:sz w:val="17"/>
          <w:szCs w:val="17"/>
          <w:color w:val="auto"/>
        </w:rPr>
      </w:pPr>
    </w:p>
    <w:p>
      <w:pPr>
        <w:ind w:right="80" w:firstLine="987"/>
        <w:spacing w:after="0" w:line="263" w:lineRule="auto"/>
        <w:tabs>
          <w:tab w:leader="none" w:pos="1206" w:val="left"/>
        </w:tabs>
        <w:numPr>
          <w:ilvl w:val="0"/>
          <w:numId w:val="80"/>
        </w:numPr>
        <w:rPr>
          <w:rFonts w:ascii="Arial" w:cs="Arial" w:eastAsia="Arial" w:hAnsi="Arial"/>
          <w:sz w:val="18"/>
          <w:szCs w:val="18"/>
          <w:color w:val="auto"/>
        </w:rPr>
      </w:pPr>
      <w:r>
        <w:rPr>
          <w:rFonts w:ascii="Arial" w:cs="Arial" w:eastAsia="Arial" w:hAnsi="Arial"/>
          <w:sz w:val="18"/>
          <w:szCs w:val="18"/>
          <w:i w:val="1"/>
          <w:iCs w:val="1"/>
          <w:color w:val="auto"/>
        </w:rPr>
        <w:t>Timely Filing of Prospectus</w:t>
      </w:r>
      <w:r>
        <w:rPr>
          <w:rFonts w:ascii="Arial" w:cs="Arial" w:eastAsia="Arial" w:hAnsi="Arial"/>
          <w:sz w:val="18"/>
          <w:szCs w:val="18"/>
          <w:color w:val="auto"/>
        </w:rPr>
        <w:t>. All filings with the Commission required by Rule 424 under the Securities Act to have been filed by the</w:t>
      </w:r>
      <w:r>
        <w:rPr>
          <w:rFonts w:ascii="Arial" w:cs="Arial" w:eastAsia="Arial" w:hAnsi="Arial"/>
          <w:sz w:val="18"/>
          <w:szCs w:val="18"/>
          <w:i w:val="1"/>
          <w:iCs w:val="1"/>
          <w:color w:val="auto"/>
        </w:rPr>
        <w:t xml:space="preserve"> </w:t>
      </w:r>
      <w:r>
        <w:rPr>
          <w:rFonts w:ascii="Arial" w:cs="Arial" w:eastAsia="Arial" w:hAnsi="Arial"/>
          <w:sz w:val="18"/>
          <w:szCs w:val="18"/>
          <w:color w:val="auto"/>
        </w:rPr>
        <w:t>Settlement Date, as the case may be, shall have been made within the applicable time period prescribed for such filing by Rule 424 under the Securities Act.</w:t>
      </w:r>
    </w:p>
    <w:p>
      <w:pPr>
        <w:spacing w:after="0" w:line="75" w:lineRule="exact"/>
        <w:rPr>
          <w:rFonts w:ascii="Arial" w:cs="Arial" w:eastAsia="Arial" w:hAnsi="Arial"/>
          <w:sz w:val="18"/>
          <w:szCs w:val="18"/>
          <w:color w:val="auto"/>
        </w:rPr>
      </w:pPr>
    </w:p>
    <w:p>
      <w:pPr>
        <w:ind w:right="480" w:firstLine="987"/>
        <w:spacing w:after="0" w:line="277" w:lineRule="auto"/>
        <w:tabs>
          <w:tab w:leader="none" w:pos="1246" w:val="left"/>
        </w:tabs>
        <w:numPr>
          <w:ilvl w:val="0"/>
          <w:numId w:val="80"/>
        </w:numPr>
        <w:rPr>
          <w:rFonts w:ascii="Arial" w:cs="Arial" w:eastAsia="Arial" w:hAnsi="Arial"/>
          <w:sz w:val="18"/>
          <w:szCs w:val="18"/>
          <w:color w:val="auto"/>
        </w:rPr>
      </w:pPr>
      <w:r>
        <w:rPr>
          <w:rFonts w:ascii="Arial" w:cs="Arial" w:eastAsia="Arial" w:hAnsi="Arial"/>
          <w:sz w:val="18"/>
          <w:szCs w:val="18"/>
          <w:i w:val="1"/>
          <w:iCs w:val="1"/>
          <w:color w:val="auto"/>
        </w:rPr>
        <w:t>Additional Documents and Certificates</w:t>
      </w:r>
      <w:r>
        <w:rPr>
          <w:rFonts w:ascii="Arial" w:cs="Arial" w:eastAsia="Arial" w:hAnsi="Arial"/>
          <w:sz w:val="18"/>
          <w:szCs w:val="18"/>
          <w:color w:val="auto"/>
        </w:rPr>
        <w:t>. The Company shall have furnished to the Agent and the Agent’s counsel such additional</w:t>
      </w:r>
      <w:r>
        <w:rPr>
          <w:rFonts w:ascii="Arial" w:cs="Arial" w:eastAsia="Arial" w:hAnsi="Arial"/>
          <w:sz w:val="18"/>
          <w:szCs w:val="18"/>
          <w:i w:val="1"/>
          <w:iCs w:val="1"/>
          <w:color w:val="auto"/>
        </w:rPr>
        <w:t xml:space="preserve"> </w:t>
      </w:r>
      <w:r>
        <w:rPr>
          <w:rFonts w:ascii="Arial" w:cs="Arial" w:eastAsia="Arial" w:hAnsi="Arial"/>
          <w:sz w:val="18"/>
          <w:szCs w:val="18"/>
          <w:color w:val="auto"/>
        </w:rPr>
        <w:t>documents, certificates and evidence as they may have reasonably requested.</w:t>
      </w:r>
    </w:p>
    <w:p>
      <w:pPr>
        <w:spacing w:after="0" w:line="170" w:lineRule="exact"/>
        <w:rPr>
          <w:sz w:val="20"/>
          <w:szCs w:val="20"/>
          <w:color w:val="auto"/>
        </w:rPr>
      </w:pPr>
    </w:p>
    <w:p>
      <w:pPr>
        <w:jc w:val="both"/>
        <w:ind w:right="80" w:firstLine="991"/>
        <w:spacing w:after="0" w:line="263" w:lineRule="auto"/>
        <w:rPr>
          <w:sz w:val="20"/>
          <w:szCs w:val="20"/>
          <w:color w:val="auto"/>
        </w:rPr>
      </w:pPr>
      <w:r>
        <w:rPr>
          <w:rFonts w:ascii="Arial" w:cs="Arial" w:eastAsia="Arial" w:hAnsi="Arial"/>
          <w:sz w:val="18"/>
          <w:szCs w:val="18"/>
          <w:color w:val="auto"/>
        </w:rPr>
        <w:t>All opinions, certificates, letters and other documents described in this Section 4 will be in compliance with the provisions hereof only if they are reasonably satisfactory in form and substance to the Agent and the Agent’s counsel. The Company will furnish the Agent with such conformed copies of such opinions, certificates, letters and other documents as the Agent shall reasonably request.</w:t>
      </w:r>
    </w:p>
    <w:p>
      <w:pPr>
        <w:spacing w:after="0" w:line="184" w:lineRule="exact"/>
        <w:rPr>
          <w:sz w:val="20"/>
          <w:szCs w:val="20"/>
          <w:color w:val="auto"/>
        </w:rPr>
      </w:pPr>
    </w:p>
    <w:p>
      <w:pPr>
        <w:ind w:left="620" w:hanging="184"/>
        <w:spacing w:after="0"/>
        <w:tabs>
          <w:tab w:leader="none" w:pos="620" w:val="left"/>
        </w:tabs>
        <w:numPr>
          <w:ilvl w:val="0"/>
          <w:numId w:val="81"/>
        </w:numPr>
        <w:rPr>
          <w:rFonts w:ascii="Arial" w:cs="Arial" w:eastAsia="Arial" w:hAnsi="Arial"/>
          <w:sz w:val="18"/>
          <w:szCs w:val="18"/>
          <w:b w:val="1"/>
          <w:bCs w:val="1"/>
          <w:i w:val="1"/>
          <w:iCs w:val="1"/>
          <w:color w:val="auto"/>
        </w:rPr>
      </w:pPr>
      <w:r>
        <w:rPr>
          <w:rFonts w:ascii="Arial" w:cs="Arial" w:eastAsia="Arial" w:hAnsi="Arial"/>
          <w:sz w:val="18"/>
          <w:szCs w:val="18"/>
          <w:b w:val="1"/>
          <w:bCs w:val="1"/>
          <w:i w:val="1"/>
          <w:iCs w:val="1"/>
          <w:color w:val="auto"/>
        </w:rPr>
        <w:t>Indemnification and Contribution</w:t>
      </w:r>
      <w:r>
        <w:rPr>
          <w:rFonts w:ascii="Arial" w:cs="Arial" w:eastAsia="Arial" w:hAnsi="Arial"/>
          <w:sz w:val="18"/>
          <w:szCs w:val="18"/>
          <w:color w:val="auto"/>
        </w:rPr>
        <w:t>.</w:t>
      </w:r>
    </w:p>
    <w:p>
      <w:pPr>
        <w:spacing w:after="0" w:line="117" w:lineRule="exact"/>
        <w:rPr>
          <w:rFonts w:ascii="Arial" w:cs="Arial" w:eastAsia="Arial" w:hAnsi="Arial"/>
          <w:sz w:val="18"/>
          <w:szCs w:val="18"/>
          <w:b w:val="1"/>
          <w:bCs w:val="1"/>
          <w:i w:val="1"/>
          <w:iCs w:val="1"/>
          <w:color w:val="auto"/>
        </w:rPr>
      </w:pPr>
    </w:p>
    <w:p>
      <w:pPr>
        <w:ind w:right="220" w:firstLine="987"/>
        <w:spacing w:after="0" w:line="257" w:lineRule="auto"/>
        <w:tabs>
          <w:tab w:leader="none" w:pos="1236" w:val="left"/>
        </w:tabs>
        <w:numPr>
          <w:ilvl w:val="1"/>
          <w:numId w:val="81"/>
        </w:numPr>
        <w:rPr>
          <w:rFonts w:ascii="Arial" w:cs="Arial" w:eastAsia="Arial" w:hAnsi="Arial"/>
          <w:sz w:val="18"/>
          <w:szCs w:val="18"/>
          <w:color w:val="auto"/>
        </w:rPr>
      </w:pPr>
      <w:r>
        <w:rPr>
          <w:rFonts w:ascii="Arial" w:cs="Arial" w:eastAsia="Arial" w:hAnsi="Arial"/>
          <w:sz w:val="18"/>
          <w:szCs w:val="18"/>
          <w:i w:val="1"/>
          <w:iCs w:val="1"/>
          <w:color w:val="auto"/>
        </w:rPr>
        <w:t>Company Indemnification</w:t>
      </w:r>
      <w:r>
        <w:rPr>
          <w:rFonts w:ascii="Arial" w:cs="Arial" w:eastAsia="Arial" w:hAnsi="Arial"/>
          <w:sz w:val="18"/>
          <w:szCs w:val="18"/>
          <w:color w:val="auto"/>
        </w:rPr>
        <w:t>. The Company agrees to indemnify and hold harmless the Agent, its affiliates, directors, officers and</w:t>
      </w:r>
      <w:r>
        <w:rPr>
          <w:rFonts w:ascii="Arial" w:cs="Arial" w:eastAsia="Arial" w:hAnsi="Arial"/>
          <w:sz w:val="18"/>
          <w:szCs w:val="18"/>
          <w:i w:val="1"/>
          <w:iCs w:val="1"/>
          <w:color w:val="auto"/>
        </w:rPr>
        <w:t xml:space="preserve"> </w:t>
      </w:r>
      <w:r>
        <w:rPr>
          <w:rFonts w:ascii="Arial" w:cs="Arial" w:eastAsia="Arial" w:hAnsi="Arial"/>
          <w:sz w:val="18"/>
          <w:szCs w:val="18"/>
          <w:color w:val="auto"/>
        </w:rPr>
        <w:t>employees, and each person, if any, who controls the Agent within the meaning of Section 15 of the Securities Act or Section 20 of the Exchange Act against any losses, claims, damages or liabilities, joint or several, to which the Agent may become subject, under the Securities Act or otherwise (including in settlement of any litigation), insofar as such losses, claims, damages or liabilities (or actions in respect thereof) arise out of or are based upon, in whole or in part:</w:t>
      </w:r>
    </w:p>
    <w:p>
      <w:pPr>
        <w:spacing w:after="0" w:line="80" w:lineRule="exact"/>
        <w:rPr>
          <w:sz w:val="20"/>
          <w:szCs w:val="20"/>
          <w:color w:val="auto"/>
        </w:rPr>
      </w:pPr>
    </w:p>
    <w:p>
      <w:pPr>
        <w:ind w:firstLine="987"/>
        <w:spacing w:after="0" w:line="259" w:lineRule="auto"/>
        <w:tabs>
          <w:tab w:leader="none" w:pos="1206" w:val="left"/>
        </w:tabs>
        <w:numPr>
          <w:ilvl w:val="0"/>
          <w:numId w:val="82"/>
        </w:numPr>
        <w:rPr>
          <w:rFonts w:ascii="Arial" w:cs="Arial" w:eastAsia="Arial" w:hAnsi="Arial"/>
          <w:sz w:val="18"/>
          <w:szCs w:val="18"/>
          <w:color w:val="auto"/>
        </w:rPr>
      </w:pPr>
      <w:r>
        <w:rPr>
          <w:rFonts w:ascii="Arial" w:cs="Arial" w:eastAsia="Arial" w:hAnsi="Arial"/>
          <w:sz w:val="18"/>
          <w:szCs w:val="18"/>
          <w:color w:val="auto"/>
        </w:rPr>
        <w:t>an untrue statement or alleged untrue statement of a material fact contained in the Registration Statement, including the Rule 430B Information (as defined below) and at any subsequent time pursuant to Rules 430A and 430B promulgated under the Securities Act, and any other information deemed to be part of the Registration Statement at the time of effectiveness, and at any subsequent time pursuant to the Securities Act or the Exchange Act, and the Prospectus, or</w:t>
      </w:r>
    </w:p>
    <w:p>
      <w:pPr>
        <w:sectPr>
          <w:pgSz w:w="11900" w:h="16838" w:orient="portrait"/>
          <w:cols w:equalWidth="0" w:num="1">
            <w:col w:w="10980"/>
          </w:cols>
          <w:pgMar w:left="440" w:top="274" w:right="479" w:bottom="1440" w:gutter="0" w:footer="0" w:header="0"/>
        </w:sectPr>
      </w:pPr>
    </w:p>
    <w:bookmarkStart w:id="100" w:name="page101"/>
    <w:bookmarkEnd w:id="100"/>
    <w:p>
      <w:pPr>
        <w:ind w:right="340"/>
        <w:spacing w:after="0" w:line="311"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133" name="Picture 1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3"/>
                    <pic:cNvPicPr>
                      <a:picLocks noChangeAspect="1" noChangeArrowheads="1"/>
                    </pic:cNvPicPr>
                  </pic:nvPicPr>
                  <pic:blipFill>
                    <a:blip r:embed="rId155">
                      <a:extLst>
                        <a:ext uri="{28A0092B-C50C-407E-A947-70E740481C1C}"/>
                      </a:extLst>
                    </a:blip>
                    <a:srcRect/>
                    <a:stretch>
                      <a:fillRect/>
                    </a:stretch>
                  </pic:blipFill>
                  <pic:spPr bwMode="auto">
                    <a:xfrm>
                      <a:off x="0" y="0"/>
                      <a:ext cx="7149465" cy="25400"/>
                    </a:xfrm>
                    <a:prstGeom prst="rect">
                      <a:avLst/>
                    </a:prstGeom>
                    <a:noFill/>
                  </pic:spPr>
                </pic:pic>
              </a:graphicData>
            </a:graphic>
          </wp:anchor>
        </w:drawing>
        <w:t xml:space="preserve">any amendment or supplement thereto (including any documents filed under the Exchange Act and deemed to be incorporated by reference into the Prospectus), any Permitted Free Writing Prospectus, or any roadshow as defined in Rule 433(h) under the Securities Act (a </w:t>
      </w:r>
      <w:r>
        <w:rPr>
          <w:rFonts w:ascii="Arial" w:cs="Arial" w:eastAsia="Arial" w:hAnsi="Arial"/>
          <w:sz w:val="16"/>
          <w:szCs w:val="16"/>
          <w:b w:val="1"/>
          <w:bCs w:val="1"/>
          <w:i w:val="1"/>
          <w:iCs w:val="1"/>
          <w:color w:val="auto"/>
        </w:rPr>
        <w:t>“road show”</w:t>
      </w:r>
      <w:r>
        <w:rPr>
          <w:rFonts w:ascii="Arial" w:cs="Arial" w:eastAsia="Arial" w:hAnsi="Arial"/>
          <w:sz w:val="16"/>
          <w:szCs w:val="16"/>
          <w:color w:val="auto"/>
        </w:rPr>
        <w:t>), or an omission or alleged omission to state therein a material fact required to be stated therein or necessary to make the statements therein not misleading,</w:t>
      </w:r>
    </w:p>
    <w:p>
      <w:pPr>
        <w:spacing w:after="0" w:line="41" w:lineRule="exact"/>
        <w:rPr>
          <w:sz w:val="20"/>
          <w:szCs w:val="20"/>
          <w:color w:val="auto"/>
        </w:rPr>
      </w:pPr>
    </w:p>
    <w:p>
      <w:pPr>
        <w:ind w:left="1260" w:hanging="273"/>
        <w:spacing w:after="0"/>
        <w:tabs>
          <w:tab w:leader="none" w:pos="1260" w:val="left"/>
        </w:tabs>
        <w:numPr>
          <w:ilvl w:val="0"/>
          <w:numId w:val="83"/>
        </w:numPr>
        <w:rPr>
          <w:rFonts w:ascii="Arial" w:cs="Arial" w:eastAsia="Arial" w:hAnsi="Arial"/>
          <w:sz w:val="18"/>
          <w:szCs w:val="18"/>
          <w:color w:val="auto"/>
        </w:rPr>
      </w:pPr>
      <w:r>
        <w:rPr>
          <w:rFonts w:ascii="Arial" w:cs="Arial" w:eastAsia="Arial" w:hAnsi="Arial"/>
          <w:sz w:val="18"/>
          <w:szCs w:val="18"/>
          <w:color w:val="auto"/>
        </w:rPr>
        <w:t>any inaccuracy in the representations and warranties of the Company contained herein;</w:t>
      </w:r>
    </w:p>
    <w:p>
      <w:pPr>
        <w:spacing w:after="0" w:line="117" w:lineRule="exact"/>
        <w:rPr>
          <w:rFonts w:ascii="Arial" w:cs="Arial" w:eastAsia="Arial" w:hAnsi="Arial"/>
          <w:sz w:val="18"/>
          <w:szCs w:val="18"/>
          <w:color w:val="auto"/>
        </w:rPr>
      </w:pPr>
    </w:p>
    <w:p>
      <w:pPr>
        <w:ind w:right="200" w:firstLine="987"/>
        <w:spacing w:after="0" w:line="277" w:lineRule="auto"/>
        <w:tabs>
          <w:tab w:leader="none" w:pos="1306" w:val="left"/>
        </w:tabs>
        <w:numPr>
          <w:ilvl w:val="0"/>
          <w:numId w:val="83"/>
        </w:numPr>
        <w:rPr>
          <w:rFonts w:ascii="Arial" w:cs="Arial" w:eastAsia="Arial" w:hAnsi="Arial"/>
          <w:sz w:val="18"/>
          <w:szCs w:val="18"/>
          <w:color w:val="auto"/>
        </w:rPr>
      </w:pPr>
      <w:r>
        <w:rPr>
          <w:rFonts w:ascii="Arial" w:cs="Arial" w:eastAsia="Arial" w:hAnsi="Arial"/>
          <w:sz w:val="18"/>
          <w:szCs w:val="18"/>
          <w:color w:val="auto"/>
        </w:rPr>
        <w:t>any investigation or proceeding by any governmental authority, commenced or threatened (whether or not the Agent is a target of or party to such investigation or proceeding); or</w:t>
      </w:r>
    </w:p>
    <w:p>
      <w:pPr>
        <w:spacing w:after="0" w:line="62" w:lineRule="exact"/>
        <w:rPr>
          <w:rFonts w:ascii="Arial" w:cs="Arial" w:eastAsia="Arial" w:hAnsi="Arial"/>
          <w:sz w:val="18"/>
          <w:szCs w:val="18"/>
          <w:color w:val="auto"/>
        </w:rPr>
      </w:pPr>
    </w:p>
    <w:p>
      <w:pPr>
        <w:ind w:left="1300" w:hanging="313"/>
        <w:spacing w:after="0"/>
        <w:tabs>
          <w:tab w:leader="none" w:pos="1300" w:val="left"/>
        </w:tabs>
        <w:numPr>
          <w:ilvl w:val="0"/>
          <w:numId w:val="83"/>
        </w:numPr>
        <w:rPr>
          <w:rFonts w:ascii="Arial" w:cs="Arial" w:eastAsia="Arial" w:hAnsi="Arial"/>
          <w:sz w:val="18"/>
          <w:szCs w:val="18"/>
          <w:color w:val="auto"/>
        </w:rPr>
      </w:pPr>
      <w:r>
        <w:rPr>
          <w:rFonts w:ascii="Arial" w:cs="Arial" w:eastAsia="Arial" w:hAnsi="Arial"/>
          <w:sz w:val="18"/>
          <w:szCs w:val="18"/>
          <w:color w:val="auto"/>
        </w:rPr>
        <w:t>any failure of the Company to perform its respective obligations hereunder or under law;</w:t>
      </w:r>
    </w:p>
    <w:p>
      <w:pPr>
        <w:spacing w:after="0" w:line="225" w:lineRule="exact"/>
        <w:rPr>
          <w:sz w:val="20"/>
          <w:szCs w:val="20"/>
          <w:color w:val="auto"/>
        </w:rPr>
      </w:pPr>
    </w:p>
    <w:p>
      <w:pPr>
        <w:ind w:right="60"/>
        <w:spacing w:after="0" w:line="254" w:lineRule="auto"/>
        <w:rPr>
          <w:sz w:val="20"/>
          <w:szCs w:val="20"/>
          <w:color w:val="auto"/>
        </w:rPr>
      </w:pPr>
      <w:r>
        <w:rPr>
          <w:rFonts w:ascii="Arial" w:cs="Arial" w:eastAsia="Arial" w:hAnsi="Arial"/>
          <w:sz w:val="18"/>
          <w:szCs w:val="18"/>
          <w:color w:val="auto"/>
        </w:rPr>
        <w:t xml:space="preserve">and will reimburse the Agent for any legal or other expenses reasonably incurred by it in connection with investigating or defending against such loss, claim, damage, liability or action; </w:t>
      </w:r>
      <w:r>
        <w:rPr>
          <w:rFonts w:ascii="Arial" w:cs="Arial" w:eastAsia="Arial" w:hAnsi="Arial"/>
          <w:sz w:val="18"/>
          <w:szCs w:val="18"/>
          <w:i w:val="1"/>
          <w:iCs w:val="1"/>
          <w:color w:val="auto"/>
        </w:rPr>
        <w:t>provided, however,</w:t>
      </w:r>
      <w:r>
        <w:rPr>
          <w:rFonts w:ascii="Arial" w:cs="Arial" w:eastAsia="Arial" w:hAnsi="Arial"/>
          <w:sz w:val="18"/>
          <w:szCs w:val="18"/>
          <w:color w:val="auto"/>
        </w:rPr>
        <w:t xml:space="preserve"> that the Company shall not be liable in any such case of (i) through (iv) to the extent that any such loss, claim, damage, liability or action arises out of or is based upon an untrue statement or alleged untrue statement or omission or alleged omission made in the Registration Statement, the Prospectus, or any such amendment or supplement, in reliance upon and in conformity with written information furnished to the Company by the Agent specifically for use in the preparation thereof. “</w:t>
      </w:r>
      <w:r>
        <w:rPr>
          <w:rFonts w:ascii="Arial" w:cs="Arial" w:eastAsia="Arial" w:hAnsi="Arial"/>
          <w:sz w:val="18"/>
          <w:szCs w:val="18"/>
          <w:b w:val="1"/>
          <w:bCs w:val="1"/>
          <w:i w:val="1"/>
          <w:iCs w:val="1"/>
          <w:color w:val="auto"/>
        </w:rPr>
        <w:t>Rule 430B Information</w:t>
      </w:r>
      <w:r>
        <w:rPr>
          <w:rFonts w:ascii="Arial" w:cs="Arial" w:eastAsia="Arial" w:hAnsi="Arial"/>
          <w:sz w:val="18"/>
          <w:szCs w:val="18"/>
          <w:color w:val="auto"/>
        </w:rPr>
        <w:t>,” as used herein, means information with respect to the Shares and the offering thereof permitted to be omitted from the Registration Statement when it becomes effective pursuant to Rule 430B.</w:t>
      </w:r>
    </w:p>
    <w:p>
      <w:pPr>
        <w:spacing w:after="0" w:line="195" w:lineRule="exact"/>
        <w:rPr>
          <w:sz w:val="20"/>
          <w:szCs w:val="20"/>
          <w:color w:val="auto"/>
        </w:rPr>
      </w:pPr>
    </w:p>
    <w:p>
      <w:pPr>
        <w:ind w:firstLine="991"/>
        <w:spacing w:after="0" w:line="254" w:lineRule="auto"/>
        <w:rPr>
          <w:sz w:val="20"/>
          <w:szCs w:val="20"/>
          <w:color w:val="auto"/>
        </w:rPr>
      </w:pPr>
      <w:r>
        <w:rPr>
          <w:rFonts w:ascii="Arial" w:cs="Arial" w:eastAsia="Arial" w:hAnsi="Arial"/>
          <w:sz w:val="18"/>
          <w:szCs w:val="18"/>
          <w:color w:val="auto"/>
        </w:rPr>
        <w:t>In addition to its other obligations under this Section 5(a), the Company agrees that, as an interim measure during the pendency of any claim, action, investigation, inquiry or other proceeding arising out of or based upon any statement or omission, or any alleged statement or omission, described in this Section 5(a), it will reimburse the Agent on a monthly basis for all reasonable, actual and documented legal fees or other expenses incurred in connection with investigating or defending any such claim, action, investigation, inquiry or other proceeding, notwithstanding the absence of a judicial determination as to the propriety and enforceability of the Company’s obligation to reimburse the Agent for such expenses and the possibility that such payments might later be held to have been improper by a court of competent jurisdiction. Any such interim reimbursement payments which are not made to the Agent within 30 days of a request for reimbursement shall bear interest at the WSJ Prime Rate (as published from time to time by the Wall Street Journal).</w:t>
      </w:r>
    </w:p>
    <w:p>
      <w:pPr>
        <w:spacing w:after="0" w:line="84" w:lineRule="exact"/>
        <w:rPr>
          <w:sz w:val="20"/>
          <w:szCs w:val="20"/>
          <w:color w:val="auto"/>
        </w:rPr>
      </w:pPr>
    </w:p>
    <w:p>
      <w:pPr>
        <w:ind w:right="120" w:firstLine="987"/>
        <w:spacing w:after="0" w:line="301" w:lineRule="auto"/>
        <w:tabs>
          <w:tab w:leader="none" w:pos="1246" w:val="left"/>
        </w:tabs>
        <w:numPr>
          <w:ilvl w:val="0"/>
          <w:numId w:val="84"/>
        </w:numPr>
        <w:rPr>
          <w:rFonts w:ascii="Arial" w:cs="Arial" w:eastAsia="Arial" w:hAnsi="Arial"/>
          <w:sz w:val="16"/>
          <w:szCs w:val="16"/>
          <w:color w:val="auto"/>
        </w:rPr>
      </w:pPr>
      <w:r>
        <w:rPr>
          <w:rFonts w:ascii="Arial" w:cs="Arial" w:eastAsia="Arial" w:hAnsi="Arial"/>
          <w:sz w:val="16"/>
          <w:szCs w:val="16"/>
          <w:i w:val="1"/>
          <w:iCs w:val="1"/>
          <w:color w:val="auto"/>
        </w:rPr>
        <w:t>Agent Indemnification</w:t>
      </w:r>
      <w:r>
        <w:rPr>
          <w:rFonts w:ascii="Arial" w:cs="Arial" w:eastAsia="Arial" w:hAnsi="Arial"/>
          <w:sz w:val="16"/>
          <w:szCs w:val="16"/>
          <w:color w:val="auto"/>
        </w:rPr>
        <w:t>. The Agent will indemnify and hold harmless the Company against any losses, claims, damages or liabilities to</w:t>
      </w:r>
      <w:r>
        <w:rPr>
          <w:rFonts w:ascii="Arial" w:cs="Arial" w:eastAsia="Arial" w:hAnsi="Arial"/>
          <w:sz w:val="16"/>
          <w:szCs w:val="16"/>
          <w:i w:val="1"/>
          <w:iCs w:val="1"/>
          <w:color w:val="auto"/>
        </w:rPr>
        <w:t xml:space="preserve"> </w:t>
      </w:r>
      <w:r>
        <w:rPr>
          <w:rFonts w:ascii="Arial" w:cs="Arial" w:eastAsia="Arial" w:hAnsi="Arial"/>
          <w:sz w:val="16"/>
          <w:szCs w:val="16"/>
          <w:color w:val="auto"/>
        </w:rPr>
        <w:t>which the Company may become subject, under the Securities Act or otherwise (including in settlement of any litigation, if such settlement is effected with the written consent of the Agent), but only insofar as such losses, claims, damages or liabilities (or actions in respect thereof) arise out of or are based upon an untrue statement or alleged untrue statement of a material fact contained in the Registration Statement, the Prospectus,</w:t>
      </w:r>
    </w:p>
    <w:p>
      <w:pPr>
        <w:sectPr>
          <w:pgSz w:w="11900" w:h="16838" w:orient="portrait"/>
          <w:cols w:equalWidth="0" w:num="1">
            <w:col w:w="11000"/>
          </w:cols>
          <w:pgMar w:left="440" w:top="274" w:right="459" w:bottom="1440" w:gutter="0" w:footer="0" w:header="0"/>
        </w:sectPr>
      </w:pPr>
    </w:p>
    <w:bookmarkStart w:id="101" w:name="page102"/>
    <w:bookmarkEnd w:id="101"/>
    <w:p>
      <w:pPr>
        <w:spacing w:after="0" w:line="272" w:lineRule="auto"/>
        <w:rPr>
          <w:sz w:val="20"/>
          <w:szCs w:val="20"/>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134" name="Picture 1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4"/>
                    <pic:cNvPicPr>
                      <a:picLocks noChangeAspect="1" noChangeArrowheads="1"/>
                    </pic:cNvPicPr>
                  </pic:nvPicPr>
                  <pic:blipFill>
                    <a:blip r:embed="rId156">
                      <a:extLst>
                        <a:ext uri="{28A0092B-C50C-407E-A947-70E740481C1C}"/>
                      </a:extLst>
                    </a:blip>
                    <a:srcRect/>
                    <a:stretch>
                      <a:fillRect/>
                    </a:stretch>
                  </pic:blipFill>
                  <pic:spPr bwMode="auto">
                    <a:xfrm>
                      <a:off x="0" y="0"/>
                      <a:ext cx="7149465" cy="25400"/>
                    </a:xfrm>
                    <a:prstGeom prst="rect">
                      <a:avLst/>
                    </a:prstGeom>
                    <a:noFill/>
                  </pic:spPr>
                </pic:pic>
              </a:graphicData>
            </a:graphic>
          </wp:anchor>
        </w:drawing>
        <w:t>any amendment or supplement thereto, or arise out of or are based upon the omission or alleged omission to state therein a material fact required to be stated therein or necessary to make the statements therein not misleading, in each case to the extent, but only to the extent, that such untrue statement or alleged untrue statement or omission or alleged omission was made in conformity with written information furnished to the Company by the Agent specifically for use in the preparation thereof, it being understood and agreed that the only information furnished by the Agent for use in the Registration Statement or the Prospectus consists of the statements set forth in the second paragraph and the first sentence of the ninth paragraph under the caption “Plan of Distribution” in the Prospectus, and will reimburse the Company for any legal or other expenses reasonably incurred by the Company in connection with investigating or defending against any such loss, claim, damage, liability or action.</w:t>
      </w:r>
    </w:p>
    <w:p>
      <w:pPr>
        <w:spacing w:after="0" w:line="69" w:lineRule="exact"/>
        <w:rPr>
          <w:sz w:val="20"/>
          <w:szCs w:val="20"/>
          <w:color w:val="auto"/>
        </w:rPr>
      </w:pPr>
    </w:p>
    <w:p>
      <w:pPr>
        <w:ind w:firstLine="987"/>
        <w:spacing w:after="0" w:line="268" w:lineRule="auto"/>
        <w:tabs>
          <w:tab w:leader="none" w:pos="1236" w:val="left"/>
        </w:tabs>
        <w:numPr>
          <w:ilvl w:val="0"/>
          <w:numId w:val="85"/>
        </w:numPr>
        <w:rPr>
          <w:rFonts w:ascii="Arial" w:cs="Arial" w:eastAsia="Arial" w:hAnsi="Arial"/>
          <w:sz w:val="17"/>
          <w:szCs w:val="17"/>
          <w:color w:val="auto"/>
        </w:rPr>
      </w:pPr>
      <w:r>
        <w:rPr>
          <w:rFonts w:ascii="Arial" w:cs="Arial" w:eastAsia="Arial" w:hAnsi="Arial"/>
          <w:sz w:val="17"/>
          <w:szCs w:val="17"/>
          <w:i w:val="1"/>
          <w:iCs w:val="1"/>
          <w:color w:val="auto"/>
        </w:rPr>
        <w:t>Notice and Procedures</w:t>
      </w:r>
      <w:r>
        <w:rPr>
          <w:rFonts w:ascii="Arial" w:cs="Arial" w:eastAsia="Arial" w:hAnsi="Arial"/>
          <w:sz w:val="17"/>
          <w:szCs w:val="17"/>
          <w:color w:val="auto"/>
        </w:rPr>
        <w:t>. Promptly after receipt by an indemnified party under subsection (a) or (b) above of notice of the</w:t>
      </w:r>
      <w:r>
        <w:rPr>
          <w:rFonts w:ascii="Arial" w:cs="Arial" w:eastAsia="Arial" w:hAnsi="Arial"/>
          <w:sz w:val="17"/>
          <w:szCs w:val="17"/>
          <w:i w:val="1"/>
          <w:iCs w:val="1"/>
          <w:color w:val="auto"/>
        </w:rPr>
        <w:t xml:space="preserve"> </w:t>
      </w:r>
      <w:r>
        <w:rPr>
          <w:rFonts w:ascii="Arial" w:cs="Arial" w:eastAsia="Arial" w:hAnsi="Arial"/>
          <w:sz w:val="17"/>
          <w:szCs w:val="17"/>
          <w:color w:val="auto"/>
        </w:rPr>
        <w:t xml:space="preserve">commencement of any action, such indemnified party shall, if a claim in respect thereof is to be made against the indemnifying party under such subsection, notify the indemnifying party in writing of the commencement thereof; but the omission so to notify the indemnifying party shall not relieve the indemnifying party from any liability that it may have to any indemnified party except to the extent such indemnifying party has been materially prejudiced by such failure. In case any such action shall be brought against any indemnified party, and it shall notify the indemnifying party of the commencement thereof, the indemnifying party shall be entitled to participate in, and, to the extent that it shall wish, jointly with any other indemnifying party similarly notified, to assume the defense thereof, with counsel reasonably satisfactory to such indemnified party, and after notice from the indemnifying party to such indemnified party of the indemnifying party’s election so to assume the defense thereof, the indemnifying party shall not be liable to such indemnified party under such subsection for any legal or other expenses subsequently incurred by such indemnified party in connection with the defense thereof other than reasonable costs of investigation; </w:t>
      </w:r>
      <w:r>
        <w:rPr>
          <w:rFonts w:ascii="Arial" w:cs="Arial" w:eastAsia="Arial" w:hAnsi="Arial"/>
          <w:sz w:val="17"/>
          <w:szCs w:val="17"/>
          <w:i w:val="1"/>
          <w:iCs w:val="1"/>
          <w:color w:val="auto"/>
        </w:rPr>
        <w:t>provided</w:t>
      </w:r>
      <w:r>
        <w:rPr>
          <w:rFonts w:ascii="Arial" w:cs="Arial" w:eastAsia="Arial" w:hAnsi="Arial"/>
          <w:sz w:val="17"/>
          <w:szCs w:val="17"/>
          <w:color w:val="auto"/>
        </w:rPr>
        <w:t xml:space="preserve">, </w:t>
      </w:r>
      <w:r>
        <w:rPr>
          <w:rFonts w:ascii="Arial" w:cs="Arial" w:eastAsia="Arial" w:hAnsi="Arial"/>
          <w:sz w:val="17"/>
          <w:szCs w:val="17"/>
          <w:i w:val="1"/>
          <w:iCs w:val="1"/>
          <w:color w:val="auto"/>
        </w:rPr>
        <w:t>however</w:t>
      </w:r>
      <w:r>
        <w:rPr>
          <w:rFonts w:ascii="Arial" w:cs="Arial" w:eastAsia="Arial" w:hAnsi="Arial"/>
          <w:sz w:val="17"/>
          <w:szCs w:val="17"/>
          <w:color w:val="auto"/>
        </w:rPr>
        <w:t>, that if, in the sole judgment of the Agent, it is advisable for the Agent to be represented by separate counsel, the Agent shall have the right to employ a single counsel to represent the Agent, in which event the reasonable fees and expenses of such separate counsel shall be borne by the indemnifying party or parties and reimbursed to the Agent as incurred (in accordance with the provisions of the second paragraph in subsection (a) above).</w:t>
      </w:r>
    </w:p>
    <w:p>
      <w:pPr>
        <w:spacing w:after="0" w:line="186" w:lineRule="exact"/>
        <w:rPr>
          <w:sz w:val="20"/>
          <w:szCs w:val="20"/>
          <w:color w:val="auto"/>
        </w:rPr>
      </w:pPr>
    </w:p>
    <w:p>
      <w:pPr>
        <w:ind w:right="80" w:firstLine="991"/>
        <w:spacing w:after="0" w:line="289" w:lineRule="auto"/>
        <w:rPr>
          <w:sz w:val="20"/>
          <w:szCs w:val="20"/>
          <w:color w:val="auto"/>
        </w:rPr>
      </w:pPr>
      <w:r>
        <w:rPr>
          <w:rFonts w:ascii="Arial" w:cs="Arial" w:eastAsia="Arial" w:hAnsi="Arial"/>
          <w:sz w:val="16"/>
          <w:szCs w:val="16"/>
          <w:color w:val="auto"/>
        </w:rPr>
        <w:t>The indemnifying party under this Section 5 shall not be liable for any settlement of any proceeding effected without its written consent, but if settled with such consent or if there be a final judgment for the plaintiff, the indemnifying party agrees to indemnify the indemnified party against any loss, claim, damage, liability or expense by reason of such settlement or judgment. Notwithstanding the foregoing sentence, if at any time an indemnified party shall have requested an indemnifying party to reimburse the indemnified party for fees and expenses of counsel as contemplated by this Section 5, the indemnifying party agrees that it shall be liable for any settlement of any proceeding effected without its written consent if (i) such settlement is entered into more than 30 days after receipt by such indemnifying party of the aforesaid request, (ii) such indemnifying party shall have received notice of the terms of such settlement at least 30 days prior to such settlement being entered into, and (iii) such indemnifying party shall not have reimbursed the indemnified party in accordance with such request prior to the date of such settlement. No indemnifying party shall, without the prior written consent of the indemnified party, effect any settlement, compromise or consent to the entry of judgment in any pending or</w:t>
      </w:r>
    </w:p>
    <w:p>
      <w:pPr>
        <w:sectPr>
          <w:pgSz w:w="11900" w:h="16838" w:orient="portrait"/>
          <w:cols w:equalWidth="0" w:num="1">
            <w:col w:w="11000"/>
          </w:cols>
          <w:pgMar w:left="440" w:top="274" w:right="459" w:bottom="1440" w:gutter="0" w:footer="0" w:header="0"/>
        </w:sectPr>
      </w:pPr>
    </w:p>
    <w:bookmarkStart w:id="102" w:name="page103"/>
    <w:bookmarkEnd w:id="102"/>
    <w:p>
      <w:pPr>
        <w:ind w:left="4" w:right="80"/>
        <w:spacing w:after="0" w:line="259"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135" name="Picture 1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5"/>
                    <pic:cNvPicPr>
                      <a:picLocks noChangeAspect="1" noChangeArrowheads="1"/>
                    </pic:cNvPicPr>
                  </pic:nvPicPr>
                  <pic:blipFill>
                    <a:blip r:embed="rId157">
                      <a:extLst>
                        <a:ext uri="{28A0092B-C50C-407E-A947-70E740481C1C}"/>
                      </a:extLst>
                    </a:blip>
                    <a:srcRect/>
                    <a:stretch>
                      <a:fillRect/>
                    </a:stretch>
                  </pic:blipFill>
                  <pic:spPr bwMode="auto">
                    <a:xfrm>
                      <a:off x="0" y="0"/>
                      <a:ext cx="7149465" cy="25400"/>
                    </a:xfrm>
                    <a:prstGeom prst="rect">
                      <a:avLst/>
                    </a:prstGeom>
                    <a:noFill/>
                  </pic:spPr>
                </pic:pic>
              </a:graphicData>
            </a:graphic>
          </wp:anchor>
        </w:drawing>
        <w:t>threatened action, suit or proceeding in respect of which any indemnified party is or could have been a party and indemnity was or could have been sought hereunder by such indemnified party, unless such settlement, compromise or consent (a) includes an unconditional release of such indemnified party from all liability on claims that are the subject matter of such action, suit or proceeding and (b) does not include a statement as to or an admission of fault, culpability or a failure to act by or on behalf of any indemnified party.</w:t>
      </w:r>
    </w:p>
    <w:p>
      <w:pPr>
        <w:spacing w:after="0" w:line="79" w:lineRule="exact"/>
        <w:rPr>
          <w:sz w:val="20"/>
          <w:szCs w:val="20"/>
          <w:color w:val="auto"/>
        </w:rPr>
      </w:pPr>
    </w:p>
    <w:p>
      <w:pPr>
        <w:ind w:left="4" w:firstLine="987"/>
        <w:spacing w:after="0" w:line="286" w:lineRule="auto"/>
        <w:tabs>
          <w:tab w:leader="none" w:pos="1250" w:val="left"/>
        </w:tabs>
        <w:numPr>
          <w:ilvl w:val="2"/>
          <w:numId w:val="86"/>
        </w:numPr>
        <w:rPr>
          <w:rFonts w:ascii="Arial" w:cs="Arial" w:eastAsia="Arial" w:hAnsi="Arial"/>
          <w:sz w:val="16"/>
          <w:szCs w:val="16"/>
          <w:color w:val="auto"/>
        </w:rPr>
      </w:pPr>
      <w:r>
        <w:rPr>
          <w:rFonts w:ascii="Arial" w:cs="Arial" w:eastAsia="Arial" w:hAnsi="Arial"/>
          <w:sz w:val="16"/>
          <w:szCs w:val="16"/>
          <w:i w:val="1"/>
          <w:iCs w:val="1"/>
          <w:color w:val="auto"/>
        </w:rPr>
        <w:t>Contribution; Limitations on Liability; Non-Exclusive Remedy</w:t>
      </w:r>
      <w:r>
        <w:rPr>
          <w:rFonts w:ascii="Arial" w:cs="Arial" w:eastAsia="Arial" w:hAnsi="Arial"/>
          <w:sz w:val="16"/>
          <w:szCs w:val="16"/>
          <w:color w:val="auto"/>
        </w:rPr>
        <w:t>. If the indemnification provided for in this Section 5 is unavailable or</w:t>
      </w:r>
      <w:r>
        <w:rPr>
          <w:rFonts w:ascii="Arial" w:cs="Arial" w:eastAsia="Arial" w:hAnsi="Arial"/>
          <w:sz w:val="16"/>
          <w:szCs w:val="16"/>
          <w:i w:val="1"/>
          <w:iCs w:val="1"/>
          <w:color w:val="auto"/>
        </w:rPr>
        <w:t xml:space="preserve"> </w:t>
      </w:r>
      <w:r>
        <w:rPr>
          <w:rFonts w:ascii="Arial" w:cs="Arial" w:eastAsia="Arial" w:hAnsi="Arial"/>
          <w:sz w:val="16"/>
          <w:szCs w:val="16"/>
          <w:color w:val="auto"/>
        </w:rPr>
        <w:t>insufficient to hold harmless an indemnified party under subsection (a) or (b) above, then each indemnifying party shall contribute to the amount paid or payable by such indemnified party as a result of the losses, claims, damages or liabilities referred to in subsection (a) or (b) above, (i) in such proportion as is appropriate to reflect the relative benefits received by the Company on the one hand and the Agent on the other from the offering of the Shares, or</w:t>
      </w:r>
    </w:p>
    <w:p>
      <w:pPr>
        <w:spacing w:after="0" w:line="1" w:lineRule="exact"/>
        <w:rPr>
          <w:rFonts w:ascii="Arial" w:cs="Arial" w:eastAsia="Arial" w:hAnsi="Arial"/>
          <w:sz w:val="16"/>
          <w:szCs w:val="16"/>
          <w:color w:val="auto"/>
        </w:rPr>
      </w:pPr>
    </w:p>
    <w:p>
      <w:pPr>
        <w:ind w:left="4" w:hanging="4"/>
        <w:spacing w:after="0" w:line="284" w:lineRule="auto"/>
        <w:tabs>
          <w:tab w:leader="none" w:pos="269" w:val="left"/>
        </w:tabs>
        <w:numPr>
          <w:ilvl w:val="0"/>
          <w:numId w:val="87"/>
        </w:numPr>
        <w:rPr>
          <w:rFonts w:ascii="Arial" w:cs="Arial" w:eastAsia="Arial" w:hAnsi="Arial"/>
          <w:sz w:val="16"/>
          <w:szCs w:val="16"/>
          <w:color w:val="auto"/>
        </w:rPr>
      </w:pPr>
      <w:r>
        <w:rPr>
          <w:rFonts w:ascii="Arial" w:cs="Arial" w:eastAsia="Arial" w:hAnsi="Arial"/>
          <w:sz w:val="16"/>
          <w:szCs w:val="16"/>
          <w:color w:val="auto"/>
        </w:rPr>
        <w:t>if the allocation provided by clause (i) above is not permitted by applicable law, in such proportion as is appropriate to reflect not only the relative benefits referred to in clause (i) above but also the relative fault of the Company on the one hand and the Agent on the other in connection with the statements or omissions that resulted in such losses, claims, damages or liabilities, as well as any other relevant equitable considerations. The relative benefits received by the Company on the one hand and the Agent on the other shall be deemed to be in the same proportion as the total net proceeds from the offering (before deducting expenses) received by the Company bear to the total commissions received by the Agent (before deducting expenses) from the sale of the Shares. The relative fault shall be determined by reference to, among other things, whether the untrue or alleged untrue statement of a material fact or the omission or alleged omission to state a material fact relates to information supplied by the Company or the Agent, the intent of the parties and their relative knowledge, access to information and opportunity to correct or prevent such untrue statement or omission. The Company and the Agent agree that it would not be just and equitable if contributions pursuant to this subsection (d) were to be determined by pro rata allocation or by any other method of allocation which does not take account of the equitable considerations referred to in this subsection (d). The amount paid or payable by an indemnified party as a result of the losses, claims, damages or liabilities referred to in this subsection (d) shall be deemed to include any legal or other expenses reasonably incurred by such indemnified party in connection with investigating or defending against any action or claim which is the subject of this subsection (d). Notwithstanding the provisions of this subsection (d), the Agent shall not be required to contribute any amount in excess of the commissions received by it under this Agreement. No person guilty of fraudulent misrepresentation (within the meaning of Section 11(f) of the Securities Act) shall be entitled to contribution from any person who was not guilty of such fraudulent misrepresentation.</w:t>
      </w:r>
    </w:p>
    <w:p>
      <w:pPr>
        <w:spacing w:after="0" w:line="67" w:lineRule="exact"/>
        <w:rPr>
          <w:rFonts w:ascii="Arial" w:cs="Arial" w:eastAsia="Arial" w:hAnsi="Arial"/>
          <w:sz w:val="16"/>
          <w:szCs w:val="16"/>
          <w:color w:val="auto"/>
        </w:rPr>
      </w:pPr>
    </w:p>
    <w:p>
      <w:pPr>
        <w:ind w:left="4" w:right="40" w:firstLine="436"/>
        <w:spacing w:after="0" w:line="257" w:lineRule="auto"/>
        <w:tabs>
          <w:tab w:leader="none" w:pos="624" w:val="left"/>
        </w:tabs>
        <w:numPr>
          <w:ilvl w:val="1"/>
          <w:numId w:val="87"/>
        </w:numPr>
        <w:rPr>
          <w:rFonts w:ascii="Arial" w:cs="Arial" w:eastAsia="Arial" w:hAnsi="Arial"/>
          <w:sz w:val="18"/>
          <w:szCs w:val="18"/>
          <w:b w:val="1"/>
          <w:bCs w:val="1"/>
          <w:i w:val="1"/>
          <w:iCs w:val="1"/>
          <w:color w:val="auto"/>
        </w:rPr>
      </w:pPr>
      <w:r>
        <w:rPr>
          <w:rFonts w:ascii="Arial" w:cs="Arial" w:eastAsia="Arial" w:hAnsi="Arial"/>
          <w:sz w:val="18"/>
          <w:szCs w:val="18"/>
          <w:b w:val="1"/>
          <w:bCs w:val="1"/>
          <w:i w:val="1"/>
          <w:iCs w:val="1"/>
          <w:color w:val="auto"/>
        </w:rPr>
        <w:t>Representations and Agreements to Survive Delivery</w:t>
      </w:r>
      <w:r>
        <w:rPr>
          <w:rFonts w:ascii="Arial" w:cs="Arial" w:eastAsia="Arial" w:hAnsi="Arial"/>
          <w:sz w:val="18"/>
          <w:szCs w:val="18"/>
          <w:color w:val="auto"/>
        </w:rPr>
        <w:t>. All representations, warranties, and agreements of the Company herein or in certificates</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delivered pursuant hereto, including but not limited to the agreements of the Agent and the Company contained in Section 5 hereof, shall remain operative and in full force and effect regardless of any investigation made by or on behalf of the Agent or any controlling person thereof, or the Company or any of its officers, directors, or controlling persons, and shall survive delivery of, and payment for, the Shares to and by the Agent hereunder.</w:t>
      </w:r>
    </w:p>
    <w:p>
      <w:pPr>
        <w:spacing w:after="0" w:line="79" w:lineRule="exact"/>
        <w:rPr>
          <w:rFonts w:ascii="Arial" w:cs="Arial" w:eastAsia="Arial" w:hAnsi="Arial"/>
          <w:sz w:val="18"/>
          <w:szCs w:val="18"/>
          <w:b w:val="1"/>
          <w:bCs w:val="1"/>
          <w:i w:val="1"/>
          <w:iCs w:val="1"/>
          <w:color w:val="auto"/>
        </w:rPr>
      </w:pPr>
    </w:p>
    <w:p>
      <w:pPr>
        <w:ind w:left="624" w:hanging="184"/>
        <w:spacing w:after="0"/>
        <w:tabs>
          <w:tab w:leader="none" w:pos="624" w:val="left"/>
        </w:tabs>
        <w:numPr>
          <w:ilvl w:val="1"/>
          <w:numId w:val="87"/>
        </w:numPr>
        <w:rPr>
          <w:rFonts w:ascii="Arial" w:cs="Arial" w:eastAsia="Arial" w:hAnsi="Arial"/>
          <w:sz w:val="18"/>
          <w:szCs w:val="18"/>
          <w:b w:val="1"/>
          <w:bCs w:val="1"/>
          <w:i w:val="1"/>
          <w:iCs w:val="1"/>
          <w:color w:val="auto"/>
        </w:rPr>
      </w:pPr>
      <w:r>
        <w:rPr>
          <w:rFonts w:ascii="Arial" w:cs="Arial" w:eastAsia="Arial" w:hAnsi="Arial"/>
          <w:sz w:val="18"/>
          <w:szCs w:val="18"/>
          <w:b w:val="1"/>
          <w:bCs w:val="1"/>
          <w:i w:val="1"/>
          <w:iCs w:val="1"/>
          <w:color w:val="auto"/>
        </w:rPr>
        <w:t>Termination of this Agreement.</w:t>
      </w:r>
    </w:p>
    <w:p>
      <w:pPr>
        <w:sectPr>
          <w:pgSz w:w="11900" w:h="16838" w:orient="portrait"/>
          <w:cols w:equalWidth="0" w:num="1">
            <w:col w:w="10964"/>
          </w:cols>
          <w:pgMar w:left="436" w:top="274" w:right="499" w:bottom="1440" w:gutter="0" w:footer="0" w:header="0"/>
        </w:sectPr>
      </w:pPr>
    </w:p>
    <w:bookmarkStart w:id="103" w:name="page104"/>
    <w:bookmarkEnd w:id="103"/>
    <w:p>
      <w:pPr>
        <w:ind w:left="-436" w:right="20" w:firstLine="987"/>
        <w:spacing w:after="0" w:line="275" w:lineRule="auto"/>
        <w:tabs>
          <w:tab w:leader="none" w:pos="800" w:val="left"/>
        </w:tabs>
        <w:numPr>
          <w:ilvl w:val="1"/>
          <w:numId w:val="88"/>
        </w:numPr>
        <w:rPr>
          <w:rFonts w:ascii="Arial" w:cs="Arial" w:eastAsia="Arial" w:hAnsi="Arial"/>
          <w:sz w:val="17"/>
          <w:szCs w:val="17"/>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136" name="Picture 1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6"/>
                    <pic:cNvPicPr>
                      <a:picLocks noChangeAspect="1" noChangeArrowheads="1"/>
                    </pic:cNvPicPr>
                  </pic:nvPicPr>
                  <pic:blipFill>
                    <a:blip r:embed="rId158">
                      <a:extLst>
                        <a:ext uri="{28A0092B-C50C-407E-A947-70E740481C1C}"/>
                      </a:extLst>
                    </a:blip>
                    <a:srcRect/>
                    <a:stretch>
                      <a:fillRect/>
                    </a:stretch>
                  </pic:blipFill>
                  <pic:spPr bwMode="auto">
                    <a:xfrm>
                      <a:off x="0" y="0"/>
                      <a:ext cx="7149465" cy="25400"/>
                    </a:xfrm>
                    <a:prstGeom prst="rect">
                      <a:avLst/>
                    </a:prstGeom>
                    <a:noFill/>
                  </pic:spPr>
                </pic:pic>
              </a:graphicData>
            </a:graphic>
          </wp:anchor>
        </w:drawing>
        <w:t>The Company shall have the right, by giving ten (10) days’ written notice as hereinafter specified, to terminate the provisions of this Agreement relating to the solicitation of offers to purchase the Shares in its sole discretion at any time. Any such termination shall be without liability of any party to any other party except that (i) with respect to any pending sale, through the Agent for the Company, the obligations of the Company, including in respect of compensation of the Agent, shall remain in full force and effect notwithstanding the termination and (ii) the provisions of Section 3.(g), Section 5 and Section 6 of this Agreement shall remain in full force and effect notwithstanding such termination.</w:t>
      </w:r>
    </w:p>
    <w:p>
      <w:pPr>
        <w:spacing w:after="0" w:line="68" w:lineRule="exact"/>
        <w:rPr>
          <w:rFonts w:ascii="Arial" w:cs="Arial" w:eastAsia="Arial" w:hAnsi="Arial"/>
          <w:sz w:val="17"/>
          <w:szCs w:val="17"/>
          <w:color w:val="auto"/>
        </w:rPr>
      </w:pPr>
    </w:p>
    <w:p>
      <w:pPr>
        <w:ind w:left="-436" w:right="100" w:firstLine="987"/>
        <w:spacing w:after="0" w:line="259" w:lineRule="auto"/>
        <w:tabs>
          <w:tab w:leader="none" w:pos="810" w:val="left"/>
        </w:tabs>
        <w:numPr>
          <w:ilvl w:val="1"/>
          <w:numId w:val="88"/>
        </w:numPr>
        <w:rPr>
          <w:rFonts w:ascii="Arial" w:cs="Arial" w:eastAsia="Arial" w:hAnsi="Arial"/>
          <w:sz w:val="18"/>
          <w:szCs w:val="18"/>
          <w:color w:val="auto"/>
        </w:rPr>
      </w:pPr>
      <w:r>
        <w:rPr>
          <w:rFonts w:ascii="Arial" w:cs="Arial" w:eastAsia="Arial" w:hAnsi="Arial"/>
          <w:sz w:val="18"/>
          <w:szCs w:val="18"/>
          <w:color w:val="auto"/>
        </w:rPr>
        <w:t>The Agent shall have the right, by giving written notice as hereinafter specified, to terminate the provisions of this Agreement relating to the solicitation of offers to purchase the Shares in its sole discretion at any time. Any such termination shall be without liability of any party to any other party except that the provisions of Section 3.(g), Section 5 and Section 6 of this Agreement shall remain in full force and effect notwithstanding such termination.</w:t>
      </w:r>
    </w:p>
    <w:p>
      <w:pPr>
        <w:spacing w:after="0" w:line="78" w:lineRule="exact"/>
        <w:rPr>
          <w:rFonts w:ascii="Arial" w:cs="Arial" w:eastAsia="Arial" w:hAnsi="Arial"/>
          <w:sz w:val="18"/>
          <w:szCs w:val="18"/>
          <w:color w:val="auto"/>
        </w:rPr>
      </w:pPr>
    </w:p>
    <w:p>
      <w:pPr>
        <w:ind w:left="-436" w:right="500" w:firstLine="987"/>
        <w:spacing w:after="0" w:line="286" w:lineRule="auto"/>
        <w:tabs>
          <w:tab w:leader="none" w:pos="800" w:val="left"/>
        </w:tabs>
        <w:numPr>
          <w:ilvl w:val="1"/>
          <w:numId w:val="88"/>
        </w:numPr>
        <w:rPr>
          <w:rFonts w:ascii="Arial" w:cs="Arial" w:eastAsia="Arial" w:hAnsi="Arial"/>
          <w:sz w:val="17"/>
          <w:szCs w:val="17"/>
          <w:color w:val="auto"/>
        </w:rPr>
      </w:pPr>
      <w:r>
        <w:rPr>
          <w:rFonts w:ascii="Arial" w:cs="Arial" w:eastAsia="Arial" w:hAnsi="Arial"/>
          <w:sz w:val="17"/>
          <w:szCs w:val="17"/>
          <w:color w:val="auto"/>
        </w:rPr>
        <w:t>Unless earlier terminated pursuant to this Section 7, this Agreement shall automatically terminate upon the earlier to occur of the issuance and sale of all of the Shares through the Agent on the terms and subject to the conditions set forth herein, except that the provisions of Section 3.(g), Section 5 and Section 6 of this Agreement shall remain in full force and effect notwithstanding such termination.</w:t>
      </w:r>
    </w:p>
    <w:p>
      <w:pPr>
        <w:spacing w:after="0" w:line="57" w:lineRule="exact"/>
        <w:rPr>
          <w:rFonts w:ascii="Arial" w:cs="Arial" w:eastAsia="Arial" w:hAnsi="Arial"/>
          <w:sz w:val="17"/>
          <w:szCs w:val="17"/>
          <w:color w:val="auto"/>
        </w:rPr>
      </w:pPr>
    </w:p>
    <w:p>
      <w:pPr>
        <w:ind w:left="-436" w:right="400" w:firstLine="987"/>
        <w:spacing w:after="0" w:line="263" w:lineRule="auto"/>
        <w:tabs>
          <w:tab w:leader="none" w:pos="810" w:val="left"/>
        </w:tabs>
        <w:numPr>
          <w:ilvl w:val="1"/>
          <w:numId w:val="88"/>
        </w:numPr>
        <w:rPr>
          <w:rFonts w:ascii="Arial" w:cs="Arial" w:eastAsia="Arial" w:hAnsi="Arial"/>
          <w:sz w:val="18"/>
          <w:szCs w:val="18"/>
          <w:color w:val="auto"/>
        </w:rPr>
      </w:pPr>
      <w:r>
        <w:rPr>
          <w:rFonts w:ascii="Arial" w:cs="Arial" w:eastAsia="Arial" w:hAnsi="Arial"/>
          <w:sz w:val="18"/>
          <w:szCs w:val="18"/>
          <w:color w:val="auto"/>
        </w:rPr>
        <w:t>This Agreement shall remain in full force and effect unless terminated pursuant to Sections 7(a), (b) or (c) above or otherwise by mutual agreement of the parties; provided that any such termination by mutual agreement shall in all cases be deemed to provide that Section 3.(g), Section 5 and Section 6 shall remain in full force and effect.</w:t>
      </w:r>
    </w:p>
    <w:p>
      <w:pPr>
        <w:spacing w:after="0" w:line="75" w:lineRule="exact"/>
        <w:rPr>
          <w:rFonts w:ascii="Arial" w:cs="Arial" w:eastAsia="Arial" w:hAnsi="Arial"/>
          <w:sz w:val="18"/>
          <w:szCs w:val="18"/>
          <w:color w:val="auto"/>
        </w:rPr>
      </w:pPr>
    </w:p>
    <w:p>
      <w:pPr>
        <w:ind w:left="-436" w:firstLine="987"/>
        <w:spacing w:after="0" w:line="259" w:lineRule="auto"/>
        <w:tabs>
          <w:tab w:leader="none" w:pos="800" w:val="left"/>
        </w:tabs>
        <w:numPr>
          <w:ilvl w:val="1"/>
          <w:numId w:val="88"/>
        </w:numPr>
        <w:rPr>
          <w:rFonts w:ascii="Arial" w:cs="Arial" w:eastAsia="Arial" w:hAnsi="Arial"/>
          <w:sz w:val="18"/>
          <w:szCs w:val="18"/>
          <w:color w:val="auto"/>
        </w:rPr>
      </w:pPr>
      <w:r>
        <w:rPr>
          <w:rFonts w:ascii="Arial" w:cs="Arial" w:eastAsia="Arial" w:hAnsi="Arial"/>
          <w:sz w:val="18"/>
          <w:szCs w:val="18"/>
          <w:color w:val="auto"/>
        </w:rPr>
        <w:t>Any termination of this Agreement shall be effective on the date specified in such notice of termination; provided that such termination shall not be effective until the close of business on the date of receipt of such notice by the Agent or the Company, as the case may be. If such termination shall occur prior to the Settlement Date for any sale of the Shares, such sale shall settle in accordance with the provisions of Section 2(a)(vii) of this Agreement.</w:t>
      </w:r>
    </w:p>
    <w:p>
      <w:pPr>
        <w:spacing w:after="0" w:line="78" w:lineRule="exact"/>
        <w:rPr>
          <w:rFonts w:ascii="Arial" w:cs="Arial" w:eastAsia="Arial" w:hAnsi="Arial"/>
          <w:sz w:val="18"/>
          <w:szCs w:val="18"/>
          <w:color w:val="auto"/>
        </w:rPr>
      </w:pPr>
    </w:p>
    <w:p>
      <w:pPr>
        <w:ind w:left="-436" w:right="120" w:firstLine="436"/>
        <w:spacing w:after="0" w:line="275" w:lineRule="auto"/>
        <w:tabs>
          <w:tab w:leader="none" w:pos="184" w:val="left"/>
        </w:tabs>
        <w:numPr>
          <w:ilvl w:val="0"/>
          <w:numId w:val="89"/>
        </w:numPr>
        <w:rPr>
          <w:rFonts w:ascii="Arial" w:cs="Arial" w:eastAsia="Arial" w:hAnsi="Arial"/>
          <w:sz w:val="17"/>
          <w:szCs w:val="17"/>
          <w:b w:val="1"/>
          <w:bCs w:val="1"/>
          <w:i w:val="1"/>
          <w:iCs w:val="1"/>
          <w:color w:val="auto"/>
        </w:rPr>
      </w:pPr>
      <w:r>
        <w:rPr>
          <w:rFonts w:ascii="Arial" w:cs="Arial" w:eastAsia="Arial" w:hAnsi="Arial"/>
          <w:sz w:val="17"/>
          <w:szCs w:val="17"/>
          <w:b w:val="1"/>
          <w:bCs w:val="1"/>
          <w:i w:val="1"/>
          <w:iCs w:val="1"/>
          <w:color w:val="auto"/>
        </w:rPr>
        <w:t>Default by the Company</w:t>
      </w:r>
      <w:r>
        <w:rPr>
          <w:rFonts w:ascii="Arial" w:cs="Arial" w:eastAsia="Arial" w:hAnsi="Arial"/>
          <w:sz w:val="17"/>
          <w:szCs w:val="17"/>
          <w:color w:val="auto"/>
        </w:rPr>
        <w:t>. If the Company shall fail at any Settlement Date to sell and deliver the number of Shares which it is obligated to sell</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hereunder, then this Agreement shall terminate without any liability on the part of the Agent or, except as provided in Section 3.(g) hereof, any non-defaulting party. No action taken pursuant to this Section shall relieve the Company from liability, if any, in respect of such default, and the Company shall (A) hold the Agent harmless against any loss, claim or damage arising from or as a result of such default by the Company and (B) pay the Agent any commission to which it would otherwise be entitled absent such default.</w:t>
      </w:r>
    </w:p>
    <w:p>
      <w:pPr>
        <w:spacing w:after="0" w:line="68" w:lineRule="exact"/>
        <w:rPr>
          <w:rFonts w:ascii="Arial" w:cs="Arial" w:eastAsia="Arial" w:hAnsi="Arial"/>
          <w:sz w:val="17"/>
          <w:szCs w:val="17"/>
          <w:b w:val="1"/>
          <w:bCs w:val="1"/>
          <w:i w:val="1"/>
          <w:iCs w:val="1"/>
          <w:color w:val="auto"/>
        </w:rPr>
      </w:pPr>
    </w:p>
    <w:p>
      <w:pPr>
        <w:ind w:left="-436" w:right="80" w:firstLine="436"/>
        <w:spacing w:after="0" w:line="279" w:lineRule="auto"/>
        <w:tabs>
          <w:tab w:leader="none" w:pos="184" w:val="left"/>
        </w:tabs>
        <w:numPr>
          <w:ilvl w:val="0"/>
          <w:numId w:val="89"/>
        </w:numPr>
        <w:rPr>
          <w:rFonts w:ascii="Arial" w:cs="Arial" w:eastAsia="Arial" w:hAnsi="Arial"/>
          <w:sz w:val="17"/>
          <w:szCs w:val="17"/>
          <w:b w:val="1"/>
          <w:bCs w:val="1"/>
          <w:i w:val="1"/>
          <w:iCs w:val="1"/>
          <w:color w:val="auto"/>
        </w:rPr>
      </w:pPr>
      <w:r>
        <w:rPr>
          <w:rFonts w:ascii="Arial" w:cs="Arial" w:eastAsia="Arial" w:hAnsi="Arial"/>
          <w:sz w:val="17"/>
          <w:szCs w:val="17"/>
          <w:b w:val="1"/>
          <w:bCs w:val="1"/>
          <w:i w:val="1"/>
          <w:iCs w:val="1"/>
          <w:color w:val="auto"/>
        </w:rPr>
        <w:t>Notices</w:t>
      </w:r>
      <w:r>
        <w:rPr>
          <w:rFonts w:ascii="Arial" w:cs="Arial" w:eastAsia="Arial" w:hAnsi="Arial"/>
          <w:sz w:val="17"/>
          <w:szCs w:val="17"/>
          <w:color w:val="auto"/>
        </w:rPr>
        <w:t>. Except as otherwise provided herein, all communications under this Agreement shall be in writing and, if to the Agent, shall be</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delivered via overnight delivery services to (i) Piper Sandler &amp; Co., U.S. Bancorp Center, 800 Nicollet Mall, Minneapolis, Minnesota 55402, Attention: Equity Capital Markets, with a copy to Piper Sandler General Counsel at 800 Nicollet Mall, Minneapolis, MN 55402 and LegalCapMarkets@pjc.com; and (ii) the Company at Larimar Therapeutics, Inc. Three Bala Plaza East, Suite 506, Bala Cynwyd,</w:t>
      </w:r>
    </w:p>
    <w:p>
      <w:pPr>
        <w:sectPr>
          <w:pgSz w:w="11900" w:h="16838" w:orient="portrait"/>
          <w:cols w:equalWidth="0" w:num="1">
            <w:col w:w="10564"/>
          </w:cols>
          <w:pgMar w:left="876" w:top="274" w:right="459" w:bottom="1440" w:gutter="0" w:footer="0" w:header="0"/>
        </w:sectPr>
      </w:pPr>
    </w:p>
    <w:bookmarkStart w:id="104" w:name="page105"/>
    <w:bookmarkEnd w:id="104"/>
    <w:p>
      <w:pPr>
        <w:ind w:left="4" w:right="20"/>
        <w:spacing w:after="0" w:line="342"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137" name="Picture 1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7"/>
                    <pic:cNvPicPr>
                      <a:picLocks noChangeAspect="1" noChangeArrowheads="1"/>
                    </pic:cNvPicPr>
                  </pic:nvPicPr>
                  <pic:blipFill>
                    <a:blip r:embed="rId159">
                      <a:extLst>
                        <a:ext uri="{28A0092B-C50C-407E-A947-70E740481C1C}"/>
                      </a:extLst>
                    </a:blip>
                    <a:srcRect/>
                    <a:stretch>
                      <a:fillRect/>
                    </a:stretch>
                  </pic:blipFill>
                  <pic:spPr bwMode="auto">
                    <a:xfrm>
                      <a:off x="0" y="0"/>
                      <a:ext cx="7149465" cy="25400"/>
                    </a:xfrm>
                    <a:prstGeom prst="rect">
                      <a:avLst/>
                    </a:prstGeom>
                    <a:noFill/>
                  </pic:spPr>
                </pic:pic>
              </a:graphicData>
            </a:graphic>
          </wp:anchor>
        </w:drawing>
        <w:t>PA 19004, Attention: Michael Celano; or in each case to such other address as the person to be notified may have requested in writing. Any party to this Agreement may change such address for notices by sending to the parties to this Agreement written notice of a new address for such purpose.</w:t>
      </w:r>
    </w:p>
    <w:p>
      <w:pPr>
        <w:spacing w:after="0" w:line="16" w:lineRule="exact"/>
        <w:rPr>
          <w:sz w:val="20"/>
          <w:szCs w:val="20"/>
          <w:color w:val="auto"/>
        </w:rPr>
      </w:pPr>
    </w:p>
    <w:p>
      <w:pPr>
        <w:ind w:left="4" w:right="180" w:firstLine="436"/>
        <w:spacing w:after="0" w:line="257" w:lineRule="auto"/>
        <w:tabs>
          <w:tab w:leader="none" w:pos="714" w:val="left"/>
        </w:tabs>
        <w:numPr>
          <w:ilvl w:val="1"/>
          <w:numId w:val="90"/>
        </w:numPr>
        <w:rPr>
          <w:rFonts w:ascii="Arial" w:cs="Arial" w:eastAsia="Arial" w:hAnsi="Arial"/>
          <w:sz w:val="18"/>
          <w:szCs w:val="18"/>
          <w:b w:val="1"/>
          <w:bCs w:val="1"/>
          <w:i w:val="1"/>
          <w:iCs w:val="1"/>
          <w:color w:val="auto"/>
        </w:rPr>
      </w:pPr>
      <w:r>
        <w:rPr>
          <w:rFonts w:ascii="Arial" w:cs="Arial" w:eastAsia="Arial" w:hAnsi="Arial"/>
          <w:sz w:val="18"/>
          <w:szCs w:val="18"/>
          <w:b w:val="1"/>
          <w:bCs w:val="1"/>
          <w:i w:val="1"/>
          <w:iCs w:val="1"/>
          <w:color w:val="auto"/>
        </w:rPr>
        <w:t>Persons Entitled to Benefit of Agreement</w:t>
      </w:r>
      <w:r>
        <w:rPr>
          <w:rFonts w:ascii="Arial" w:cs="Arial" w:eastAsia="Arial" w:hAnsi="Arial"/>
          <w:sz w:val="18"/>
          <w:szCs w:val="18"/>
          <w:color w:val="auto"/>
        </w:rPr>
        <w:t>. This Agreement shall inure to the benefit of and be binding upon the parties hereto and their</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respective successors and assigns and the controlling persons, officers and directors referred to in Section 5. Nothing in this Agreement is intended or shall be construed to give to any other person, firm or corporation any legal or equitable remedy or claim under or in respect of this Agreement or any provision herein contained. The term “successors and assigns” as herein used shall not include any purchaser, as such purchaser, of any of the Shares from the Agent.</w:t>
      </w:r>
    </w:p>
    <w:p>
      <w:pPr>
        <w:spacing w:after="0" w:line="79" w:lineRule="exact"/>
        <w:rPr>
          <w:rFonts w:ascii="Arial" w:cs="Arial" w:eastAsia="Arial" w:hAnsi="Arial"/>
          <w:sz w:val="18"/>
          <w:szCs w:val="18"/>
          <w:b w:val="1"/>
          <w:bCs w:val="1"/>
          <w:i w:val="1"/>
          <w:iCs w:val="1"/>
          <w:color w:val="auto"/>
        </w:rPr>
      </w:pPr>
    </w:p>
    <w:p>
      <w:pPr>
        <w:ind w:left="4" w:firstLine="436"/>
        <w:spacing w:after="0" w:line="283" w:lineRule="auto"/>
        <w:tabs>
          <w:tab w:leader="none" w:pos="704" w:val="left"/>
        </w:tabs>
        <w:numPr>
          <w:ilvl w:val="1"/>
          <w:numId w:val="90"/>
        </w:numPr>
        <w:rPr>
          <w:rFonts w:ascii="Arial" w:cs="Arial" w:eastAsia="Arial" w:hAnsi="Arial"/>
          <w:sz w:val="16"/>
          <w:szCs w:val="16"/>
          <w:b w:val="1"/>
          <w:bCs w:val="1"/>
          <w:i w:val="1"/>
          <w:iCs w:val="1"/>
          <w:color w:val="auto"/>
        </w:rPr>
      </w:pPr>
      <w:r>
        <w:rPr>
          <w:rFonts w:ascii="Arial" w:cs="Arial" w:eastAsia="Arial" w:hAnsi="Arial"/>
          <w:sz w:val="16"/>
          <w:szCs w:val="16"/>
          <w:b w:val="1"/>
          <w:bCs w:val="1"/>
          <w:i w:val="1"/>
          <w:iCs w:val="1"/>
          <w:color w:val="auto"/>
        </w:rPr>
        <w:t>Absence of Fiduciary Relationship</w:t>
      </w:r>
      <w:r>
        <w:rPr>
          <w:rFonts w:ascii="Arial" w:cs="Arial" w:eastAsia="Arial" w:hAnsi="Arial"/>
          <w:sz w:val="16"/>
          <w:szCs w:val="16"/>
          <w:color w:val="auto"/>
        </w:rPr>
        <w:t>. The Company, having been advised by counsel, acknowledges and agrees that: (a) the Agent has been</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 xml:space="preserve">retained solely to act as a sales agent in connection with the sale of the Shares and that no fiduciary, advisory or agency relationship between the Company (including any of the Company’s affiliates (including directors), equity holders, creditors, employees or agents, hereafter, </w:t>
      </w:r>
      <w:r>
        <w:rPr>
          <w:rFonts w:ascii="Arial" w:cs="Arial" w:eastAsia="Arial" w:hAnsi="Arial"/>
          <w:sz w:val="16"/>
          <w:szCs w:val="16"/>
          <w:b w:val="1"/>
          <w:bCs w:val="1"/>
          <w:i w:val="1"/>
          <w:iCs w:val="1"/>
          <w:color w:val="auto"/>
        </w:rPr>
        <w:t>“Company</w:t>
      </w:r>
      <w:r>
        <w:rPr>
          <w:rFonts w:ascii="Arial" w:cs="Arial" w:eastAsia="Arial" w:hAnsi="Arial"/>
          <w:sz w:val="16"/>
          <w:szCs w:val="16"/>
          <w:color w:val="auto"/>
        </w:rPr>
        <w:t xml:space="preserve"> </w:t>
      </w:r>
      <w:r>
        <w:rPr>
          <w:rFonts w:ascii="Arial" w:cs="Arial" w:eastAsia="Arial" w:hAnsi="Arial"/>
          <w:sz w:val="16"/>
          <w:szCs w:val="16"/>
          <w:b w:val="1"/>
          <w:bCs w:val="1"/>
          <w:i w:val="1"/>
          <w:iCs w:val="1"/>
          <w:color w:val="auto"/>
        </w:rPr>
        <w:t>Representatives”</w:t>
      </w:r>
      <w:r>
        <w:rPr>
          <w:rFonts w:ascii="Arial" w:cs="Arial" w:eastAsia="Arial" w:hAnsi="Arial"/>
          <w:sz w:val="16"/>
          <w:szCs w:val="16"/>
          <w:color w:val="auto"/>
        </w:rPr>
        <w:t>), on the one hand, and the Agent on the other, has been created or will be created in respect of any of the transactions contemplated by</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 xml:space="preserve">this Agreement, irrespective of whether the Agent has advised or is advising the Company on other matters and irrespective of the use of the defined term “Agent;” (b) neither the Agent nor any of its affiliates (including directors), equity holders, creditors, employees or agents, hereafter, </w:t>
      </w:r>
      <w:r>
        <w:rPr>
          <w:rFonts w:ascii="Arial" w:cs="Arial" w:eastAsia="Arial" w:hAnsi="Arial"/>
          <w:sz w:val="16"/>
          <w:szCs w:val="16"/>
          <w:b w:val="1"/>
          <w:bCs w:val="1"/>
          <w:i w:val="1"/>
          <w:iCs w:val="1"/>
          <w:color w:val="auto"/>
        </w:rPr>
        <w:t>“Agent</w:t>
      </w:r>
      <w:r>
        <w:rPr>
          <w:rFonts w:ascii="Arial" w:cs="Arial" w:eastAsia="Arial" w:hAnsi="Arial"/>
          <w:sz w:val="16"/>
          <w:szCs w:val="16"/>
          <w:color w:val="auto"/>
        </w:rPr>
        <w:t xml:space="preserve"> </w:t>
      </w:r>
      <w:r>
        <w:rPr>
          <w:rFonts w:ascii="Arial" w:cs="Arial" w:eastAsia="Arial" w:hAnsi="Arial"/>
          <w:sz w:val="16"/>
          <w:szCs w:val="16"/>
          <w:b w:val="1"/>
          <w:bCs w:val="1"/>
          <w:i w:val="1"/>
          <w:iCs w:val="1"/>
          <w:color w:val="auto"/>
        </w:rPr>
        <w:t>Representatives”</w:t>
      </w:r>
      <w:r>
        <w:rPr>
          <w:rFonts w:ascii="Arial" w:cs="Arial" w:eastAsia="Arial" w:hAnsi="Arial"/>
          <w:sz w:val="16"/>
          <w:szCs w:val="16"/>
          <w:color w:val="auto"/>
        </w:rPr>
        <w:t>) shall have any duty or obligation to the Company or any Company Representative except as set forth in this Agreement; (c) the price</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and other terms of any Placement executed pursuant to this Agreement, as well as the terms of this Agreement, are deemed acceptable to the Company and its counsel, following discussions and arms-length negotiations with the Agent; (d) the Company is capable of evaluating and understanding, and in fact has evaluated, understands and accepts the terms, risks and conditions of any Placement Notice to be executed pursuant to this Agreement, and any other transactions contemplated by this Agreement; (e) the Company has been advised that the Agent and the Agent Representatives are engaged in a broad range of transactions which may involve interests that differ from those of the Company and that the Agent and the Agent Representatives have no obligation to disclose any such interests and transactions to the Company by virtue of any fiduciary, advisory or agency relationship, or otherwise;</w:t>
      </w:r>
    </w:p>
    <w:p>
      <w:pPr>
        <w:spacing w:after="0" w:line="1" w:lineRule="exact"/>
        <w:rPr>
          <w:rFonts w:ascii="Arial" w:cs="Arial" w:eastAsia="Arial" w:hAnsi="Arial"/>
          <w:sz w:val="16"/>
          <w:szCs w:val="16"/>
          <w:b w:val="1"/>
          <w:bCs w:val="1"/>
          <w:i w:val="1"/>
          <w:iCs w:val="1"/>
          <w:color w:val="auto"/>
        </w:rPr>
      </w:pPr>
    </w:p>
    <w:p>
      <w:pPr>
        <w:ind w:left="4" w:right="20" w:hanging="4"/>
        <w:spacing w:after="0" w:line="252" w:lineRule="auto"/>
        <w:tabs>
          <w:tab w:leader="none" w:pos="229" w:val="left"/>
        </w:tabs>
        <w:numPr>
          <w:ilvl w:val="0"/>
          <w:numId w:val="91"/>
        </w:numPr>
        <w:rPr>
          <w:rFonts w:ascii="Arial" w:cs="Arial" w:eastAsia="Arial" w:hAnsi="Arial"/>
          <w:sz w:val="18"/>
          <w:szCs w:val="18"/>
          <w:color w:val="auto"/>
        </w:rPr>
      </w:pPr>
      <w:r>
        <w:rPr>
          <w:rFonts w:ascii="Arial" w:cs="Arial" w:eastAsia="Arial" w:hAnsi="Arial"/>
          <w:sz w:val="18"/>
          <w:szCs w:val="18"/>
          <w:color w:val="auto"/>
        </w:rPr>
        <w:t>the Company has been advised that the Agent is acting, in respect of any Placement and the transactions contemplated by this Agreement, solely for the benefit of the Agent, and not on behalf of the Company; and (g) the Company and the Company Representatives waive, to the fullest extent permitted by law, any claims that they may have against the Agent or any of the Agent Representatives for breach of fiduciary duty or alleged breach of fiduciary duty in respect of any Placement or any of the transactions contemplated by this Agreement and agree that the Agent and the Agent Representatives shall have no liability (whether direct or indirect, in contract, tort or otherwise) to the Company or any of the Company Representatives in respect of any person asserting any claim of breach of any fiduciary duty on behalf of or in right of the Company or any of the Company Representatives.</w:t>
      </w:r>
    </w:p>
    <w:p>
      <w:pPr>
        <w:sectPr>
          <w:pgSz w:w="11900" w:h="16838" w:orient="portrait"/>
          <w:cols w:equalWidth="0" w:num="1">
            <w:col w:w="10964"/>
          </w:cols>
          <w:pgMar w:left="436" w:top="274" w:right="499" w:bottom="1440" w:gutter="0" w:footer="0" w:header="0"/>
        </w:sectPr>
      </w:pPr>
    </w:p>
    <w:bookmarkStart w:id="105" w:name="page106"/>
    <w:bookmarkEnd w:id="105"/>
    <w:p>
      <w:pPr>
        <w:ind w:left="704" w:hanging="264"/>
        <w:spacing w:after="0"/>
        <w:tabs>
          <w:tab w:leader="none" w:pos="704" w:val="left"/>
        </w:tabs>
        <w:numPr>
          <w:ilvl w:val="0"/>
          <w:numId w:val="92"/>
        </w:numPr>
        <w:rPr>
          <w:rFonts w:ascii="Arial" w:cs="Arial" w:eastAsia="Arial" w:hAnsi="Arial"/>
          <w:sz w:val="18"/>
          <w:szCs w:val="18"/>
          <w:b w:val="1"/>
          <w:bCs w:val="1"/>
          <w:i w:val="1"/>
          <w:iCs w:val="1"/>
          <w:color w:val="auto"/>
        </w:rPr>
      </w:pPr>
      <w:r>
        <w:rPr>
          <w:rFonts w:ascii="Arial" w:cs="Arial" w:eastAsia="Arial" w:hAnsi="Arial"/>
          <w:sz w:val="18"/>
          <w:szCs w:val="18"/>
          <w:b w:val="1"/>
          <w:bCs w:val="1"/>
          <w:i w:val="1"/>
          <w:iCs w:val="1"/>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138" name="Picture 1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8"/>
                    <pic:cNvPicPr>
                      <a:picLocks noChangeAspect="1" noChangeArrowheads="1"/>
                    </pic:cNvPicPr>
                  </pic:nvPicPr>
                  <pic:blipFill>
                    <a:blip r:embed="rId160">
                      <a:extLst>
                        <a:ext uri="{28A0092B-C50C-407E-A947-70E740481C1C}"/>
                      </a:extLst>
                    </a:blip>
                    <a:srcRect/>
                    <a:stretch>
                      <a:fillRect/>
                    </a:stretch>
                  </pic:blipFill>
                  <pic:spPr bwMode="auto">
                    <a:xfrm>
                      <a:off x="0" y="0"/>
                      <a:ext cx="7149465" cy="25400"/>
                    </a:xfrm>
                    <a:prstGeom prst="rect">
                      <a:avLst/>
                    </a:prstGeom>
                    <a:noFill/>
                  </pic:spPr>
                </pic:pic>
              </a:graphicData>
            </a:graphic>
          </wp:anchor>
        </w:drawing>
        <w:t>Recognition of the U.S. Special Resolution Regimes</w:t>
      </w:r>
      <w:r>
        <w:rPr>
          <w:rFonts w:ascii="Arial" w:cs="Arial" w:eastAsia="Arial" w:hAnsi="Arial"/>
          <w:sz w:val="18"/>
          <w:szCs w:val="18"/>
          <w:color w:val="auto"/>
        </w:rPr>
        <w:t>.</w:t>
      </w:r>
    </w:p>
    <w:p>
      <w:pPr>
        <w:spacing w:after="0" w:line="117" w:lineRule="exact"/>
        <w:rPr>
          <w:rFonts w:ascii="Arial" w:cs="Arial" w:eastAsia="Arial" w:hAnsi="Arial"/>
          <w:sz w:val="18"/>
          <w:szCs w:val="18"/>
          <w:b w:val="1"/>
          <w:bCs w:val="1"/>
          <w:i w:val="1"/>
          <w:iCs w:val="1"/>
          <w:color w:val="auto"/>
        </w:rPr>
      </w:pPr>
    </w:p>
    <w:p>
      <w:pPr>
        <w:ind w:left="4" w:firstLine="987"/>
        <w:spacing w:after="0" w:line="259" w:lineRule="auto"/>
        <w:tabs>
          <w:tab w:leader="none" w:pos="1240" w:val="left"/>
        </w:tabs>
        <w:numPr>
          <w:ilvl w:val="1"/>
          <w:numId w:val="92"/>
        </w:numPr>
        <w:rPr>
          <w:rFonts w:ascii="Arial" w:cs="Arial" w:eastAsia="Arial" w:hAnsi="Arial"/>
          <w:sz w:val="18"/>
          <w:szCs w:val="18"/>
          <w:color w:val="auto"/>
        </w:rPr>
      </w:pPr>
      <w:r>
        <w:rPr>
          <w:rFonts w:ascii="Arial" w:cs="Arial" w:eastAsia="Arial" w:hAnsi="Arial"/>
          <w:sz w:val="18"/>
          <w:szCs w:val="18"/>
          <w:color w:val="auto"/>
        </w:rPr>
        <w:t>In the event that any Underwriter that is a Covered Entity becomes subject to a proceeding under a U.S. Special Resolution Regime, the transfer from such Underwriter of this Agreement, and any interest and obligation in or under this Agreement, will be effective to the same extent as the transfer would be effective under the U.S. Special Resolution Regime if this Agreement, and any such interest and obligation, were governed by the laws of the United States or a state of the United States.</w:t>
      </w:r>
    </w:p>
    <w:p>
      <w:pPr>
        <w:spacing w:after="0" w:line="78" w:lineRule="exact"/>
        <w:rPr>
          <w:rFonts w:ascii="Arial" w:cs="Arial" w:eastAsia="Arial" w:hAnsi="Arial"/>
          <w:sz w:val="18"/>
          <w:szCs w:val="18"/>
          <w:color w:val="auto"/>
        </w:rPr>
      </w:pPr>
    </w:p>
    <w:p>
      <w:pPr>
        <w:ind w:left="4" w:right="80" w:firstLine="987"/>
        <w:spacing w:after="0" w:line="259" w:lineRule="auto"/>
        <w:tabs>
          <w:tab w:leader="none" w:pos="1250" w:val="left"/>
        </w:tabs>
        <w:numPr>
          <w:ilvl w:val="1"/>
          <w:numId w:val="92"/>
        </w:numPr>
        <w:rPr>
          <w:rFonts w:ascii="Arial" w:cs="Arial" w:eastAsia="Arial" w:hAnsi="Arial"/>
          <w:sz w:val="18"/>
          <w:szCs w:val="18"/>
          <w:color w:val="auto"/>
        </w:rPr>
      </w:pPr>
      <w:r>
        <w:rPr>
          <w:rFonts w:ascii="Arial" w:cs="Arial" w:eastAsia="Arial" w:hAnsi="Arial"/>
          <w:sz w:val="18"/>
          <w:szCs w:val="18"/>
          <w:color w:val="auto"/>
        </w:rPr>
        <w:t>In the event that any Underwriter that is a Covered Entity or a BHC Act Affiliate of such Underwriter becomes subject to a proceeding under a U.S. Special Resolution Regime, Default Rights under this Agreement that may be exercised against such Underwriter are permitted to be exercised to no greater extent than such Default Rights could be exercised under the U.S. Special Resolution Regime if this Agreement were governed by the laws of the United States or a state of the United States.</w:t>
      </w:r>
    </w:p>
    <w:p>
      <w:pPr>
        <w:spacing w:after="0" w:line="78" w:lineRule="exact"/>
        <w:rPr>
          <w:rFonts w:ascii="Arial" w:cs="Arial" w:eastAsia="Arial" w:hAnsi="Arial"/>
          <w:sz w:val="18"/>
          <w:szCs w:val="18"/>
          <w:color w:val="auto"/>
        </w:rPr>
      </w:pPr>
    </w:p>
    <w:p>
      <w:pPr>
        <w:ind w:left="1244" w:hanging="253"/>
        <w:spacing w:after="0"/>
        <w:tabs>
          <w:tab w:leader="none" w:pos="1244" w:val="left"/>
        </w:tabs>
        <w:numPr>
          <w:ilvl w:val="1"/>
          <w:numId w:val="92"/>
        </w:numPr>
        <w:rPr>
          <w:rFonts w:ascii="Arial" w:cs="Arial" w:eastAsia="Arial" w:hAnsi="Arial"/>
          <w:sz w:val="18"/>
          <w:szCs w:val="18"/>
          <w:color w:val="auto"/>
        </w:rPr>
      </w:pPr>
      <w:r>
        <w:rPr>
          <w:rFonts w:ascii="Arial" w:cs="Arial" w:eastAsia="Arial" w:hAnsi="Arial"/>
          <w:sz w:val="18"/>
          <w:szCs w:val="18"/>
          <w:color w:val="auto"/>
        </w:rPr>
        <w:t>As used in this section:</w:t>
      </w:r>
    </w:p>
    <w:p>
      <w:pPr>
        <w:spacing w:after="0" w:line="225" w:lineRule="exact"/>
        <w:rPr>
          <w:sz w:val="20"/>
          <w:szCs w:val="20"/>
          <w:color w:val="auto"/>
        </w:rPr>
      </w:pPr>
    </w:p>
    <w:p>
      <w:pPr>
        <w:ind w:left="984"/>
        <w:spacing w:after="0"/>
        <w:rPr>
          <w:sz w:val="20"/>
          <w:szCs w:val="20"/>
          <w:color w:val="auto"/>
        </w:rPr>
      </w:pPr>
      <w:r>
        <w:rPr>
          <w:rFonts w:ascii="Arial" w:cs="Arial" w:eastAsia="Arial" w:hAnsi="Arial"/>
          <w:sz w:val="16"/>
          <w:szCs w:val="16"/>
          <w:color w:val="auto"/>
        </w:rPr>
        <w:t>“</w:t>
      </w:r>
      <w:r>
        <w:rPr>
          <w:rFonts w:ascii="Arial" w:cs="Arial" w:eastAsia="Arial" w:hAnsi="Arial"/>
          <w:sz w:val="16"/>
          <w:szCs w:val="16"/>
          <w:b w:val="1"/>
          <w:bCs w:val="1"/>
          <w:i w:val="1"/>
          <w:iCs w:val="1"/>
          <w:color w:val="auto"/>
        </w:rPr>
        <w:t>BHC Act Affiliate</w:t>
      </w:r>
      <w:r>
        <w:rPr>
          <w:rFonts w:ascii="Arial" w:cs="Arial" w:eastAsia="Arial" w:hAnsi="Arial"/>
          <w:sz w:val="16"/>
          <w:szCs w:val="16"/>
          <w:color w:val="auto"/>
        </w:rPr>
        <w:t>” has the meaning assigned to the term “affiliate” in, and shall be interpreted in accordance with, 12 U.S.C. § 1841(k);</w:t>
      </w:r>
    </w:p>
    <w:p>
      <w:pPr>
        <w:spacing w:after="0" w:line="248" w:lineRule="exact"/>
        <w:rPr>
          <w:sz w:val="20"/>
          <w:szCs w:val="20"/>
          <w:color w:val="auto"/>
        </w:rPr>
      </w:pPr>
    </w:p>
    <w:p>
      <w:pPr>
        <w:ind w:left="4" w:right="240" w:firstLine="991"/>
        <w:spacing w:after="0" w:line="263"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Covered Entity</w:t>
      </w:r>
      <w:r>
        <w:rPr>
          <w:rFonts w:ascii="Arial" w:cs="Arial" w:eastAsia="Arial" w:hAnsi="Arial"/>
          <w:sz w:val="18"/>
          <w:szCs w:val="18"/>
          <w:color w:val="auto"/>
        </w:rPr>
        <w:t>” means any of the following: (i) a “covered entity” as that term is defined in, and interpreted in accordance with, 12 C.F.R. § 252.82(b); (ii) a “covered bank” as that term is defined in, and interpreted in accordance with, 12 C.F.R. § 47.3(b); or (iii) a “covered FSI” as that term is defined in, and interpreted in accordance with, 12 C.F.R. § 382.2(b);</w:t>
      </w:r>
    </w:p>
    <w:p>
      <w:pPr>
        <w:spacing w:after="0" w:line="184" w:lineRule="exact"/>
        <w:rPr>
          <w:sz w:val="20"/>
          <w:szCs w:val="20"/>
          <w:color w:val="auto"/>
        </w:rPr>
      </w:pPr>
    </w:p>
    <w:p>
      <w:pPr>
        <w:ind w:left="4" w:right="100" w:firstLine="991"/>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Default Right</w:t>
      </w:r>
      <w:r>
        <w:rPr>
          <w:rFonts w:ascii="Arial" w:cs="Arial" w:eastAsia="Arial" w:hAnsi="Arial"/>
          <w:sz w:val="18"/>
          <w:szCs w:val="18"/>
          <w:color w:val="auto"/>
        </w:rPr>
        <w:t>” has the meaning assigned to that term in, and shall be interpreted in accordance with, 12 C.F.R. §§ 252.81, 47.2 or 382.1, as applicable; and</w:t>
      </w:r>
    </w:p>
    <w:p>
      <w:pPr>
        <w:spacing w:after="0" w:line="170" w:lineRule="exact"/>
        <w:rPr>
          <w:sz w:val="20"/>
          <w:szCs w:val="20"/>
          <w:color w:val="auto"/>
        </w:rPr>
      </w:pPr>
    </w:p>
    <w:p>
      <w:pPr>
        <w:ind w:left="984"/>
        <w:spacing w:after="0"/>
        <w:rPr>
          <w:sz w:val="20"/>
          <w:szCs w:val="20"/>
          <w:color w:val="auto"/>
        </w:rPr>
      </w:pPr>
      <w:r>
        <w:rPr>
          <w:rFonts w:ascii="Arial" w:cs="Arial" w:eastAsia="Arial" w:hAnsi="Arial"/>
          <w:sz w:val="16"/>
          <w:szCs w:val="16"/>
          <w:color w:val="auto"/>
        </w:rPr>
        <w:t>“</w:t>
      </w:r>
      <w:r>
        <w:rPr>
          <w:rFonts w:ascii="Arial" w:cs="Arial" w:eastAsia="Arial" w:hAnsi="Arial"/>
          <w:sz w:val="16"/>
          <w:szCs w:val="16"/>
          <w:b w:val="1"/>
          <w:bCs w:val="1"/>
          <w:i w:val="1"/>
          <w:iCs w:val="1"/>
          <w:color w:val="auto"/>
        </w:rPr>
        <w:t>U.S. Special Resolution Regime</w:t>
      </w:r>
      <w:r>
        <w:rPr>
          <w:rFonts w:ascii="Arial" w:cs="Arial" w:eastAsia="Arial" w:hAnsi="Arial"/>
          <w:sz w:val="16"/>
          <w:szCs w:val="16"/>
          <w:color w:val="auto"/>
        </w:rPr>
        <w:t>” means each of (i) the Federal Deposit Insurance Act and the regulations promulgated thereunder and</w:t>
      </w:r>
    </w:p>
    <w:p>
      <w:pPr>
        <w:spacing w:after="0" w:line="46" w:lineRule="exact"/>
        <w:rPr>
          <w:sz w:val="20"/>
          <w:szCs w:val="20"/>
          <w:color w:val="auto"/>
        </w:rPr>
      </w:pPr>
    </w:p>
    <w:p>
      <w:pPr>
        <w:ind w:left="264" w:hanging="264"/>
        <w:spacing w:after="0"/>
        <w:tabs>
          <w:tab w:leader="none" w:pos="264" w:val="left"/>
        </w:tabs>
        <w:numPr>
          <w:ilvl w:val="0"/>
          <w:numId w:val="93"/>
        </w:numPr>
        <w:rPr>
          <w:rFonts w:ascii="Arial" w:cs="Arial" w:eastAsia="Arial" w:hAnsi="Arial"/>
          <w:sz w:val="18"/>
          <w:szCs w:val="18"/>
          <w:color w:val="auto"/>
        </w:rPr>
      </w:pPr>
      <w:r>
        <w:rPr>
          <w:rFonts w:ascii="Arial" w:cs="Arial" w:eastAsia="Arial" w:hAnsi="Arial"/>
          <w:sz w:val="18"/>
          <w:szCs w:val="18"/>
          <w:color w:val="auto"/>
        </w:rPr>
        <w:t>Title II of the Dodd-Frank Wall Street Reform and Consumer Protection Act and the regulations promulgated thereunder.</w:t>
      </w:r>
    </w:p>
    <w:p>
      <w:pPr>
        <w:spacing w:after="0" w:line="102" w:lineRule="exact"/>
        <w:rPr>
          <w:rFonts w:ascii="Arial" w:cs="Arial" w:eastAsia="Arial" w:hAnsi="Arial"/>
          <w:sz w:val="18"/>
          <w:szCs w:val="18"/>
          <w:color w:val="auto"/>
        </w:rPr>
      </w:pPr>
    </w:p>
    <w:p>
      <w:pPr>
        <w:ind w:left="4" w:right="20" w:firstLine="436"/>
        <w:spacing w:after="0" w:line="273" w:lineRule="auto"/>
        <w:tabs>
          <w:tab w:leader="none" w:pos="714" w:val="left"/>
        </w:tabs>
        <w:numPr>
          <w:ilvl w:val="1"/>
          <w:numId w:val="93"/>
        </w:numPr>
        <w:rPr>
          <w:rFonts w:ascii="Arial" w:cs="Arial" w:eastAsia="Arial" w:hAnsi="Arial"/>
          <w:sz w:val="17"/>
          <w:szCs w:val="17"/>
          <w:b w:val="1"/>
          <w:bCs w:val="1"/>
          <w:i w:val="1"/>
          <w:iCs w:val="1"/>
          <w:color w:val="auto"/>
        </w:rPr>
      </w:pPr>
      <w:r>
        <w:rPr>
          <w:rFonts w:ascii="Arial" w:cs="Arial" w:eastAsia="Arial" w:hAnsi="Arial"/>
          <w:sz w:val="17"/>
          <w:szCs w:val="17"/>
          <w:b w:val="1"/>
          <w:bCs w:val="1"/>
          <w:i w:val="1"/>
          <w:iCs w:val="1"/>
          <w:color w:val="auto"/>
        </w:rPr>
        <w:t>Governing Law and Waiver of Jury Trial</w:t>
      </w:r>
      <w:r>
        <w:rPr>
          <w:rFonts w:ascii="Arial" w:cs="Arial" w:eastAsia="Arial" w:hAnsi="Arial"/>
          <w:sz w:val="17"/>
          <w:szCs w:val="17"/>
          <w:color w:val="auto"/>
        </w:rPr>
        <w:t>. This Agreement and any transaction contemplated by this Agreement and any claim, controversy or</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dispute arising under or related thereto shall be governed by and construed in accordance with the laws of the State of New York without regard to principles of conflict of laws that would results in the application of any other law than the laws of the State of New York. THE COMPANY (ON ITS OWN BEHALF AND ON BEHALF OF ITS STOCKHOLDERS AND AFFILIATES) HEREBY IRREVOCABLY WAIVES, TO THE FULLEST EXTENT PERMITTED BY APPLICABLE LAW, ANY AND ALL RIGHT TO TRIAL BY JURY IN ANY LEGAL PROCEEDING ARISING OUT OF OR RELATING TO THIS AGREEMENT OR THE TRANSACTIONS CONTEMPLATED HEREBY.</w:t>
      </w:r>
    </w:p>
    <w:p>
      <w:pPr>
        <w:sectPr>
          <w:pgSz w:w="11900" w:h="16838" w:orient="portrait"/>
          <w:cols w:equalWidth="0" w:num="1">
            <w:col w:w="11024"/>
          </w:cols>
          <w:pgMar w:left="436" w:top="274" w:right="439" w:bottom="1440" w:gutter="0" w:footer="0" w:header="0"/>
        </w:sectPr>
      </w:pPr>
    </w:p>
    <w:bookmarkStart w:id="106" w:name="page107"/>
    <w:bookmarkEnd w:id="106"/>
    <w:p>
      <w:pPr>
        <w:jc w:val="both"/>
        <w:ind w:left="-40" w:firstLine="436"/>
        <w:spacing w:after="0" w:line="275" w:lineRule="auto"/>
        <w:tabs>
          <w:tab w:leader="none" w:pos="670" w:val="left"/>
        </w:tabs>
        <w:numPr>
          <w:ilvl w:val="0"/>
          <w:numId w:val="94"/>
        </w:numPr>
        <w:rPr>
          <w:rFonts w:ascii="Arial" w:cs="Arial" w:eastAsia="Arial" w:hAnsi="Arial"/>
          <w:sz w:val="17"/>
          <w:szCs w:val="17"/>
          <w:b w:val="1"/>
          <w:bCs w:val="1"/>
          <w:i w:val="1"/>
          <w:iCs w:val="1"/>
          <w:color w:val="auto"/>
        </w:rPr>
      </w:pPr>
      <w:r>
        <w:rPr>
          <w:rFonts w:ascii="Arial" w:cs="Arial" w:eastAsia="Arial" w:hAnsi="Arial"/>
          <w:sz w:val="17"/>
          <w:szCs w:val="17"/>
          <w:b w:val="1"/>
          <w:bCs w:val="1"/>
          <w:i w:val="1"/>
          <w:iCs w:val="1"/>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139" name="Picture 1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9"/>
                    <pic:cNvPicPr>
                      <a:picLocks noChangeAspect="1" noChangeArrowheads="1"/>
                    </pic:cNvPicPr>
                  </pic:nvPicPr>
                  <pic:blipFill>
                    <a:blip r:embed="rId161">
                      <a:extLst>
                        <a:ext uri="{28A0092B-C50C-407E-A947-70E740481C1C}"/>
                      </a:extLst>
                    </a:blip>
                    <a:srcRect/>
                    <a:stretch>
                      <a:fillRect/>
                    </a:stretch>
                  </pic:blipFill>
                  <pic:spPr bwMode="auto">
                    <a:xfrm>
                      <a:off x="0" y="0"/>
                      <a:ext cx="7149465" cy="25400"/>
                    </a:xfrm>
                    <a:prstGeom prst="rect">
                      <a:avLst/>
                    </a:prstGeom>
                    <a:noFill/>
                  </pic:spPr>
                </pic:pic>
              </a:graphicData>
            </a:graphic>
          </wp:anchor>
        </w:drawing>
        <w:t xml:space="preserve">Submission to Jurisdiction, Etc. </w:t>
      </w:r>
      <w:r>
        <w:rPr>
          <w:rFonts w:ascii="Arial" w:cs="Arial" w:eastAsia="Arial" w:hAnsi="Arial"/>
          <w:sz w:val="17"/>
          <w:szCs w:val="17"/>
          <w:color w:val="auto"/>
        </w:rPr>
        <w:t>Each party hereby submits to the exclusive jurisdiction of the U.S. federal and New York state courts sitting</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in the Borough of Manhattan, City of New York, in any suit or proceeding arising out of or relating to this Agreement or the transactions contemplated hereby. The parties hereby irrevocably and unconditionally waive any objection to the laying of venue of any lawsuit, action or other proceeding in such courts, and hereby further irrevocably and unconditionally waive and agree not to plead or claim in any such court that any such lawsuit, action or other proceeding brought in any such court has been brought in an inconvenient forum.</w:t>
      </w:r>
    </w:p>
    <w:p>
      <w:pPr>
        <w:spacing w:after="0" w:line="68" w:lineRule="exact"/>
        <w:rPr>
          <w:rFonts w:ascii="Arial" w:cs="Arial" w:eastAsia="Arial" w:hAnsi="Arial"/>
          <w:sz w:val="17"/>
          <w:szCs w:val="17"/>
          <w:b w:val="1"/>
          <w:bCs w:val="1"/>
          <w:i w:val="1"/>
          <w:iCs w:val="1"/>
          <w:color w:val="auto"/>
        </w:rPr>
      </w:pPr>
    </w:p>
    <w:p>
      <w:pPr>
        <w:ind w:left="-40" w:right="360" w:firstLine="436"/>
        <w:spacing w:after="0" w:line="277" w:lineRule="auto"/>
        <w:tabs>
          <w:tab w:leader="none" w:pos="670" w:val="left"/>
        </w:tabs>
        <w:numPr>
          <w:ilvl w:val="0"/>
          <w:numId w:val="94"/>
        </w:numPr>
        <w:rPr>
          <w:rFonts w:ascii="Arial" w:cs="Arial" w:eastAsia="Arial" w:hAnsi="Arial"/>
          <w:sz w:val="18"/>
          <w:szCs w:val="18"/>
          <w:b w:val="1"/>
          <w:bCs w:val="1"/>
          <w:i w:val="1"/>
          <w:iCs w:val="1"/>
          <w:color w:val="auto"/>
        </w:rPr>
      </w:pPr>
      <w:r>
        <w:rPr>
          <w:rFonts w:ascii="Arial" w:cs="Arial" w:eastAsia="Arial" w:hAnsi="Arial"/>
          <w:sz w:val="18"/>
          <w:szCs w:val="18"/>
          <w:b w:val="1"/>
          <w:bCs w:val="1"/>
          <w:i w:val="1"/>
          <w:iCs w:val="1"/>
          <w:color w:val="auto"/>
        </w:rPr>
        <w:t>Counterparts</w:t>
      </w:r>
      <w:r>
        <w:rPr>
          <w:rFonts w:ascii="Arial" w:cs="Arial" w:eastAsia="Arial" w:hAnsi="Arial"/>
          <w:sz w:val="18"/>
          <w:szCs w:val="18"/>
          <w:color w:val="auto"/>
        </w:rPr>
        <w:t>. This Agreement may be executed in one or more counterparts, each of which shall be deemed an original, and all of which</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together shall constitute one and the same instrument.</w:t>
      </w:r>
    </w:p>
    <w:p>
      <w:pPr>
        <w:spacing w:after="0" w:line="62" w:lineRule="exact"/>
        <w:rPr>
          <w:rFonts w:ascii="Arial" w:cs="Arial" w:eastAsia="Arial" w:hAnsi="Arial"/>
          <w:sz w:val="18"/>
          <w:szCs w:val="18"/>
          <w:b w:val="1"/>
          <w:bCs w:val="1"/>
          <w:i w:val="1"/>
          <w:iCs w:val="1"/>
          <w:color w:val="auto"/>
        </w:rPr>
      </w:pPr>
    </w:p>
    <w:p>
      <w:pPr>
        <w:ind w:left="-40" w:firstLine="436"/>
        <w:spacing w:after="0" w:line="279" w:lineRule="auto"/>
        <w:tabs>
          <w:tab w:leader="none" w:pos="670" w:val="left"/>
        </w:tabs>
        <w:numPr>
          <w:ilvl w:val="0"/>
          <w:numId w:val="94"/>
        </w:numPr>
        <w:rPr>
          <w:rFonts w:ascii="Arial" w:cs="Arial" w:eastAsia="Arial" w:hAnsi="Arial"/>
          <w:sz w:val="17"/>
          <w:szCs w:val="17"/>
          <w:b w:val="1"/>
          <w:bCs w:val="1"/>
          <w:i w:val="1"/>
          <w:iCs w:val="1"/>
          <w:color w:val="auto"/>
        </w:rPr>
      </w:pPr>
      <w:r>
        <w:rPr>
          <w:rFonts w:ascii="Arial" w:cs="Arial" w:eastAsia="Arial" w:hAnsi="Arial"/>
          <w:sz w:val="17"/>
          <w:szCs w:val="17"/>
          <w:b w:val="1"/>
          <w:bCs w:val="1"/>
          <w:i w:val="1"/>
          <w:iCs w:val="1"/>
          <w:color w:val="auto"/>
        </w:rPr>
        <w:t xml:space="preserve">Construction. </w:t>
      </w:r>
      <w:r>
        <w:rPr>
          <w:rFonts w:ascii="Arial" w:cs="Arial" w:eastAsia="Arial" w:hAnsi="Arial"/>
          <w:sz w:val="17"/>
          <w:szCs w:val="17"/>
          <w:color w:val="auto"/>
        </w:rPr>
        <w:t>The section and exhibit headings herein are for convenience only and shall not affect the construction hereof. References herein</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to any law, statute, ordinance, code, regulation, rule or other requirement of any governmental authority shall be deemed to refer to such law, statute, ordinance, code, regulation, rule or other requirement of any governmental authority as amended, reenacted, supplemented or superseded in whole or in part and in effect from time to time and also to all rules and regulations promulgated thereunder</w:t>
      </w:r>
    </w:p>
    <w:p>
      <w:pPr>
        <w:spacing w:after="0" w:line="17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[Signature Pages Follow]</w:t>
      </w:r>
    </w:p>
    <w:p>
      <w:pPr>
        <w:sectPr>
          <w:pgSz w:w="11900" w:h="16838" w:orient="portrait"/>
          <w:cols w:equalWidth="0" w:num="1">
            <w:col w:w="10920"/>
          </w:cols>
          <w:pgMar w:left="480" w:top="274" w:right="499" w:bottom="1440" w:gutter="0" w:footer="0" w:header="0"/>
        </w:sectPr>
      </w:pPr>
    </w:p>
    <w:bookmarkStart w:id="107" w:name="page108"/>
    <w:bookmarkEnd w:id="107"/>
    <w:p>
      <w:pPr>
        <w:ind w:firstLine="991"/>
        <w:spacing w:after="0" w:line="277"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140" name="Picture 1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0"/>
                    <pic:cNvPicPr>
                      <a:picLocks noChangeAspect="1" noChangeArrowheads="1"/>
                    </pic:cNvPicPr>
                  </pic:nvPicPr>
                  <pic:blipFill>
                    <a:blip r:embed="rId162">
                      <a:extLst>
                        <a:ext uri="{28A0092B-C50C-407E-A947-70E740481C1C}"/>
                      </a:extLst>
                    </a:blip>
                    <a:srcRect/>
                    <a:stretch>
                      <a:fillRect/>
                    </a:stretch>
                  </pic:blipFill>
                  <pic:spPr bwMode="auto">
                    <a:xfrm>
                      <a:off x="0" y="0"/>
                      <a:ext cx="7149465" cy="25400"/>
                    </a:xfrm>
                    <a:prstGeom prst="rect">
                      <a:avLst/>
                    </a:prstGeom>
                    <a:noFill/>
                  </pic:spPr>
                </pic:pic>
              </a:graphicData>
            </a:graphic>
          </wp:anchor>
        </w:drawing>
        <w:t>Please sign and return to the Company the enclosed duplicates of this letter whereupon this letter will become a binding agreement between the Company and the Agent in accordance with its terms.</w:t>
      </w:r>
    </w:p>
    <w:p>
      <w:pPr>
        <w:spacing w:after="0" w:line="197" w:lineRule="exact"/>
        <w:rPr>
          <w:sz w:val="20"/>
          <w:szCs w:val="20"/>
          <w:color w:val="auto"/>
        </w:rPr>
      </w:pPr>
    </w:p>
    <w:p>
      <w:pPr>
        <w:ind w:left="6620"/>
        <w:spacing w:after="0"/>
        <w:rPr>
          <w:sz w:val="20"/>
          <w:szCs w:val="20"/>
          <w:color w:val="auto"/>
        </w:rPr>
      </w:pPr>
      <w:r>
        <w:rPr>
          <w:rFonts w:ascii="Arial" w:cs="Arial" w:eastAsia="Arial" w:hAnsi="Arial"/>
          <w:sz w:val="18"/>
          <w:szCs w:val="18"/>
          <w:color w:val="auto"/>
        </w:rPr>
        <w:t>Very truly yours,</w:t>
      </w:r>
    </w:p>
    <w:p>
      <w:pPr>
        <w:spacing w:after="0" w:line="221" w:lineRule="exact"/>
        <w:rPr>
          <w:sz w:val="20"/>
          <w:szCs w:val="20"/>
          <w:color w:val="auto"/>
        </w:rPr>
      </w:pPr>
    </w:p>
    <w:p>
      <w:pPr>
        <w:ind w:left="6620"/>
        <w:spacing w:after="0"/>
        <w:rPr>
          <w:sz w:val="20"/>
          <w:szCs w:val="20"/>
          <w:color w:val="auto"/>
        </w:rPr>
      </w:pPr>
      <w:r>
        <w:rPr>
          <w:rFonts w:ascii="Arial" w:cs="Arial" w:eastAsia="Arial" w:hAnsi="Arial"/>
          <w:sz w:val="18"/>
          <w:szCs w:val="18"/>
          <w:b w:val="1"/>
          <w:bCs w:val="1"/>
          <w:color w:val="auto"/>
        </w:rPr>
        <w:t>LARIMAR THERAPEUTICS, INC.</w:t>
      </w:r>
    </w:p>
    <w:p>
      <w:pPr>
        <w:spacing w:after="0" w:line="229" w:lineRule="exact"/>
        <w:rPr>
          <w:sz w:val="20"/>
          <w:szCs w:val="20"/>
          <w:color w:val="auto"/>
        </w:rPr>
      </w:pPr>
    </w:p>
    <w:p>
      <w:pPr>
        <w:ind w:left="6620"/>
        <w:spacing w:after="0"/>
        <w:rPr>
          <w:sz w:val="20"/>
          <w:szCs w:val="20"/>
          <w:color w:val="auto"/>
        </w:rPr>
      </w:pPr>
      <w:r>
        <w:rPr>
          <w:rFonts w:ascii="Arial" w:cs="Arial" w:eastAsia="Arial" w:hAnsi="Arial"/>
          <w:sz w:val="18"/>
          <w:szCs w:val="18"/>
          <w:color w:val="auto"/>
        </w:rPr>
        <w:t>By: /s/ Carole Ben-Maimon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4429125</wp:posOffset>
            </wp:positionH>
            <wp:positionV relativeFrom="paragraph">
              <wp:posOffset>14605</wp:posOffset>
            </wp:positionV>
            <wp:extent cx="2562860" cy="8890"/>
            <wp:wrapNone/>
            <wp:docPr id="141" name="Picture 1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1"/>
                    <pic:cNvPicPr>
                      <a:picLocks noChangeAspect="1" noChangeArrowheads="1"/>
                    </pic:cNvPicPr>
                  </pic:nvPicPr>
                  <pic:blipFill>
                    <a:blip r:embed="rId163">
                      <a:extLst>
                        <a:ext uri="{28A0092B-C50C-407E-A947-70E740481C1C}"/>
                      </a:extLst>
                    </a:blip>
                    <a:srcRect/>
                    <a:stretch>
                      <a:fillRect/>
                    </a:stretch>
                  </pic:blipFill>
                  <pic:spPr bwMode="auto">
                    <a:xfrm>
                      <a:off x="0" y="0"/>
                      <a:ext cx="2562860" cy="8890"/>
                    </a:xfrm>
                    <a:prstGeom prst="rect">
                      <a:avLst/>
                    </a:prstGeom>
                    <a:noFill/>
                  </pic:spPr>
                </pic:pic>
              </a:graphicData>
            </a:graphic>
          </wp:anchor>
        </w:drawing>
      </w:r>
    </w:p>
    <w:p>
      <w:pPr>
        <w:spacing w:after="0" w:line="30" w:lineRule="exact"/>
        <w:rPr>
          <w:sz w:val="20"/>
          <w:szCs w:val="20"/>
          <w:color w:val="auto"/>
        </w:rPr>
      </w:pPr>
    </w:p>
    <w:p>
      <w:pPr>
        <w:ind w:left="6980"/>
        <w:spacing w:after="0"/>
        <w:rPr>
          <w:sz w:val="20"/>
          <w:szCs w:val="20"/>
          <w:color w:val="auto"/>
        </w:rPr>
      </w:pPr>
      <w:r>
        <w:rPr>
          <w:rFonts w:ascii="Arial" w:cs="Arial" w:eastAsia="Arial" w:hAnsi="Arial"/>
          <w:sz w:val="18"/>
          <w:szCs w:val="18"/>
          <w:color w:val="auto"/>
        </w:rPr>
        <w:t>Name: Carole Ben-Maimon, MD</w:t>
      </w:r>
    </w:p>
    <w:p>
      <w:pPr>
        <w:spacing w:after="0" w:line="9" w:lineRule="exact"/>
        <w:rPr>
          <w:sz w:val="20"/>
          <w:szCs w:val="20"/>
          <w:color w:val="auto"/>
        </w:rPr>
      </w:pPr>
    </w:p>
    <w:p>
      <w:pPr>
        <w:ind w:left="6980"/>
        <w:spacing w:after="0"/>
        <w:rPr>
          <w:sz w:val="20"/>
          <w:szCs w:val="20"/>
          <w:color w:val="auto"/>
        </w:rPr>
      </w:pPr>
      <w:r>
        <w:rPr>
          <w:rFonts w:ascii="Arial" w:cs="Arial" w:eastAsia="Arial" w:hAnsi="Arial"/>
          <w:sz w:val="17"/>
          <w:szCs w:val="17"/>
          <w:color w:val="auto"/>
        </w:rPr>
        <w:t>Title: President and Chief Executive Officer</w:t>
      </w:r>
    </w:p>
    <w:p>
      <w:pPr>
        <w:sectPr>
          <w:pgSz w:w="11900" w:h="16838" w:orient="portrait"/>
          <w:cols w:equalWidth="0" w:num="1">
            <w:col w:w="10400"/>
          </w:cols>
          <w:pgMar w:left="440" w:top="274" w:right="1059" w:bottom="1440" w:gutter="0" w:footer="0" w:header="0"/>
        </w:sectPr>
      </w:pPr>
    </w:p>
    <w:bookmarkStart w:id="108" w:name="page109"/>
    <w:bookmarkEnd w:id="108"/>
    <w:p>
      <w:pPr>
        <w:spacing w:after="0"/>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142" name="Picture 1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2"/>
                    <pic:cNvPicPr>
                      <a:picLocks noChangeAspect="1" noChangeArrowheads="1"/>
                    </pic:cNvPicPr>
                  </pic:nvPicPr>
                  <pic:blipFill>
                    <a:blip r:embed="rId164">
                      <a:extLst>
                        <a:ext uri="{28A0092B-C50C-407E-A947-70E740481C1C}"/>
                      </a:extLst>
                    </a:blip>
                    <a:srcRect/>
                    <a:stretch>
                      <a:fillRect/>
                    </a:stretch>
                  </pic:blipFill>
                  <pic:spPr bwMode="auto">
                    <a:xfrm>
                      <a:off x="0" y="0"/>
                      <a:ext cx="7149465" cy="25400"/>
                    </a:xfrm>
                    <a:prstGeom prst="rect">
                      <a:avLst/>
                    </a:prstGeom>
                    <a:noFill/>
                  </pic:spPr>
                </pic:pic>
              </a:graphicData>
            </a:graphic>
          </wp:anchor>
        </w:drawing>
        <w:t>Confirmed as of the date first</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above mentioned.</w:t>
      </w:r>
    </w:p>
    <w:p>
      <w:pPr>
        <w:spacing w:after="0" w:line="22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PIPER SANDLER &amp; CO.</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By: /s/ Neil Riley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228600</wp:posOffset>
            </wp:positionH>
            <wp:positionV relativeFrom="paragraph">
              <wp:posOffset>14605</wp:posOffset>
            </wp:positionV>
            <wp:extent cx="2562860" cy="8255"/>
            <wp:wrapNone/>
            <wp:docPr id="143" name="Picture 1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3"/>
                    <pic:cNvPicPr>
                      <a:picLocks noChangeAspect="1" noChangeArrowheads="1"/>
                    </pic:cNvPicPr>
                  </pic:nvPicPr>
                  <pic:blipFill>
                    <a:blip r:embed="rId165">
                      <a:extLst>
                        <a:ext uri="{28A0092B-C50C-407E-A947-70E740481C1C}"/>
                      </a:extLst>
                    </a:blip>
                    <a:srcRect/>
                    <a:stretch>
                      <a:fillRect/>
                    </a:stretch>
                  </pic:blipFill>
                  <pic:spPr bwMode="auto">
                    <a:xfrm>
                      <a:off x="0" y="0"/>
                      <a:ext cx="2562860" cy="8255"/>
                    </a:xfrm>
                    <a:prstGeom prst="rect">
                      <a:avLst/>
                    </a:prstGeom>
                    <a:noFill/>
                  </pic:spPr>
                </pic:pic>
              </a:graphicData>
            </a:graphic>
          </wp:anchor>
        </w:drawing>
      </w:r>
    </w:p>
    <w:p>
      <w:pPr>
        <w:spacing w:after="0" w:line="30" w:lineRule="exact"/>
        <w:rPr>
          <w:sz w:val="20"/>
          <w:szCs w:val="20"/>
          <w:color w:val="auto"/>
        </w:rPr>
      </w:pPr>
    </w:p>
    <w:p>
      <w:pPr>
        <w:ind w:left="360"/>
        <w:spacing w:after="0"/>
        <w:rPr>
          <w:sz w:val="20"/>
          <w:szCs w:val="20"/>
          <w:color w:val="auto"/>
        </w:rPr>
      </w:pPr>
      <w:r>
        <w:rPr>
          <w:rFonts w:ascii="Arial" w:cs="Arial" w:eastAsia="Arial" w:hAnsi="Arial"/>
          <w:sz w:val="18"/>
          <w:szCs w:val="18"/>
          <w:color w:val="auto"/>
        </w:rPr>
        <w:t>Name: Neil Riley</w:t>
      </w:r>
    </w:p>
    <w:p>
      <w:pPr>
        <w:spacing w:after="0" w:line="9" w:lineRule="exact"/>
        <w:rPr>
          <w:sz w:val="20"/>
          <w:szCs w:val="20"/>
          <w:color w:val="auto"/>
        </w:rPr>
      </w:pPr>
    </w:p>
    <w:p>
      <w:pPr>
        <w:jc w:val="right"/>
        <w:ind w:right="7859"/>
        <w:spacing w:after="0"/>
        <w:rPr>
          <w:sz w:val="20"/>
          <w:szCs w:val="20"/>
          <w:color w:val="auto"/>
        </w:rPr>
      </w:pPr>
      <w:r>
        <w:rPr>
          <w:rFonts w:ascii="Arial" w:cs="Arial" w:eastAsia="Arial" w:hAnsi="Arial"/>
          <w:sz w:val="18"/>
          <w:szCs w:val="18"/>
          <w:color w:val="auto"/>
        </w:rPr>
        <w:t>Title: Managing Director</w:t>
      </w:r>
    </w:p>
    <w:p>
      <w:pPr>
        <w:sectPr>
          <w:pgSz w:w="11900" w:h="16838" w:orient="portrait"/>
          <w:cols w:equalWidth="0" w:num="1">
            <w:col w:w="10019"/>
          </w:cols>
          <w:pgMar w:left="440" w:top="274" w:right="1440" w:bottom="1440" w:gutter="0" w:footer="0" w:header="0"/>
        </w:sectPr>
      </w:pPr>
    </w:p>
    <w:bookmarkStart w:id="109" w:name="page110"/>
    <w:bookmarkEnd w:id="109"/>
    <w:p>
      <w:pPr>
        <w:jc w:val="center"/>
        <w:ind w:right="19"/>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144" name="Picture 1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4"/>
                    <pic:cNvPicPr>
                      <a:picLocks noChangeAspect="1" noChangeArrowheads="1"/>
                    </pic:cNvPicPr>
                  </pic:nvPicPr>
                  <pic:blipFill>
                    <a:blip r:embed="rId166">
                      <a:extLst>
                        <a:ext uri="{28A0092B-C50C-407E-A947-70E740481C1C}"/>
                      </a:extLst>
                    </a:blip>
                    <a:srcRect/>
                    <a:stretch>
                      <a:fillRect/>
                    </a:stretch>
                  </pic:blipFill>
                  <pic:spPr bwMode="auto">
                    <a:xfrm>
                      <a:off x="0" y="0"/>
                      <a:ext cx="7149465" cy="25400"/>
                    </a:xfrm>
                    <a:prstGeom prst="rect">
                      <a:avLst/>
                    </a:prstGeom>
                    <a:noFill/>
                  </pic:spPr>
                </pic:pic>
              </a:graphicData>
            </a:graphic>
          </wp:anchor>
        </w:drawing>
        <w:t>SCHEDULE 1</w:t>
      </w:r>
    </w:p>
    <w:p>
      <w:pPr>
        <w:spacing w:after="0" w:line="225"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FORM OF PLACEMENT NOTICE</w:t>
      </w:r>
    </w:p>
    <w:p>
      <w:pPr>
        <w:sectPr>
          <w:pgSz w:w="11900" w:h="16838" w:orient="portrait"/>
          <w:cols w:equalWidth="0" w:num="1">
            <w:col w:w="9019"/>
          </w:cols>
          <w:pgMar w:left="1440" w:top="270" w:right="1440" w:bottom="1440" w:gutter="0" w:footer="0" w:header="0"/>
        </w:sectPr>
      </w:pPr>
    </w:p>
    <w:bookmarkStart w:id="110" w:name="page111"/>
    <w:bookmarkEnd w:id="110"/>
    <w:p>
      <w:pPr>
        <w:jc w:val="center"/>
        <w:ind w:right="19"/>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145" name="Picture 1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5"/>
                    <pic:cNvPicPr>
                      <a:picLocks noChangeAspect="1" noChangeArrowheads="1"/>
                    </pic:cNvPicPr>
                  </pic:nvPicPr>
                  <pic:blipFill>
                    <a:blip r:embed="rId167">
                      <a:extLst>
                        <a:ext uri="{28A0092B-C50C-407E-A947-70E740481C1C}"/>
                      </a:extLst>
                    </a:blip>
                    <a:srcRect/>
                    <a:stretch>
                      <a:fillRect/>
                    </a:stretch>
                  </pic:blipFill>
                  <pic:spPr bwMode="auto">
                    <a:xfrm>
                      <a:off x="0" y="0"/>
                      <a:ext cx="7149465" cy="25400"/>
                    </a:xfrm>
                    <a:prstGeom prst="rect">
                      <a:avLst/>
                    </a:prstGeom>
                    <a:noFill/>
                  </pic:spPr>
                </pic:pic>
              </a:graphicData>
            </a:graphic>
          </wp:anchor>
        </w:drawing>
        <w:t>SCHEDULE 2</w:t>
      </w:r>
    </w:p>
    <w:p>
      <w:pPr>
        <w:spacing w:after="0" w:line="225"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NOTICE PARTIES</w:t>
      </w:r>
    </w:p>
    <w:p>
      <w:pPr>
        <w:sectPr>
          <w:pgSz w:w="11900" w:h="16838" w:orient="portrait"/>
          <w:cols w:equalWidth="0" w:num="1">
            <w:col w:w="9019"/>
          </w:cols>
          <w:pgMar w:left="1440" w:top="270" w:right="1440" w:bottom="1440" w:gutter="0" w:footer="0" w:header="0"/>
        </w:sectPr>
      </w:pPr>
    </w:p>
    <w:bookmarkStart w:id="111" w:name="page112"/>
    <w:bookmarkEnd w:id="111"/>
    <w:p>
      <w:pPr>
        <w:jc w:val="center"/>
        <w:ind w:right="-43"/>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146" name="Picture 1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6"/>
                    <pic:cNvPicPr>
                      <a:picLocks noChangeAspect="1" noChangeArrowheads="1"/>
                    </pic:cNvPicPr>
                  </pic:nvPicPr>
                  <pic:blipFill>
                    <a:blip r:embed="rId168">
                      <a:extLst>
                        <a:ext uri="{28A0092B-C50C-407E-A947-70E740481C1C}"/>
                      </a:extLst>
                    </a:blip>
                    <a:srcRect/>
                    <a:stretch>
                      <a:fillRect/>
                    </a:stretch>
                  </pic:blipFill>
                  <pic:spPr bwMode="auto">
                    <a:xfrm>
                      <a:off x="0" y="0"/>
                      <a:ext cx="7149465" cy="25400"/>
                    </a:xfrm>
                    <a:prstGeom prst="rect">
                      <a:avLst/>
                    </a:prstGeom>
                    <a:noFill/>
                  </pic:spPr>
                </pic:pic>
              </a:graphicData>
            </a:graphic>
          </wp:anchor>
        </w:drawing>
        <w:t>SCHEDULE 3</w:t>
      </w:r>
    </w:p>
    <w:p>
      <w:pPr>
        <w:spacing w:after="0" w:line="225" w:lineRule="exact"/>
        <w:rPr>
          <w:sz w:val="20"/>
          <w:szCs w:val="20"/>
          <w:color w:val="auto"/>
        </w:rPr>
      </w:pPr>
    </w:p>
    <w:p>
      <w:pPr>
        <w:jc w:val="center"/>
        <w:ind w:right="-43"/>
        <w:spacing w:after="0"/>
        <w:rPr>
          <w:sz w:val="20"/>
          <w:szCs w:val="20"/>
          <w:color w:val="auto"/>
        </w:rPr>
      </w:pPr>
      <w:r>
        <w:rPr>
          <w:rFonts w:ascii="Arial" w:cs="Arial" w:eastAsia="Arial" w:hAnsi="Arial"/>
          <w:sz w:val="18"/>
          <w:szCs w:val="18"/>
          <w:b w:val="1"/>
          <w:bCs w:val="1"/>
          <w:color w:val="auto"/>
        </w:rPr>
        <w:t>FORM OF REPRESENTATION CERTIFICATE</w:t>
      </w:r>
    </w:p>
    <w:p>
      <w:pPr>
        <w:spacing w:after="0" w:line="27" w:lineRule="exact"/>
        <w:rPr>
          <w:sz w:val="20"/>
          <w:szCs w:val="20"/>
          <w:color w:val="auto"/>
        </w:rPr>
      </w:pPr>
    </w:p>
    <w:p>
      <w:pPr>
        <w:jc w:val="center"/>
        <w:ind w:right="-43"/>
        <w:spacing w:after="0"/>
        <w:rPr>
          <w:sz w:val="20"/>
          <w:szCs w:val="20"/>
          <w:color w:val="auto"/>
        </w:rPr>
      </w:pPr>
      <w:r>
        <w:rPr>
          <w:rFonts w:ascii="Arial" w:cs="Arial" w:eastAsia="Arial" w:hAnsi="Arial"/>
          <w:sz w:val="18"/>
          <w:szCs w:val="18"/>
          <w:b w:val="1"/>
          <w:bCs w:val="1"/>
          <w:color w:val="auto"/>
        </w:rPr>
        <w:t>PURSUANT TO SECTION 3(Q) OF THE AGREEMENT</w:t>
      </w:r>
    </w:p>
    <w:p>
      <w:pPr>
        <w:spacing w:after="0" w:line="211" w:lineRule="exact"/>
        <w:rPr>
          <w:sz w:val="20"/>
          <w:szCs w:val="20"/>
          <w:color w:val="auto"/>
        </w:rPr>
      </w:pPr>
    </w:p>
    <w:p>
      <w:pPr>
        <w:ind w:left="4"/>
        <w:spacing w:after="0"/>
        <w:rPr>
          <w:sz w:val="20"/>
          <w:szCs w:val="20"/>
          <w:color w:val="auto"/>
        </w:rPr>
      </w:pPr>
      <w:r>
        <w:rPr>
          <w:rFonts w:ascii="Arial" w:cs="Arial" w:eastAsia="Arial" w:hAnsi="Arial"/>
          <w:sz w:val="18"/>
          <w:szCs w:val="18"/>
          <w:color w:val="auto"/>
        </w:rPr>
        <w:t>[Date]</w:t>
      </w:r>
    </w:p>
    <w:p>
      <w:pPr>
        <w:spacing w:after="0" w:line="117" w:lineRule="exact"/>
        <w:rPr>
          <w:sz w:val="20"/>
          <w:szCs w:val="20"/>
          <w:color w:val="auto"/>
        </w:rPr>
      </w:pPr>
    </w:p>
    <w:p>
      <w:pPr>
        <w:ind w:left="4"/>
        <w:spacing w:after="0"/>
        <w:rPr>
          <w:sz w:val="20"/>
          <w:szCs w:val="20"/>
          <w:color w:val="auto"/>
        </w:rPr>
      </w:pPr>
      <w:r>
        <w:rPr>
          <w:rFonts w:ascii="Arial" w:cs="Arial" w:eastAsia="Arial" w:hAnsi="Arial"/>
          <w:sz w:val="18"/>
          <w:szCs w:val="18"/>
          <w:color w:val="auto"/>
        </w:rPr>
        <w:t>Piper Sandler &amp; Co.</w:t>
      </w:r>
    </w:p>
    <w:p>
      <w:pPr>
        <w:spacing w:after="0" w:line="23" w:lineRule="exact"/>
        <w:rPr>
          <w:sz w:val="20"/>
          <w:szCs w:val="20"/>
          <w:color w:val="auto"/>
        </w:rPr>
      </w:pPr>
    </w:p>
    <w:p>
      <w:pPr>
        <w:ind w:left="4"/>
        <w:spacing w:after="0"/>
        <w:rPr>
          <w:sz w:val="20"/>
          <w:szCs w:val="20"/>
          <w:color w:val="auto"/>
        </w:rPr>
      </w:pPr>
      <w:r>
        <w:rPr>
          <w:rFonts w:ascii="Arial" w:cs="Arial" w:eastAsia="Arial" w:hAnsi="Arial"/>
          <w:sz w:val="18"/>
          <w:szCs w:val="18"/>
          <w:color w:val="auto"/>
        </w:rPr>
        <w:t>800 Nicollet Mall</w:t>
      </w:r>
    </w:p>
    <w:p>
      <w:pPr>
        <w:spacing w:after="0" w:line="9" w:lineRule="exact"/>
        <w:rPr>
          <w:sz w:val="20"/>
          <w:szCs w:val="20"/>
          <w:color w:val="auto"/>
        </w:rPr>
      </w:pPr>
    </w:p>
    <w:p>
      <w:pPr>
        <w:ind w:left="4"/>
        <w:spacing w:after="0"/>
        <w:rPr>
          <w:sz w:val="20"/>
          <w:szCs w:val="20"/>
          <w:color w:val="auto"/>
        </w:rPr>
      </w:pPr>
      <w:r>
        <w:rPr>
          <w:rFonts w:ascii="Arial" w:cs="Arial" w:eastAsia="Arial" w:hAnsi="Arial"/>
          <w:sz w:val="18"/>
          <w:szCs w:val="18"/>
          <w:color w:val="auto"/>
        </w:rPr>
        <w:t>Minneapolis, MN 55402</w:t>
      </w:r>
    </w:p>
    <w:p>
      <w:pPr>
        <w:spacing w:after="0" w:line="211" w:lineRule="exact"/>
        <w:rPr>
          <w:sz w:val="20"/>
          <w:szCs w:val="20"/>
          <w:color w:val="auto"/>
        </w:rPr>
      </w:pPr>
    </w:p>
    <w:p>
      <w:pPr>
        <w:ind w:left="4"/>
        <w:spacing w:after="0"/>
        <w:rPr>
          <w:sz w:val="20"/>
          <w:szCs w:val="20"/>
          <w:color w:val="auto"/>
        </w:rPr>
      </w:pPr>
      <w:r>
        <w:rPr>
          <w:rFonts w:ascii="Arial" w:cs="Arial" w:eastAsia="Arial" w:hAnsi="Arial"/>
          <w:sz w:val="18"/>
          <w:szCs w:val="18"/>
          <w:color w:val="auto"/>
        </w:rPr>
        <w:t>Sir:</w:t>
      </w:r>
    </w:p>
    <w:p>
      <w:pPr>
        <w:spacing w:after="0" w:line="117" w:lineRule="exact"/>
        <w:rPr>
          <w:sz w:val="20"/>
          <w:szCs w:val="20"/>
          <w:color w:val="auto"/>
        </w:rPr>
      </w:pPr>
    </w:p>
    <w:p>
      <w:pPr>
        <w:ind w:left="4"/>
        <w:spacing w:after="0" w:line="279" w:lineRule="auto"/>
        <w:rPr>
          <w:sz w:val="20"/>
          <w:szCs w:val="20"/>
          <w:color w:val="auto"/>
        </w:rPr>
      </w:pPr>
      <w:r>
        <w:rPr>
          <w:rFonts w:ascii="Arial" w:cs="Arial" w:eastAsia="Arial" w:hAnsi="Arial"/>
          <w:sz w:val="17"/>
          <w:szCs w:val="17"/>
          <w:color w:val="auto"/>
        </w:rPr>
        <w:t>The undersigned, the duly qualified and elected Chief Executive Officer and the duly qualified and elected Chief Financial Officer of Larimar Therapeutics, Inc., a Delaware corporation (the “</w:t>
      </w:r>
      <w:r>
        <w:rPr>
          <w:rFonts w:ascii="Arial" w:cs="Arial" w:eastAsia="Arial" w:hAnsi="Arial"/>
          <w:sz w:val="17"/>
          <w:szCs w:val="17"/>
          <w:b w:val="1"/>
          <w:bCs w:val="1"/>
          <w:color w:val="auto"/>
        </w:rPr>
        <w:t>Company</w:t>
      </w:r>
      <w:r>
        <w:rPr>
          <w:rFonts w:ascii="Arial" w:cs="Arial" w:eastAsia="Arial" w:hAnsi="Arial"/>
          <w:sz w:val="17"/>
          <w:szCs w:val="17"/>
          <w:color w:val="auto"/>
        </w:rPr>
        <w:t xml:space="preserve">”), do each hereby certify in such capacity, and not in their individual capacities, and on behalf of the Company, pursuant to </w:t>
      </w:r>
      <w:r>
        <w:rPr>
          <w:rFonts w:ascii="Arial" w:cs="Arial" w:eastAsia="Arial" w:hAnsi="Arial"/>
          <w:sz w:val="17"/>
          <w:szCs w:val="17"/>
          <w:u w:val="single" w:color="auto"/>
          <w:color w:val="auto"/>
        </w:rPr>
        <w:t>Section 3(q)</w:t>
      </w:r>
      <w:r>
        <w:rPr>
          <w:rFonts w:ascii="Arial" w:cs="Arial" w:eastAsia="Arial" w:hAnsi="Arial"/>
          <w:sz w:val="17"/>
          <w:szCs w:val="17"/>
          <w:color w:val="auto"/>
        </w:rPr>
        <w:t xml:space="preserve"> of the Equity Distribution Agreement, dated August 14, 2020 (the “</w:t>
      </w:r>
      <w:r>
        <w:rPr>
          <w:rFonts w:ascii="Arial" w:cs="Arial" w:eastAsia="Arial" w:hAnsi="Arial"/>
          <w:sz w:val="17"/>
          <w:szCs w:val="17"/>
          <w:b w:val="1"/>
          <w:bCs w:val="1"/>
          <w:color w:val="auto"/>
        </w:rPr>
        <w:t>Equity Distribution Agreement</w:t>
      </w:r>
      <w:r>
        <w:rPr>
          <w:rFonts w:ascii="Arial" w:cs="Arial" w:eastAsia="Arial" w:hAnsi="Arial"/>
          <w:sz w:val="17"/>
          <w:szCs w:val="17"/>
          <w:color w:val="auto"/>
        </w:rPr>
        <w:t>”), between the Company and Piper Sandler &amp; Co., that to the best of the knowledge of each the undersigned:</w:t>
      </w:r>
    </w:p>
    <w:p>
      <w:pPr>
        <w:spacing w:after="0" w:line="63" w:lineRule="exact"/>
        <w:rPr>
          <w:sz w:val="20"/>
          <w:szCs w:val="20"/>
          <w:color w:val="auto"/>
        </w:rPr>
      </w:pPr>
    </w:p>
    <w:p>
      <w:pPr>
        <w:ind w:left="4" w:right="40" w:hanging="4"/>
        <w:spacing w:after="0" w:line="263" w:lineRule="auto"/>
        <w:tabs>
          <w:tab w:leader="none" w:pos="219" w:val="left"/>
        </w:tabs>
        <w:numPr>
          <w:ilvl w:val="0"/>
          <w:numId w:val="95"/>
        </w:numPr>
        <w:rPr>
          <w:rFonts w:ascii="Arial" w:cs="Arial" w:eastAsia="Arial" w:hAnsi="Arial"/>
          <w:sz w:val="18"/>
          <w:szCs w:val="18"/>
          <w:color w:val="auto"/>
        </w:rPr>
      </w:pPr>
      <w:r>
        <w:rPr>
          <w:rFonts w:ascii="Arial" w:cs="Arial" w:eastAsia="Arial" w:hAnsi="Arial"/>
          <w:sz w:val="18"/>
          <w:szCs w:val="18"/>
          <w:color w:val="auto"/>
        </w:rPr>
        <w:t>The representations and warranties of the Company in this Agreement are true and correct, in all material respects, as if made at and as of the date of the certificate, and the Company has complied with all the agreements and satisfied all the conditions on its part to be performed or satisfied at or prior to the date of the certificate;</w:t>
      </w:r>
    </w:p>
    <w:p>
      <w:pPr>
        <w:spacing w:after="0" w:line="75" w:lineRule="exact"/>
        <w:rPr>
          <w:rFonts w:ascii="Arial" w:cs="Arial" w:eastAsia="Arial" w:hAnsi="Arial"/>
          <w:sz w:val="18"/>
          <w:szCs w:val="18"/>
          <w:color w:val="auto"/>
        </w:rPr>
      </w:pPr>
    </w:p>
    <w:p>
      <w:pPr>
        <w:ind w:left="4" w:hanging="4"/>
        <w:spacing w:after="0" w:line="259" w:lineRule="auto"/>
        <w:tabs>
          <w:tab w:leader="none" w:pos="269" w:val="left"/>
        </w:tabs>
        <w:numPr>
          <w:ilvl w:val="0"/>
          <w:numId w:val="95"/>
        </w:numPr>
        <w:rPr>
          <w:rFonts w:ascii="Arial" w:cs="Arial" w:eastAsia="Arial" w:hAnsi="Arial"/>
          <w:sz w:val="18"/>
          <w:szCs w:val="18"/>
          <w:color w:val="auto"/>
        </w:rPr>
      </w:pPr>
      <w:r>
        <w:rPr>
          <w:rFonts w:ascii="Arial" w:cs="Arial" w:eastAsia="Arial" w:hAnsi="Arial"/>
          <w:sz w:val="18"/>
          <w:szCs w:val="18"/>
          <w:color w:val="auto"/>
        </w:rPr>
        <w:t>No stop order or other order suspending the effectiveness of the Registration Statement or any part thereof or any amendment thereof or the qualification of the Shares for Registration Statement, nor suspending or preventing the use of the base prospectus, the Prospectus or any Permitted Free Writing Prospectus, has been issued, and no proceeding for that purpose has been instituted or, to the best of the Company’s knowledge, is contemplated by the Commission or any state or regulatory body;</w:t>
      </w:r>
    </w:p>
    <w:p>
      <w:pPr>
        <w:spacing w:after="0" w:line="78" w:lineRule="exact"/>
        <w:rPr>
          <w:rFonts w:ascii="Arial" w:cs="Arial" w:eastAsia="Arial" w:hAnsi="Arial"/>
          <w:sz w:val="18"/>
          <w:szCs w:val="18"/>
          <w:color w:val="auto"/>
        </w:rPr>
      </w:pPr>
    </w:p>
    <w:p>
      <w:pPr>
        <w:ind w:left="4" w:right="80" w:hanging="4"/>
        <w:spacing w:after="0" w:line="277" w:lineRule="auto"/>
        <w:tabs>
          <w:tab w:leader="none" w:pos="319" w:val="left"/>
        </w:tabs>
        <w:numPr>
          <w:ilvl w:val="0"/>
          <w:numId w:val="95"/>
        </w:numPr>
        <w:rPr>
          <w:rFonts w:ascii="Arial" w:cs="Arial" w:eastAsia="Arial" w:hAnsi="Arial"/>
          <w:sz w:val="18"/>
          <w:szCs w:val="18"/>
          <w:color w:val="auto"/>
        </w:rPr>
      </w:pPr>
      <w:r>
        <w:rPr>
          <w:rFonts w:ascii="Arial" w:cs="Arial" w:eastAsia="Arial" w:hAnsi="Arial"/>
          <w:sz w:val="18"/>
          <w:szCs w:val="18"/>
          <w:color w:val="auto"/>
        </w:rPr>
        <w:t>The Shares have been duly and validly authorized by the Company and that all corporate action required to be taken for the authorization, issuance and sale of the Shares has been validly and sufficiently taken;</w:t>
      </w:r>
    </w:p>
    <w:p>
      <w:pPr>
        <w:spacing w:after="0" w:line="62" w:lineRule="exact"/>
        <w:rPr>
          <w:rFonts w:ascii="Arial" w:cs="Arial" w:eastAsia="Arial" w:hAnsi="Arial"/>
          <w:sz w:val="18"/>
          <w:szCs w:val="18"/>
          <w:color w:val="auto"/>
        </w:rPr>
      </w:pPr>
    </w:p>
    <w:p>
      <w:pPr>
        <w:ind w:left="4" w:right="360" w:hanging="4"/>
        <w:spacing w:after="0" w:line="286" w:lineRule="auto"/>
        <w:tabs>
          <w:tab w:leader="none" w:pos="309" w:val="left"/>
        </w:tabs>
        <w:numPr>
          <w:ilvl w:val="0"/>
          <w:numId w:val="95"/>
        </w:numPr>
        <w:rPr>
          <w:rFonts w:ascii="Arial" w:cs="Arial" w:eastAsia="Arial" w:hAnsi="Arial"/>
          <w:sz w:val="17"/>
          <w:szCs w:val="17"/>
          <w:color w:val="auto"/>
        </w:rPr>
      </w:pPr>
      <w:r>
        <w:rPr>
          <w:rFonts w:ascii="Arial" w:cs="Arial" w:eastAsia="Arial" w:hAnsi="Arial"/>
          <w:sz w:val="17"/>
          <w:szCs w:val="17"/>
          <w:color w:val="auto"/>
        </w:rPr>
        <w:t>The signers of this certificate have carefully examined the Registration Statement, the base prospectus, the Prospectus and any Permitted Free Writing Prospectus, and any amendments thereof or supplements thereto (including any documents filed under the Exchange Act and deemed to be incorporated by reference into the base prospectus, the Prospectus and any Permitted Free Writing Prospectus),</w:t>
      </w:r>
    </w:p>
    <w:p>
      <w:pPr>
        <w:spacing w:after="0" w:line="57" w:lineRule="exact"/>
        <w:rPr>
          <w:rFonts w:ascii="Arial" w:cs="Arial" w:eastAsia="Arial" w:hAnsi="Arial"/>
          <w:sz w:val="17"/>
          <w:szCs w:val="17"/>
          <w:color w:val="auto"/>
        </w:rPr>
      </w:pPr>
    </w:p>
    <w:p>
      <w:pPr>
        <w:ind w:left="4" w:firstLine="436"/>
        <w:spacing w:after="0" w:line="263" w:lineRule="auto"/>
        <w:tabs>
          <w:tab w:leader="none" w:pos="739" w:val="left"/>
        </w:tabs>
        <w:numPr>
          <w:ilvl w:val="1"/>
          <w:numId w:val="95"/>
        </w:numPr>
        <w:rPr>
          <w:rFonts w:ascii="Arial" w:cs="Arial" w:eastAsia="Arial" w:hAnsi="Arial"/>
          <w:sz w:val="18"/>
          <w:szCs w:val="18"/>
          <w:color w:val="auto"/>
        </w:rPr>
      </w:pPr>
      <w:r>
        <w:rPr>
          <w:rFonts w:ascii="Arial" w:cs="Arial" w:eastAsia="Arial" w:hAnsi="Arial"/>
          <w:sz w:val="18"/>
          <w:szCs w:val="18"/>
          <w:color w:val="auto"/>
        </w:rPr>
        <w:t>each part of the Registration Statement and the Prospectus, and any amendments thereof or supplements thereto (including any documents filed under the Exchange Act and deemed to be incorporated by reference into the Prospectus) contain, and contained when such part of the Registration Statement (or such amendment) became effective, all statements and</w:t>
      </w:r>
    </w:p>
    <w:p>
      <w:pPr>
        <w:sectPr>
          <w:pgSz w:w="11900" w:h="16838" w:orient="portrait"/>
          <w:cols w:equalWidth="0" w:num="1">
            <w:col w:w="10964"/>
          </w:cols>
          <w:pgMar w:left="436" w:top="270" w:right="499" w:bottom="1440" w:gutter="0" w:footer="0" w:header="0"/>
        </w:sectPr>
      </w:pPr>
    </w:p>
    <w:bookmarkStart w:id="112" w:name="page113"/>
    <w:bookmarkEnd w:id="112"/>
    <w:p>
      <w:pPr>
        <w:ind w:right="40"/>
        <w:spacing w:after="0" w:line="272" w:lineRule="auto"/>
        <w:rPr>
          <w:sz w:val="20"/>
          <w:szCs w:val="20"/>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147" name="Picture 1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7"/>
                    <pic:cNvPicPr>
                      <a:picLocks noChangeAspect="1" noChangeArrowheads="1"/>
                    </pic:cNvPicPr>
                  </pic:nvPicPr>
                  <pic:blipFill>
                    <a:blip r:embed="rId169">
                      <a:extLst>
                        <a:ext uri="{28A0092B-C50C-407E-A947-70E740481C1C}"/>
                      </a:extLst>
                    </a:blip>
                    <a:srcRect/>
                    <a:stretch>
                      <a:fillRect/>
                    </a:stretch>
                  </pic:blipFill>
                  <pic:spPr bwMode="auto">
                    <a:xfrm>
                      <a:off x="0" y="0"/>
                      <a:ext cx="7149465" cy="25400"/>
                    </a:xfrm>
                    <a:prstGeom prst="rect">
                      <a:avLst/>
                    </a:prstGeom>
                    <a:noFill/>
                  </pic:spPr>
                </pic:pic>
              </a:graphicData>
            </a:graphic>
          </wp:anchor>
        </w:drawing>
        <w:t>information required to be included therein, each part of the Registration Statement, or any amendment thereof, does not contain, and did not contain, when such part of the Registration Statement (or such amendment) became effective, any untrue statement of a material fact or omit to state, and did not omit to state when such part of the Registration Statement (or such amendment) became effective, any material fact required to be stated therein or necessary to make the statements therein not misleading, and the Prospectus, as amended or supplemented, does not include and did not include as of its date, or the time of first use within the meaning of the Securities Act, any untrue statement of a material fact or omit to state and did not omit to state as of its date, or the time of first use within the meaning of the Securities Act, a material fact necessary to make the statements therein, in light of the circumstances under which they were made, not misleading,</w:t>
      </w:r>
    </w:p>
    <w:p>
      <w:pPr>
        <w:spacing w:after="0" w:line="69" w:lineRule="exact"/>
        <w:rPr>
          <w:sz w:val="20"/>
          <w:szCs w:val="20"/>
          <w:color w:val="auto"/>
        </w:rPr>
      </w:pPr>
    </w:p>
    <w:p>
      <w:pPr>
        <w:ind w:right="20" w:firstLine="436"/>
        <w:spacing w:after="0" w:line="257" w:lineRule="auto"/>
        <w:tabs>
          <w:tab w:leader="none" w:pos="725" w:val="left"/>
        </w:tabs>
        <w:numPr>
          <w:ilvl w:val="0"/>
          <w:numId w:val="96"/>
        </w:numPr>
        <w:rPr>
          <w:rFonts w:ascii="Arial" w:cs="Arial" w:eastAsia="Arial" w:hAnsi="Arial"/>
          <w:sz w:val="18"/>
          <w:szCs w:val="18"/>
          <w:color w:val="auto"/>
        </w:rPr>
      </w:pPr>
      <w:r>
        <w:rPr>
          <w:rFonts w:ascii="Arial" w:cs="Arial" w:eastAsia="Arial" w:hAnsi="Arial"/>
          <w:sz w:val="18"/>
          <w:szCs w:val="18"/>
          <w:color w:val="auto"/>
        </w:rPr>
        <w:t>at no time during the period that begins on the earlier of the date of such base prospectus, Prospectus, or Permitted Free Writing Prospectus and the date such base prospectus, Prospectus, or Permitted Free Writing Prospectus was filed with the Commission and ends on the date of this certificate did such base prospectus, Prospectus, or Permitted Free Writing Prospectus, as then amended or supplemented, include an untrue statement of a material fact or omit to state any material fact necessary in order to make the statements therein, in the light of the circumstances under which they were made, not misleading,</w:t>
      </w:r>
    </w:p>
    <w:p>
      <w:pPr>
        <w:spacing w:after="0" w:line="79" w:lineRule="exact"/>
        <w:rPr>
          <w:rFonts w:ascii="Arial" w:cs="Arial" w:eastAsia="Arial" w:hAnsi="Arial"/>
          <w:sz w:val="18"/>
          <w:szCs w:val="18"/>
          <w:color w:val="auto"/>
        </w:rPr>
      </w:pPr>
    </w:p>
    <w:p>
      <w:pPr>
        <w:ind w:right="120" w:firstLine="436"/>
        <w:spacing w:after="0" w:line="311" w:lineRule="auto"/>
        <w:tabs>
          <w:tab w:leader="none" w:pos="725" w:val="left"/>
        </w:tabs>
        <w:numPr>
          <w:ilvl w:val="0"/>
          <w:numId w:val="96"/>
        </w:numPr>
        <w:rPr>
          <w:rFonts w:ascii="Arial" w:cs="Arial" w:eastAsia="Arial" w:hAnsi="Arial"/>
          <w:sz w:val="16"/>
          <w:szCs w:val="16"/>
          <w:color w:val="auto"/>
        </w:rPr>
      </w:pPr>
      <w:r>
        <w:rPr>
          <w:rFonts w:ascii="Arial" w:cs="Arial" w:eastAsia="Arial" w:hAnsi="Arial"/>
          <w:sz w:val="16"/>
          <w:szCs w:val="16"/>
          <w:color w:val="auto"/>
        </w:rPr>
        <w:t>since the date of the Equity Distribution Agreement, there has occurred no event required to be set forth in an amended or supplemented prospectus which has not been so set forth, and there has been no document required to be filed under the Exchange Act that upon such filing would be deemed to be incorporated by reference into the base prospectus, the Prospectus or any Permitted Free Writing Prospectus that has not been so filed,</w:t>
      </w:r>
    </w:p>
    <w:p>
      <w:pPr>
        <w:spacing w:after="0" w:line="40" w:lineRule="exact"/>
        <w:rPr>
          <w:rFonts w:ascii="Arial" w:cs="Arial" w:eastAsia="Arial" w:hAnsi="Arial"/>
          <w:sz w:val="16"/>
          <w:szCs w:val="16"/>
          <w:color w:val="auto"/>
        </w:rPr>
      </w:pPr>
    </w:p>
    <w:p>
      <w:pPr>
        <w:ind w:firstLine="436"/>
        <w:spacing w:after="0" w:line="271" w:lineRule="auto"/>
        <w:tabs>
          <w:tab w:leader="none" w:pos="735" w:val="left"/>
        </w:tabs>
        <w:numPr>
          <w:ilvl w:val="0"/>
          <w:numId w:val="96"/>
        </w:numPr>
        <w:rPr>
          <w:rFonts w:ascii="Arial" w:cs="Arial" w:eastAsia="Arial" w:hAnsi="Arial"/>
          <w:sz w:val="17"/>
          <w:szCs w:val="17"/>
          <w:color w:val="auto"/>
        </w:rPr>
      </w:pPr>
      <w:r>
        <w:rPr>
          <w:rFonts w:ascii="Arial" w:cs="Arial" w:eastAsia="Arial" w:hAnsi="Arial"/>
          <w:sz w:val="17"/>
          <w:szCs w:val="17"/>
          <w:color w:val="auto"/>
        </w:rPr>
        <w:t>except as stated in the Prospectus or any Permitted Free Writing Prospectus, the Company has not incurred any material liabilities or obligations, direct or contingent, or entered into any material transactions, not in the ordinary course of business, or declared or paid any dividends or made any distribution of any kind with respect to its capital stock, and except as disclosed in the base prospectus, the Prospectus, and any Permitted Free Writing Prospectus, there has not been any material change in the capital stock (other than a change in the number of outstanding Common Stock due to sales of Shares pursuant to the Equity Distribution Agreement and the issuance of shares of Common Stock upon the exercise of equity awards or warrants), or any material change in the short term or long term debt, or any Material Adverse Effect or any development involving a prospective Material Adverse Effect (whether or not arising in the ordinary course of business), or any loss by strike, fire, flood, earthquake, accident or other calamity, whether or not covered by insurance, incurred by the Company, and</w:t>
      </w:r>
    </w:p>
    <w:p>
      <w:pPr>
        <w:spacing w:after="0" w:line="70" w:lineRule="exact"/>
        <w:rPr>
          <w:rFonts w:ascii="Arial" w:cs="Arial" w:eastAsia="Arial" w:hAnsi="Arial"/>
          <w:sz w:val="17"/>
          <w:szCs w:val="17"/>
          <w:color w:val="auto"/>
        </w:rPr>
      </w:pPr>
    </w:p>
    <w:p>
      <w:pPr>
        <w:ind w:right="140" w:firstLine="436"/>
        <w:spacing w:after="0" w:line="263" w:lineRule="auto"/>
        <w:tabs>
          <w:tab w:leader="none" w:pos="715" w:val="left"/>
        </w:tabs>
        <w:numPr>
          <w:ilvl w:val="0"/>
          <w:numId w:val="96"/>
        </w:numPr>
        <w:rPr>
          <w:rFonts w:ascii="Arial" w:cs="Arial" w:eastAsia="Arial" w:hAnsi="Arial"/>
          <w:sz w:val="18"/>
          <w:szCs w:val="18"/>
          <w:color w:val="auto"/>
        </w:rPr>
      </w:pPr>
      <w:r>
        <w:rPr>
          <w:rFonts w:ascii="Arial" w:cs="Arial" w:eastAsia="Arial" w:hAnsi="Arial"/>
          <w:sz w:val="18"/>
          <w:szCs w:val="18"/>
          <w:color w:val="auto"/>
        </w:rPr>
        <w:t>except as stated in the base prospectus, the Prospectus, and any Permitted Free Writing Prospectus, there is not pending, or, to the knowledge of the Company, threatened or contemplated, any action, suit or proceeding to which the Company is a party before or by any court or governmental agency, authority or body, or any arbitrator, which might result in a Material Adverse Effect.</w:t>
      </w:r>
    </w:p>
    <w:p>
      <w:pPr>
        <w:spacing w:after="0" w:line="184" w:lineRule="exact"/>
        <w:rPr>
          <w:sz w:val="20"/>
          <w:szCs w:val="20"/>
          <w:color w:val="auto"/>
        </w:rPr>
      </w:pPr>
    </w:p>
    <w:p>
      <w:pPr>
        <w:ind w:left="440"/>
        <w:spacing w:after="0"/>
        <w:rPr>
          <w:sz w:val="20"/>
          <w:szCs w:val="20"/>
          <w:color w:val="auto"/>
        </w:rPr>
      </w:pPr>
      <w:r>
        <w:rPr>
          <w:rFonts w:ascii="Arial" w:cs="Arial" w:eastAsia="Arial" w:hAnsi="Arial"/>
          <w:sz w:val="18"/>
          <w:szCs w:val="18"/>
          <w:color w:val="auto"/>
        </w:rPr>
        <w:t>Capitalized terms used herein without definition shall have the meanings given to such terms in the Equity Distribution Agreement.</w:t>
      </w:r>
    </w:p>
    <w:p>
      <w:pPr>
        <w:sectPr>
          <w:pgSz w:w="11900" w:h="16838" w:orient="portrait"/>
          <w:cols w:equalWidth="0" w:num="1">
            <w:col w:w="11000"/>
          </w:cols>
          <w:pgMar w:left="440" w:top="274" w:right="459" w:bottom="1440" w:gutter="0" w:footer="0" w:header="0"/>
        </w:sectPr>
      </w:pPr>
    </w:p>
    <w:bookmarkStart w:id="113" w:name="page114"/>
    <w:bookmarkEnd w:id="113"/>
    <w:p>
      <w:pPr>
        <w:ind w:left="5620"/>
        <w:spacing w:after="0"/>
        <w:rPr>
          <w:sz w:val="20"/>
          <w:szCs w:val="20"/>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148" name="Picture 1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8"/>
                    <pic:cNvPicPr>
                      <a:picLocks noChangeAspect="1" noChangeArrowheads="1"/>
                    </pic:cNvPicPr>
                  </pic:nvPicPr>
                  <pic:blipFill>
                    <a:blip r:embed="rId170">
                      <a:extLst>
                        <a:ext uri="{28A0092B-C50C-407E-A947-70E740481C1C}"/>
                      </a:extLst>
                    </a:blip>
                    <a:srcRect/>
                    <a:stretch>
                      <a:fillRect/>
                    </a:stretch>
                  </pic:blipFill>
                  <pic:spPr bwMode="auto">
                    <a:xfrm>
                      <a:off x="0" y="0"/>
                      <a:ext cx="7149465" cy="25400"/>
                    </a:xfrm>
                    <a:prstGeom prst="rect">
                      <a:avLst/>
                    </a:prstGeom>
                    <a:noFill/>
                  </pic:spPr>
                </pic:pic>
              </a:graphicData>
            </a:graphic>
          </wp:anchor>
        </w:drawing>
        <w:t>LARIMAR THERAPEUTICS, INC.</w:t>
      </w:r>
    </w:p>
    <w:p>
      <w:pPr>
        <w:spacing w:after="0" w:line="237" w:lineRule="exact"/>
        <w:rPr>
          <w:sz w:val="20"/>
          <w:szCs w:val="20"/>
          <w:color w:val="auto"/>
        </w:rPr>
      </w:pPr>
    </w:p>
    <w:p>
      <w:pPr>
        <w:ind w:left="5620"/>
        <w:spacing w:after="0"/>
        <w:rPr>
          <w:sz w:val="20"/>
          <w:szCs w:val="20"/>
          <w:color w:val="auto"/>
        </w:rPr>
      </w:pPr>
      <w:r>
        <w:rPr>
          <w:rFonts w:ascii="Arial" w:cs="Arial" w:eastAsia="Arial" w:hAnsi="Arial"/>
          <w:sz w:val="18"/>
          <w:szCs w:val="18"/>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3931285</wp:posOffset>
            </wp:positionH>
            <wp:positionV relativeFrom="paragraph">
              <wp:posOffset>14605</wp:posOffset>
            </wp:positionV>
            <wp:extent cx="2425700" cy="8890"/>
            <wp:wrapNone/>
            <wp:docPr id="149" name="Picture 1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9"/>
                    <pic:cNvPicPr>
                      <a:picLocks noChangeAspect="1" noChangeArrowheads="1"/>
                    </pic:cNvPicPr>
                  </pic:nvPicPr>
                  <pic:blipFill>
                    <a:blip r:embed="rId171">
                      <a:extLst>
                        <a:ext uri="{28A0092B-C50C-407E-A947-70E740481C1C}"/>
                      </a:extLst>
                    </a:blip>
                    <a:srcRect/>
                    <a:stretch>
                      <a:fillRect/>
                    </a:stretch>
                  </pic:blipFill>
                  <pic:spPr bwMode="auto">
                    <a:xfrm>
                      <a:off x="0" y="0"/>
                      <a:ext cx="2425700" cy="8890"/>
                    </a:xfrm>
                    <a:prstGeom prst="rect">
                      <a:avLst/>
                    </a:prstGeom>
                    <a:noFill/>
                  </pic:spPr>
                </pic:pic>
              </a:graphicData>
            </a:graphic>
          </wp:anchor>
        </w:drawing>
      </w:r>
    </w:p>
    <w:p>
      <w:pPr>
        <w:spacing w:after="0" w:line="16" w:lineRule="exact"/>
        <w:rPr>
          <w:sz w:val="20"/>
          <w:szCs w:val="20"/>
          <w:color w:val="auto"/>
        </w:rPr>
      </w:pPr>
    </w:p>
    <w:p>
      <w:pPr>
        <w:ind w:left="5620"/>
        <w:spacing w:after="0"/>
        <w:rPr>
          <w:sz w:val="20"/>
          <w:szCs w:val="20"/>
          <w:color w:val="auto"/>
        </w:rPr>
      </w:pPr>
      <w:r>
        <w:rPr>
          <w:rFonts w:ascii="Arial" w:cs="Arial" w:eastAsia="Arial" w:hAnsi="Arial"/>
          <w:sz w:val="18"/>
          <w:szCs w:val="18"/>
          <w:color w:val="auto"/>
        </w:rPr>
        <w:t>Name: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3931285</wp:posOffset>
            </wp:positionH>
            <wp:positionV relativeFrom="paragraph">
              <wp:posOffset>14605</wp:posOffset>
            </wp:positionV>
            <wp:extent cx="2425700" cy="8255"/>
            <wp:wrapNone/>
            <wp:docPr id="150" name="Picture 1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0"/>
                    <pic:cNvPicPr>
                      <a:picLocks noChangeAspect="1" noChangeArrowheads="1"/>
                    </pic:cNvPicPr>
                  </pic:nvPicPr>
                  <pic:blipFill>
                    <a:blip r:embed="rId172">
                      <a:extLst>
                        <a:ext uri="{28A0092B-C50C-407E-A947-70E740481C1C}"/>
                      </a:extLst>
                    </a:blip>
                    <a:srcRect/>
                    <a:stretch>
                      <a:fillRect/>
                    </a:stretch>
                  </pic:blipFill>
                  <pic:spPr bwMode="auto">
                    <a:xfrm>
                      <a:off x="0" y="0"/>
                      <a:ext cx="2425700" cy="8255"/>
                    </a:xfrm>
                    <a:prstGeom prst="rect">
                      <a:avLst/>
                    </a:prstGeom>
                    <a:noFill/>
                  </pic:spPr>
                </pic:pic>
              </a:graphicData>
            </a:graphic>
          </wp:anchor>
        </w:drawing>
      </w:r>
    </w:p>
    <w:p>
      <w:pPr>
        <w:spacing w:after="0" w:line="16" w:lineRule="exact"/>
        <w:rPr>
          <w:sz w:val="20"/>
          <w:szCs w:val="20"/>
          <w:color w:val="auto"/>
        </w:rPr>
      </w:pPr>
    </w:p>
    <w:p>
      <w:pPr>
        <w:ind w:left="5620"/>
        <w:spacing w:after="0"/>
        <w:rPr>
          <w:sz w:val="20"/>
          <w:szCs w:val="20"/>
          <w:color w:val="auto"/>
        </w:rPr>
      </w:pPr>
      <w:r>
        <w:rPr>
          <w:rFonts w:ascii="Arial" w:cs="Arial" w:eastAsia="Arial" w:hAnsi="Arial"/>
          <w:sz w:val="18"/>
          <w:szCs w:val="18"/>
          <w:color w:val="auto"/>
        </w:rPr>
        <w:t>Title: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3931285</wp:posOffset>
            </wp:positionH>
            <wp:positionV relativeFrom="paragraph">
              <wp:posOffset>14605</wp:posOffset>
            </wp:positionV>
            <wp:extent cx="2425700" cy="8255"/>
            <wp:wrapNone/>
            <wp:docPr id="151" name="Picture 1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1"/>
                    <pic:cNvPicPr>
                      <a:picLocks noChangeAspect="1" noChangeArrowheads="1"/>
                    </pic:cNvPicPr>
                  </pic:nvPicPr>
                  <pic:blipFill>
                    <a:blip r:embed="rId173">
                      <a:extLst>
                        <a:ext uri="{28A0092B-C50C-407E-A947-70E740481C1C}"/>
                      </a:extLst>
                    </a:blip>
                    <a:srcRect/>
                    <a:stretch>
                      <a:fillRect/>
                    </a:stretch>
                  </pic:blipFill>
                  <pic:spPr bwMode="auto">
                    <a:xfrm>
                      <a:off x="0" y="0"/>
                      <a:ext cx="2425700" cy="8255"/>
                    </a:xfrm>
                    <a:prstGeom prst="rect">
                      <a:avLst/>
                    </a:prstGeom>
                    <a:noFill/>
                  </pic:spPr>
                </pic:pic>
              </a:graphicData>
            </a:graphic>
          </wp:anchor>
        </w:drawing>
      </w:r>
    </w:p>
    <w:p>
      <w:pPr>
        <w:spacing w:after="0" w:line="232" w:lineRule="exact"/>
        <w:rPr>
          <w:sz w:val="20"/>
          <w:szCs w:val="20"/>
          <w:color w:val="auto"/>
        </w:rPr>
      </w:pPr>
    </w:p>
    <w:p>
      <w:pPr>
        <w:ind w:left="5620"/>
        <w:spacing w:after="0"/>
        <w:rPr>
          <w:sz w:val="20"/>
          <w:szCs w:val="20"/>
          <w:color w:val="auto"/>
        </w:rPr>
      </w:pPr>
      <w:r>
        <w:rPr>
          <w:rFonts w:ascii="Arial" w:cs="Arial" w:eastAsia="Arial" w:hAnsi="Arial"/>
          <w:sz w:val="18"/>
          <w:szCs w:val="18"/>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3931285</wp:posOffset>
            </wp:positionH>
            <wp:positionV relativeFrom="paragraph">
              <wp:posOffset>14605</wp:posOffset>
            </wp:positionV>
            <wp:extent cx="2425700" cy="8890"/>
            <wp:wrapNone/>
            <wp:docPr id="152" name="Picture 1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2"/>
                    <pic:cNvPicPr>
                      <a:picLocks noChangeAspect="1" noChangeArrowheads="1"/>
                    </pic:cNvPicPr>
                  </pic:nvPicPr>
                  <pic:blipFill>
                    <a:blip r:embed="rId174">
                      <a:extLst>
                        <a:ext uri="{28A0092B-C50C-407E-A947-70E740481C1C}"/>
                      </a:extLst>
                    </a:blip>
                    <a:srcRect/>
                    <a:stretch>
                      <a:fillRect/>
                    </a:stretch>
                  </pic:blipFill>
                  <pic:spPr bwMode="auto">
                    <a:xfrm>
                      <a:off x="0" y="0"/>
                      <a:ext cx="2425700" cy="8890"/>
                    </a:xfrm>
                    <a:prstGeom prst="rect">
                      <a:avLst/>
                    </a:prstGeom>
                    <a:noFill/>
                  </pic:spPr>
                </pic:pic>
              </a:graphicData>
            </a:graphic>
          </wp:anchor>
        </w:drawing>
      </w:r>
    </w:p>
    <w:p>
      <w:pPr>
        <w:spacing w:after="0" w:line="16" w:lineRule="exact"/>
        <w:rPr>
          <w:sz w:val="20"/>
          <w:szCs w:val="20"/>
          <w:color w:val="auto"/>
        </w:rPr>
      </w:pPr>
    </w:p>
    <w:p>
      <w:pPr>
        <w:ind w:left="5620"/>
        <w:spacing w:after="0"/>
        <w:rPr>
          <w:sz w:val="20"/>
          <w:szCs w:val="20"/>
          <w:color w:val="auto"/>
        </w:rPr>
      </w:pPr>
      <w:r>
        <w:rPr>
          <w:rFonts w:ascii="Arial" w:cs="Arial" w:eastAsia="Arial" w:hAnsi="Arial"/>
          <w:sz w:val="18"/>
          <w:szCs w:val="18"/>
          <w:color w:val="auto"/>
        </w:rPr>
        <w:t>Name: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3931285</wp:posOffset>
            </wp:positionH>
            <wp:positionV relativeFrom="paragraph">
              <wp:posOffset>14605</wp:posOffset>
            </wp:positionV>
            <wp:extent cx="2425700" cy="8255"/>
            <wp:wrapNone/>
            <wp:docPr id="153" name="Picture 1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3"/>
                    <pic:cNvPicPr>
                      <a:picLocks noChangeAspect="1" noChangeArrowheads="1"/>
                    </pic:cNvPicPr>
                  </pic:nvPicPr>
                  <pic:blipFill>
                    <a:blip r:embed="rId175">
                      <a:extLst>
                        <a:ext uri="{28A0092B-C50C-407E-A947-70E740481C1C}"/>
                      </a:extLst>
                    </a:blip>
                    <a:srcRect/>
                    <a:stretch>
                      <a:fillRect/>
                    </a:stretch>
                  </pic:blipFill>
                  <pic:spPr bwMode="auto">
                    <a:xfrm>
                      <a:off x="0" y="0"/>
                      <a:ext cx="2425700" cy="8255"/>
                    </a:xfrm>
                    <a:prstGeom prst="rect">
                      <a:avLst/>
                    </a:prstGeom>
                    <a:noFill/>
                  </pic:spPr>
                </pic:pic>
              </a:graphicData>
            </a:graphic>
          </wp:anchor>
        </w:drawing>
      </w:r>
    </w:p>
    <w:p>
      <w:pPr>
        <w:spacing w:after="0" w:line="16" w:lineRule="exact"/>
        <w:rPr>
          <w:sz w:val="20"/>
          <w:szCs w:val="20"/>
          <w:color w:val="auto"/>
        </w:rPr>
      </w:pPr>
    </w:p>
    <w:p>
      <w:pPr>
        <w:ind w:left="5620"/>
        <w:spacing w:after="0"/>
        <w:rPr>
          <w:sz w:val="20"/>
          <w:szCs w:val="20"/>
          <w:color w:val="auto"/>
        </w:rPr>
      </w:pPr>
      <w:r>
        <w:rPr>
          <w:rFonts w:ascii="Arial" w:cs="Arial" w:eastAsia="Arial" w:hAnsi="Arial"/>
          <w:sz w:val="18"/>
          <w:szCs w:val="18"/>
          <w:color w:val="auto"/>
        </w:rPr>
        <w:t>Title: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3931285</wp:posOffset>
            </wp:positionH>
            <wp:positionV relativeFrom="paragraph">
              <wp:posOffset>14605</wp:posOffset>
            </wp:positionV>
            <wp:extent cx="2425700" cy="8890"/>
            <wp:wrapNone/>
            <wp:docPr id="154" name="Picture 1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4"/>
                    <pic:cNvPicPr>
                      <a:picLocks noChangeAspect="1" noChangeArrowheads="1"/>
                    </pic:cNvPicPr>
                  </pic:nvPicPr>
                  <pic:blipFill>
                    <a:blip r:embed="rId176">
                      <a:extLst>
                        <a:ext uri="{28A0092B-C50C-407E-A947-70E740481C1C}"/>
                      </a:extLst>
                    </a:blip>
                    <a:srcRect/>
                    <a:stretch>
                      <a:fillRect/>
                    </a:stretch>
                  </pic:blipFill>
                  <pic:spPr bwMode="auto">
                    <a:xfrm>
                      <a:off x="0" y="0"/>
                      <a:ext cx="2425700" cy="8890"/>
                    </a:xfrm>
                    <a:prstGeom prst="rect">
                      <a:avLst/>
                    </a:prstGeom>
                    <a:noFill/>
                  </pic:spPr>
                </pic:pic>
              </a:graphicData>
            </a:graphic>
          </wp:anchor>
        </w:drawing>
      </w:r>
    </w:p>
    <w:p>
      <w:pPr>
        <w:sectPr>
          <w:pgSz w:w="11900" w:h="16838" w:orient="portrait"/>
          <w:cols w:equalWidth="0" w:num="1">
            <w:col w:w="9019"/>
          </w:cols>
          <w:pgMar w:left="1440" w:top="274" w:right="1440" w:bottom="1440" w:gutter="0" w:footer="0" w:header="0"/>
        </w:sectPr>
      </w:pPr>
    </w:p>
    <w:bookmarkStart w:id="114" w:name="page115"/>
    <w:bookmarkEnd w:id="114"/>
    <w:p>
      <w:pPr>
        <w:jc w:val="center"/>
        <w:ind w:right="-980"/>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155" name="Picture 1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5"/>
                    <pic:cNvPicPr>
                      <a:picLocks noChangeAspect="1" noChangeArrowheads="1"/>
                    </pic:cNvPicPr>
                  </pic:nvPicPr>
                  <pic:blipFill>
                    <a:blip r:embed="rId177">
                      <a:extLst>
                        <a:ext uri="{28A0092B-C50C-407E-A947-70E740481C1C}"/>
                      </a:extLst>
                    </a:blip>
                    <a:srcRect/>
                    <a:stretch>
                      <a:fillRect/>
                    </a:stretch>
                  </pic:blipFill>
                  <pic:spPr bwMode="auto">
                    <a:xfrm>
                      <a:off x="0" y="0"/>
                      <a:ext cx="7149465" cy="25400"/>
                    </a:xfrm>
                    <a:prstGeom prst="rect">
                      <a:avLst/>
                    </a:prstGeom>
                    <a:noFill/>
                  </pic:spPr>
                </pic:pic>
              </a:graphicData>
            </a:graphic>
          </wp:anchor>
        </w:drawing>
        <w:t>SCHEDULE 4</w:t>
      </w:r>
    </w:p>
    <w:p>
      <w:pPr>
        <w:spacing w:after="0" w:line="225" w:lineRule="exact"/>
        <w:rPr>
          <w:sz w:val="20"/>
          <w:szCs w:val="20"/>
          <w:color w:val="auto"/>
        </w:rPr>
      </w:pPr>
    </w:p>
    <w:p>
      <w:pPr>
        <w:jc w:val="right"/>
        <w:ind w:right="3879"/>
        <w:spacing w:after="0"/>
        <w:rPr>
          <w:sz w:val="20"/>
          <w:szCs w:val="20"/>
          <w:color w:val="auto"/>
        </w:rPr>
      </w:pPr>
      <w:r>
        <w:rPr>
          <w:rFonts w:ascii="Arial" w:cs="Arial" w:eastAsia="Arial" w:hAnsi="Arial"/>
          <w:sz w:val="18"/>
          <w:szCs w:val="18"/>
          <w:b w:val="1"/>
          <w:bCs w:val="1"/>
          <w:color w:val="auto"/>
        </w:rPr>
        <w:t>SUBSIDIARIES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Chondrial Therapeutics, Inc.</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Chondrial Therapeutics IP, LLC</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Zafgen Securities Corporation</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Zafgen Australia Pty Limited</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Zafgen Animal Health, LLC</w:t>
      </w:r>
    </w:p>
    <w:p>
      <w:pPr>
        <w:sectPr>
          <w:pgSz w:w="11900" w:h="16838" w:orient="portrait"/>
          <w:cols w:equalWidth="0" w:num="1">
            <w:col w:w="10019"/>
          </w:cols>
          <w:pgMar w:left="440" w:top="270" w:right="1440" w:bottom="1440" w:gutter="0" w:footer="0" w:header="0"/>
        </w:sectPr>
      </w:pPr>
    </w:p>
    <w:bookmarkStart w:id="115" w:name="page116"/>
    <w:bookmarkEnd w:id="115"/>
    <w:p>
      <w:pPr>
        <w:jc w:val="right"/>
        <w:spacing w:after="0"/>
        <w:rPr>
          <w:sz w:val="20"/>
          <w:szCs w:val="20"/>
          <w:color w:val="auto"/>
        </w:rPr>
      </w:pPr>
      <w:r>
        <w:rPr>
          <w:rFonts w:ascii="Arial" w:cs="Arial" w:eastAsia="Arial" w:hAnsi="Arial"/>
          <w:sz w:val="18"/>
          <w:szCs w:val="18"/>
          <w:b w:val="1"/>
          <w:bCs w:val="1"/>
          <w:color w:val="auto"/>
        </w:rPr>
        <w:t>Exhibit 4.3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51435</wp:posOffset>
            </wp:positionV>
            <wp:extent cx="6995160" cy="8255"/>
            <wp:wrapNone/>
            <wp:docPr id="156" name="Picture 1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6"/>
                    <pic:cNvPicPr>
                      <a:picLocks noChangeAspect="1" noChangeArrowheads="1"/>
                    </pic:cNvPicPr>
                  </pic:nvPicPr>
                  <pic:blipFill>
                    <a:blip r:embed="rId178">
                      <a:extLst>
                        <a:ext uri="{28A0092B-C50C-407E-A947-70E740481C1C}"/>
                      </a:extLst>
                    </a:blip>
                    <a:srcRect/>
                    <a:stretch>
                      <a:fillRect/>
                    </a:stretch>
                  </pic:blipFill>
                  <pic:spPr bwMode="auto">
                    <a:xfrm>
                      <a:off x="0" y="0"/>
                      <a:ext cx="6995160"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1" w:lineRule="exact"/>
        <w:rPr>
          <w:sz w:val="20"/>
          <w:szCs w:val="20"/>
          <w:color w:val="auto"/>
        </w:rPr>
      </w:pPr>
    </w:p>
    <w:p>
      <w:pPr>
        <w:ind w:left="3060"/>
        <w:spacing w:after="0"/>
        <w:rPr>
          <w:sz w:val="20"/>
          <w:szCs w:val="20"/>
          <w:color w:val="auto"/>
        </w:rPr>
      </w:pPr>
      <w:r>
        <w:rPr>
          <w:rFonts w:ascii="Arial" w:cs="Arial" w:eastAsia="Arial" w:hAnsi="Arial"/>
          <w:sz w:val="18"/>
          <w:szCs w:val="18"/>
          <w:b w:val="1"/>
          <w:bCs w:val="1"/>
          <w:color w:val="auto"/>
        </w:rPr>
        <w:t>LARIMIAR THERAPEUTICS, INC.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2122805</wp:posOffset>
            </wp:positionH>
            <wp:positionV relativeFrom="paragraph">
              <wp:posOffset>240030</wp:posOffset>
            </wp:positionV>
            <wp:extent cx="1474470" cy="8255"/>
            <wp:wrapNone/>
            <wp:docPr id="157" name="Picture 1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7"/>
                    <pic:cNvPicPr>
                      <a:picLocks noChangeAspect="1" noChangeArrowheads="1"/>
                    </pic:cNvPicPr>
                  </pic:nvPicPr>
                  <pic:blipFill>
                    <a:blip r:embed="rId179">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200" w:lineRule="exact"/>
        <w:rPr>
          <w:sz w:val="20"/>
          <w:szCs w:val="20"/>
          <w:color w:val="auto"/>
        </w:rPr>
      </w:pPr>
    </w:p>
    <w:p>
      <w:pPr>
        <w:spacing w:after="0" w:line="370" w:lineRule="exact"/>
        <w:rPr>
          <w:sz w:val="20"/>
          <w:szCs w:val="20"/>
          <w:color w:val="auto"/>
        </w:rPr>
      </w:pPr>
    </w:p>
    <w:p>
      <w:pPr>
        <w:jc w:val="center"/>
        <w:ind w:right="1020"/>
        <w:spacing w:after="0"/>
        <w:rPr>
          <w:sz w:val="20"/>
          <w:szCs w:val="20"/>
          <w:color w:val="auto"/>
        </w:rPr>
      </w:pPr>
      <w:r>
        <w:rPr>
          <w:rFonts w:ascii="Arial" w:cs="Arial" w:eastAsia="Arial" w:hAnsi="Arial"/>
          <w:sz w:val="18"/>
          <w:szCs w:val="18"/>
          <w:b w:val="1"/>
          <w:bCs w:val="1"/>
          <w:color w:val="auto"/>
        </w:rPr>
        <w:t>INDENTURE</w:t>
      </w:r>
    </w:p>
    <w:p>
      <w:pPr>
        <w:spacing w:after="0" w:line="229" w:lineRule="exact"/>
        <w:rPr>
          <w:sz w:val="20"/>
          <w:szCs w:val="20"/>
          <w:color w:val="auto"/>
        </w:rPr>
      </w:pPr>
    </w:p>
    <w:p>
      <w:pPr>
        <w:ind w:left="3700"/>
        <w:spacing w:after="0"/>
        <w:rPr>
          <w:sz w:val="20"/>
          <w:szCs w:val="20"/>
          <w:color w:val="auto"/>
        </w:rPr>
      </w:pPr>
      <w:r>
        <w:rPr>
          <w:rFonts w:ascii="Arial" w:cs="Arial" w:eastAsia="Arial" w:hAnsi="Arial"/>
          <w:sz w:val="18"/>
          <w:szCs w:val="18"/>
          <w:color w:val="auto"/>
        </w:rPr>
        <w:t>Dated as of [●], 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2122805</wp:posOffset>
            </wp:positionH>
            <wp:positionV relativeFrom="paragraph">
              <wp:posOffset>237490</wp:posOffset>
            </wp:positionV>
            <wp:extent cx="1474470" cy="8255"/>
            <wp:wrapNone/>
            <wp:docPr id="158" name="Picture 1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8"/>
                    <pic:cNvPicPr>
                      <a:picLocks noChangeAspect="1" noChangeArrowheads="1"/>
                    </pic:cNvPicPr>
                  </pic:nvPicPr>
                  <pic:blipFill>
                    <a:blip r:embed="rId180">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200" w:lineRule="exact"/>
        <w:rPr>
          <w:sz w:val="20"/>
          <w:szCs w:val="20"/>
          <w:color w:val="auto"/>
        </w:rPr>
      </w:pPr>
    </w:p>
    <w:p>
      <w:pPr>
        <w:spacing w:after="0" w:line="366" w:lineRule="exact"/>
        <w:rPr>
          <w:sz w:val="20"/>
          <w:szCs w:val="20"/>
          <w:color w:val="auto"/>
        </w:rPr>
      </w:pPr>
    </w:p>
    <w:p>
      <w:pPr>
        <w:jc w:val="center"/>
        <w:ind w:right="1020"/>
        <w:spacing w:after="0"/>
        <w:rPr>
          <w:sz w:val="20"/>
          <w:szCs w:val="20"/>
          <w:color w:val="auto"/>
        </w:rPr>
      </w:pPr>
      <w:r>
        <w:rPr>
          <w:rFonts w:ascii="Arial" w:cs="Arial" w:eastAsia="Arial" w:hAnsi="Arial"/>
          <w:sz w:val="18"/>
          <w:szCs w:val="18"/>
          <w:b w:val="1"/>
          <w:bCs w:val="1"/>
          <w:color w:val="auto"/>
        </w:rPr>
        <w:t>[</w:t>
      </w:r>
      <w:r>
        <w:rPr>
          <w:rFonts w:ascii="Arial" w:cs="Arial" w:eastAsia="Arial" w:hAnsi="Arial"/>
          <w:sz w:val="18"/>
          <w:szCs w:val="18"/>
          <w:color w:val="auto"/>
        </w:rPr>
        <w:t>●</w:t>
      </w:r>
      <w:r>
        <w:rPr>
          <w:rFonts w:ascii="Arial" w:cs="Arial" w:eastAsia="Arial" w:hAnsi="Arial"/>
          <w:sz w:val="18"/>
          <w:szCs w:val="18"/>
          <w:b w:val="1"/>
          <w:bCs w:val="1"/>
          <w:color w:val="auto"/>
        </w:rPr>
        <w:t>]</w:t>
      </w:r>
    </w:p>
    <w:p>
      <w:pPr>
        <w:spacing w:after="0" w:line="229" w:lineRule="exact"/>
        <w:rPr>
          <w:sz w:val="20"/>
          <w:szCs w:val="20"/>
          <w:color w:val="auto"/>
        </w:rPr>
      </w:pPr>
    </w:p>
    <w:p>
      <w:pPr>
        <w:ind w:left="4240"/>
        <w:spacing w:after="0"/>
        <w:rPr>
          <w:sz w:val="20"/>
          <w:szCs w:val="20"/>
          <w:color w:val="auto"/>
        </w:rPr>
      </w:pPr>
      <w:r>
        <w:rPr>
          <w:rFonts w:ascii="Arial" w:cs="Arial" w:eastAsia="Arial" w:hAnsi="Arial"/>
          <w:sz w:val="18"/>
          <w:szCs w:val="18"/>
          <w:color w:val="auto"/>
        </w:rPr>
        <w:t>Trustee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700405</wp:posOffset>
            </wp:positionV>
            <wp:extent cx="6995160" cy="8890"/>
            <wp:wrapNone/>
            <wp:docPr id="159" name="Picture 1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9"/>
                    <pic:cNvPicPr>
                      <a:picLocks noChangeAspect="1" noChangeArrowheads="1"/>
                    </pic:cNvPicPr>
                  </pic:nvPicPr>
                  <pic:blipFill>
                    <a:blip r:embed="rId181">
                      <a:extLst>
                        <a:ext uri="{28A0092B-C50C-407E-A947-70E740481C1C}"/>
                      </a:extLst>
                    </a:blip>
                    <a:srcRect/>
                    <a:stretch>
                      <a:fillRect/>
                    </a:stretch>
                  </pic:blipFill>
                  <pic:spPr bwMode="auto">
                    <a:xfrm>
                      <a:off x="0" y="0"/>
                      <a:ext cx="6995160" cy="8890"/>
                    </a:xfrm>
                    <a:prstGeom prst="rect">
                      <a:avLst/>
                    </a:prstGeom>
                    <a:noFill/>
                  </pic:spPr>
                </pic:pic>
              </a:graphicData>
            </a:graphic>
          </wp:anchor>
        </w:drawing>
      </w:r>
    </w:p>
    <w:p>
      <w:pPr>
        <w:sectPr>
          <w:pgSz w:w="11900" w:h="16838" w:orient="portrait"/>
          <w:cols w:equalWidth="0" w:num="1">
            <w:col w:w="10020"/>
          </w:cols>
          <w:pgMar w:left="1440" w:top="121" w:right="439" w:bottom="1440" w:gutter="0" w:footer="0" w:header="0"/>
        </w:sectPr>
      </w:pPr>
    </w:p>
    <w:bookmarkStart w:id="116" w:name="page117"/>
    <w:bookmarkEnd w:id="116"/>
    <w:p>
      <w:pPr>
        <w:jc w:val="center"/>
        <w:ind w:right="-39"/>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160" name="Picture 1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0"/>
                    <pic:cNvPicPr>
                      <a:picLocks noChangeAspect="1" noChangeArrowheads="1"/>
                    </pic:cNvPicPr>
                  </pic:nvPicPr>
                  <pic:blipFill>
                    <a:blip r:embed="rId182">
                      <a:extLst>
                        <a:ext uri="{28A0092B-C50C-407E-A947-70E740481C1C}"/>
                      </a:extLst>
                    </a:blip>
                    <a:srcRect/>
                    <a:stretch>
                      <a:fillRect/>
                    </a:stretch>
                  </pic:blipFill>
                  <pic:spPr bwMode="auto">
                    <a:xfrm>
                      <a:off x="0" y="0"/>
                      <a:ext cx="7149465" cy="25400"/>
                    </a:xfrm>
                    <a:prstGeom prst="rect">
                      <a:avLst/>
                    </a:prstGeom>
                    <a:noFill/>
                  </pic:spPr>
                </pic:pic>
              </a:graphicData>
            </a:graphic>
          </wp:anchor>
        </w:drawing>
        <w:t>TABLE OF CONTENTS</w:t>
      </w:r>
    </w:p>
    <w:p>
      <w:pPr>
        <w:spacing w:after="0" w:line="252" w:lineRule="exact"/>
        <w:rPr>
          <w:sz w:val="20"/>
          <w:szCs w:val="20"/>
          <w:color w:val="auto"/>
        </w:rPr>
      </w:pPr>
    </w:p>
    <w:tbl>
      <w:tblPr>
        <w:tblLayout w:type="fixed"/>
        <w:tblInd w:w="0" w:type="dxa"/>
        <w:tblCellMar>
          <w:top w:w="0" w:type="dxa"/>
          <w:left w:w="0" w:type="dxa"/>
          <w:bottom w:w="0" w:type="dxa"/>
          <w:right w:w="0" w:type="dxa"/>
        </w:tblCellMar>
      </w:tblPr>
      <w:tr>
        <w:trPr>
          <w:trHeight w:val="167"/>
        </w:trPr>
        <w:tc>
          <w:tcPr>
            <w:tcW w:w="10680" w:type="dxa"/>
            <w:vAlign w:val="bottom"/>
            <w:gridSpan w:val="2"/>
            <w:vMerge w:val="restart"/>
          </w:tcPr>
          <w:p>
            <w:pPr>
              <w:spacing w:after="0"/>
              <w:rPr>
                <w:sz w:val="20"/>
                <w:szCs w:val="20"/>
                <w:color w:val="auto"/>
              </w:rPr>
            </w:pPr>
            <w:r>
              <w:rPr>
                <w:rFonts w:ascii="Arial" w:cs="Arial" w:eastAsia="Arial" w:hAnsi="Arial"/>
                <w:sz w:val="18"/>
                <w:szCs w:val="18"/>
                <w:color w:val="auto"/>
              </w:rPr>
              <w:t>ARTICLE I. DEFINITIONS AND INCORPORATION BY REFERENCE</w:t>
            </w:r>
          </w:p>
        </w:tc>
        <w:tc>
          <w:tcPr>
            <w:tcW w:w="300" w:type="dxa"/>
            <w:vAlign w:val="bottom"/>
            <w:gridSpan w:val="2"/>
          </w:tcPr>
          <w:p>
            <w:pPr>
              <w:spacing w:after="0"/>
              <w:rPr>
                <w:sz w:val="20"/>
                <w:szCs w:val="20"/>
                <w:color w:val="auto"/>
              </w:rPr>
            </w:pPr>
            <w:r>
              <w:rPr>
                <w:rFonts w:ascii="Arial" w:cs="Arial" w:eastAsia="Arial" w:hAnsi="Arial"/>
                <w:sz w:val="14"/>
                <w:szCs w:val="14"/>
                <w:color w:val="auto"/>
                <w:w w:val="85"/>
              </w:rPr>
              <w:t>Page</w:t>
            </w:r>
          </w:p>
        </w:tc>
        <w:tc>
          <w:tcPr>
            <w:tcW w:w="0" w:type="dxa"/>
            <w:vAlign w:val="bottom"/>
          </w:tcPr>
          <w:p>
            <w:pPr>
              <w:spacing w:after="0"/>
              <w:rPr>
                <w:sz w:val="1"/>
                <w:szCs w:val="1"/>
                <w:color w:val="auto"/>
              </w:rPr>
            </w:pPr>
          </w:p>
        </w:tc>
      </w:tr>
      <w:tr>
        <w:trPr>
          <w:trHeight w:val="195"/>
        </w:trPr>
        <w:tc>
          <w:tcPr>
            <w:tcW w:w="10680" w:type="dxa"/>
            <w:vAlign w:val="bottom"/>
            <w:gridSpan w:val="2"/>
            <w:vMerge w:val="continue"/>
          </w:tcPr>
          <w:p>
            <w:pPr>
              <w:spacing w:after="0"/>
              <w:rPr>
                <w:sz w:val="16"/>
                <w:szCs w:val="16"/>
                <w:color w:val="auto"/>
              </w:rPr>
            </w:pPr>
          </w:p>
        </w:tc>
        <w:tc>
          <w:tcPr>
            <w:tcW w:w="280" w:type="dxa"/>
            <w:vAlign w:val="bottom"/>
            <w:tcBorders>
              <w:top w:val="single" w:sz="8" w:color="auto"/>
            </w:tcBorders>
          </w:tcPr>
          <w:p>
            <w:pPr>
              <w:jc w:val="right"/>
              <w:spacing w:after="0" w:line="195" w:lineRule="exact"/>
              <w:rPr>
                <w:sz w:val="20"/>
                <w:szCs w:val="20"/>
                <w:color w:val="auto"/>
              </w:rPr>
            </w:pPr>
            <w:r>
              <w:rPr>
                <w:rFonts w:ascii="Arial" w:cs="Arial" w:eastAsia="Arial" w:hAnsi="Arial"/>
                <w:sz w:val="18"/>
                <w:szCs w:val="18"/>
                <w:color w:val="auto"/>
              </w:rPr>
              <w:t>2</w:t>
            </w: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6"/>
        </w:trPr>
        <w:tc>
          <w:tcPr>
            <w:tcW w:w="1060" w:type="dxa"/>
            <w:vAlign w:val="bottom"/>
          </w:tcPr>
          <w:p>
            <w:pPr>
              <w:spacing w:after="0"/>
              <w:rPr>
                <w:sz w:val="20"/>
                <w:szCs w:val="20"/>
                <w:color w:val="auto"/>
              </w:rPr>
            </w:pPr>
            <w:r>
              <w:rPr>
                <w:rFonts w:ascii="Arial" w:cs="Arial" w:eastAsia="Arial" w:hAnsi="Arial"/>
                <w:sz w:val="18"/>
                <w:szCs w:val="18"/>
                <w:color w:val="auto"/>
              </w:rPr>
              <w:t>Section 1.1.</w:t>
            </w:r>
          </w:p>
        </w:tc>
        <w:tc>
          <w:tcPr>
            <w:tcW w:w="9620" w:type="dxa"/>
            <w:vAlign w:val="bottom"/>
          </w:tcPr>
          <w:p>
            <w:pPr>
              <w:ind w:left="120"/>
              <w:spacing w:after="0"/>
              <w:rPr>
                <w:sz w:val="20"/>
                <w:szCs w:val="20"/>
                <w:color w:val="auto"/>
              </w:rPr>
            </w:pPr>
            <w:r>
              <w:rPr>
                <w:rFonts w:ascii="Arial" w:cs="Arial" w:eastAsia="Arial" w:hAnsi="Arial"/>
                <w:sz w:val="18"/>
                <w:szCs w:val="18"/>
                <w:color w:val="auto"/>
              </w:rPr>
              <w:t>Definitions.</w:t>
            </w:r>
          </w:p>
        </w:tc>
        <w:tc>
          <w:tcPr>
            <w:tcW w:w="300" w:type="dxa"/>
            <w:vAlign w:val="bottom"/>
            <w:gridSpan w:val="2"/>
          </w:tcPr>
          <w:p>
            <w:pPr>
              <w:jc w:val="right"/>
              <w:ind w:right="20"/>
              <w:spacing w:after="0"/>
              <w:rPr>
                <w:sz w:val="20"/>
                <w:szCs w:val="20"/>
                <w:color w:val="auto"/>
              </w:rPr>
            </w:pPr>
            <w:r>
              <w:rPr>
                <w:rFonts w:ascii="Arial" w:cs="Arial" w:eastAsia="Arial" w:hAnsi="Arial"/>
                <w:sz w:val="18"/>
                <w:szCs w:val="18"/>
                <w:color w:val="auto"/>
              </w:rPr>
              <w:t>2</w:t>
            </w:r>
          </w:p>
        </w:tc>
        <w:tc>
          <w:tcPr>
            <w:tcW w:w="0" w:type="dxa"/>
            <w:vAlign w:val="bottom"/>
          </w:tcPr>
          <w:p>
            <w:pPr>
              <w:spacing w:after="0"/>
              <w:rPr>
                <w:sz w:val="1"/>
                <w:szCs w:val="1"/>
                <w:color w:val="auto"/>
              </w:rPr>
            </w:pPr>
          </w:p>
        </w:tc>
      </w:tr>
      <w:tr>
        <w:trPr>
          <w:trHeight w:val="216"/>
        </w:trPr>
        <w:tc>
          <w:tcPr>
            <w:tcW w:w="1060" w:type="dxa"/>
            <w:vAlign w:val="bottom"/>
          </w:tcPr>
          <w:p>
            <w:pPr>
              <w:spacing w:after="0"/>
              <w:rPr>
                <w:sz w:val="20"/>
                <w:szCs w:val="20"/>
                <w:color w:val="auto"/>
              </w:rPr>
            </w:pPr>
            <w:r>
              <w:rPr>
                <w:rFonts w:ascii="Arial" w:cs="Arial" w:eastAsia="Arial" w:hAnsi="Arial"/>
                <w:sz w:val="18"/>
                <w:szCs w:val="18"/>
                <w:color w:val="auto"/>
              </w:rPr>
              <w:t>Section 1.2.</w:t>
            </w:r>
          </w:p>
        </w:tc>
        <w:tc>
          <w:tcPr>
            <w:tcW w:w="9620" w:type="dxa"/>
            <w:vAlign w:val="bottom"/>
          </w:tcPr>
          <w:p>
            <w:pPr>
              <w:ind w:left="120"/>
              <w:spacing w:after="0"/>
              <w:rPr>
                <w:sz w:val="20"/>
                <w:szCs w:val="20"/>
                <w:color w:val="auto"/>
              </w:rPr>
            </w:pPr>
            <w:r>
              <w:rPr>
                <w:rFonts w:ascii="Arial" w:cs="Arial" w:eastAsia="Arial" w:hAnsi="Arial"/>
                <w:sz w:val="18"/>
                <w:szCs w:val="18"/>
                <w:color w:val="auto"/>
              </w:rPr>
              <w:t>Other Definitions.</w:t>
            </w:r>
          </w:p>
        </w:tc>
        <w:tc>
          <w:tcPr>
            <w:tcW w:w="300" w:type="dxa"/>
            <w:vAlign w:val="bottom"/>
            <w:gridSpan w:val="2"/>
          </w:tcPr>
          <w:p>
            <w:pPr>
              <w:jc w:val="right"/>
              <w:ind w:right="20"/>
              <w:spacing w:after="0"/>
              <w:rPr>
                <w:sz w:val="20"/>
                <w:szCs w:val="20"/>
                <w:color w:val="auto"/>
              </w:rPr>
            </w:pPr>
            <w:r>
              <w:rPr>
                <w:rFonts w:ascii="Arial" w:cs="Arial" w:eastAsia="Arial" w:hAnsi="Arial"/>
                <w:sz w:val="18"/>
                <w:szCs w:val="18"/>
                <w:color w:val="auto"/>
              </w:rPr>
              <w:t>4</w:t>
            </w:r>
          </w:p>
        </w:tc>
        <w:tc>
          <w:tcPr>
            <w:tcW w:w="0" w:type="dxa"/>
            <w:vAlign w:val="bottom"/>
          </w:tcPr>
          <w:p>
            <w:pPr>
              <w:spacing w:after="0"/>
              <w:rPr>
                <w:sz w:val="1"/>
                <w:szCs w:val="1"/>
                <w:color w:val="auto"/>
              </w:rPr>
            </w:pPr>
          </w:p>
        </w:tc>
      </w:tr>
      <w:tr>
        <w:trPr>
          <w:trHeight w:val="216"/>
        </w:trPr>
        <w:tc>
          <w:tcPr>
            <w:tcW w:w="1060" w:type="dxa"/>
            <w:vAlign w:val="bottom"/>
          </w:tcPr>
          <w:p>
            <w:pPr>
              <w:spacing w:after="0"/>
              <w:rPr>
                <w:sz w:val="20"/>
                <w:szCs w:val="20"/>
                <w:color w:val="auto"/>
              </w:rPr>
            </w:pPr>
            <w:r>
              <w:rPr>
                <w:rFonts w:ascii="Arial" w:cs="Arial" w:eastAsia="Arial" w:hAnsi="Arial"/>
                <w:sz w:val="18"/>
                <w:szCs w:val="18"/>
                <w:color w:val="auto"/>
              </w:rPr>
              <w:t>Section 1.3.</w:t>
            </w:r>
          </w:p>
        </w:tc>
        <w:tc>
          <w:tcPr>
            <w:tcW w:w="9620" w:type="dxa"/>
            <w:vAlign w:val="bottom"/>
          </w:tcPr>
          <w:p>
            <w:pPr>
              <w:ind w:left="120"/>
              <w:spacing w:after="0"/>
              <w:rPr>
                <w:sz w:val="20"/>
                <w:szCs w:val="20"/>
                <w:color w:val="auto"/>
              </w:rPr>
            </w:pPr>
            <w:r>
              <w:rPr>
                <w:rFonts w:ascii="Arial" w:cs="Arial" w:eastAsia="Arial" w:hAnsi="Arial"/>
                <w:sz w:val="18"/>
                <w:szCs w:val="18"/>
                <w:color w:val="auto"/>
              </w:rPr>
              <w:t>Incorporation by Reference of Trust Indenture Act.</w:t>
            </w:r>
          </w:p>
        </w:tc>
        <w:tc>
          <w:tcPr>
            <w:tcW w:w="300" w:type="dxa"/>
            <w:vAlign w:val="bottom"/>
            <w:gridSpan w:val="2"/>
          </w:tcPr>
          <w:p>
            <w:pPr>
              <w:jc w:val="right"/>
              <w:ind w:right="20"/>
              <w:spacing w:after="0"/>
              <w:rPr>
                <w:sz w:val="20"/>
                <w:szCs w:val="20"/>
                <w:color w:val="auto"/>
              </w:rPr>
            </w:pPr>
            <w:r>
              <w:rPr>
                <w:rFonts w:ascii="Arial" w:cs="Arial" w:eastAsia="Arial" w:hAnsi="Arial"/>
                <w:sz w:val="18"/>
                <w:szCs w:val="18"/>
                <w:color w:val="auto"/>
              </w:rPr>
              <w:t>4</w:t>
            </w:r>
          </w:p>
        </w:tc>
        <w:tc>
          <w:tcPr>
            <w:tcW w:w="0" w:type="dxa"/>
            <w:vAlign w:val="bottom"/>
          </w:tcPr>
          <w:p>
            <w:pPr>
              <w:spacing w:after="0"/>
              <w:rPr>
                <w:sz w:val="1"/>
                <w:szCs w:val="1"/>
                <w:color w:val="auto"/>
              </w:rPr>
            </w:pPr>
          </w:p>
        </w:tc>
      </w:tr>
      <w:tr>
        <w:trPr>
          <w:trHeight w:val="216"/>
        </w:trPr>
        <w:tc>
          <w:tcPr>
            <w:tcW w:w="1060" w:type="dxa"/>
            <w:vAlign w:val="bottom"/>
          </w:tcPr>
          <w:p>
            <w:pPr>
              <w:spacing w:after="0"/>
              <w:rPr>
                <w:sz w:val="20"/>
                <w:szCs w:val="20"/>
                <w:color w:val="auto"/>
              </w:rPr>
            </w:pPr>
            <w:r>
              <w:rPr>
                <w:rFonts w:ascii="Arial" w:cs="Arial" w:eastAsia="Arial" w:hAnsi="Arial"/>
                <w:sz w:val="18"/>
                <w:szCs w:val="18"/>
                <w:color w:val="auto"/>
              </w:rPr>
              <w:t>Section 1.4.</w:t>
            </w:r>
          </w:p>
        </w:tc>
        <w:tc>
          <w:tcPr>
            <w:tcW w:w="9620" w:type="dxa"/>
            <w:vAlign w:val="bottom"/>
          </w:tcPr>
          <w:p>
            <w:pPr>
              <w:ind w:left="120"/>
              <w:spacing w:after="0"/>
              <w:rPr>
                <w:sz w:val="20"/>
                <w:szCs w:val="20"/>
                <w:color w:val="auto"/>
              </w:rPr>
            </w:pPr>
            <w:r>
              <w:rPr>
                <w:rFonts w:ascii="Arial" w:cs="Arial" w:eastAsia="Arial" w:hAnsi="Arial"/>
                <w:sz w:val="18"/>
                <w:szCs w:val="18"/>
                <w:color w:val="auto"/>
              </w:rPr>
              <w:t>Rules of Construction.</w:t>
            </w:r>
          </w:p>
        </w:tc>
        <w:tc>
          <w:tcPr>
            <w:tcW w:w="300" w:type="dxa"/>
            <w:vAlign w:val="bottom"/>
            <w:gridSpan w:val="2"/>
          </w:tcPr>
          <w:p>
            <w:pPr>
              <w:jc w:val="right"/>
              <w:ind w:right="20"/>
              <w:spacing w:after="0"/>
              <w:rPr>
                <w:sz w:val="20"/>
                <w:szCs w:val="20"/>
                <w:color w:val="auto"/>
              </w:rPr>
            </w:pPr>
            <w:r>
              <w:rPr>
                <w:rFonts w:ascii="Arial" w:cs="Arial" w:eastAsia="Arial" w:hAnsi="Arial"/>
                <w:sz w:val="18"/>
                <w:szCs w:val="18"/>
                <w:color w:val="auto"/>
              </w:rPr>
              <w:t>5</w:t>
            </w:r>
          </w:p>
        </w:tc>
        <w:tc>
          <w:tcPr>
            <w:tcW w:w="0" w:type="dxa"/>
            <w:vAlign w:val="bottom"/>
          </w:tcPr>
          <w:p>
            <w:pPr>
              <w:spacing w:after="0"/>
              <w:rPr>
                <w:sz w:val="1"/>
                <w:szCs w:val="1"/>
                <w:color w:val="auto"/>
              </w:rPr>
            </w:pPr>
          </w:p>
        </w:tc>
      </w:tr>
      <w:tr>
        <w:trPr>
          <w:trHeight w:val="216"/>
        </w:trPr>
        <w:tc>
          <w:tcPr>
            <w:tcW w:w="10680" w:type="dxa"/>
            <w:vAlign w:val="bottom"/>
            <w:gridSpan w:val="2"/>
          </w:tcPr>
          <w:p>
            <w:pPr>
              <w:spacing w:after="0"/>
              <w:rPr>
                <w:sz w:val="20"/>
                <w:szCs w:val="20"/>
                <w:color w:val="auto"/>
              </w:rPr>
            </w:pPr>
            <w:r>
              <w:rPr>
                <w:rFonts w:ascii="Arial" w:cs="Arial" w:eastAsia="Arial" w:hAnsi="Arial"/>
                <w:sz w:val="18"/>
                <w:szCs w:val="18"/>
                <w:color w:val="auto"/>
              </w:rPr>
              <w:t>ARTICLE II. THE SECURITIES</w:t>
            </w:r>
          </w:p>
        </w:tc>
        <w:tc>
          <w:tcPr>
            <w:tcW w:w="300" w:type="dxa"/>
            <w:vAlign w:val="bottom"/>
            <w:gridSpan w:val="2"/>
          </w:tcPr>
          <w:p>
            <w:pPr>
              <w:jc w:val="right"/>
              <w:ind w:right="20"/>
              <w:spacing w:after="0"/>
              <w:rPr>
                <w:sz w:val="20"/>
                <w:szCs w:val="20"/>
                <w:color w:val="auto"/>
              </w:rPr>
            </w:pPr>
            <w:r>
              <w:rPr>
                <w:rFonts w:ascii="Arial" w:cs="Arial" w:eastAsia="Arial" w:hAnsi="Arial"/>
                <w:sz w:val="18"/>
                <w:szCs w:val="18"/>
                <w:color w:val="auto"/>
              </w:rPr>
              <w:t>5</w:t>
            </w:r>
          </w:p>
        </w:tc>
        <w:tc>
          <w:tcPr>
            <w:tcW w:w="0" w:type="dxa"/>
            <w:vAlign w:val="bottom"/>
          </w:tcPr>
          <w:p>
            <w:pPr>
              <w:spacing w:after="0"/>
              <w:rPr>
                <w:sz w:val="1"/>
                <w:szCs w:val="1"/>
                <w:color w:val="auto"/>
              </w:rPr>
            </w:pPr>
          </w:p>
        </w:tc>
      </w:tr>
      <w:tr>
        <w:trPr>
          <w:trHeight w:val="216"/>
        </w:trPr>
        <w:tc>
          <w:tcPr>
            <w:tcW w:w="1060" w:type="dxa"/>
            <w:vAlign w:val="bottom"/>
          </w:tcPr>
          <w:p>
            <w:pPr>
              <w:spacing w:after="0"/>
              <w:rPr>
                <w:sz w:val="20"/>
                <w:szCs w:val="20"/>
                <w:color w:val="auto"/>
              </w:rPr>
            </w:pPr>
            <w:r>
              <w:rPr>
                <w:rFonts w:ascii="Arial" w:cs="Arial" w:eastAsia="Arial" w:hAnsi="Arial"/>
                <w:sz w:val="18"/>
                <w:szCs w:val="18"/>
                <w:color w:val="auto"/>
              </w:rPr>
              <w:t>Section 2.1.</w:t>
            </w:r>
          </w:p>
        </w:tc>
        <w:tc>
          <w:tcPr>
            <w:tcW w:w="9620" w:type="dxa"/>
            <w:vAlign w:val="bottom"/>
          </w:tcPr>
          <w:p>
            <w:pPr>
              <w:ind w:left="120"/>
              <w:spacing w:after="0"/>
              <w:rPr>
                <w:sz w:val="20"/>
                <w:szCs w:val="20"/>
                <w:color w:val="auto"/>
              </w:rPr>
            </w:pPr>
            <w:r>
              <w:rPr>
                <w:rFonts w:ascii="Arial" w:cs="Arial" w:eastAsia="Arial" w:hAnsi="Arial"/>
                <w:sz w:val="18"/>
                <w:szCs w:val="18"/>
                <w:color w:val="auto"/>
              </w:rPr>
              <w:t>Issuable in Series.</w:t>
            </w:r>
          </w:p>
        </w:tc>
        <w:tc>
          <w:tcPr>
            <w:tcW w:w="300" w:type="dxa"/>
            <w:vAlign w:val="bottom"/>
            <w:gridSpan w:val="2"/>
          </w:tcPr>
          <w:p>
            <w:pPr>
              <w:jc w:val="right"/>
              <w:ind w:right="20"/>
              <w:spacing w:after="0"/>
              <w:rPr>
                <w:sz w:val="20"/>
                <w:szCs w:val="20"/>
                <w:color w:val="auto"/>
              </w:rPr>
            </w:pPr>
            <w:r>
              <w:rPr>
                <w:rFonts w:ascii="Arial" w:cs="Arial" w:eastAsia="Arial" w:hAnsi="Arial"/>
                <w:sz w:val="18"/>
                <w:szCs w:val="18"/>
                <w:color w:val="auto"/>
              </w:rPr>
              <w:t>5</w:t>
            </w:r>
          </w:p>
        </w:tc>
        <w:tc>
          <w:tcPr>
            <w:tcW w:w="0" w:type="dxa"/>
            <w:vAlign w:val="bottom"/>
          </w:tcPr>
          <w:p>
            <w:pPr>
              <w:spacing w:after="0"/>
              <w:rPr>
                <w:sz w:val="1"/>
                <w:szCs w:val="1"/>
                <w:color w:val="auto"/>
              </w:rPr>
            </w:pPr>
          </w:p>
        </w:tc>
      </w:tr>
      <w:tr>
        <w:trPr>
          <w:trHeight w:val="216"/>
        </w:trPr>
        <w:tc>
          <w:tcPr>
            <w:tcW w:w="1060" w:type="dxa"/>
            <w:vAlign w:val="bottom"/>
          </w:tcPr>
          <w:p>
            <w:pPr>
              <w:spacing w:after="0"/>
              <w:rPr>
                <w:sz w:val="20"/>
                <w:szCs w:val="20"/>
                <w:color w:val="auto"/>
              </w:rPr>
            </w:pPr>
            <w:r>
              <w:rPr>
                <w:rFonts w:ascii="Arial" w:cs="Arial" w:eastAsia="Arial" w:hAnsi="Arial"/>
                <w:sz w:val="18"/>
                <w:szCs w:val="18"/>
                <w:color w:val="auto"/>
              </w:rPr>
              <w:t>Section 2.2.</w:t>
            </w:r>
          </w:p>
        </w:tc>
        <w:tc>
          <w:tcPr>
            <w:tcW w:w="9620" w:type="dxa"/>
            <w:vAlign w:val="bottom"/>
          </w:tcPr>
          <w:p>
            <w:pPr>
              <w:ind w:left="120"/>
              <w:spacing w:after="0"/>
              <w:rPr>
                <w:sz w:val="20"/>
                <w:szCs w:val="20"/>
                <w:color w:val="auto"/>
              </w:rPr>
            </w:pPr>
            <w:r>
              <w:rPr>
                <w:rFonts w:ascii="Arial" w:cs="Arial" w:eastAsia="Arial" w:hAnsi="Arial"/>
                <w:sz w:val="18"/>
                <w:szCs w:val="18"/>
                <w:color w:val="auto"/>
              </w:rPr>
              <w:t>Establishment of Terms of Series of Securities.</w:t>
            </w:r>
          </w:p>
        </w:tc>
        <w:tc>
          <w:tcPr>
            <w:tcW w:w="300" w:type="dxa"/>
            <w:vAlign w:val="bottom"/>
            <w:gridSpan w:val="2"/>
          </w:tcPr>
          <w:p>
            <w:pPr>
              <w:jc w:val="right"/>
              <w:ind w:right="20"/>
              <w:spacing w:after="0"/>
              <w:rPr>
                <w:sz w:val="20"/>
                <w:szCs w:val="20"/>
                <w:color w:val="auto"/>
              </w:rPr>
            </w:pPr>
            <w:r>
              <w:rPr>
                <w:rFonts w:ascii="Arial" w:cs="Arial" w:eastAsia="Arial" w:hAnsi="Arial"/>
                <w:sz w:val="18"/>
                <w:szCs w:val="18"/>
                <w:color w:val="auto"/>
              </w:rPr>
              <w:t>5</w:t>
            </w:r>
          </w:p>
        </w:tc>
        <w:tc>
          <w:tcPr>
            <w:tcW w:w="0" w:type="dxa"/>
            <w:vAlign w:val="bottom"/>
          </w:tcPr>
          <w:p>
            <w:pPr>
              <w:spacing w:after="0"/>
              <w:rPr>
                <w:sz w:val="1"/>
                <w:szCs w:val="1"/>
                <w:color w:val="auto"/>
              </w:rPr>
            </w:pPr>
          </w:p>
        </w:tc>
      </w:tr>
      <w:tr>
        <w:trPr>
          <w:trHeight w:val="216"/>
        </w:trPr>
        <w:tc>
          <w:tcPr>
            <w:tcW w:w="1060" w:type="dxa"/>
            <w:vAlign w:val="bottom"/>
          </w:tcPr>
          <w:p>
            <w:pPr>
              <w:spacing w:after="0"/>
              <w:rPr>
                <w:sz w:val="20"/>
                <w:szCs w:val="20"/>
                <w:color w:val="auto"/>
              </w:rPr>
            </w:pPr>
            <w:r>
              <w:rPr>
                <w:rFonts w:ascii="Arial" w:cs="Arial" w:eastAsia="Arial" w:hAnsi="Arial"/>
                <w:sz w:val="18"/>
                <w:szCs w:val="18"/>
                <w:color w:val="auto"/>
              </w:rPr>
              <w:t>Section 2.3.</w:t>
            </w:r>
          </w:p>
        </w:tc>
        <w:tc>
          <w:tcPr>
            <w:tcW w:w="9620" w:type="dxa"/>
            <w:vAlign w:val="bottom"/>
          </w:tcPr>
          <w:p>
            <w:pPr>
              <w:ind w:left="120"/>
              <w:spacing w:after="0"/>
              <w:rPr>
                <w:sz w:val="20"/>
                <w:szCs w:val="20"/>
                <w:color w:val="auto"/>
              </w:rPr>
            </w:pPr>
            <w:r>
              <w:rPr>
                <w:rFonts w:ascii="Arial" w:cs="Arial" w:eastAsia="Arial" w:hAnsi="Arial"/>
                <w:sz w:val="18"/>
                <w:szCs w:val="18"/>
                <w:color w:val="auto"/>
              </w:rPr>
              <w:t>Execution and Authentication.</w:t>
            </w:r>
          </w:p>
        </w:tc>
        <w:tc>
          <w:tcPr>
            <w:tcW w:w="300" w:type="dxa"/>
            <w:vAlign w:val="bottom"/>
            <w:gridSpan w:val="2"/>
          </w:tcPr>
          <w:p>
            <w:pPr>
              <w:jc w:val="right"/>
              <w:ind w:right="20"/>
              <w:spacing w:after="0"/>
              <w:rPr>
                <w:sz w:val="20"/>
                <w:szCs w:val="20"/>
                <w:color w:val="auto"/>
              </w:rPr>
            </w:pPr>
            <w:r>
              <w:rPr>
                <w:rFonts w:ascii="Arial" w:cs="Arial" w:eastAsia="Arial" w:hAnsi="Arial"/>
                <w:sz w:val="18"/>
                <w:szCs w:val="18"/>
                <w:color w:val="auto"/>
              </w:rPr>
              <w:t>7</w:t>
            </w:r>
          </w:p>
        </w:tc>
        <w:tc>
          <w:tcPr>
            <w:tcW w:w="0" w:type="dxa"/>
            <w:vAlign w:val="bottom"/>
          </w:tcPr>
          <w:p>
            <w:pPr>
              <w:spacing w:after="0"/>
              <w:rPr>
                <w:sz w:val="1"/>
                <w:szCs w:val="1"/>
                <w:color w:val="auto"/>
              </w:rPr>
            </w:pPr>
          </w:p>
        </w:tc>
      </w:tr>
      <w:tr>
        <w:trPr>
          <w:trHeight w:val="216"/>
        </w:trPr>
        <w:tc>
          <w:tcPr>
            <w:tcW w:w="1060" w:type="dxa"/>
            <w:vAlign w:val="bottom"/>
          </w:tcPr>
          <w:p>
            <w:pPr>
              <w:spacing w:after="0"/>
              <w:rPr>
                <w:sz w:val="20"/>
                <w:szCs w:val="20"/>
                <w:color w:val="auto"/>
              </w:rPr>
            </w:pPr>
            <w:r>
              <w:rPr>
                <w:rFonts w:ascii="Arial" w:cs="Arial" w:eastAsia="Arial" w:hAnsi="Arial"/>
                <w:sz w:val="18"/>
                <w:szCs w:val="18"/>
                <w:color w:val="auto"/>
              </w:rPr>
              <w:t>Section 2.4.</w:t>
            </w:r>
          </w:p>
        </w:tc>
        <w:tc>
          <w:tcPr>
            <w:tcW w:w="9620" w:type="dxa"/>
            <w:vAlign w:val="bottom"/>
          </w:tcPr>
          <w:p>
            <w:pPr>
              <w:ind w:left="120"/>
              <w:spacing w:after="0"/>
              <w:rPr>
                <w:sz w:val="20"/>
                <w:szCs w:val="20"/>
                <w:color w:val="auto"/>
              </w:rPr>
            </w:pPr>
            <w:r>
              <w:rPr>
                <w:rFonts w:ascii="Arial" w:cs="Arial" w:eastAsia="Arial" w:hAnsi="Arial"/>
                <w:sz w:val="18"/>
                <w:szCs w:val="18"/>
                <w:color w:val="auto"/>
              </w:rPr>
              <w:t>Registrar and Paying Agent.</w:t>
            </w:r>
          </w:p>
        </w:tc>
        <w:tc>
          <w:tcPr>
            <w:tcW w:w="300" w:type="dxa"/>
            <w:vAlign w:val="bottom"/>
            <w:gridSpan w:val="2"/>
          </w:tcPr>
          <w:p>
            <w:pPr>
              <w:jc w:val="right"/>
              <w:ind w:right="20"/>
              <w:spacing w:after="0"/>
              <w:rPr>
                <w:sz w:val="20"/>
                <w:szCs w:val="20"/>
                <w:color w:val="auto"/>
              </w:rPr>
            </w:pPr>
            <w:r>
              <w:rPr>
                <w:rFonts w:ascii="Arial" w:cs="Arial" w:eastAsia="Arial" w:hAnsi="Arial"/>
                <w:sz w:val="18"/>
                <w:szCs w:val="18"/>
                <w:color w:val="auto"/>
              </w:rPr>
              <w:t>8</w:t>
            </w:r>
          </w:p>
        </w:tc>
        <w:tc>
          <w:tcPr>
            <w:tcW w:w="0" w:type="dxa"/>
            <w:vAlign w:val="bottom"/>
          </w:tcPr>
          <w:p>
            <w:pPr>
              <w:spacing w:after="0"/>
              <w:rPr>
                <w:sz w:val="1"/>
                <w:szCs w:val="1"/>
                <w:color w:val="auto"/>
              </w:rPr>
            </w:pPr>
          </w:p>
        </w:tc>
      </w:tr>
      <w:tr>
        <w:trPr>
          <w:trHeight w:val="216"/>
        </w:trPr>
        <w:tc>
          <w:tcPr>
            <w:tcW w:w="1060" w:type="dxa"/>
            <w:vAlign w:val="bottom"/>
          </w:tcPr>
          <w:p>
            <w:pPr>
              <w:spacing w:after="0"/>
              <w:rPr>
                <w:sz w:val="20"/>
                <w:szCs w:val="20"/>
                <w:color w:val="auto"/>
              </w:rPr>
            </w:pPr>
            <w:r>
              <w:rPr>
                <w:rFonts w:ascii="Arial" w:cs="Arial" w:eastAsia="Arial" w:hAnsi="Arial"/>
                <w:sz w:val="18"/>
                <w:szCs w:val="18"/>
                <w:color w:val="auto"/>
              </w:rPr>
              <w:t>Section 2.5.</w:t>
            </w:r>
          </w:p>
        </w:tc>
        <w:tc>
          <w:tcPr>
            <w:tcW w:w="9620" w:type="dxa"/>
            <w:vAlign w:val="bottom"/>
          </w:tcPr>
          <w:p>
            <w:pPr>
              <w:ind w:left="120"/>
              <w:spacing w:after="0"/>
              <w:rPr>
                <w:sz w:val="20"/>
                <w:szCs w:val="20"/>
                <w:color w:val="auto"/>
              </w:rPr>
            </w:pPr>
            <w:r>
              <w:rPr>
                <w:rFonts w:ascii="Arial" w:cs="Arial" w:eastAsia="Arial" w:hAnsi="Arial"/>
                <w:sz w:val="18"/>
                <w:szCs w:val="18"/>
                <w:color w:val="auto"/>
              </w:rPr>
              <w:t>Paying Agent to Hold Money in Trust.</w:t>
            </w:r>
          </w:p>
        </w:tc>
        <w:tc>
          <w:tcPr>
            <w:tcW w:w="300" w:type="dxa"/>
            <w:vAlign w:val="bottom"/>
            <w:gridSpan w:val="2"/>
          </w:tcPr>
          <w:p>
            <w:pPr>
              <w:jc w:val="right"/>
              <w:ind w:right="20"/>
              <w:spacing w:after="0"/>
              <w:rPr>
                <w:sz w:val="20"/>
                <w:szCs w:val="20"/>
                <w:color w:val="auto"/>
              </w:rPr>
            </w:pPr>
            <w:r>
              <w:rPr>
                <w:rFonts w:ascii="Arial" w:cs="Arial" w:eastAsia="Arial" w:hAnsi="Arial"/>
                <w:sz w:val="18"/>
                <w:szCs w:val="18"/>
                <w:color w:val="auto"/>
              </w:rPr>
              <w:t>8</w:t>
            </w:r>
          </w:p>
        </w:tc>
        <w:tc>
          <w:tcPr>
            <w:tcW w:w="0" w:type="dxa"/>
            <w:vAlign w:val="bottom"/>
          </w:tcPr>
          <w:p>
            <w:pPr>
              <w:spacing w:after="0"/>
              <w:rPr>
                <w:sz w:val="1"/>
                <w:szCs w:val="1"/>
                <w:color w:val="auto"/>
              </w:rPr>
            </w:pPr>
          </w:p>
        </w:tc>
      </w:tr>
      <w:tr>
        <w:trPr>
          <w:trHeight w:val="216"/>
        </w:trPr>
        <w:tc>
          <w:tcPr>
            <w:tcW w:w="1060" w:type="dxa"/>
            <w:vAlign w:val="bottom"/>
          </w:tcPr>
          <w:p>
            <w:pPr>
              <w:spacing w:after="0"/>
              <w:rPr>
                <w:sz w:val="20"/>
                <w:szCs w:val="20"/>
                <w:color w:val="auto"/>
              </w:rPr>
            </w:pPr>
            <w:r>
              <w:rPr>
                <w:rFonts w:ascii="Arial" w:cs="Arial" w:eastAsia="Arial" w:hAnsi="Arial"/>
                <w:sz w:val="18"/>
                <w:szCs w:val="18"/>
                <w:color w:val="auto"/>
              </w:rPr>
              <w:t>Section 2.6.</w:t>
            </w:r>
          </w:p>
        </w:tc>
        <w:tc>
          <w:tcPr>
            <w:tcW w:w="9620" w:type="dxa"/>
            <w:vAlign w:val="bottom"/>
          </w:tcPr>
          <w:p>
            <w:pPr>
              <w:ind w:left="120"/>
              <w:spacing w:after="0"/>
              <w:rPr>
                <w:sz w:val="20"/>
                <w:szCs w:val="20"/>
                <w:color w:val="auto"/>
              </w:rPr>
            </w:pPr>
            <w:r>
              <w:rPr>
                <w:rFonts w:ascii="Arial" w:cs="Arial" w:eastAsia="Arial" w:hAnsi="Arial"/>
                <w:sz w:val="18"/>
                <w:szCs w:val="18"/>
                <w:color w:val="auto"/>
              </w:rPr>
              <w:t>Securityholder Lists.</w:t>
            </w:r>
          </w:p>
        </w:tc>
        <w:tc>
          <w:tcPr>
            <w:tcW w:w="300" w:type="dxa"/>
            <w:vAlign w:val="bottom"/>
            <w:gridSpan w:val="2"/>
          </w:tcPr>
          <w:p>
            <w:pPr>
              <w:jc w:val="right"/>
              <w:ind w:right="20"/>
              <w:spacing w:after="0"/>
              <w:rPr>
                <w:sz w:val="20"/>
                <w:szCs w:val="20"/>
                <w:color w:val="auto"/>
              </w:rPr>
            </w:pPr>
            <w:r>
              <w:rPr>
                <w:rFonts w:ascii="Arial" w:cs="Arial" w:eastAsia="Arial" w:hAnsi="Arial"/>
                <w:sz w:val="18"/>
                <w:szCs w:val="18"/>
                <w:color w:val="auto"/>
              </w:rPr>
              <w:t>9</w:t>
            </w:r>
          </w:p>
        </w:tc>
        <w:tc>
          <w:tcPr>
            <w:tcW w:w="0" w:type="dxa"/>
            <w:vAlign w:val="bottom"/>
          </w:tcPr>
          <w:p>
            <w:pPr>
              <w:spacing w:after="0"/>
              <w:rPr>
                <w:sz w:val="1"/>
                <w:szCs w:val="1"/>
                <w:color w:val="auto"/>
              </w:rPr>
            </w:pPr>
          </w:p>
        </w:tc>
      </w:tr>
      <w:tr>
        <w:trPr>
          <w:trHeight w:val="216"/>
        </w:trPr>
        <w:tc>
          <w:tcPr>
            <w:tcW w:w="1060" w:type="dxa"/>
            <w:vAlign w:val="bottom"/>
          </w:tcPr>
          <w:p>
            <w:pPr>
              <w:spacing w:after="0"/>
              <w:rPr>
                <w:sz w:val="20"/>
                <w:szCs w:val="20"/>
                <w:color w:val="auto"/>
              </w:rPr>
            </w:pPr>
            <w:r>
              <w:rPr>
                <w:rFonts w:ascii="Arial" w:cs="Arial" w:eastAsia="Arial" w:hAnsi="Arial"/>
                <w:sz w:val="18"/>
                <w:szCs w:val="18"/>
                <w:color w:val="auto"/>
              </w:rPr>
              <w:t>Section 2.7.</w:t>
            </w:r>
          </w:p>
        </w:tc>
        <w:tc>
          <w:tcPr>
            <w:tcW w:w="9620" w:type="dxa"/>
            <w:vAlign w:val="bottom"/>
          </w:tcPr>
          <w:p>
            <w:pPr>
              <w:ind w:left="120"/>
              <w:spacing w:after="0"/>
              <w:rPr>
                <w:sz w:val="20"/>
                <w:szCs w:val="20"/>
                <w:color w:val="auto"/>
              </w:rPr>
            </w:pPr>
            <w:r>
              <w:rPr>
                <w:rFonts w:ascii="Arial" w:cs="Arial" w:eastAsia="Arial" w:hAnsi="Arial"/>
                <w:sz w:val="18"/>
                <w:szCs w:val="18"/>
                <w:color w:val="auto"/>
              </w:rPr>
              <w:t>Transfer and Exchange.</w:t>
            </w:r>
          </w:p>
        </w:tc>
        <w:tc>
          <w:tcPr>
            <w:tcW w:w="300" w:type="dxa"/>
            <w:vAlign w:val="bottom"/>
            <w:gridSpan w:val="2"/>
          </w:tcPr>
          <w:p>
            <w:pPr>
              <w:jc w:val="right"/>
              <w:ind w:right="20"/>
              <w:spacing w:after="0"/>
              <w:rPr>
                <w:sz w:val="20"/>
                <w:szCs w:val="20"/>
                <w:color w:val="auto"/>
              </w:rPr>
            </w:pPr>
            <w:r>
              <w:rPr>
                <w:rFonts w:ascii="Arial" w:cs="Arial" w:eastAsia="Arial" w:hAnsi="Arial"/>
                <w:sz w:val="18"/>
                <w:szCs w:val="18"/>
                <w:color w:val="auto"/>
              </w:rPr>
              <w:t>9</w:t>
            </w:r>
          </w:p>
        </w:tc>
        <w:tc>
          <w:tcPr>
            <w:tcW w:w="0" w:type="dxa"/>
            <w:vAlign w:val="bottom"/>
          </w:tcPr>
          <w:p>
            <w:pPr>
              <w:spacing w:after="0"/>
              <w:rPr>
                <w:sz w:val="1"/>
                <w:szCs w:val="1"/>
                <w:color w:val="auto"/>
              </w:rPr>
            </w:pPr>
          </w:p>
        </w:tc>
      </w:tr>
      <w:tr>
        <w:trPr>
          <w:trHeight w:val="216"/>
        </w:trPr>
        <w:tc>
          <w:tcPr>
            <w:tcW w:w="1060" w:type="dxa"/>
            <w:vAlign w:val="bottom"/>
          </w:tcPr>
          <w:p>
            <w:pPr>
              <w:spacing w:after="0"/>
              <w:rPr>
                <w:sz w:val="20"/>
                <w:szCs w:val="20"/>
                <w:color w:val="auto"/>
              </w:rPr>
            </w:pPr>
            <w:r>
              <w:rPr>
                <w:rFonts w:ascii="Arial" w:cs="Arial" w:eastAsia="Arial" w:hAnsi="Arial"/>
                <w:sz w:val="18"/>
                <w:szCs w:val="18"/>
                <w:color w:val="auto"/>
              </w:rPr>
              <w:t>Section 2.8.</w:t>
            </w:r>
          </w:p>
        </w:tc>
        <w:tc>
          <w:tcPr>
            <w:tcW w:w="9620" w:type="dxa"/>
            <w:vAlign w:val="bottom"/>
          </w:tcPr>
          <w:p>
            <w:pPr>
              <w:ind w:left="120"/>
              <w:spacing w:after="0"/>
              <w:rPr>
                <w:sz w:val="20"/>
                <w:szCs w:val="20"/>
                <w:color w:val="auto"/>
              </w:rPr>
            </w:pPr>
            <w:r>
              <w:rPr>
                <w:rFonts w:ascii="Arial" w:cs="Arial" w:eastAsia="Arial" w:hAnsi="Arial"/>
                <w:sz w:val="18"/>
                <w:szCs w:val="18"/>
                <w:color w:val="auto"/>
              </w:rPr>
              <w:t>Mutilated, Destroyed, Lost and Stolen Securities.</w:t>
            </w:r>
          </w:p>
        </w:tc>
        <w:tc>
          <w:tcPr>
            <w:tcW w:w="300" w:type="dxa"/>
            <w:vAlign w:val="bottom"/>
            <w:gridSpan w:val="2"/>
          </w:tcPr>
          <w:p>
            <w:pPr>
              <w:jc w:val="right"/>
              <w:ind w:right="20"/>
              <w:spacing w:after="0"/>
              <w:rPr>
                <w:sz w:val="20"/>
                <w:szCs w:val="20"/>
                <w:color w:val="auto"/>
              </w:rPr>
            </w:pPr>
            <w:r>
              <w:rPr>
                <w:rFonts w:ascii="Arial" w:cs="Arial" w:eastAsia="Arial" w:hAnsi="Arial"/>
                <w:sz w:val="18"/>
                <w:szCs w:val="18"/>
                <w:color w:val="auto"/>
              </w:rPr>
              <w:t>9</w:t>
            </w:r>
          </w:p>
        </w:tc>
        <w:tc>
          <w:tcPr>
            <w:tcW w:w="0" w:type="dxa"/>
            <w:vAlign w:val="bottom"/>
          </w:tcPr>
          <w:p>
            <w:pPr>
              <w:spacing w:after="0"/>
              <w:rPr>
                <w:sz w:val="1"/>
                <w:szCs w:val="1"/>
                <w:color w:val="auto"/>
              </w:rPr>
            </w:pPr>
          </w:p>
        </w:tc>
      </w:tr>
      <w:tr>
        <w:trPr>
          <w:trHeight w:val="216"/>
        </w:trPr>
        <w:tc>
          <w:tcPr>
            <w:tcW w:w="1060" w:type="dxa"/>
            <w:vAlign w:val="bottom"/>
          </w:tcPr>
          <w:p>
            <w:pPr>
              <w:spacing w:after="0"/>
              <w:rPr>
                <w:sz w:val="20"/>
                <w:szCs w:val="20"/>
                <w:color w:val="auto"/>
              </w:rPr>
            </w:pPr>
            <w:r>
              <w:rPr>
                <w:rFonts w:ascii="Arial" w:cs="Arial" w:eastAsia="Arial" w:hAnsi="Arial"/>
                <w:sz w:val="18"/>
                <w:szCs w:val="18"/>
                <w:color w:val="auto"/>
              </w:rPr>
              <w:t>Section 2.9.</w:t>
            </w:r>
          </w:p>
        </w:tc>
        <w:tc>
          <w:tcPr>
            <w:tcW w:w="9620" w:type="dxa"/>
            <w:vAlign w:val="bottom"/>
          </w:tcPr>
          <w:p>
            <w:pPr>
              <w:ind w:left="120"/>
              <w:spacing w:after="0"/>
              <w:rPr>
                <w:sz w:val="20"/>
                <w:szCs w:val="20"/>
                <w:color w:val="auto"/>
              </w:rPr>
            </w:pPr>
            <w:r>
              <w:rPr>
                <w:rFonts w:ascii="Arial" w:cs="Arial" w:eastAsia="Arial" w:hAnsi="Arial"/>
                <w:sz w:val="18"/>
                <w:szCs w:val="18"/>
                <w:color w:val="auto"/>
              </w:rPr>
              <w:t>Outstanding Securities.</w:t>
            </w:r>
          </w:p>
        </w:tc>
        <w:tc>
          <w:tcPr>
            <w:tcW w:w="300" w:type="dxa"/>
            <w:vAlign w:val="bottom"/>
            <w:gridSpan w:val="2"/>
          </w:tcPr>
          <w:p>
            <w:pPr>
              <w:jc w:val="right"/>
              <w:ind w:right="20"/>
              <w:spacing w:after="0"/>
              <w:rPr>
                <w:sz w:val="20"/>
                <w:szCs w:val="20"/>
                <w:color w:val="auto"/>
              </w:rPr>
            </w:pPr>
            <w:r>
              <w:rPr>
                <w:rFonts w:ascii="Arial" w:cs="Arial" w:eastAsia="Arial" w:hAnsi="Arial"/>
                <w:sz w:val="18"/>
                <w:szCs w:val="18"/>
                <w:color w:val="auto"/>
              </w:rPr>
              <w:t>10</w:t>
            </w:r>
          </w:p>
        </w:tc>
        <w:tc>
          <w:tcPr>
            <w:tcW w:w="0" w:type="dxa"/>
            <w:vAlign w:val="bottom"/>
          </w:tcPr>
          <w:p>
            <w:pPr>
              <w:spacing w:after="0"/>
              <w:rPr>
                <w:sz w:val="1"/>
                <w:szCs w:val="1"/>
                <w:color w:val="auto"/>
              </w:rPr>
            </w:pPr>
          </w:p>
        </w:tc>
      </w:tr>
      <w:tr>
        <w:trPr>
          <w:trHeight w:val="216"/>
        </w:trPr>
        <w:tc>
          <w:tcPr>
            <w:tcW w:w="1060" w:type="dxa"/>
            <w:vAlign w:val="bottom"/>
          </w:tcPr>
          <w:p>
            <w:pPr>
              <w:spacing w:after="0"/>
              <w:rPr>
                <w:sz w:val="20"/>
                <w:szCs w:val="20"/>
                <w:color w:val="auto"/>
              </w:rPr>
            </w:pPr>
            <w:r>
              <w:rPr>
                <w:rFonts w:ascii="Arial" w:cs="Arial" w:eastAsia="Arial" w:hAnsi="Arial"/>
                <w:sz w:val="18"/>
                <w:szCs w:val="18"/>
                <w:color w:val="auto"/>
                <w:w w:val="98"/>
              </w:rPr>
              <w:t>Section 2.10.</w:t>
            </w:r>
          </w:p>
        </w:tc>
        <w:tc>
          <w:tcPr>
            <w:tcW w:w="9620" w:type="dxa"/>
            <w:vAlign w:val="bottom"/>
          </w:tcPr>
          <w:p>
            <w:pPr>
              <w:ind w:left="120"/>
              <w:spacing w:after="0"/>
              <w:rPr>
                <w:sz w:val="20"/>
                <w:szCs w:val="20"/>
                <w:color w:val="auto"/>
              </w:rPr>
            </w:pPr>
            <w:r>
              <w:rPr>
                <w:rFonts w:ascii="Arial" w:cs="Arial" w:eastAsia="Arial" w:hAnsi="Arial"/>
                <w:sz w:val="18"/>
                <w:szCs w:val="18"/>
                <w:color w:val="auto"/>
              </w:rPr>
              <w:t>Treasury Securities.</w:t>
            </w:r>
          </w:p>
        </w:tc>
        <w:tc>
          <w:tcPr>
            <w:tcW w:w="300" w:type="dxa"/>
            <w:vAlign w:val="bottom"/>
            <w:gridSpan w:val="2"/>
          </w:tcPr>
          <w:p>
            <w:pPr>
              <w:jc w:val="right"/>
              <w:ind w:right="20"/>
              <w:spacing w:after="0"/>
              <w:rPr>
                <w:sz w:val="20"/>
                <w:szCs w:val="20"/>
                <w:color w:val="auto"/>
              </w:rPr>
            </w:pPr>
            <w:r>
              <w:rPr>
                <w:rFonts w:ascii="Arial" w:cs="Arial" w:eastAsia="Arial" w:hAnsi="Arial"/>
                <w:sz w:val="18"/>
                <w:szCs w:val="18"/>
                <w:color w:val="auto"/>
              </w:rPr>
              <w:t>10</w:t>
            </w:r>
          </w:p>
        </w:tc>
        <w:tc>
          <w:tcPr>
            <w:tcW w:w="0" w:type="dxa"/>
            <w:vAlign w:val="bottom"/>
          </w:tcPr>
          <w:p>
            <w:pPr>
              <w:spacing w:after="0"/>
              <w:rPr>
                <w:sz w:val="1"/>
                <w:szCs w:val="1"/>
                <w:color w:val="auto"/>
              </w:rPr>
            </w:pPr>
          </w:p>
        </w:tc>
      </w:tr>
      <w:tr>
        <w:trPr>
          <w:trHeight w:val="216"/>
        </w:trPr>
        <w:tc>
          <w:tcPr>
            <w:tcW w:w="1060" w:type="dxa"/>
            <w:vAlign w:val="bottom"/>
          </w:tcPr>
          <w:p>
            <w:pPr>
              <w:spacing w:after="0"/>
              <w:rPr>
                <w:sz w:val="20"/>
                <w:szCs w:val="20"/>
                <w:color w:val="auto"/>
              </w:rPr>
            </w:pPr>
            <w:r>
              <w:rPr>
                <w:rFonts w:ascii="Arial" w:cs="Arial" w:eastAsia="Arial" w:hAnsi="Arial"/>
                <w:sz w:val="18"/>
                <w:szCs w:val="18"/>
                <w:color w:val="auto"/>
                <w:w w:val="98"/>
              </w:rPr>
              <w:t>Section 2.11.</w:t>
            </w:r>
          </w:p>
        </w:tc>
        <w:tc>
          <w:tcPr>
            <w:tcW w:w="9620" w:type="dxa"/>
            <w:vAlign w:val="bottom"/>
          </w:tcPr>
          <w:p>
            <w:pPr>
              <w:ind w:left="120"/>
              <w:spacing w:after="0"/>
              <w:rPr>
                <w:sz w:val="20"/>
                <w:szCs w:val="20"/>
                <w:color w:val="auto"/>
              </w:rPr>
            </w:pPr>
            <w:r>
              <w:rPr>
                <w:rFonts w:ascii="Arial" w:cs="Arial" w:eastAsia="Arial" w:hAnsi="Arial"/>
                <w:sz w:val="18"/>
                <w:szCs w:val="18"/>
                <w:color w:val="auto"/>
              </w:rPr>
              <w:t>Temporary Securities.</w:t>
            </w:r>
          </w:p>
        </w:tc>
        <w:tc>
          <w:tcPr>
            <w:tcW w:w="300" w:type="dxa"/>
            <w:vAlign w:val="bottom"/>
            <w:gridSpan w:val="2"/>
          </w:tcPr>
          <w:p>
            <w:pPr>
              <w:jc w:val="right"/>
              <w:ind w:right="20"/>
              <w:spacing w:after="0"/>
              <w:rPr>
                <w:sz w:val="20"/>
                <w:szCs w:val="20"/>
                <w:color w:val="auto"/>
              </w:rPr>
            </w:pPr>
            <w:r>
              <w:rPr>
                <w:rFonts w:ascii="Arial" w:cs="Arial" w:eastAsia="Arial" w:hAnsi="Arial"/>
                <w:sz w:val="18"/>
                <w:szCs w:val="18"/>
                <w:color w:val="auto"/>
              </w:rPr>
              <w:t>10</w:t>
            </w:r>
          </w:p>
        </w:tc>
        <w:tc>
          <w:tcPr>
            <w:tcW w:w="0" w:type="dxa"/>
            <w:vAlign w:val="bottom"/>
          </w:tcPr>
          <w:p>
            <w:pPr>
              <w:spacing w:after="0"/>
              <w:rPr>
                <w:sz w:val="1"/>
                <w:szCs w:val="1"/>
                <w:color w:val="auto"/>
              </w:rPr>
            </w:pPr>
          </w:p>
        </w:tc>
      </w:tr>
      <w:tr>
        <w:trPr>
          <w:trHeight w:val="216"/>
        </w:trPr>
        <w:tc>
          <w:tcPr>
            <w:tcW w:w="1060" w:type="dxa"/>
            <w:vAlign w:val="bottom"/>
          </w:tcPr>
          <w:p>
            <w:pPr>
              <w:spacing w:after="0"/>
              <w:rPr>
                <w:sz w:val="20"/>
                <w:szCs w:val="20"/>
                <w:color w:val="auto"/>
              </w:rPr>
            </w:pPr>
            <w:r>
              <w:rPr>
                <w:rFonts w:ascii="Arial" w:cs="Arial" w:eastAsia="Arial" w:hAnsi="Arial"/>
                <w:sz w:val="18"/>
                <w:szCs w:val="18"/>
                <w:color w:val="auto"/>
                <w:w w:val="98"/>
              </w:rPr>
              <w:t>Section 2.12.</w:t>
            </w:r>
          </w:p>
        </w:tc>
        <w:tc>
          <w:tcPr>
            <w:tcW w:w="9620" w:type="dxa"/>
            <w:vAlign w:val="bottom"/>
          </w:tcPr>
          <w:p>
            <w:pPr>
              <w:ind w:left="120"/>
              <w:spacing w:after="0"/>
              <w:rPr>
                <w:sz w:val="20"/>
                <w:szCs w:val="20"/>
                <w:color w:val="auto"/>
              </w:rPr>
            </w:pPr>
            <w:r>
              <w:rPr>
                <w:rFonts w:ascii="Arial" w:cs="Arial" w:eastAsia="Arial" w:hAnsi="Arial"/>
                <w:sz w:val="18"/>
                <w:szCs w:val="18"/>
                <w:color w:val="auto"/>
              </w:rPr>
              <w:t>Cancellation.</w:t>
            </w:r>
          </w:p>
        </w:tc>
        <w:tc>
          <w:tcPr>
            <w:tcW w:w="300" w:type="dxa"/>
            <w:vAlign w:val="bottom"/>
            <w:gridSpan w:val="2"/>
          </w:tcPr>
          <w:p>
            <w:pPr>
              <w:jc w:val="right"/>
              <w:ind w:right="20"/>
              <w:spacing w:after="0"/>
              <w:rPr>
                <w:sz w:val="20"/>
                <w:szCs w:val="20"/>
                <w:color w:val="auto"/>
              </w:rPr>
            </w:pPr>
            <w:r>
              <w:rPr>
                <w:rFonts w:ascii="Arial" w:cs="Arial" w:eastAsia="Arial" w:hAnsi="Arial"/>
                <w:sz w:val="18"/>
                <w:szCs w:val="18"/>
                <w:color w:val="auto"/>
              </w:rPr>
              <w:t>10</w:t>
            </w:r>
          </w:p>
        </w:tc>
        <w:tc>
          <w:tcPr>
            <w:tcW w:w="0" w:type="dxa"/>
            <w:vAlign w:val="bottom"/>
          </w:tcPr>
          <w:p>
            <w:pPr>
              <w:spacing w:after="0"/>
              <w:rPr>
                <w:sz w:val="1"/>
                <w:szCs w:val="1"/>
                <w:color w:val="auto"/>
              </w:rPr>
            </w:pPr>
          </w:p>
        </w:tc>
      </w:tr>
      <w:tr>
        <w:trPr>
          <w:trHeight w:val="216"/>
        </w:trPr>
        <w:tc>
          <w:tcPr>
            <w:tcW w:w="1060" w:type="dxa"/>
            <w:vAlign w:val="bottom"/>
          </w:tcPr>
          <w:p>
            <w:pPr>
              <w:spacing w:after="0"/>
              <w:rPr>
                <w:sz w:val="20"/>
                <w:szCs w:val="20"/>
                <w:color w:val="auto"/>
              </w:rPr>
            </w:pPr>
            <w:r>
              <w:rPr>
                <w:rFonts w:ascii="Arial" w:cs="Arial" w:eastAsia="Arial" w:hAnsi="Arial"/>
                <w:sz w:val="18"/>
                <w:szCs w:val="18"/>
                <w:color w:val="auto"/>
                <w:w w:val="98"/>
              </w:rPr>
              <w:t>Section 2.13.</w:t>
            </w:r>
          </w:p>
        </w:tc>
        <w:tc>
          <w:tcPr>
            <w:tcW w:w="9620" w:type="dxa"/>
            <w:vAlign w:val="bottom"/>
          </w:tcPr>
          <w:p>
            <w:pPr>
              <w:ind w:left="120"/>
              <w:spacing w:after="0"/>
              <w:rPr>
                <w:sz w:val="20"/>
                <w:szCs w:val="20"/>
                <w:color w:val="auto"/>
              </w:rPr>
            </w:pPr>
            <w:r>
              <w:rPr>
                <w:rFonts w:ascii="Arial" w:cs="Arial" w:eastAsia="Arial" w:hAnsi="Arial"/>
                <w:sz w:val="18"/>
                <w:szCs w:val="18"/>
                <w:color w:val="auto"/>
              </w:rPr>
              <w:t>Defaulted Interest.</w:t>
            </w:r>
          </w:p>
        </w:tc>
        <w:tc>
          <w:tcPr>
            <w:tcW w:w="300" w:type="dxa"/>
            <w:vAlign w:val="bottom"/>
            <w:gridSpan w:val="2"/>
          </w:tcPr>
          <w:p>
            <w:pPr>
              <w:jc w:val="right"/>
              <w:ind w:right="20"/>
              <w:spacing w:after="0"/>
              <w:rPr>
                <w:sz w:val="20"/>
                <w:szCs w:val="20"/>
                <w:color w:val="auto"/>
              </w:rPr>
            </w:pPr>
            <w:r>
              <w:rPr>
                <w:rFonts w:ascii="Arial" w:cs="Arial" w:eastAsia="Arial" w:hAnsi="Arial"/>
                <w:sz w:val="18"/>
                <w:szCs w:val="18"/>
                <w:color w:val="auto"/>
              </w:rPr>
              <w:t>10</w:t>
            </w:r>
          </w:p>
        </w:tc>
        <w:tc>
          <w:tcPr>
            <w:tcW w:w="0" w:type="dxa"/>
            <w:vAlign w:val="bottom"/>
          </w:tcPr>
          <w:p>
            <w:pPr>
              <w:spacing w:after="0"/>
              <w:rPr>
                <w:sz w:val="1"/>
                <w:szCs w:val="1"/>
                <w:color w:val="auto"/>
              </w:rPr>
            </w:pPr>
          </w:p>
        </w:tc>
      </w:tr>
      <w:tr>
        <w:trPr>
          <w:trHeight w:val="216"/>
        </w:trPr>
        <w:tc>
          <w:tcPr>
            <w:tcW w:w="1060" w:type="dxa"/>
            <w:vAlign w:val="bottom"/>
          </w:tcPr>
          <w:p>
            <w:pPr>
              <w:spacing w:after="0"/>
              <w:rPr>
                <w:sz w:val="20"/>
                <w:szCs w:val="20"/>
                <w:color w:val="auto"/>
              </w:rPr>
            </w:pPr>
            <w:r>
              <w:rPr>
                <w:rFonts w:ascii="Arial" w:cs="Arial" w:eastAsia="Arial" w:hAnsi="Arial"/>
                <w:sz w:val="18"/>
                <w:szCs w:val="18"/>
                <w:color w:val="auto"/>
                <w:w w:val="98"/>
              </w:rPr>
              <w:t>Section 2.14.</w:t>
            </w:r>
          </w:p>
        </w:tc>
        <w:tc>
          <w:tcPr>
            <w:tcW w:w="9620" w:type="dxa"/>
            <w:vAlign w:val="bottom"/>
          </w:tcPr>
          <w:p>
            <w:pPr>
              <w:ind w:left="120"/>
              <w:spacing w:after="0"/>
              <w:rPr>
                <w:sz w:val="20"/>
                <w:szCs w:val="20"/>
                <w:color w:val="auto"/>
              </w:rPr>
            </w:pPr>
            <w:r>
              <w:rPr>
                <w:rFonts w:ascii="Arial" w:cs="Arial" w:eastAsia="Arial" w:hAnsi="Arial"/>
                <w:sz w:val="18"/>
                <w:szCs w:val="18"/>
                <w:color w:val="auto"/>
              </w:rPr>
              <w:t>Global Securities.</w:t>
            </w:r>
          </w:p>
        </w:tc>
        <w:tc>
          <w:tcPr>
            <w:tcW w:w="300" w:type="dxa"/>
            <w:vAlign w:val="bottom"/>
            <w:gridSpan w:val="2"/>
          </w:tcPr>
          <w:p>
            <w:pPr>
              <w:jc w:val="right"/>
              <w:ind w:right="20"/>
              <w:spacing w:after="0"/>
              <w:rPr>
                <w:sz w:val="20"/>
                <w:szCs w:val="20"/>
                <w:color w:val="auto"/>
              </w:rPr>
            </w:pPr>
            <w:r>
              <w:rPr>
                <w:rFonts w:ascii="Arial" w:cs="Arial" w:eastAsia="Arial" w:hAnsi="Arial"/>
                <w:sz w:val="18"/>
                <w:szCs w:val="18"/>
                <w:color w:val="auto"/>
              </w:rPr>
              <w:t>11</w:t>
            </w:r>
          </w:p>
        </w:tc>
        <w:tc>
          <w:tcPr>
            <w:tcW w:w="0" w:type="dxa"/>
            <w:vAlign w:val="bottom"/>
          </w:tcPr>
          <w:p>
            <w:pPr>
              <w:spacing w:after="0"/>
              <w:rPr>
                <w:sz w:val="1"/>
                <w:szCs w:val="1"/>
                <w:color w:val="auto"/>
              </w:rPr>
            </w:pPr>
          </w:p>
        </w:tc>
      </w:tr>
      <w:tr>
        <w:trPr>
          <w:trHeight w:val="216"/>
        </w:trPr>
        <w:tc>
          <w:tcPr>
            <w:tcW w:w="1060" w:type="dxa"/>
            <w:vAlign w:val="bottom"/>
          </w:tcPr>
          <w:p>
            <w:pPr>
              <w:spacing w:after="0"/>
              <w:rPr>
                <w:sz w:val="20"/>
                <w:szCs w:val="20"/>
                <w:color w:val="auto"/>
              </w:rPr>
            </w:pPr>
            <w:r>
              <w:rPr>
                <w:rFonts w:ascii="Arial" w:cs="Arial" w:eastAsia="Arial" w:hAnsi="Arial"/>
                <w:sz w:val="18"/>
                <w:szCs w:val="18"/>
                <w:color w:val="auto"/>
                <w:w w:val="98"/>
              </w:rPr>
              <w:t>Section 2.15.</w:t>
            </w:r>
          </w:p>
        </w:tc>
        <w:tc>
          <w:tcPr>
            <w:tcW w:w="9620" w:type="dxa"/>
            <w:vAlign w:val="bottom"/>
          </w:tcPr>
          <w:p>
            <w:pPr>
              <w:ind w:left="120"/>
              <w:spacing w:after="0"/>
              <w:rPr>
                <w:sz w:val="20"/>
                <w:szCs w:val="20"/>
                <w:color w:val="auto"/>
              </w:rPr>
            </w:pPr>
            <w:r>
              <w:rPr>
                <w:rFonts w:ascii="Arial" w:cs="Arial" w:eastAsia="Arial" w:hAnsi="Arial"/>
                <w:sz w:val="18"/>
                <w:szCs w:val="18"/>
                <w:color w:val="auto"/>
              </w:rPr>
              <w:t>CUSIP Numbers.</w:t>
            </w:r>
          </w:p>
        </w:tc>
        <w:tc>
          <w:tcPr>
            <w:tcW w:w="300" w:type="dxa"/>
            <w:vAlign w:val="bottom"/>
            <w:gridSpan w:val="2"/>
          </w:tcPr>
          <w:p>
            <w:pPr>
              <w:jc w:val="right"/>
              <w:ind w:right="20"/>
              <w:spacing w:after="0"/>
              <w:rPr>
                <w:sz w:val="20"/>
                <w:szCs w:val="20"/>
                <w:color w:val="auto"/>
              </w:rPr>
            </w:pPr>
            <w:r>
              <w:rPr>
                <w:rFonts w:ascii="Arial" w:cs="Arial" w:eastAsia="Arial" w:hAnsi="Arial"/>
                <w:sz w:val="18"/>
                <w:szCs w:val="18"/>
                <w:color w:val="auto"/>
              </w:rPr>
              <w:t>12</w:t>
            </w:r>
          </w:p>
        </w:tc>
        <w:tc>
          <w:tcPr>
            <w:tcW w:w="0" w:type="dxa"/>
            <w:vAlign w:val="bottom"/>
          </w:tcPr>
          <w:p>
            <w:pPr>
              <w:spacing w:after="0"/>
              <w:rPr>
                <w:sz w:val="1"/>
                <w:szCs w:val="1"/>
                <w:color w:val="auto"/>
              </w:rPr>
            </w:pPr>
          </w:p>
        </w:tc>
      </w:tr>
      <w:tr>
        <w:trPr>
          <w:trHeight w:val="216"/>
        </w:trPr>
        <w:tc>
          <w:tcPr>
            <w:tcW w:w="10680" w:type="dxa"/>
            <w:vAlign w:val="bottom"/>
            <w:gridSpan w:val="2"/>
          </w:tcPr>
          <w:p>
            <w:pPr>
              <w:spacing w:after="0"/>
              <w:rPr>
                <w:sz w:val="20"/>
                <w:szCs w:val="20"/>
                <w:color w:val="auto"/>
              </w:rPr>
            </w:pPr>
            <w:r>
              <w:rPr>
                <w:rFonts w:ascii="Arial" w:cs="Arial" w:eastAsia="Arial" w:hAnsi="Arial"/>
                <w:sz w:val="18"/>
                <w:szCs w:val="18"/>
                <w:color w:val="auto"/>
              </w:rPr>
              <w:t>ARTICLE III. REDEMPTION</w:t>
            </w:r>
          </w:p>
        </w:tc>
        <w:tc>
          <w:tcPr>
            <w:tcW w:w="300" w:type="dxa"/>
            <w:vAlign w:val="bottom"/>
            <w:gridSpan w:val="2"/>
          </w:tcPr>
          <w:p>
            <w:pPr>
              <w:jc w:val="right"/>
              <w:ind w:right="20"/>
              <w:spacing w:after="0"/>
              <w:rPr>
                <w:sz w:val="20"/>
                <w:szCs w:val="20"/>
                <w:color w:val="auto"/>
              </w:rPr>
            </w:pPr>
            <w:r>
              <w:rPr>
                <w:rFonts w:ascii="Arial" w:cs="Arial" w:eastAsia="Arial" w:hAnsi="Arial"/>
                <w:sz w:val="18"/>
                <w:szCs w:val="18"/>
                <w:color w:val="auto"/>
              </w:rPr>
              <w:t>12</w:t>
            </w:r>
          </w:p>
        </w:tc>
        <w:tc>
          <w:tcPr>
            <w:tcW w:w="0" w:type="dxa"/>
            <w:vAlign w:val="bottom"/>
          </w:tcPr>
          <w:p>
            <w:pPr>
              <w:spacing w:after="0"/>
              <w:rPr>
                <w:sz w:val="1"/>
                <w:szCs w:val="1"/>
                <w:color w:val="auto"/>
              </w:rPr>
            </w:pPr>
          </w:p>
        </w:tc>
      </w:tr>
      <w:tr>
        <w:trPr>
          <w:trHeight w:val="216"/>
        </w:trPr>
        <w:tc>
          <w:tcPr>
            <w:tcW w:w="1060" w:type="dxa"/>
            <w:vAlign w:val="bottom"/>
          </w:tcPr>
          <w:p>
            <w:pPr>
              <w:spacing w:after="0"/>
              <w:rPr>
                <w:sz w:val="20"/>
                <w:szCs w:val="20"/>
                <w:color w:val="auto"/>
              </w:rPr>
            </w:pPr>
            <w:r>
              <w:rPr>
                <w:rFonts w:ascii="Arial" w:cs="Arial" w:eastAsia="Arial" w:hAnsi="Arial"/>
                <w:sz w:val="18"/>
                <w:szCs w:val="18"/>
                <w:color w:val="auto"/>
              </w:rPr>
              <w:t>Section 3.1.</w:t>
            </w:r>
          </w:p>
        </w:tc>
        <w:tc>
          <w:tcPr>
            <w:tcW w:w="9620" w:type="dxa"/>
            <w:vAlign w:val="bottom"/>
          </w:tcPr>
          <w:p>
            <w:pPr>
              <w:ind w:left="120"/>
              <w:spacing w:after="0"/>
              <w:rPr>
                <w:sz w:val="20"/>
                <w:szCs w:val="20"/>
                <w:color w:val="auto"/>
              </w:rPr>
            </w:pPr>
            <w:r>
              <w:rPr>
                <w:rFonts w:ascii="Arial" w:cs="Arial" w:eastAsia="Arial" w:hAnsi="Arial"/>
                <w:sz w:val="18"/>
                <w:szCs w:val="18"/>
                <w:color w:val="auto"/>
              </w:rPr>
              <w:t>Notice to Trustee.</w:t>
            </w:r>
          </w:p>
        </w:tc>
        <w:tc>
          <w:tcPr>
            <w:tcW w:w="300" w:type="dxa"/>
            <w:vAlign w:val="bottom"/>
            <w:gridSpan w:val="2"/>
          </w:tcPr>
          <w:p>
            <w:pPr>
              <w:jc w:val="right"/>
              <w:ind w:right="20"/>
              <w:spacing w:after="0"/>
              <w:rPr>
                <w:sz w:val="20"/>
                <w:szCs w:val="20"/>
                <w:color w:val="auto"/>
              </w:rPr>
            </w:pPr>
            <w:r>
              <w:rPr>
                <w:rFonts w:ascii="Arial" w:cs="Arial" w:eastAsia="Arial" w:hAnsi="Arial"/>
                <w:sz w:val="18"/>
                <w:szCs w:val="18"/>
                <w:color w:val="auto"/>
              </w:rPr>
              <w:t>12</w:t>
            </w:r>
          </w:p>
        </w:tc>
        <w:tc>
          <w:tcPr>
            <w:tcW w:w="0" w:type="dxa"/>
            <w:vAlign w:val="bottom"/>
          </w:tcPr>
          <w:p>
            <w:pPr>
              <w:spacing w:after="0"/>
              <w:rPr>
                <w:sz w:val="1"/>
                <w:szCs w:val="1"/>
                <w:color w:val="auto"/>
              </w:rPr>
            </w:pPr>
          </w:p>
        </w:tc>
      </w:tr>
      <w:tr>
        <w:trPr>
          <w:trHeight w:val="216"/>
        </w:trPr>
        <w:tc>
          <w:tcPr>
            <w:tcW w:w="1060" w:type="dxa"/>
            <w:vAlign w:val="bottom"/>
          </w:tcPr>
          <w:p>
            <w:pPr>
              <w:spacing w:after="0"/>
              <w:rPr>
                <w:sz w:val="20"/>
                <w:szCs w:val="20"/>
                <w:color w:val="auto"/>
              </w:rPr>
            </w:pPr>
            <w:r>
              <w:rPr>
                <w:rFonts w:ascii="Arial" w:cs="Arial" w:eastAsia="Arial" w:hAnsi="Arial"/>
                <w:sz w:val="18"/>
                <w:szCs w:val="18"/>
                <w:color w:val="auto"/>
              </w:rPr>
              <w:t>Section 3.2.</w:t>
            </w:r>
          </w:p>
        </w:tc>
        <w:tc>
          <w:tcPr>
            <w:tcW w:w="9620" w:type="dxa"/>
            <w:vAlign w:val="bottom"/>
          </w:tcPr>
          <w:p>
            <w:pPr>
              <w:ind w:left="120"/>
              <w:spacing w:after="0"/>
              <w:rPr>
                <w:sz w:val="20"/>
                <w:szCs w:val="20"/>
                <w:color w:val="auto"/>
              </w:rPr>
            </w:pPr>
            <w:r>
              <w:rPr>
                <w:rFonts w:ascii="Arial" w:cs="Arial" w:eastAsia="Arial" w:hAnsi="Arial"/>
                <w:sz w:val="18"/>
                <w:szCs w:val="18"/>
                <w:color w:val="auto"/>
              </w:rPr>
              <w:t>Selection of Securities to be Redeemed.</w:t>
            </w:r>
          </w:p>
        </w:tc>
        <w:tc>
          <w:tcPr>
            <w:tcW w:w="300" w:type="dxa"/>
            <w:vAlign w:val="bottom"/>
            <w:gridSpan w:val="2"/>
          </w:tcPr>
          <w:p>
            <w:pPr>
              <w:jc w:val="right"/>
              <w:ind w:right="20"/>
              <w:spacing w:after="0"/>
              <w:rPr>
                <w:sz w:val="20"/>
                <w:szCs w:val="20"/>
                <w:color w:val="auto"/>
              </w:rPr>
            </w:pPr>
            <w:r>
              <w:rPr>
                <w:rFonts w:ascii="Arial" w:cs="Arial" w:eastAsia="Arial" w:hAnsi="Arial"/>
                <w:sz w:val="18"/>
                <w:szCs w:val="18"/>
                <w:color w:val="auto"/>
              </w:rPr>
              <w:t>12</w:t>
            </w:r>
          </w:p>
        </w:tc>
        <w:tc>
          <w:tcPr>
            <w:tcW w:w="0" w:type="dxa"/>
            <w:vAlign w:val="bottom"/>
          </w:tcPr>
          <w:p>
            <w:pPr>
              <w:spacing w:after="0"/>
              <w:rPr>
                <w:sz w:val="1"/>
                <w:szCs w:val="1"/>
                <w:color w:val="auto"/>
              </w:rPr>
            </w:pPr>
          </w:p>
        </w:tc>
      </w:tr>
      <w:tr>
        <w:trPr>
          <w:trHeight w:val="216"/>
        </w:trPr>
        <w:tc>
          <w:tcPr>
            <w:tcW w:w="1060" w:type="dxa"/>
            <w:vAlign w:val="bottom"/>
          </w:tcPr>
          <w:p>
            <w:pPr>
              <w:spacing w:after="0"/>
              <w:rPr>
                <w:sz w:val="20"/>
                <w:szCs w:val="20"/>
                <w:color w:val="auto"/>
              </w:rPr>
            </w:pPr>
            <w:r>
              <w:rPr>
                <w:rFonts w:ascii="Arial" w:cs="Arial" w:eastAsia="Arial" w:hAnsi="Arial"/>
                <w:sz w:val="18"/>
                <w:szCs w:val="18"/>
                <w:color w:val="auto"/>
              </w:rPr>
              <w:t>Section 3.3.</w:t>
            </w:r>
          </w:p>
        </w:tc>
        <w:tc>
          <w:tcPr>
            <w:tcW w:w="9620" w:type="dxa"/>
            <w:vAlign w:val="bottom"/>
          </w:tcPr>
          <w:p>
            <w:pPr>
              <w:ind w:left="120"/>
              <w:spacing w:after="0"/>
              <w:rPr>
                <w:sz w:val="20"/>
                <w:szCs w:val="20"/>
                <w:color w:val="auto"/>
              </w:rPr>
            </w:pPr>
            <w:r>
              <w:rPr>
                <w:rFonts w:ascii="Arial" w:cs="Arial" w:eastAsia="Arial" w:hAnsi="Arial"/>
                <w:sz w:val="18"/>
                <w:szCs w:val="18"/>
                <w:color w:val="auto"/>
              </w:rPr>
              <w:t>Notice of Redemption.</w:t>
            </w:r>
          </w:p>
        </w:tc>
        <w:tc>
          <w:tcPr>
            <w:tcW w:w="300" w:type="dxa"/>
            <w:vAlign w:val="bottom"/>
            <w:gridSpan w:val="2"/>
          </w:tcPr>
          <w:p>
            <w:pPr>
              <w:jc w:val="right"/>
              <w:ind w:right="20"/>
              <w:spacing w:after="0"/>
              <w:rPr>
                <w:sz w:val="20"/>
                <w:szCs w:val="20"/>
                <w:color w:val="auto"/>
              </w:rPr>
            </w:pPr>
            <w:r>
              <w:rPr>
                <w:rFonts w:ascii="Arial" w:cs="Arial" w:eastAsia="Arial" w:hAnsi="Arial"/>
                <w:sz w:val="18"/>
                <w:szCs w:val="18"/>
                <w:color w:val="auto"/>
              </w:rPr>
              <w:t>13</w:t>
            </w:r>
          </w:p>
        </w:tc>
        <w:tc>
          <w:tcPr>
            <w:tcW w:w="0" w:type="dxa"/>
            <w:vAlign w:val="bottom"/>
          </w:tcPr>
          <w:p>
            <w:pPr>
              <w:spacing w:after="0"/>
              <w:rPr>
                <w:sz w:val="1"/>
                <w:szCs w:val="1"/>
                <w:color w:val="auto"/>
              </w:rPr>
            </w:pPr>
          </w:p>
        </w:tc>
      </w:tr>
      <w:tr>
        <w:trPr>
          <w:trHeight w:val="216"/>
        </w:trPr>
        <w:tc>
          <w:tcPr>
            <w:tcW w:w="1060" w:type="dxa"/>
            <w:vAlign w:val="bottom"/>
          </w:tcPr>
          <w:p>
            <w:pPr>
              <w:spacing w:after="0"/>
              <w:rPr>
                <w:sz w:val="20"/>
                <w:szCs w:val="20"/>
                <w:color w:val="auto"/>
              </w:rPr>
            </w:pPr>
            <w:r>
              <w:rPr>
                <w:rFonts w:ascii="Arial" w:cs="Arial" w:eastAsia="Arial" w:hAnsi="Arial"/>
                <w:sz w:val="18"/>
                <w:szCs w:val="18"/>
                <w:color w:val="auto"/>
              </w:rPr>
              <w:t>Section 3.4.</w:t>
            </w:r>
          </w:p>
        </w:tc>
        <w:tc>
          <w:tcPr>
            <w:tcW w:w="9620" w:type="dxa"/>
            <w:vAlign w:val="bottom"/>
          </w:tcPr>
          <w:p>
            <w:pPr>
              <w:ind w:left="120"/>
              <w:spacing w:after="0"/>
              <w:rPr>
                <w:sz w:val="20"/>
                <w:szCs w:val="20"/>
                <w:color w:val="auto"/>
              </w:rPr>
            </w:pPr>
            <w:r>
              <w:rPr>
                <w:rFonts w:ascii="Arial" w:cs="Arial" w:eastAsia="Arial" w:hAnsi="Arial"/>
                <w:sz w:val="18"/>
                <w:szCs w:val="18"/>
                <w:color w:val="auto"/>
              </w:rPr>
              <w:t>Effect of Notice of Redemption.</w:t>
            </w:r>
          </w:p>
        </w:tc>
        <w:tc>
          <w:tcPr>
            <w:tcW w:w="300" w:type="dxa"/>
            <w:vAlign w:val="bottom"/>
            <w:gridSpan w:val="2"/>
          </w:tcPr>
          <w:p>
            <w:pPr>
              <w:jc w:val="right"/>
              <w:ind w:right="20"/>
              <w:spacing w:after="0"/>
              <w:rPr>
                <w:sz w:val="20"/>
                <w:szCs w:val="20"/>
                <w:color w:val="auto"/>
              </w:rPr>
            </w:pPr>
            <w:r>
              <w:rPr>
                <w:rFonts w:ascii="Arial" w:cs="Arial" w:eastAsia="Arial" w:hAnsi="Arial"/>
                <w:sz w:val="18"/>
                <w:szCs w:val="18"/>
                <w:color w:val="auto"/>
              </w:rPr>
              <w:t>13</w:t>
            </w:r>
          </w:p>
        </w:tc>
        <w:tc>
          <w:tcPr>
            <w:tcW w:w="0" w:type="dxa"/>
            <w:vAlign w:val="bottom"/>
          </w:tcPr>
          <w:p>
            <w:pPr>
              <w:spacing w:after="0"/>
              <w:rPr>
                <w:sz w:val="1"/>
                <w:szCs w:val="1"/>
                <w:color w:val="auto"/>
              </w:rPr>
            </w:pPr>
          </w:p>
        </w:tc>
      </w:tr>
      <w:tr>
        <w:trPr>
          <w:trHeight w:val="216"/>
        </w:trPr>
        <w:tc>
          <w:tcPr>
            <w:tcW w:w="1060" w:type="dxa"/>
            <w:vAlign w:val="bottom"/>
          </w:tcPr>
          <w:p>
            <w:pPr>
              <w:spacing w:after="0"/>
              <w:rPr>
                <w:sz w:val="20"/>
                <w:szCs w:val="20"/>
                <w:color w:val="auto"/>
              </w:rPr>
            </w:pPr>
            <w:r>
              <w:rPr>
                <w:rFonts w:ascii="Arial" w:cs="Arial" w:eastAsia="Arial" w:hAnsi="Arial"/>
                <w:sz w:val="18"/>
                <w:szCs w:val="18"/>
                <w:color w:val="auto"/>
              </w:rPr>
              <w:t>Section 3.5.</w:t>
            </w:r>
          </w:p>
        </w:tc>
        <w:tc>
          <w:tcPr>
            <w:tcW w:w="9620" w:type="dxa"/>
            <w:vAlign w:val="bottom"/>
          </w:tcPr>
          <w:p>
            <w:pPr>
              <w:ind w:left="120"/>
              <w:spacing w:after="0"/>
              <w:rPr>
                <w:sz w:val="20"/>
                <w:szCs w:val="20"/>
                <w:color w:val="auto"/>
              </w:rPr>
            </w:pPr>
            <w:r>
              <w:rPr>
                <w:rFonts w:ascii="Arial" w:cs="Arial" w:eastAsia="Arial" w:hAnsi="Arial"/>
                <w:sz w:val="18"/>
                <w:szCs w:val="18"/>
                <w:color w:val="auto"/>
              </w:rPr>
              <w:t>Deposit of Redemption Price.</w:t>
            </w:r>
          </w:p>
        </w:tc>
        <w:tc>
          <w:tcPr>
            <w:tcW w:w="300" w:type="dxa"/>
            <w:vAlign w:val="bottom"/>
            <w:gridSpan w:val="2"/>
          </w:tcPr>
          <w:p>
            <w:pPr>
              <w:jc w:val="right"/>
              <w:ind w:right="20"/>
              <w:spacing w:after="0"/>
              <w:rPr>
                <w:sz w:val="20"/>
                <w:szCs w:val="20"/>
                <w:color w:val="auto"/>
              </w:rPr>
            </w:pPr>
            <w:r>
              <w:rPr>
                <w:rFonts w:ascii="Arial" w:cs="Arial" w:eastAsia="Arial" w:hAnsi="Arial"/>
                <w:sz w:val="18"/>
                <w:szCs w:val="18"/>
                <w:color w:val="auto"/>
              </w:rPr>
              <w:t>13</w:t>
            </w:r>
          </w:p>
        </w:tc>
        <w:tc>
          <w:tcPr>
            <w:tcW w:w="0" w:type="dxa"/>
            <w:vAlign w:val="bottom"/>
          </w:tcPr>
          <w:p>
            <w:pPr>
              <w:spacing w:after="0"/>
              <w:rPr>
                <w:sz w:val="1"/>
                <w:szCs w:val="1"/>
                <w:color w:val="auto"/>
              </w:rPr>
            </w:pPr>
          </w:p>
        </w:tc>
      </w:tr>
      <w:tr>
        <w:trPr>
          <w:trHeight w:val="216"/>
        </w:trPr>
        <w:tc>
          <w:tcPr>
            <w:tcW w:w="1060" w:type="dxa"/>
            <w:vAlign w:val="bottom"/>
          </w:tcPr>
          <w:p>
            <w:pPr>
              <w:spacing w:after="0"/>
              <w:rPr>
                <w:sz w:val="20"/>
                <w:szCs w:val="20"/>
                <w:color w:val="auto"/>
              </w:rPr>
            </w:pPr>
            <w:r>
              <w:rPr>
                <w:rFonts w:ascii="Arial" w:cs="Arial" w:eastAsia="Arial" w:hAnsi="Arial"/>
                <w:sz w:val="18"/>
                <w:szCs w:val="18"/>
                <w:color w:val="auto"/>
              </w:rPr>
              <w:t>Section 3.6.</w:t>
            </w:r>
          </w:p>
        </w:tc>
        <w:tc>
          <w:tcPr>
            <w:tcW w:w="9620" w:type="dxa"/>
            <w:vAlign w:val="bottom"/>
          </w:tcPr>
          <w:p>
            <w:pPr>
              <w:ind w:left="120"/>
              <w:spacing w:after="0"/>
              <w:rPr>
                <w:sz w:val="20"/>
                <w:szCs w:val="20"/>
                <w:color w:val="auto"/>
              </w:rPr>
            </w:pPr>
            <w:r>
              <w:rPr>
                <w:rFonts w:ascii="Arial" w:cs="Arial" w:eastAsia="Arial" w:hAnsi="Arial"/>
                <w:sz w:val="18"/>
                <w:szCs w:val="18"/>
                <w:color w:val="auto"/>
              </w:rPr>
              <w:t>Securities Redeemed in Part.</w:t>
            </w:r>
          </w:p>
        </w:tc>
        <w:tc>
          <w:tcPr>
            <w:tcW w:w="300" w:type="dxa"/>
            <w:vAlign w:val="bottom"/>
            <w:gridSpan w:val="2"/>
          </w:tcPr>
          <w:p>
            <w:pPr>
              <w:jc w:val="right"/>
              <w:ind w:right="20"/>
              <w:spacing w:after="0"/>
              <w:rPr>
                <w:sz w:val="20"/>
                <w:szCs w:val="20"/>
                <w:color w:val="auto"/>
              </w:rPr>
            </w:pPr>
            <w:r>
              <w:rPr>
                <w:rFonts w:ascii="Arial" w:cs="Arial" w:eastAsia="Arial" w:hAnsi="Arial"/>
                <w:sz w:val="18"/>
                <w:szCs w:val="18"/>
                <w:color w:val="auto"/>
              </w:rPr>
              <w:t>13</w:t>
            </w:r>
          </w:p>
        </w:tc>
        <w:tc>
          <w:tcPr>
            <w:tcW w:w="0" w:type="dxa"/>
            <w:vAlign w:val="bottom"/>
          </w:tcPr>
          <w:p>
            <w:pPr>
              <w:spacing w:after="0"/>
              <w:rPr>
                <w:sz w:val="1"/>
                <w:szCs w:val="1"/>
                <w:color w:val="auto"/>
              </w:rPr>
            </w:pPr>
          </w:p>
        </w:tc>
      </w:tr>
      <w:tr>
        <w:trPr>
          <w:trHeight w:val="216"/>
        </w:trPr>
        <w:tc>
          <w:tcPr>
            <w:tcW w:w="10680" w:type="dxa"/>
            <w:vAlign w:val="bottom"/>
            <w:gridSpan w:val="2"/>
          </w:tcPr>
          <w:p>
            <w:pPr>
              <w:spacing w:after="0"/>
              <w:rPr>
                <w:sz w:val="20"/>
                <w:szCs w:val="20"/>
                <w:color w:val="auto"/>
              </w:rPr>
            </w:pPr>
            <w:r>
              <w:rPr>
                <w:rFonts w:ascii="Arial" w:cs="Arial" w:eastAsia="Arial" w:hAnsi="Arial"/>
                <w:sz w:val="18"/>
                <w:szCs w:val="18"/>
                <w:color w:val="auto"/>
              </w:rPr>
              <w:t>ARTICLE IV. COVENANTS</w:t>
            </w:r>
          </w:p>
        </w:tc>
        <w:tc>
          <w:tcPr>
            <w:tcW w:w="300" w:type="dxa"/>
            <w:vAlign w:val="bottom"/>
            <w:gridSpan w:val="2"/>
          </w:tcPr>
          <w:p>
            <w:pPr>
              <w:jc w:val="right"/>
              <w:ind w:right="20"/>
              <w:spacing w:after="0"/>
              <w:rPr>
                <w:sz w:val="20"/>
                <w:szCs w:val="20"/>
                <w:color w:val="auto"/>
              </w:rPr>
            </w:pPr>
            <w:r>
              <w:rPr>
                <w:rFonts w:ascii="Arial" w:cs="Arial" w:eastAsia="Arial" w:hAnsi="Arial"/>
                <w:sz w:val="18"/>
                <w:szCs w:val="18"/>
                <w:color w:val="auto"/>
              </w:rPr>
              <w:t>14</w:t>
            </w:r>
          </w:p>
        </w:tc>
        <w:tc>
          <w:tcPr>
            <w:tcW w:w="0" w:type="dxa"/>
            <w:vAlign w:val="bottom"/>
          </w:tcPr>
          <w:p>
            <w:pPr>
              <w:spacing w:after="0"/>
              <w:rPr>
                <w:sz w:val="1"/>
                <w:szCs w:val="1"/>
                <w:color w:val="auto"/>
              </w:rPr>
            </w:pPr>
          </w:p>
        </w:tc>
      </w:tr>
      <w:tr>
        <w:trPr>
          <w:trHeight w:val="216"/>
        </w:trPr>
        <w:tc>
          <w:tcPr>
            <w:tcW w:w="1060" w:type="dxa"/>
            <w:vAlign w:val="bottom"/>
          </w:tcPr>
          <w:p>
            <w:pPr>
              <w:spacing w:after="0"/>
              <w:rPr>
                <w:sz w:val="20"/>
                <w:szCs w:val="20"/>
                <w:color w:val="auto"/>
              </w:rPr>
            </w:pPr>
            <w:r>
              <w:rPr>
                <w:rFonts w:ascii="Arial" w:cs="Arial" w:eastAsia="Arial" w:hAnsi="Arial"/>
                <w:sz w:val="18"/>
                <w:szCs w:val="18"/>
                <w:color w:val="auto"/>
              </w:rPr>
              <w:t>Section 4.1.</w:t>
            </w:r>
          </w:p>
        </w:tc>
        <w:tc>
          <w:tcPr>
            <w:tcW w:w="9620" w:type="dxa"/>
            <w:vAlign w:val="bottom"/>
          </w:tcPr>
          <w:p>
            <w:pPr>
              <w:ind w:left="120"/>
              <w:spacing w:after="0"/>
              <w:rPr>
                <w:sz w:val="20"/>
                <w:szCs w:val="20"/>
                <w:color w:val="auto"/>
              </w:rPr>
            </w:pPr>
            <w:r>
              <w:rPr>
                <w:rFonts w:ascii="Arial" w:cs="Arial" w:eastAsia="Arial" w:hAnsi="Arial"/>
                <w:sz w:val="18"/>
                <w:szCs w:val="18"/>
                <w:color w:val="auto"/>
              </w:rPr>
              <w:t>Payment of Principal and Interest.</w:t>
            </w:r>
          </w:p>
        </w:tc>
        <w:tc>
          <w:tcPr>
            <w:tcW w:w="300" w:type="dxa"/>
            <w:vAlign w:val="bottom"/>
            <w:gridSpan w:val="2"/>
          </w:tcPr>
          <w:p>
            <w:pPr>
              <w:jc w:val="right"/>
              <w:ind w:right="20"/>
              <w:spacing w:after="0"/>
              <w:rPr>
                <w:sz w:val="20"/>
                <w:szCs w:val="20"/>
                <w:color w:val="auto"/>
              </w:rPr>
            </w:pPr>
            <w:r>
              <w:rPr>
                <w:rFonts w:ascii="Arial" w:cs="Arial" w:eastAsia="Arial" w:hAnsi="Arial"/>
                <w:sz w:val="18"/>
                <w:szCs w:val="18"/>
                <w:color w:val="auto"/>
              </w:rPr>
              <w:t>14</w:t>
            </w:r>
          </w:p>
        </w:tc>
        <w:tc>
          <w:tcPr>
            <w:tcW w:w="0" w:type="dxa"/>
            <w:vAlign w:val="bottom"/>
          </w:tcPr>
          <w:p>
            <w:pPr>
              <w:spacing w:after="0"/>
              <w:rPr>
                <w:sz w:val="1"/>
                <w:szCs w:val="1"/>
                <w:color w:val="auto"/>
              </w:rPr>
            </w:pPr>
          </w:p>
        </w:tc>
      </w:tr>
      <w:tr>
        <w:trPr>
          <w:trHeight w:val="216"/>
        </w:trPr>
        <w:tc>
          <w:tcPr>
            <w:tcW w:w="1060" w:type="dxa"/>
            <w:vAlign w:val="bottom"/>
          </w:tcPr>
          <w:p>
            <w:pPr>
              <w:spacing w:after="0"/>
              <w:rPr>
                <w:sz w:val="20"/>
                <w:szCs w:val="20"/>
                <w:color w:val="auto"/>
              </w:rPr>
            </w:pPr>
            <w:r>
              <w:rPr>
                <w:rFonts w:ascii="Arial" w:cs="Arial" w:eastAsia="Arial" w:hAnsi="Arial"/>
                <w:sz w:val="18"/>
                <w:szCs w:val="18"/>
                <w:color w:val="auto"/>
              </w:rPr>
              <w:t>Section 4.2.</w:t>
            </w:r>
          </w:p>
        </w:tc>
        <w:tc>
          <w:tcPr>
            <w:tcW w:w="9620" w:type="dxa"/>
            <w:vAlign w:val="bottom"/>
          </w:tcPr>
          <w:p>
            <w:pPr>
              <w:ind w:left="120"/>
              <w:spacing w:after="0"/>
              <w:rPr>
                <w:sz w:val="20"/>
                <w:szCs w:val="20"/>
                <w:color w:val="auto"/>
              </w:rPr>
            </w:pPr>
            <w:r>
              <w:rPr>
                <w:rFonts w:ascii="Arial" w:cs="Arial" w:eastAsia="Arial" w:hAnsi="Arial"/>
                <w:sz w:val="18"/>
                <w:szCs w:val="18"/>
                <w:color w:val="auto"/>
              </w:rPr>
              <w:t>SEC Reports.</w:t>
            </w:r>
          </w:p>
        </w:tc>
        <w:tc>
          <w:tcPr>
            <w:tcW w:w="300" w:type="dxa"/>
            <w:vAlign w:val="bottom"/>
            <w:gridSpan w:val="2"/>
          </w:tcPr>
          <w:p>
            <w:pPr>
              <w:jc w:val="right"/>
              <w:ind w:right="20"/>
              <w:spacing w:after="0"/>
              <w:rPr>
                <w:sz w:val="20"/>
                <w:szCs w:val="20"/>
                <w:color w:val="auto"/>
              </w:rPr>
            </w:pPr>
            <w:r>
              <w:rPr>
                <w:rFonts w:ascii="Arial" w:cs="Arial" w:eastAsia="Arial" w:hAnsi="Arial"/>
                <w:sz w:val="18"/>
                <w:szCs w:val="18"/>
                <w:color w:val="auto"/>
              </w:rPr>
              <w:t>14</w:t>
            </w:r>
          </w:p>
        </w:tc>
        <w:tc>
          <w:tcPr>
            <w:tcW w:w="0" w:type="dxa"/>
            <w:vAlign w:val="bottom"/>
          </w:tcPr>
          <w:p>
            <w:pPr>
              <w:spacing w:after="0"/>
              <w:rPr>
                <w:sz w:val="1"/>
                <w:szCs w:val="1"/>
                <w:color w:val="auto"/>
              </w:rPr>
            </w:pPr>
          </w:p>
        </w:tc>
      </w:tr>
      <w:tr>
        <w:trPr>
          <w:trHeight w:val="216"/>
        </w:trPr>
        <w:tc>
          <w:tcPr>
            <w:tcW w:w="1060" w:type="dxa"/>
            <w:vAlign w:val="bottom"/>
          </w:tcPr>
          <w:p>
            <w:pPr>
              <w:spacing w:after="0"/>
              <w:rPr>
                <w:sz w:val="20"/>
                <w:szCs w:val="20"/>
                <w:color w:val="auto"/>
              </w:rPr>
            </w:pPr>
            <w:r>
              <w:rPr>
                <w:rFonts w:ascii="Arial" w:cs="Arial" w:eastAsia="Arial" w:hAnsi="Arial"/>
                <w:sz w:val="18"/>
                <w:szCs w:val="18"/>
                <w:color w:val="auto"/>
              </w:rPr>
              <w:t>Section 4.3.</w:t>
            </w:r>
          </w:p>
        </w:tc>
        <w:tc>
          <w:tcPr>
            <w:tcW w:w="9620" w:type="dxa"/>
            <w:vAlign w:val="bottom"/>
          </w:tcPr>
          <w:p>
            <w:pPr>
              <w:ind w:left="120"/>
              <w:spacing w:after="0"/>
              <w:rPr>
                <w:sz w:val="20"/>
                <w:szCs w:val="20"/>
                <w:color w:val="auto"/>
              </w:rPr>
            </w:pPr>
            <w:r>
              <w:rPr>
                <w:rFonts w:ascii="Arial" w:cs="Arial" w:eastAsia="Arial" w:hAnsi="Arial"/>
                <w:sz w:val="18"/>
                <w:szCs w:val="18"/>
                <w:color w:val="auto"/>
              </w:rPr>
              <w:t>Compliance Certificate.</w:t>
            </w:r>
          </w:p>
        </w:tc>
        <w:tc>
          <w:tcPr>
            <w:tcW w:w="300" w:type="dxa"/>
            <w:vAlign w:val="bottom"/>
            <w:gridSpan w:val="2"/>
          </w:tcPr>
          <w:p>
            <w:pPr>
              <w:jc w:val="right"/>
              <w:ind w:right="20"/>
              <w:spacing w:after="0"/>
              <w:rPr>
                <w:sz w:val="20"/>
                <w:szCs w:val="20"/>
                <w:color w:val="auto"/>
              </w:rPr>
            </w:pPr>
            <w:r>
              <w:rPr>
                <w:rFonts w:ascii="Arial" w:cs="Arial" w:eastAsia="Arial" w:hAnsi="Arial"/>
                <w:sz w:val="18"/>
                <w:szCs w:val="18"/>
                <w:color w:val="auto"/>
              </w:rPr>
              <w:t>14</w:t>
            </w:r>
          </w:p>
        </w:tc>
        <w:tc>
          <w:tcPr>
            <w:tcW w:w="0" w:type="dxa"/>
            <w:vAlign w:val="bottom"/>
          </w:tcPr>
          <w:p>
            <w:pPr>
              <w:spacing w:after="0"/>
              <w:rPr>
                <w:sz w:val="1"/>
                <w:szCs w:val="1"/>
                <w:color w:val="auto"/>
              </w:rPr>
            </w:pPr>
          </w:p>
        </w:tc>
      </w:tr>
      <w:tr>
        <w:trPr>
          <w:trHeight w:val="216"/>
        </w:trPr>
        <w:tc>
          <w:tcPr>
            <w:tcW w:w="1060" w:type="dxa"/>
            <w:vAlign w:val="bottom"/>
          </w:tcPr>
          <w:p>
            <w:pPr>
              <w:spacing w:after="0"/>
              <w:rPr>
                <w:sz w:val="20"/>
                <w:szCs w:val="20"/>
                <w:color w:val="auto"/>
              </w:rPr>
            </w:pPr>
            <w:r>
              <w:rPr>
                <w:rFonts w:ascii="Arial" w:cs="Arial" w:eastAsia="Arial" w:hAnsi="Arial"/>
                <w:sz w:val="18"/>
                <w:szCs w:val="18"/>
                <w:color w:val="auto"/>
              </w:rPr>
              <w:t>Section 4.4.</w:t>
            </w:r>
          </w:p>
        </w:tc>
        <w:tc>
          <w:tcPr>
            <w:tcW w:w="9620" w:type="dxa"/>
            <w:vAlign w:val="bottom"/>
          </w:tcPr>
          <w:p>
            <w:pPr>
              <w:ind w:left="120"/>
              <w:spacing w:after="0"/>
              <w:rPr>
                <w:sz w:val="20"/>
                <w:szCs w:val="20"/>
                <w:color w:val="auto"/>
              </w:rPr>
            </w:pPr>
            <w:r>
              <w:rPr>
                <w:rFonts w:ascii="Arial" w:cs="Arial" w:eastAsia="Arial" w:hAnsi="Arial"/>
                <w:sz w:val="18"/>
                <w:szCs w:val="18"/>
                <w:color w:val="auto"/>
              </w:rPr>
              <w:t>Stay, Extension and Usury Laws.</w:t>
            </w:r>
          </w:p>
        </w:tc>
        <w:tc>
          <w:tcPr>
            <w:tcW w:w="300" w:type="dxa"/>
            <w:vAlign w:val="bottom"/>
            <w:gridSpan w:val="2"/>
          </w:tcPr>
          <w:p>
            <w:pPr>
              <w:jc w:val="right"/>
              <w:ind w:right="20"/>
              <w:spacing w:after="0"/>
              <w:rPr>
                <w:sz w:val="20"/>
                <w:szCs w:val="20"/>
                <w:color w:val="auto"/>
              </w:rPr>
            </w:pPr>
            <w:r>
              <w:rPr>
                <w:rFonts w:ascii="Arial" w:cs="Arial" w:eastAsia="Arial" w:hAnsi="Arial"/>
                <w:sz w:val="18"/>
                <w:szCs w:val="18"/>
                <w:color w:val="auto"/>
              </w:rPr>
              <w:t>14</w:t>
            </w:r>
          </w:p>
        </w:tc>
        <w:tc>
          <w:tcPr>
            <w:tcW w:w="0" w:type="dxa"/>
            <w:vAlign w:val="bottom"/>
          </w:tcPr>
          <w:p>
            <w:pPr>
              <w:spacing w:after="0"/>
              <w:rPr>
                <w:sz w:val="1"/>
                <w:szCs w:val="1"/>
                <w:color w:val="auto"/>
              </w:rPr>
            </w:pPr>
          </w:p>
        </w:tc>
      </w:tr>
      <w:tr>
        <w:trPr>
          <w:trHeight w:val="216"/>
        </w:trPr>
        <w:tc>
          <w:tcPr>
            <w:tcW w:w="10680" w:type="dxa"/>
            <w:vAlign w:val="bottom"/>
            <w:gridSpan w:val="2"/>
          </w:tcPr>
          <w:p>
            <w:pPr>
              <w:spacing w:after="0"/>
              <w:rPr>
                <w:sz w:val="20"/>
                <w:szCs w:val="20"/>
                <w:color w:val="auto"/>
              </w:rPr>
            </w:pPr>
            <w:r>
              <w:rPr>
                <w:rFonts w:ascii="Arial" w:cs="Arial" w:eastAsia="Arial" w:hAnsi="Arial"/>
                <w:sz w:val="18"/>
                <w:szCs w:val="18"/>
                <w:color w:val="auto"/>
              </w:rPr>
              <w:t>ARTICLE V. SUCCESSORS</w:t>
            </w:r>
          </w:p>
        </w:tc>
        <w:tc>
          <w:tcPr>
            <w:tcW w:w="300" w:type="dxa"/>
            <w:vAlign w:val="bottom"/>
            <w:gridSpan w:val="2"/>
          </w:tcPr>
          <w:p>
            <w:pPr>
              <w:jc w:val="right"/>
              <w:ind w:right="20"/>
              <w:spacing w:after="0"/>
              <w:rPr>
                <w:sz w:val="20"/>
                <w:szCs w:val="20"/>
                <w:color w:val="auto"/>
              </w:rPr>
            </w:pPr>
            <w:r>
              <w:rPr>
                <w:rFonts w:ascii="Arial" w:cs="Arial" w:eastAsia="Arial" w:hAnsi="Arial"/>
                <w:sz w:val="18"/>
                <w:szCs w:val="18"/>
                <w:color w:val="auto"/>
              </w:rPr>
              <w:t>14</w:t>
            </w:r>
          </w:p>
        </w:tc>
        <w:tc>
          <w:tcPr>
            <w:tcW w:w="0" w:type="dxa"/>
            <w:vAlign w:val="bottom"/>
          </w:tcPr>
          <w:p>
            <w:pPr>
              <w:spacing w:after="0"/>
              <w:rPr>
                <w:sz w:val="1"/>
                <w:szCs w:val="1"/>
                <w:color w:val="auto"/>
              </w:rPr>
            </w:pPr>
          </w:p>
        </w:tc>
      </w:tr>
      <w:tr>
        <w:trPr>
          <w:trHeight w:val="216"/>
        </w:trPr>
        <w:tc>
          <w:tcPr>
            <w:tcW w:w="1060" w:type="dxa"/>
            <w:vAlign w:val="bottom"/>
          </w:tcPr>
          <w:p>
            <w:pPr>
              <w:spacing w:after="0"/>
              <w:rPr>
                <w:sz w:val="20"/>
                <w:szCs w:val="20"/>
                <w:color w:val="auto"/>
              </w:rPr>
            </w:pPr>
            <w:r>
              <w:rPr>
                <w:rFonts w:ascii="Arial" w:cs="Arial" w:eastAsia="Arial" w:hAnsi="Arial"/>
                <w:sz w:val="18"/>
                <w:szCs w:val="18"/>
                <w:color w:val="auto"/>
              </w:rPr>
              <w:t>Section 5.1.</w:t>
            </w:r>
          </w:p>
        </w:tc>
        <w:tc>
          <w:tcPr>
            <w:tcW w:w="9620" w:type="dxa"/>
            <w:vAlign w:val="bottom"/>
          </w:tcPr>
          <w:p>
            <w:pPr>
              <w:ind w:left="120"/>
              <w:spacing w:after="0"/>
              <w:rPr>
                <w:sz w:val="20"/>
                <w:szCs w:val="20"/>
                <w:color w:val="auto"/>
              </w:rPr>
            </w:pPr>
            <w:r>
              <w:rPr>
                <w:rFonts w:ascii="Arial" w:cs="Arial" w:eastAsia="Arial" w:hAnsi="Arial"/>
                <w:sz w:val="18"/>
                <w:szCs w:val="18"/>
                <w:color w:val="auto"/>
              </w:rPr>
              <w:t>When Company May Merge, Etc.</w:t>
            </w:r>
          </w:p>
        </w:tc>
        <w:tc>
          <w:tcPr>
            <w:tcW w:w="300" w:type="dxa"/>
            <w:vAlign w:val="bottom"/>
            <w:gridSpan w:val="2"/>
          </w:tcPr>
          <w:p>
            <w:pPr>
              <w:jc w:val="right"/>
              <w:ind w:right="20"/>
              <w:spacing w:after="0"/>
              <w:rPr>
                <w:sz w:val="20"/>
                <w:szCs w:val="20"/>
                <w:color w:val="auto"/>
              </w:rPr>
            </w:pPr>
            <w:r>
              <w:rPr>
                <w:rFonts w:ascii="Arial" w:cs="Arial" w:eastAsia="Arial" w:hAnsi="Arial"/>
                <w:sz w:val="18"/>
                <w:szCs w:val="18"/>
                <w:color w:val="auto"/>
              </w:rPr>
              <w:t>15</w:t>
            </w:r>
          </w:p>
        </w:tc>
        <w:tc>
          <w:tcPr>
            <w:tcW w:w="0" w:type="dxa"/>
            <w:vAlign w:val="bottom"/>
          </w:tcPr>
          <w:p>
            <w:pPr>
              <w:spacing w:after="0"/>
              <w:rPr>
                <w:sz w:val="1"/>
                <w:szCs w:val="1"/>
                <w:color w:val="auto"/>
              </w:rPr>
            </w:pPr>
          </w:p>
        </w:tc>
      </w:tr>
      <w:tr>
        <w:trPr>
          <w:trHeight w:val="216"/>
        </w:trPr>
        <w:tc>
          <w:tcPr>
            <w:tcW w:w="1060" w:type="dxa"/>
            <w:vAlign w:val="bottom"/>
          </w:tcPr>
          <w:p>
            <w:pPr>
              <w:spacing w:after="0"/>
              <w:rPr>
                <w:sz w:val="20"/>
                <w:szCs w:val="20"/>
                <w:color w:val="auto"/>
              </w:rPr>
            </w:pPr>
            <w:r>
              <w:rPr>
                <w:rFonts w:ascii="Arial" w:cs="Arial" w:eastAsia="Arial" w:hAnsi="Arial"/>
                <w:sz w:val="18"/>
                <w:szCs w:val="18"/>
                <w:color w:val="auto"/>
              </w:rPr>
              <w:t>Section 5.2.</w:t>
            </w:r>
          </w:p>
        </w:tc>
        <w:tc>
          <w:tcPr>
            <w:tcW w:w="9620" w:type="dxa"/>
            <w:vAlign w:val="bottom"/>
          </w:tcPr>
          <w:p>
            <w:pPr>
              <w:ind w:left="120"/>
              <w:spacing w:after="0"/>
              <w:rPr>
                <w:sz w:val="20"/>
                <w:szCs w:val="20"/>
                <w:color w:val="auto"/>
              </w:rPr>
            </w:pPr>
            <w:r>
              <w:rPr>
                <w:rFonts w:ascii="Arial" w:cs="Arial" w:eastAsia="Arial" w:hAnsi="Arial"/>
                <w:sz w:val="18"/>
                <w:szCs w:val="18"/>
                <w:color w:val="auto"/>
              </w:rPr>
              <w:t>Successor Corporation Substituted.</w:t>
            </w:r>
          </w:p>
        </w:tc>
        <w:tc>
          <w:tcPr>
            <w:tcW w:w="300" w:type="dxa"/>
            <w:vAlign w:val="bottom"/>
            <w:gridSpan w:val="2"/>
          </w:tcPr>
          <w:p>
            <w:pPr>
              <w:jc w:val="right"/>
              <w:ind w:right="20"/>
              <w:spacing w:after="0"/>
              <w:rPr>
                <w:sz w:val="20"/>
                <w:szCs w:val="20"/>
                <w:color w:val="auto"/>
              </w:rPr>
            </w:pPr>
            <w:r>
              <w:rPr>
                <w:rFonts w:ascii="Arial" w:cs="Arial" w:eastAsia="Arial" w:hAnsi="Arial"/>
                <w:sz w:val="18"/>
                <w:szCs w:val="18"/>
                <w:color w:val="auto"/>
              </w:rPr>
              <w:t>15</w:t>
            </w:r>
          </w:p>
        </w:tc>
        <w:tc>
          <w:tcPr>
            <w:tcW w:w="0" w:type="dxa"/>
            <w:vAlign w:val="bottom"/>
          </w:tcPr>
          <w:p>
            <w:pPr>
              <w:spacing w:after="0"/>
              <w:rPr>
                <w:sz w:val="1"/>
                <w:szCs w:val="1"/>
                <w:color w:val="auto"/>
              </w:rPr>
            </w:pPr>
          </w:p>
        </w:tc>
      </w:tr>
      <w:tr>
        <w:trPr>
          <w:trHeight w:val="216"/>
        </w:trPr>
        <w:tc>
          <w:tcPr>
            <w:tcW w:w="10680" w:type="dxa"/>
            <w:vAlign w:val="bottom"/>
            <w:gridSpan w:val="2"/>
          </w:tcPr>
          <w:p>
            <w:pPr>
              <w:spacing w:after="0"/>
              <w:rPr>
                <w:sz w:val="20"/>
                <w:szCs w:val="20"/>
                <w:color w:val="auto"/>
              </w:rPr>
            </w:pPr>
            <w:r>
              <w:rPr>
                <w:rFonts w:ascii="Arial" w:cs="Arial" w:eastAsia="Arial" w:hAnsi="Arial"/>
                <w:sz w:val="18"/>
                <w:szCs w:val="18"/>
                <w:color w:val="auto"/>
              </w:rPr>
              <w:t>ARTICLE VI. DEFAULTS AND REMEDIES</w:t>
            </w:r>
          </w:p>
        </w:tc>
        <w:tc>
          <w:tcPr>
            <w:tcW w:w="300" w:type="dxa"/>
            <w:vAlign w:val="bottom"/>
            <w:gridSpan w:val="2"/>
          </w:tcPr>
          <w:p>
            <w:pPr>
              <w:jc w:val="right"/>
              <w:ind w:right="20"/>
              <w:spacing w:after="0"/>
              <w:rPr>
                <w:sz w:val="20"/>
                <w:szCs w:val="20"/>
                <w:color w:val="auto"/>
              </w:rPr>
            </w:pPr>
            <w:r>
              <w:rPr>
                <w:rFonts w:ascii="Arial" w:cs="Arial" w:eastAsia="Arial" w:hAnsi="Arial"/>
                <w:sz w:val="18"/>
                <w:szCs w:val="18"/>
                <w:color w:val="auto"/>
              </w:rPr>
              <w:t>15</w:t>
            </w:r>
          </w:p>
        </w:tc>
        <w:tc>
          <w:tcPr>
            <w:tcW w:w="0" w:type="dxa"/>
            <w:vAlign w:val="bottom"/>
          </w:tcPr>
          <w:p>
            <w:pPr>
              <w:spacing w:after="0"/>
              <w:rPr>
                <w:sz w:val="1"/>
                <w:szCs w:val="1"/>
                <w:color w:val="auto"/>
              </w:rPr>
            </w:pPr>
          </w:p>
        </w:tc>
      </w:tr>
      <w:tr>
        <w:trPr>
          <w:trHeight w:val="216"/>
        </w:trPr>
        <w:tc>
          <w:tcPr>
            <w:tcW w:w="1060" w:type="dxa"/>
            <w:vAlign w:val="bottom"/>
          </w:tcPr>
          <w:p>
            <w:pPr>
              <w:spacing w:after="0"/>
              <w:rPr>
                <w:sz w:val="20"/>
                <w:szCs w:val="20"/>
                <w:color w:val="auto"/>
              </w:rPr>
            </w:pPr>
            <w:r>
              <w:rPr>
                <w:rFonts w:ascii="Arial" w:cs="Arial" w:eastAsia="Arial" w:hAnsi="Arial"/>
                <w:sz w:val="18"/>
                <w:szCs w:val="18"/>
                <w:color w:val="auto"/>
              </w:rPr>
              <w:t>Section 6.1.</w:t>
            </w:r>
          </w:p>
        </w:tc>
        <w:tc>
          <w:tcPr>
            <w:tcW w:w="9620" w:type="dxa"/>
            <w:vAlign w:val="bottom"/>
          </w:tcPr>
          <w:p>
            <w:pPr>
              <w:ind w:left="120"/>
              <w:spacing w:after="0"/>
              <w:rPr>
                <w:sz w:val="20"/>
                <w:szCs w:val="20"/>
                <w:color w:val="auto"/>
              </w:rPr>
            </w:pPr>
            <w:r>
              <w:rPr>
                <w:rFonts w:ascii="Arial" w:cs="Arial" w:eastAsia="Arial" w:hAnsi="Arial"/>
                <w:sz w:val="18"/>
                <w:szCs w:val="18"/>
                <w:color w:val="auto"/>
              </w:rPr>
              <w:t>Events of Default.</w:t>
            </w:r>
          </w:p>
        </w:tc>
        <w:tc>
          <w:tcPr>
            <w:tcW w:w="300" w:type="dxa"/>
            <w:vAlign w:val="bottom"/>
            <w:gridSpan w:val="2"/>
          </w:tcPr>
          <w:p>
            <w:pPr>
              <w:jc w:val="right"/>
              <w:ind w:right="20"/>
              <w:spacing w:after="0"/>
              <w:rPr>
                <w:sz w:val="20"/>
                <w:szCs w:val="20"/>
                <w:color w:val="auto"/>
              </w:rPr>
            </w:pPr>
            <w:r>
              <w:rPr>
                <w:rFonts w:ascii="Arial" w:cs="Arial" w:eastAsia="Arial" w:hAnsi="Arial"/>
                <w:sz w:val="18"/>
                <w:szCs w:val="18"/>
                <w:color w:val="auto"/>
              </w:rPr>
              <w:t>15</w:t>
            </w:r>
          </w:p>
        </w:tc>
        <w:tc>
          <w:tcPr>
            <w:tcW w:w="0" w:type="dxa"/>
            <w:vAlign w:val="bottom"/>
          </w:tcPr>
          <w:p>
            <w:pPr>
              <w:spacing w:after="0"/>
              <w:rPr>
                <w:sz w:val="1"/>
                <w:szCs w:val="1"/>
                <w:color w:val="auto"/>
              </w:rPr>
            </w:pPr>
          </w:p>
        </w:tc>
      </w:tr>
      <w:tr>
        <w:trPr>
          <w:trHeight w:val="216"/>
        </w:trPr>
        <w:tc>
          <w:tcPr>
            <w:tcW w:w="1060" w:type="dxa"/>
            <w:vAlign w:val="bottom"/>
          </w:tcPr>
          <w:p>
            <w:pPr>
              <w:spacing w:after="0"/>
              <w:rPr>
                <w:sz w:val="20"/>
                <w:szCs w:val="20"/>
                <w:color w:val="auto"/>
              </w:rPr>
            </w:pPr>
            <w:r>
              <w:rPr>
                <w:rFonts w:ascii="Arial" w:cs="Arial" w:eastAsia="Arial" w:hAnsi="Arial"/>
                <w:sz w:val="18"/>
                <w:szCs w:val="18"/>
                <w:color w:val="auto"/>
              </w:rPr>
              <w:t>Section 6.2.</w:t>
            </w:r>
          </w:p>
        </w:tc>
        <w:tc>
          <w:tcPr>
            <w:tcW w:w="9620" w:type="dxa"/>
            <w:vAlign w:val="bottom"/>
          </w:tcPr>
          <w:p>
            <w:pPr>
              <w:ind w:left="120"/>
              <w:spacing w:after="0"/>
              <w:rPr>
                <w:sz w:val="20"/>
                <w:szCs w:val="20"/>
                <w:color w:val="auto"/>
              </w:rPr>
            </w:pPr>
            <w:r>
              <w:rPr>
                <w:rFonts w:ascii="Arial" w:cs="Arial" w:eastAsia="Arial" w:hAnsi="Arial"/>
                <w:sz w:val="18"/>
                <w:szCs w:val="18"/>
                <w:color w:val="auto"/>
              </w:rPr>
              <w:t>Acceleration of Maturity; Rescission and Annulment.</w:t>
            </w:r>
          </w:p>
        </w:tc>
        <w:tc>
          <w:tcPr>
            <w:tcW w:w="300" w:type="dxa"/>
            <w:vAlign w:val="bottom"/>
            <w:gridSpan w:val="2"/>
          </w:tcPr>
          <w:p>
            <w:pPr>
              <w:jc w:val="right"/>
              <w:ind w:right="20"/>
              <w:spacing w:after="0"/>
              <w:rPr>
                <w:sz w:val="20"/>
                <w:szCs w:val="20"/>
                <w:color w:val="auto"/>
              </w:rPr>
            </w:pPr>
            <w:r>
              <w:rPr>
                <w:rFonts w:ascii="Arial" w:cs="Arial" w:eastAsia="Arial" w:hAnsi="Arial"/>
                <w:sz w:val="18"/>
                <w:szCs w:val="18"/>
                <w:color w:val="auto"/>
              </w:rPr>
              <w:t>16</w:t>
            </w:r>
          </w:p>
        </w:tc>
        <w:tc>
          <w:tcPr>
            <w:tcW w:w="0" w:type="dxa"/>
            <w:vAlign w:val="bottom"/>
          </w:tcPr>
          <w:p>
            <w:pPr>
              <w:spacing w:after="0"/>
              <w:rPr>
                <w:sz w:val="1"/>
                <w:szCs w:val="1"/>
                <w:color w:val="auto"/>
              </w:rPr>
            </w:pPr>
          </w:p>
        </w:tc>
      </w:tr>
      <w:tr>
        <w:trPr>
          <w:trHeight w:val="216"/>
        </w:trPr>
        <w:tc>
          <w:tcPr>
            <w:tcW w:w="1060" w:type="dxa"/>
            <w:vAlign w:val="bottom"/>
          </w:tcPr>
          <w:p>
            <w:pPr>
              <w:spacing w:after="0"/>
              <w:rPr>
                <w:sz w:val="20"/>
                <w:szCs w:val="20"/>
                <w:color w:val="auto"/>
              </w:rPr>
            </w:pPr>
            <w:r>
              <w:rPr>
                <w:rFonts w:ascii="Arial" w:cs="Arial" w:eastAsia="Arial" w:hAnsi="Arial"/>
                <w:sz w:val="18"/>
                <w:szCs w:val="18"/>
                <w:color w:val="auto"/>
              </w:rPr>
              <w:t>Section 6.3.</w:t>
            </w:r>
          </w:p>
        </w:tc>
        <w:tc>
          <w:tcPr>
            <w:tcW w:w="9620" w:type="dxa"/>
            <w:vAlign w:val="bottom"/>
          </w:tcPr>
          <w:p>
            <w:pPr>
              <w:ind w:left="120"/>
              <w:spacing w:after="0"/>
              <w:rPr>
                <w:sz w:val="20"/>
                <w:szCs w:val="20"/>
                <w:color w:val="auto"/>
              </w:rPr>
            </w:pPr>
            <w:r>
              <w:rPr>
                <w:rFonts w:ascii="Arial" w:cs="Arial" w:eastAsia="Arial" w:hAnsi="Arial"/>
                <w:sz w:val="18"/>
                <w:szCs w:val="18"/>
                <w:color w:val="auto"/>
              </w:rPr>
              <w:t>Collection of Indebtedness and Suits for Enforcement by Trustee.</w:t>
            </w:r>
          </w:p>
        </w:tc>
        <w:tc>
          <w:tcPr>
            <w:tcW w:w="300" w:type="dxa"/>
            <w:vAlign w:val="bottom"/>
            <w:gridSpan w:val="2"/>
          </w:tcPr>
          <w:p>
            <w:pPr>
              <w:jc w:val="right"/>
              <w:ind w:right="20"/>
              <w:spacing w:after="0"/>
              <w:rPr>
                <w:sz w:val="20"/>
                <w:szCs w:val="20"/>
                <w:color w:val="auto"/>
              </w:rPr>
            </w:pPr>
            <w:r>
              <w:rPr>
                <w:rFonts w:ascii="Arial" w:cs="Arial" w:eastAsia="Arial" w:hAnsi="Arial"/>
                <w:sz w:val="18"/>
                <w:szCs w:val="18"/>
                <w:color w:val="auto"/>
              </w:rPr>
              <w:t>17</w:t>
            </w:r>
          </w:p>
        </w:tc>
        <w:tc>
          <w:tcPr>
            <w:tcW w:w="0" w:type="dxa"/>
            <w:vAlign w:val="bottom"/>
          </w:tcPr>
          <w:p>
            <w:pPr>
              <w:spacing w:after="0"/>
              <w:rPr>
                <w:sz w:val="1"/>
                <w:szCs w:val="1"/>
                <w:color w:val="auto"/>
              </w:rPr>
            </w:pPr>
          </w:p>
        </w:tc>
      </w:tr>
      <w:tr>
        <w:trPr>
          <w:trHeight w:val="216"/>
        </w:trPr>
        <w:tc>
          <w:tcPr>
            <w:tcW w:w="1060" w:type="dxa"/>
            <w:vAlign w:val="bottom"/>
          </w:tcPr>
          <w:p>
            <w:pPr>
              <w:spacing w:after="0"/>
              <w:rPr>
                <w:sz w:val="20"/>
                <w:szCs w:val="20"/>
                <w:color w:val="auto"/>
              </w:rPr>
            </w:pPr>
            <w:r>
              <w:rPr>
                <w:rFonts w:ascii="Arial" w:cs="Arial" w:eastAsia="Arial" w:hAnsi="Arial"/>
                <w:sz w:val="18"/>
                <w:szCs w:val="18"/>
                <w:color w:val="auto"/>
              </w:rPr>
              <w:t>Section 6.4.</w:t>
            </w:r>
          </w:p>
        </w:tc>
        <w:tc>
          <w:tcPr>
            <w:tcW w:w="9620" w:type="dxa"/>
            <w:vAlign w:val="bottom"/>
          </w:tcPr>
          <w:p>
            <w:pPr>
              <w:ind w:left="120"/>
              <w:spacing w:after="0"/>
              <w:rPr>
                <w:sz w:val="20"/>
                <w:szCs w:val="20"/>
                <w:color w:val="auto"/>
              </w:rPr>
            </w:pPr>
            <w:r>
              <w:rPr>
                <w:rFonts w:ascii="Arial" w:cs="Arial" w:eastAsia="Arial" w:hAnsi="Arial"/>
                <w:sz w:val="18"/>
                <w:szCs w:val="18"/>
                <w:color w:val="auto"/>
              </w:rPr>
              <w:t>Trustee May File Proofs of Claim.</w:t>
            </w:r>
          </w:p>
        </w:tc>
        <w:tc>
          <w:tcPr>
            <w:tcW w:w="300" w:type="dxa"/>
            <w:vAlign w:val="bottom"/>
            <w:gridSpan w:val="2"/>
          </w:tcPr>
          <w:p>
            <w:pPr>
              <w:jc w:val="right"/>
              <w:ind w:right="20"/>
              <w:spacing w:after="0"/>
              <w:rPr>
                <w:sz w:val="20"/>
                <w:szCs w:val="20"/>
                <w:color w:val="auto"/>
              </w:rPr>
            </w:pPr>
            <w:r>
              <w:rPr>
                <w:rFonts w:ascii="Arial" w:cs="Arial" w:eastAsia="Arial" w:hAnsi="Arial"/>
                <w:sz w:val="18"/>
                <w:szCs w:val="18"/>
                <w:color w:val="auto"/>
              </w:rPr>
              <w:t>17</w:t>
            </w:r>
          </w:p>
        </w:tc>
        <w:tc>
          <w:tcPr>
            <w:tcW w:w="0" w:type="dxa"/>
            <w:vAlign w:val="bottom"/>
          </w:tcPr>
          <w:p>
            <w:pPr>
              <w:spacing w:after="0"/>
              <w:rPr>
                <w:sz w:val="1"/>
                <w:szCs w:val="1"/>
                <w:color w:val="auto"/>
              </w:rPr>
            </w:pPr>
          </w:p>
        </w:tc>
      </w:tr>
      <w:tr>
        <w:trPr>
          <w:trHeight w:val="216"/>
        </w:trPr>
        <w:tc>
          <w:tcPr>
            <w:tcW w:w="1060" w:type="dxa"/>
            <w:vAlign w:val="bottom"/>
          </w:tcPr>
          <w:p>
            <w:pPr>
              <w:spacing w:after="0"/>
              <w:rPr>
                <w:sz w:val="20"/>
                <w:szCs w:val="20"/>
                <w:color w:val="auto"/>
              </w:rPr>
            </w:pPr>
            <w:r>
              <w:rPr>
                <w:rFonts w:ascii="Arial" w:cs="Arial" w:eastAsia="Arial" w:hAnsi="Arial"/>
                <w:sz w:val="18"/>
                <w:szCs w:val="18"/>
                <w:color w:val="auto"/>
              </w:rPr>
              <w:t>Section 6.5.</w:t>
            </w:r>
          </w:p>
        </w:tc>
        <w:tc>
          <w:tcPr>
            <w:tcW w:w="9620" w:type="dxa"/>
            <w:vAlign w:val="bottom"/>
          </w:tcPr>
          <w:p>
            <w:pPr>
              <w:ind w:left="120"/>
              <w:spacing w:after="0"/>
              <w:rPr>
                <w:sz w:val="20"/>
                <w:szCs w:val="20"/>
                <w:color w:val="auto"/>
              </w:rPr>
            </w:pPr>
            <w:r>
              <w:rPr>
                <w:rFonts w:ascii="Arial" w:cs="Arial" w:eastAsia="Arial" w:hAnsi="Arial"/>
                <w:sz w:val="18"/>
                <w:szCs w:val="18"/>
                <w:color w:val="auto"/>
              </w:rPr>
              <w:t>Trustee May Enforce Claims Without Possession of Securities.</w:t>
            </w:r>
          </w:p>
        </w:tc>
        <w:tc>
          <w:tcPr>
            <w:tcW w:w="300" w:type="dxa"/>
            <w:vAlign w:val="bottom"/>
            <w:gridSpan w:val="2"/>
          </w:tcPr>
          <w:p>
            <w:pPr>
              <w:jc w:val="right"/>
              <w:ind w:right="20"/>
              <w:spacing w:after="0"/>
              <w:rPr>
                <w:sz w:val="20"/>
                <w:szCs w:val="20"/>
                <w:color w:val="auto"/>
              </w:rPr>
            </w:pPr>
            <w:r>
              <w:rPr>
                <w:rFonts w:ascii="Arial" w:cs="Arial" w:eastAsia="Arial" w:hAnsi="Arial"/>
                <w:sz w:val="18"/>
                <w:szCs w:val="18"/>
                <w:color w:val="auto"/>
              </w:rPr>
              <w:t>18</w:t>
            </w:r>
          </w:p>
        </w:tc>
        <w:tc>
          <w:tcPr>
            <w:tcW w:w="0" w:type="dxa"/>
            <w:vAlign w:val="bottom"/>
          </w:tcPr>
          <w:p>
            <w:pPr>
              <w:spacing w:after="0"/>
              <w:rPr>
                <w:sz w:val="1"/>
                <w:szCs w:val="1"/>
                <w:color w:val="auto"/>
              </w:rPr>
            </w:pPr>
          </w:p>
        </w:tc>
      </w:tr>
      <w:tr>
        <w:trPr>
          <w:trHeight w:val="216"/>
        </w:trPr>
        <w:tc>
          <w:tcPr>
            <w:tcW w:w="1060" w:type="dxa"/>
            <w:vAlign w:val="bottom"/>
          </w:tcPr>
          <w:p>
            <w:pPr>
              <w:spacing w:after="0"/>
              <w:rPr>
                <w:sz w:val="20"/>
                <w:szCs w:val="20"/>
                <w:color w:val="auto"/>
              </w:rPr>
            </w:pPr>
            <w:r>
              <w:rPr>
                <w:rFonts w:ascii="Arial" w:cs="Arial" w:eastAsia="Arial" w:hAnsi="Arial"/>
                <w:sz w:val="18"/>
                <w:szCs w:val="18"/>
                <w:color w:val="auto"/>
              </w:rPr>
              <w:t>Section 6.6.</w:t>
            </w:r>
          </w:p>
        </w:tc>
        <w:tc>
          <w:tcPr>
            <w:tcW w:w="9620" w:type="dxa"/>
            <w:vAlign w:val="bottom"/>
          </w:tcPr>
          <w:p>
            <w:pPr>
              <w:ind w:left="120"/>
              <w:spacing w:after="0"/>
              <w:rPr>
                <w:sz w:val="20"/>
                <w:szCs w:val="20"/>
                <w:color w:val="auto"/>
              </w:rPr>
            </w:pPr>
            <w:r>
              <w:rPr>
                <w:rFonts w:ascii="Arial" w:cs="Arial" w:eastAsia="Arial" w:hAnsi="Arial"/>
                <w:sz w:val="18"/>
                <w:szCs w:val="18"/>
                <w:color w:val="auto"/>
              </w:rPr>
              <w:t>Application of Money Collected.</w:t>
            </w:r>
          </w:p>
        </w:tc>
        <w:tc>
          <w:tcPr>
            <w:tcW w:w="300" w:type="dxa"/>
            <w:vAlign w:val="bottom"/>
            <w:gridSpan w:val="2"/>
          </w:tcPr>
          <w:p>
            <w:pPr>
              <w:jc w:val="right"/>
              <w:ind w:right="20"/>
              <w:spacing w:after="0"/>
              <w:rPr>
                <w:sz w:val="20"/>
                <w:szCs w:val="20"/>
                <w:color w:val="auto"/>
              </w:rPr>
            </w:pPr>
            <w:r>
              <w:rPr>
                <w:rFonts w:ascii="Arial" w:cs="Arial" w:eastAsia="Arial" w:hAnsi="Arial"/>
                <w:sz w:val="18"/>
                <w:szCs w:val="18"/>
                <w:color w:val="auto"/>
              </w:rPr>
              <w:t>18</w:t>
            </w:r>
          </w:p>
        </w:tc>
        <w:tc>
          <w:tcPr>
            <w:tcW w:w="0" w:type="dxa"/>
            <w:vAlign w:val="bottom"/>
          </w:tcPr>
          <w:p>
            <w:pPr>
              <w:spacing w:after="0"/>
              <w:rPr>
                <w:sz w:val="1"/>
                <w:szCs w:val="1"/>
                <w:color w:val="auto"/>
              </w:rPr>
            </w:pPr>
          </w:p>
        </w:tc>
      </w:tr>
      <w:tr>
        <w:trPr>
          <w:trHeight w:val="216"/>
        </w:trPr>
        <w:tc>
          <w:tcPr>
            <w:tcW w:w="1060" w:type="dxa"/>
            <w:vAlign w:val="bottom"/>
          </w:tcPr>
          <w:p>
            <w:pPr>
              <w:spacing w:after="0"/>
              <w:rPr>
                <w:sz w:val="20"/>
                <w:szCs w:val="20"/>
                <w:color w:val="auto"/>
              </w:rPr>
            </w:pPr>
            <w:r>
              <w:rPr>
                <w:rFonts w:ascii="Arial" w:cs="Arial" w:eastAsia="Arial" w:hAnsi="Arial"/>
                <w:sz w:val="18"/>
                <w:szCs w:val="18"/>
                <w:color w:val="auto"/>
              </w:rPr>
              <w:t>Section 6.7.</w:t>
            </w:r>
          </w:p>
        </w:tc>
        <w:tc>
          <w:tcPr>
            <w:tcW w:w="9620" w:type="dxa"/>
            <w:vAlign w:val="bottom"/>
          </w:tcPr>
          <w:p>
            <w:pPr>
              <w:ind w:left="120"/>
              <w:spacing w:after="0"/>
              <w:rPr>
                <w:sz w:val="20"/>
                <w:szCs w:val="20"/>
                <w:color w:val="auto"/>
              </w:rPr>
            </w:pPr>
            <w:r>
              <w:rPr>
                <w:rFonts w:ascii="Arial" w:cs="Arial" w:eastAsia="Arial" w:hAnsi="Arial"/>
                <w:sz w:val="18"/>
                <w:szCs w:val="18"/>
                <w:color w:val="auto"/>
              </w:rPr>
              <w:t>Limitation on Suits.</w:t>
            </w:r>
          </w:p>
        </w:tc>
        <w:tc>
          <w:tcPr>
            <w:tcW w:w="300" w:type="dxa"/>
            <w:vAlign w:val="bottom"/>
            <w:gridSpan w:val="2"/>
          </w:tcPr>
          <w:p>
            <w:pPr>
              <w:jc w:val="right"/>
              <w:ind w:right="20"/>
              <w:spacing w:after="0"/>
              <w:rPr>
                <w:sz w:val="20"/>
                <w:szCs w:val="20"/>
                <w:color w:val="auto"/>
              </w:rPr>
            </w:pPr>
            <w:r>
              <w:rPr>
                <w:rFonts w:ascii="Arial" w:cs="Arial" w:eastAsia="Arial" w:hAnsi="Arial"/>
                <w:sz w:val="18"/>
                <w:szCs w:val="18"/>
                <w:color w:val="auto"/>
              </w:rPr>
              <w:t>18</w:t>
            </w:r>
          </w:p>
        </w:tc>
        <w:tc>
          <w:tcPr>
            <w:tcW w:w="0" w:type="dxa"/>
            <w:vAlign w:val="bottom"/>
          </w:tcPr>
          <w:p>
            <w:pPr>
              <w:spacing w:after="0"/>
              <w:rPr>
                <w:sz w:val="1"/>
                <w:szCs w:val="1"/>
                <w:color w:val="auto"/>
              </w:rPr>
            </w:pPr>
          </w:p>
        </w:tc>
      </w:tr>
      <w:tr>
        <w:trPr>
          <w:trHeight w:val="216"/>
        </w:trPr>
        <w:tc>
          <w:tcPr>
            <w:tcW w:w="1060" w:type="dxa"/>
            <w:vAlign w:val="bottom"/>
          </w:tcPr>
          <w:p>
            <w:pPr>
              <w:spacing w:after="0"/>
              <w:rPr>
                <w:sz w:val="20"/>
                <w:szCs w:val="20"/>
                <w:color w:val="auto"/>
              </w:rPr>
            </w:pPr>
            <w:r>
              <w:rPr>
                <w:rFonts w:ascii="Arial" w:cs="Arial" w:eastAsia="Arial" w:hAnsi="Arial"/>
                <w:sz w:val="18"/>
                <w:szCs w:val="18"/>
                <w:color w:val="auto"/>
              </w:rPr>
              <w:t>Section 6.8.</w:t>
            </w:r>
          </w:p>
        </w:tc>
        <w:tc>
          <w:tcPr>
            <w:tcW w:w="9620" w:type="dxa"/>
            <w:vAlign w:val="bottom"/>
          </w:tcPr>
          <w:p>
            <w:pPr>
              <w:ind w:left="120"/>
              <w:spacing w:after="0"/>
              <w:rPr>
                <w:sz w:val="20"/>
                <w:szCs w:val="20"/>
                <w:color w:val="auto"/>
              </w:rPr>
            </w:pPr>
            <w:r>
              <w:rPr>
                <w:rFonts w:ascii="Arial" w:cs="Arial" w:eastAsia="Arial" w:hAnsi="Arial"/>
                <w:sz w:val="18"/>
                <w:szCs w:val="18"/>
                <w:color w:val="auto"/>
              </w:rPr>
              <w:t>Unconditional Right of Holders to Receive Principal and Interest.</w:t>
            </w:r>
          </w:p>
        </w:tc>
        <w:tc>
          <w:tcPr>
            <w:tcW w:w="300" w:type="dxa"/>
            <w:vAlign w:val="bottom"/>
            <w:gridSpan w:val="2"/>
          </w:tcPr>
          <w:p>
            <w:pPr>
              <w:jc w:val="right"/>
              <w:ind w:right="20"/>
              <w:spacing w:after="0"/>
              <w:rPr>
                <w:sz w:val="20"/>
                <w:szCs w:val="20"/>
                <w:color w:val="auto"/>
              </w:rPr>
            </w:pPr>
            <w:r>
              <w:rPr>
                <w:rFonts w:ascii="Arial" w:cs="Arial" w:eastAsia="Arial" w:hAnsi="Arial"/>
                <w:sz w:val="18"/>
                <w:szCs w:val="18"/>
                <w:color w:val="auto"/>
              </w:rPr>
              <w:t>19</w:t>
            </w:r>
          </w:p>
        </w:tc>
        <w:tc>
          <w:tcPr>
            <w:tcW w:w="0" w:type="dxa"/>
            <w:vAlign w:val="bottom"/>
          </w:tcPr>
          <w:p>
            <w:pPr>
              <w:spacing w:after="0"/>
              <w:rPr>
                <w:sz w:val="1"/>
                <w:szCs w:val="1"/>
                <w:color w:val="auto"/>
              </w:rPr>
            </w:pPr>
          </w:p>
        </w:tc>
      </w:tr>
      <w:tr>
        <w:trPr>
          <w:trHeight w:val="216"/>
        </w:trPr>
        <w:tc>
          <w:tcPr>
            <w:tcW w:w="1060" w:type="dxa"/>
            <w:vAlign w:val="bottom"/>
          </w:tcPr>
          <w:p>
            <w:pPr>
              <w:spacing w:after="0"/>
              <w:rPr>
                <w:sz w:val="20"/>
                <w:szCs w:val="20"/>
                <w:color w:val="auto"/>
              </w:rPr>
            </w:pPr>
            <w:r>
              <w:rPr>
                <w:rFonts w:ascii="Arial" w:cs="Arial" w:eastAsia="Arial" w:hAnsi="Arial"/>
                <w:sz w:val="18"/>
                <w:szCs w:val="18"/>
                <w:color w:val="auto"/>
              </w:rPr>
              <w:t>Section 6.9.</w:t>
            </w:r>
          </w:p>
        </w:tc>
        <w:tc>
          <w:tcPr>
            <w:tcW w:w="9620" w:type="dxa"/>
            <w:vAlign w:val="bottom"/>
          </w:tcPr>
          <w:p>
            <w:pPr>
              <w:ind w:left="120"/>
              <w:spacing w:after="0"/>
              <w:rPr>
                <w:sz w:val="20"/>
                <w:szCs w:val="20"/>
                <w:color w:val="auto"/>
              </w:rPr>
            </w:pPr>
            <w:r>
              <w:rPr>
                <w:rFonts w:ascii="Arial" w:cs="Arial" w:eastAsia="Arial" w:hAnsi="Arial"/>
                <w:sz w:val="18"/>
                <w:szCs w:val="18"/>
                <w:color w:val="auto"/>
              </w:rPr>
              <w:t>Restoration of Rights and Remedies.</w:t>
            </w:r>
          </w:p>
        </w:tc>
        <w:tc>
          <w:tcPr>
            <w:tcW w:w="300" w:type="dxa"/>
            <w:vAlign w:val="bottom"/>
            <w:gridSpan w:val="2"/>
          </w:tcPr>
          <w:p>
            <w:pPr>
              <w:jc w:val="right"/>
              <w:ind w:right="20"/>
              <w:spacing w:after="0"/>
              <w:rPr>
                <w:sz w:val="20"/>
                <w:szCs w:val="20"/>
                <w:color w:val="auto"/>
              </w:rPr>
            </w:pPr>
            <w:r>
              <w:rPr>
                <w:rFonts w:ascii="Arial" w:cs="Arial" w:eastAsia="Arial" w:hAnsi="Arial"/>
                <w:sz w:val="18"/>
                <w:szCs w:val="18"/>
                <w:color w:val="auto"/>
              </w:rPr>
              <w:t>19</w:t>
            </w:r>
          </w:p>
        </w:tc>
        <w:tc>
          <w:tcPr>
            <w:tcW w:w="0" w:type="dxa"/>
            <w:vAlign w:val="bottom"/>
          </w:tcPr>
          <w:p>
            <w:pPr>
              <w:spacing w:after="0"/>
              <w:rPr>
                <w:sz w:val="1"/>
                <w:szCs w:val="1"/>
                <w:color w:val="auto"/>
              </w:rPr>
            </w:pPr>
          </w:p>
        </w:tc>
      </w:tr>
      <w:tr>
        <w:trPr>
          <w:trHeight w:val="216"/>
        </w:trPr>
        <w:tc>
          <w:tcPr>
            <w:tcW w:w="1060" w:type="dxa"/>
            <w:vAlign w:val="bottom"/>
          </w:tcPr>
          <w:p>
            <w:pPr>
              <w:spacing w:after="0"/>
              <w:rPr>
                <w:sz w:val="20"/>
                <w:szCs w:val="20"/>
                <w:color w:val="auto"/>
              </w:rPr>
            </w:pPr>
            <w:r>
              <w:rPr>
                <w:rFonts w:ascii="Arial" w:cs="Arial" w:eastAsia="Arial" w:hAnsi="Arial"/>
                <w:sz w:val="18"/>
                <w:szCs w:val="18"/>
                <w:color w:val="auto"/>
                <w:w w:val="98"/>
              </w:rPr>
              <w:t>Section 6.10.</w:t>
            </w:r>
          </w:p>
        </w:tc>
        <w:tc>
          <w:tcPr>
            <w:tcW w:w="9620" w:type="dxa"/>
            <w:vAlign w:val="bottom"/>
          </w:tcPr>
          <w:p>
            <w:pPr>
              <w:ind w:left="120"/>
              <w:spacing w:after="0"/>
              <w:rPr>
                <w:sz w:val="20"/>
                <w:szCs w:val="20"/>
                <w:color w:val="auto"/>
              </w:rPr>
            </w:pPr>
            <w:r>
              <w:rPr>
                <w:rFonts w:ascii="Arial" w:cs="Arial" w:eastAsia="Arial" w:hAnsi="Arial"/>
                <w:sz w:val="18"/>
                <w:szCs w:val="18"/>
                <w:color w:val="auto"/>
              </w:rPr>
              <w:t>Rights and Remedies Cumulative.</w:t>
            </w:r>
          </w:p>
        </w:tc>
        <w:tc>
          <w:tcPr>
            <w:tcW w:w="300" w:type="dxa"/>
            <w:vAlign w:val="bottom"/>
            <w:gridSpan w:val="2"/>
          </w:tcPr>
          <w:p>
            <w:pPr>
              <w:jc w:val="right"/>
              <w:ind w:right="20"/>
              <w:spacing w:after="0"/>
              <w:rPr>
                <w:sz w:val="20"/>
                <w:szCs w:val="20"/>
                <w:color w:val="auto"/>
              </w:rPr>
            </w:pPr>
            <w:r>
              <w:rPr>
                <w:rFonts w:ascii="Arial" w:cs="Arial" w:eastAsia="Arial" w:hAnsi="Arial"/>
                <w:sz w:val="18"/>
                <w:szCs w:val="18"/>
                <w:color w:val="auto"/>
              </w:rPr>
              <w:t>19</w:t>
            </w:r>
          </w:p>
        </w:tc>
        <w:tc>
          <w:tcPr>
            <w:tcW w:w="0" w:type="dxa"/>
            <w:vAlign w:val="bottom"/>
          </w:tcPr>
          <w:p>
            <w:pPr>
              <w:spacing w:after="0"/>
              <w:rPr>
                <w:sz w:val="1"/>
                <w:szCs w:val="1"/>
                <w:color w:val="auto"/>
              </w:rPr>
            </w:pPr>
          </w:p>
        </w:tc>
      </w:tr>
      <w:tr>
        <w:trPr>
          <w:trHeight w:val="216"/>
        </w:trPr>
        <w:tc>
          <w:tcPr>
            <w:tcW w:w="1060" w:type="dxa"/>
            <w:vAlign w:val="bottom"/>
          </w:tcPr>
          <w:p>
            <w:pPr>
              <w:spacing w:after="0"/>
              <w:rPr>
                <w:sz w:val="20"/>
                <w:szCs w:val="20"/>
                <w:color w:val="auto"/>
              </w:rPr>
            </w:pPr>
            <w:r>
              <w:rPr>
                <w:rFonts w:ascii="Arial" w:cs="Arial" w:eastAsia="Arial" w:hAnsi="Arial"/>
                <w:sz w:val="18"/>
                <w:szCs w:val="18"/>
                <w:color w:val="auto"/>
                <w:w w:val="98"/>
              </w:rPr>
              <w:t>Section 6.11.</w:t>
            </w:r>
          </w:p>
        </w:tc>
        <w:tc>
          <w:tcPr>
            <w:tcW w:w="9620" w:type="dxa"/>
            <w:vAlign w:val="bottom"/>
          </w:tcPr>
          <w:p>
            <w:pPr>
              <w:ind w:left="120"/>
              <w:spacing w:after="0"/>
              <w:rPr>
                <w:sz w:val="20"/>
                <w:szCs w:val="20"/>
                <w:color w:val="auto"/>
              </w:rPr>
            </w:pPr>
            <w:r>
              <w:rPr>
                <w:rFonts w:ascii="Arial" w:cs="Arial" w:eastAsia="Arial" w:hAnsi="Arial"/>
                <w:sz w:val="18"/>
                <w:szCs w:val="18"/>
                <w:color w:val="auto"/>
              </w:rPr>
              <w:t>Delay or Omission Not Waiver.</w:t>
            </w:r>
          </w:p>
        </w:tc>
        <w:tc>
          <w:tcPr>
            <w:tcW w:w="300" w:type="dxa"/>
            <w:vAlign w:val="bottom"/>
            <w:gridSpan w:val="2"/>
          </w:tcPr>
          <w:p>
            <w:pPr>
              <w:jc w:val="right"/>
              <w:ind w:right="20"/>
              <w:spacing w:after="0"/>
              <w:rPr>
                <w:sz w:val="20"/>
                <w:szCs w:val="20"/>
                <w:color w:val="auto"/>
              </w:rPr>
            </w:pPr>
            <w:r>
              <w:rPr>
                <w:rFonts w:ascii="Arial" w:cs="Arial" w:eastAsia="Arial" w:hAnsi="Arial"/>
                <w:sz w:val="18"/>
                <w:szCs w:val="18"/>
                <w:color w:val="auto"/>
              </w:rPr>
              <w:t>19</w:t>
            </w:r>
          </w:p>
        </w:tc>
        <w:tc>
          <w:tcPr>
            <w:tcW w:w="0" w:type="dxa"/>
            <w:vAlign w:val="bottom"/>
          </w:tcPr>
          <w:p>
            <w:pPr>
              <w:spacing w:after="0"/>
              <w:rPr>
                <w:sz w:val="1"/>
                <w:szCs w:val="1"/>
                <w:color w:val="auto"/>
              </w:rPr>
            </w:pPr>
          </w:p>
        </w:tc>
      </w:tr>
      <w:tr>
        <w:trPr>
          <w:trHeight w:val="216"/>
        </w:trPr>
        <w:tc>
          <w:tcPr>
            <w:tcW w:w="1060" w:type="dxa"/>
            <w:vAlign w:val="bottom"/>
          </w:tcPr>
          <w:p>
            <w:pPr>
              <w:spacing w:after="0"/>
              <w:rPr>
                <w:sz w:val="20"/>
                <w:szCs w:val="20"/>
                <w:color w:val="auto"/>
              </w:rPr>
            </w:pPr>
            <w:r>
              <w:rPr>
                <w:rFonts w:ascii="Arial" w:cs="Arial" w:eastAsia="Arial" w:hAnsi="Arial"/>
                <w:sz w:val="18"/>
                <w:szCs w:val="18"/>
                <w:color w:val="auto"/>
                <w:w w:val="98"/>
              </w:rPr>
              <w:t>Section 6.12.</w:t>
            </w:r>
          </w:p>
        </w:tc>
        <w:tc>
          <w:tcPr>
            <w:tcW w:w="9620" w:type="dxa"/>
            <w:vAlign w:val="bottom"/>
          </w:tcPr>
          <w:p>
            <w:pPr>
              <w:ind w:left="120"/>
              <w:spacing w:after="0"/>
              <w:rPr>
                <w:sz w:val="20"/>
                <w:szCs w:val="20"/>
                <w:color w:val="auto"/>
              </w:rPr>
            </w:pPr>
            <w:r>
              <w:rPr>
                <w:rFonts w:ascii="Arial" w:cs="Arial" w:eastAsia="Arial" w:hAnsi="Arial"/>
                <w:sz w:val="18"/>
                <w:szCs w:val="18"/>
                <w:color w:val="auto"/>
              </w:rPr>
              <w:t>Control by Holders.</w:t>
            </w:r>
          </w:p>
        </w:tc>
        <w:tc>
          <w:tcPr>
            <w:tcW w:w="300" w:type="dxa"/>
            <w:vAlign w:val="bottom"/>
            <w:gridSpan w:val="2"/>
          </w:tcPr>
          <w:p>
            <w:pPr>
              <w:jc w:val="right"/>
              <w:ind w:right="20"/>
              <w:spacing w:after="0"/>
              <w:rPr>
                <w:sz w:val="20"/>
                <w:szCs w:val="20"/>
                <w:color w:val="auto"/>
              </w:rPr>
            </w:pPr>
            <w:r>
              <w:rPr>
                <w:rFonts w:ascii="Arial" w:cs="Arial" w:eastAsia="Arial" w:hAnsi="Arial"/>
                <w:sz w:val="18"/>
                <w:szCs w:val="18"/>
                <w:color w:val="auto"/>
              </w:rPr>
              <w:t>19</w:t>
            </w:r>
          </w:p>
        </w:tc>
        <w:tc>
          <w:tcPr>
            <w:tcW w:w="0" w:type="dxa"/>
            <w:vAlign w:val="bottom"/>
          </w:tcPr>
          <w:p>
            <w:pPr>
              <w:spacing w:after="0"/>
              <w:rPr>
                <w:sz w:val="1"/>
                <w:szCs w:val="1"/>
                <w:color w:val="auto"/>
              </w:rPr>
            </w:pPr>
          </w:p>
        </w:tc>
      </w:tr>
      <w:tr>
        <w:trPr>
          <w:trHeight w:val="216"/>
        </w:trPr>
        <w:tc>
          <w:tcPr>
            <w:tcW w:w="1060" w:type="dxa"/>
            <w:vAlign w:val="bottom"/>
          </w:tcPr>
          <w:p>
            <w:pPr>
              <w:spacing w:after="0"/>
              <w:rPr>
                <w:sz w:val="20"/>
                <w:szCs w:val="20"/>
                <w:color w:val="auto"/>
              </w:rPr>
            </w:pPr>
            <w:r>
              <w:rPr>
                <w:rFonts w:ascii="Arial" w:cs="Arial" w:eastAsia="Arial" w:hAnsi="Arial"/>
                <w:sz w:val="18"/>
                <w:szCs w:val="18"/>
                <w:color w:val="auto"/>
                <w:w w:val="98"/>
              </w:rPr>
              <w:t>Section 6.13.</w:t>
            </w:r>
          </w:p>
        </w:tc>
        <w:tc>
          <w:tcPr>
            <w:tcW w:w="9620" w:type="dxa"/>
            <w:vAlign w:val="bottom"/>
          </w:tcPr>
          <w:p>
            <w:pPr>
              <w:ind w:left="120"/>
              <w:spacing w:after="0"/>
              <w:rPr>
                <w:sz w:val="20"/>
                <w:szCs w:val="20"/>
                <w:color w:val="auto"/>
              </w:rPr>
            </w:pPr>
            <w:r>
              <w:rPr>
                <w:rFonts w:ascii="Arial" w:cs="Arial" w:eastAsia="Arial" w:hAnsi="Arial"/>
                <w:sz w:val="18"/>
                <w:szCs w:val="18"/>
                <w:color w:val="auto"/>
              </w:rPr>
              <w:t>Waiver of Past Defaults.</w:t>
            </w:r>
          </w:p>
        </w:tc>
        <w:tc>
          <w:tcPr>
            <w:tcW w:w="300" w:type="dxa"/>
            <w:vAlign w:val="bottom"/>
            <w:gridSpan w:val="2"/>
          </w:tcPr>
          <w:p>
            <w:pPr>
              <w:jc w:val="right"/>
              <w:ind w:right="20"/>
              <w:spacing w:after="0"/>
              <w:rPr>
                <w:sz w:val="20"/>
                <w:szCs w:val="20"/>
                <w:color w:val="auto"/>
              </w:rPr>
            </w:pPr>
            <w:r>
              <w:rPr>
                <w:rFonts w:ascii="Arial" w:cs="Arial" w:eastAsia="Arial" w:hAnsi="Arial"/>
                <w:sz w:val="18"/>
                <w:szCs w:val="18"/>
                <w:color w:val="auto"/>
              </w:rPr>
              <w:t>20</w:t>
            </w:r>
          </w:p>
        </w:tc>
        <w:tc>
          <w:tcPr>
            <w:tcW w:w="0" w:type="dxa"/>
            <w:vAlign w:val="bottom"/>
          </w:tcPr>
          <w:p>
            <w:pPr>
              <w:spacing w:after="0"/>
              <w:rPr>
                <w:sz w:val="1"/>
                <w:szCs w:val="1"/>
                <w:color w:val="auto"/>
              </w:rPr>
            </w:pPr>
          </w:p>
        </w:tc>
      </w:tr>
      <w:tr>
        <w:trPr>
          <w:trHeight w:val="230"/>
        </w:trPr>
        <w:tc>
          <w:tcPr>
            <w:tcW w:w="1060" w:type="dxa"/>
            <w:vAlign w:val="bottom"/>
          </w:tcPr>
          <w:p>
            <w:pPr>
              <w:spacing w:after="0"/>
              <w:rPr>
                <w:sz w:val="20"/>
                <w:szCs w:val="20"/>
                <w:color w:val="auto"/>
              </w:rPr>
            </w:pPr>
            <w:r>
              <w:rPr>
                <w:rFonts w:ascii="Arial" w:cs="Arial" w:eastAsia="Arial" w:hAnsi="Arial"/>
                <w:sz w:val="18"/>
                <w:szCs w:val="18"/>
                <w:color w:val="auto"/>
                <w:w w:val="98"/>
              </w:rPr>
              <w:t>Section 6.14.</w:t>
            </w:r>
          </w:p>
        </w:tc>
        <w:tc>
          <w:tcPr>
            <w:tcW w:w="9620" w:type="dxa"/>
            <w:vAlign w:val="bottom"/>
          </w:tcPr>
          <w:p>
            <w:pPr>
              <w:ind w:left="120"/>
              <w:spacing w:after="0"/>
              <w:rPr>
                <w:sz w:val="20"/>
                <w:szCs w:val="20"/>
                <w:color w:val="auto"/>
              </w:rPr>
            </w:pPr>
            <w:r>
              <w:rPr>
                <w:rFonts w:ascii="Arial" w:cs="Arial" w:eastAsia="Arial" w:hAnsi="Arial"/>
                <w:sz w:val="18"/>
                <w:szCs w:val="18"/>
                <w:color w:val="auto"/>
              </w:rPr>
              <w:t>Undertaking for Costs.</w:t>
            </w:r>
          </w:p>
        </w:tc>
        <w:tc>
          <w:tcPr>
            <w:tcW w:w="300" w:type="dxa"/>
            <w:vAlign w:val="bottom"/>
            <w:gridSpan w:val="2"/>
          </w:tcPr>
          <w:p>
            <w:pPr>
              <w:jc w:val="right"/>
              <w:ind w:right="20"/>
              <w:spacing w:after="0"/>
              <w:rPr>
                <w:sz w:val="20"/>
                <w:szCs w:val="20"/>
                <w:color w:val="auto"/>
              </w:rPr>
            </w:pPr>
            <w:r>
              <w:rPr>
                <w:rFonts w:ascii="Arial" w:cs="Arial" w:eastAsia="Arial" w:hAnsi="Arial"/>
                <w:sz w:val="18"/>
                <w:szCs w:val="18"/>
                <w:color w:val="auto"/>
              </w:rPr>
              <w:t>20</w:t>
            </w:r>
          </w:p>
        </w:tc>
        <w:tc>
          <w:tcPr>
            <w:tcW w:w="0" w:type="dxa"/>
            <w:vAlign w:val="bottom"/>
          </w:tcPr>
          <w:p>
            <w:pPr>
              <w:spacing w:after="0"/>
              <w:rPr>
                <w:sz w:val="1"/>
                <w:szCs w:val="1"/>
                <w:color w:val="auto"/>
              </w:rPr>
            </w:pPr>
          </w:p>
        </w:tc>
      </w:tr>
    </w:tbl>
    <w:p>
      <w:pPr>
        <w:sectPr>
          <w:pgSz w:w="11900" w:h="16838" w:orient="portrait"/>
          <w:cols w:equalWidth="0" w:num="1">
            <w:col w:w="10960"/>
          </w:cols>
          <w:pgMar w:left="440" w:top="270" w:right="499" w:bottom="1440" w:gutter="0" w:footer="0" w:header="0"/>
        </w:sectPr>
      </w:pPr>
    </w:p>
    <w:bookmarkStart w:id="117" w:name="page118"/>
    <w:bookmarkEnd w:id="117"/>
    <w:p>
      <w:pPr>
        <w:spacing w:after="0" w:line="1"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161" name="Picture 1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1"/>
                    <pic:cNvPicPr>
                      <a:picLocks noChangeAspect="1" noChangeArrowheads="1"/>
                    </pic:cNvPicPr>
                  </pic:nvPicPr>
                  <pic:blipFill>
                    <a:blip r:embed="rId183">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p>
    <w:tbl>
      <w:tblPr>
        <w:tblLayout w:type="fixed"/>
        <w:tblInd w:w="0" w:type="dxa"/>
        <w:tblCellMar>
          <w:top w:w="0" w:type="dxa"/>
          <w:left w:w="0" w:type="dxa"/>
          <w:bottom w:w="0" w:type="dxa"/>
          <w:right w:w="0" w:type="dxa"/>
        </w:tblCellMar>
      </w:tblPr>
      <w:tr>
        <w:trPr>
          <w:trHeight w:val="167"/>
        </w:trPr>
        <w:tc>
          <w:tcPr>
            <w:tcW w:w="10680" w:type="dxa"/>
            <w:vAlign w:val="bottom"/>
            <w:gridSpan w:val="2"/>
            <w:vMerge w:val="restart"/>
          </w:tcPr>
          <w:p>
            <w:pPr>
              <w:spacing w:after="0"/>
              <w:rPr>
                <w:sz w:val="20"/>
                <w:szCs w:val="20"/>
                <w:color w:val="auto"/>
              </w:rPr>
            </w:pPr>
            <w:r>
              <w:rPr>
                <w:rFonts w:ascii="Arial" w:cs="Arial" w:eastAsia="Arial" w:hAnsi="Arial"/>
                <w:sz w:val="18"/>
                <w:szCs w:val="18"/>
                <w:color w:val="auto"/>
              </w:rPr>
              <w:t>ARTICLE VII. TRUSTEE</w:t>
            </w:r>
          </w:p>
        </w:tc>
        <w:tc>
          <w:tcPr>
            <w:tcW w:w="300" w:type="dxa"/>
            <w:vAlign w:val="bottom"/>
            <w:gridSpan w:val="2"/>
          </w:tcPr>
          <w:p>
            <w:pPr>
              <w:jc w:val="right"/>
              <w:ind w:right="20"/>
              <w:spacing w:after="0"/>
              <w:rPr>
                <w:sz w:val="20"/>
                <w:szCs w:val="20"/>
                <w:color w:val="auto"/>
              </w:rPr>
            </w:pPr>
            <w:r>
              <w:rPr>
                <w:rFonts w:ascii="Arial" w:cs="Arial" w:eastAsia="Arial" w:hAnsi="Arial"/>
                <w:sz w:val="14"/>
                <w:szCs w:val="14"/>
                <w:color w:val="auto"/>
                <w:w w:val="79"/>
              </w:rPr>
              <w:t>Page</w:t>
            </w:r>
          </w:p>
        </w:tc>
        <w:tc>
          <w:tcPr>
            <w:tcW w:w="0" w:type="dxa"/>
            <w:vAlign w:val="bottom"/>
          </w:tcPr>
          <w:p>
            <w:pPr>
              <w:spacing w:after="0"/>
              <w:rPr>
                <w:sz w:val="1"/>
                <w:szCs w:val="1"/>
                <w:color w:val="auto"/>
              </w:rPr>
            </w:pPr>
          </w:p>
        </w:tc>
      </w:tr>
      <w:tr>
        <w:trPr>
          <w:trHeight w:val="195"/>
        </w:trPr>
        <w:tc>
          <w:tcPr>
            <w:tcW w:w="10680" w:type="dxa"/>
            <w:vAlign w:val="bottom"/>
            <w:gridSpan w:val="2"/>
            <w:vMerge w:val="continue"/>
          </w:tcPr>
          <w:p>
            <w:pPr>
              <w:spacing w:after="0"/>
              <w:rPr>
                <w:sz w:val="16"/>
                <w:szCs w:val="16"/>
                <w:color w:val="auto"/>
              </w:rPr>
            </w:pPr>
          </w:p>
        </w:tc>
        <w:tc>
          <w:tcPr>
            <w:tcW w:w="280" w:type="dxa"/>
            <w:vAlign w:val="bottom"/>
            <w:tcBorders>
              <w:top w:val="single" w:sz="8" w:color="auto"/>
            </w:tcBorders>
          </w:tcPr>
          <w:p>
            <w:pPr>
              <w:jc w:val="right"/>
              <w:spacing w:after="0" w:line="195" w:lineRule="exact"/>
              <w:rPr>
                <w:sz w:val="20"/>
                <w:szCs w:val="20"/>
                <w:color w:val="auto"/>
              </w:rPr>
            </w:pPr>
            <w:r>
              <w:rPr>
                <w:rFonts w:ascii="Arial" w:cs="Arial" w:eastAsia="Arial" w:hAnsi="Arial"/>
                <w:sz w:val="18"/>
                <w:szCs w:val="18"/>
                <w:color w:val="auto"/>
              </w:rPr>
              <w:t>20</w:t>
            </w: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6"/>
        </w:trPr>
        <w:tc>
          <w:tcPr>
            <w:tcW w:w="1160" w:type="dxa"/>
            <w:vAlign w:val="bottom"/>
          </w:tcPr>
          <w:p>
            <w:pPr>
              <w:spacing w:after="0"/>
              <w:rPr>
                <w:sz w:val="20"/>
                <w:szCs w:val="20"/>
                <w:color w:val="auto"/>
              </w:rPr>
            </w:pPr>
            <w:r>
              <w:rPr>
                <w:rFonts w:ascii="Arial" w:cs="Arial" w:eastAsia="Arial" w:hAnsi="Arial"/>
                <w:sz w:val="18"/>
                <w:szCs w:val="18"/>
                <w:color w:val="auto"/>
              </w:rPr>
              <w:t>Section 7.1.</w:t>
            </w:r>
          </w:p>
        </w:tc>
        <w:tc>
          <w:tcPr>
            <w:tcW w:w="9520" w:type="dxa"/>
            <w:vAlign w:val="bottom"/>
          </w:tcPr>
          <w:p>
            <w:pPr>
              <w:ind w:left="140"/>
              <w:spacing w:after="0"/>
              <w:rPr>
                <w:sz w:val="20"/>
                <w:szCs w:val="20"/>
                <w:color w:val="auto"/>
              </w:rPr>
            </w:pPr>
            <w:r>
              <w:rPr>
                <w:rFonts w:ascii="Arial" w:cs="Arial" w:eastAsia="Arial" w:hAnsi="Arial"/>
                <w:sz w:val="18"/>
                <w:szCs w:val="18"/>
                <w:color w:val="auto"/>
              </w:rPr>
              <w:t>Duties of Trustee.</w:t>
            </w:r>
          </w:p>
        </w:tc>
        <w:tc>
          <w:tcPr>
            <w:tcW w:w="300" w:type="dxa"/>
            <w:vAlign w:val="bottom"/>
            <w:gridSpan w:val="2"/>
          </w:tcPr>
          <w:p>
            <w:pPr>
              <w:jc w:val="right"/>
              <w:ind w:right="20"/>
              <w:spacing w:after="0"/>
              <w:rPr>
                <w:sz w:val="20"/>
                <w:szCs w:val="20"/>
                <w:color w:val="auto"/>
              </w:rPr>
            </w:pPr>
            <w:r>
              <w:rPr>
                <w:rFonts w:ascii="Arial" w:cs="Arial" w:eastAsia="Arial" w:hAnsi="Arial"/>
                <w:sz w:val="18"/>
                <w:szCs w:val="18"/>
                <w:color w:val="auto"/>
              </w:rPr>
              <w:t>20</w:t>
            </w:r>
          </w:p>
        </w:tc>
        <w:tc>
          <w:tcPr>
            <w:tcW w:w="0" w:type="dxa"/>
            <w:vAlign w:val="bottom"/>
          </w:tcPr>
          <w:p>
            <w:pPr>
              <w:spacing w:after="0"/>
              <w:rPr>
                <w:sz w:val="1"/>
                <w:szCs w:val="1"/>
                <w:color w:val="auto"/>
              </w:rPr>
            </w:pPr>
          </w:p>
        </w:tc>
      </w:tr>
      <w:tr>
        <w:trPr>
          <w:trHeight w:val="216"/>
        </w:trPr>
        <w:tc>
          <w:tcPr>
            <w:tcW w:w="1160" w:type="dxa"/>
            <w:vAlign w:val="bottom"/>
          </w:tcPr>
          <w:p>
            <w:pPr>
              <w:spacing w:after="0"/>
              <w:rPr>
                <w:sz w:val="20"/>
                <w:szCs w:val="20"/>
                <w:color w:val="auto"/>
              </w:rPr>
            </w:pPr>
            <w:r>
              <w:rPr>
                <w:rFonts w:ascii="Arial" w:cs="Arial" w:eastAsia="Arial" w:hAnsi="Arial"/>
                <w:sz w:val="18"/>
                <w:szCs w:val="18"/>
                <w:color w:val="auto"/>
              </w:rPr>
              <w:t>Section 7.2.</w:t>
            </w:r>
          </w:p>
        </w:tc>
        <w:tc>
          <w:tcPr>
            <w:tcW w:w="9520" w:type="dxa"/>
            <w:vAlign w:val="bottom"/>
          </w:tcPr>
          <w:p>
            <w:pPr>
              <w:ind w:left="140"/>
              <w:spacing w:after="0"/>
              <w:rPr>
                <w:sz w:val="20"/>
                <w:szCs w:val="20"/>
                <w:color w:val="auto"/>
              </w:rPr>
            </w:pPr>
            <w:r>
              <w:rPr>
                <w:rFonts w:ascii="Arial" w:cs="Arial" w:eastAsia="Arial" w:hAnsi="Arial"/>
                <w:sz w:val="18"/>
                <w:szCs w:val="18"/>
                <w:color w:val="auto"/>
              </w:rPr>
              <w:t>Rights of Trustee.</w:t>
            </w:r>
          </w:p>
        </w:tc>
        <w:tc>
          <w:tcPr>
            <w:tcW w:w="300" w:type="dxa"/>
            <w:vAlign w:val="bottom"/>
            <w:gridSpan w:val="2"/>
          </w:tcPr>
          <w:p>
            <w:pPr>
              <w:jc w:val="right"/>
              <w:ind w:right="20"/>
              <w:spacing w:after="0"/>
              <w:rPr>
                <w:sz w:val="20"/>
                <w:szCs w:val="20"/>
                <w:color w:val="auto"/>
              </w:rPr>
            </w:pPr>
            <w:r>
              <w:rPr>
                <w:rFonts w:ascii="Arial" w:cs="Arial" w:eastAsia="Arial" w:hAnsi="Arial"/>
                <w:sz w:val="18"/>
                <w:szCs w:val="18"/>
                <w:color w:val="auto"/>
              </w:rPr>
              <w:t>21</w:t>
            </w:r>
          </w:p>
        </w:tc>
        <w:tc>
          <w:tcPr>
            <w:tcW w:w="0" w:type="dxa"/>
            <w:vAlign w:val="bottom"/>
          </w:tcPr>
          <w:p>
            <w:pPr>
              <w:spacing w:after="0"/>
              <w:rPr>
                <w:sz w:val="1"/>
                <w:szCs w:val="1"/>
                <w:color w:val="auto"/>
              </w:rPr>
            </w:pPr>
          </w:p>
        </w:tc>
      </w:tr>
      <w:tr>
        <w:trPr>
          <w:trHeight w:val="216"/>
        </w:trPr>
        <w:tc>
          <w:tcPr>
            <w:tcW w:w="1160" w:type="dxa"/>
            <w:vAlign w:val="bottom"/>
          </w:tcPr>
          <w:p>
            <w:pPr>
              <w:spacing w:after="0"/>
              <w:rPr>
                <w:sz w:val="20"/>
                <w:szCs w:val="20"/>
                <w:color w:val="auto"/>
              </w:rPr>
            </w:pPr>
            <w:r>
              <w:rPr>
                <w:rFonts w:ascii="Arial" w:cs="Arial" w:eastAsia="Arial" w:hAnsi="Arial"/>
                <w:sz w:val="18"/>
                <w:szCs w:val="18"/>
                <w:color w:val="auto"/>
              </w:rPr>
              <w:t>Section 7.3.</w:t>
            </w:r>
          </w:p>
        </w:tc>
        <w:tc>
          <w:tcPr>
            <w:tcW w:w="9520" w:type="dxa"/>
            <w:vAlign w:val="bottom"/>
          </w:tcPr>
          <w:p>
            <w:pPr>
              <w:ind w:left="140"/>
              <w:spacing w:after="0"/>
              <w:rPr>
                <w:sz w:val="20"/>
                <w:szCs w:val="20"/>
                <w:color w:val="auto"/>
              </w:rPr>
            </w:pPr>
            <w:r>
              <w:rPr>
                <w:rFonts w:ascii="Arial" w:cs="Arial" w:eastAsia="Arial" w:hAnsi="Arial"/>
                <w:sz w:val="18"/>
                <w:szCs w:val="18"/>
                <w:color w:val="auto"/>
              </w:rPr>
              <w:t>Individual Rights of Trustee.</w:t>
            </w:r>
          </w:p>
        </w:tc>
        <w:tc>
          <w:tcPr>
            <w:tcW w:w="300" w:type="dxa"/>
            <w:vAlign w:val="bottom"/>
            <w:gridSpan w:val="2"/>
          </w:tcPr>
          <w:p>
            <w:pPr>
              <w:jc w:val="right"/>
              <w:ind w:right="20"/>
              <w:spacing w:after="0"/>
              <w:rPr>
                <w:sz w:val="20"/>
                <w:szCs w:val="20"/>
                <w:color w:val="auto"/>
              </w:rPr>
            </w:pPr>
            <w:r>
              <w:rPr>
                <w:rFonts w:ascii="Arial" w:cs="Arial" w:eastAsia="Arial" w:hAnsi="Arial"/>
                <w:sz w:val="18"/>
                <w:szCs w:val="18"/>
                <w:color w:val="auto"/>
              </w:rPr>
              <w:t>22</w:t>
            </w:r>
          </w:p>
        </w:tc>
        <w:tc>
          <w:tcPr>
            <w:tcW w:w="0" w:type="dxa"/>
            <w:vAlign w:val="bottom"/>
          </w:tcPr>
          <w:p>
            <w:pPr>
              <w:spacing w:after="0"/>
              <w:rPr>
                <w:sz w:val="1"/>
                <w:szCs w:val="1"/>
                <w:color w:val="auto"/>
              </w:rPr>
            </w:pPr>
          </w:p>
        </w:tc>
      </w:tr>
      <w:tr>
        <w:trPr>
          <w:trHeight w:val="216"/>
        </w:trPr>
        <w:tc>
          <w:tcPr>
            <w:tcW w:w="1160" w:type="dxa"/>
            <w:vAlign w:val="bottom"/>
          </w:tcPr>
          <w:p>
            <w:pPr>
              <w:spacing w:after="0"/>
              <w:rPr>
                <w:sz w:val="20"/>
                <w:szCs w:val="20"/>
                <w:color w:val="auto"/>
              </w:rPr>
            </w:pPr>
            <w:r>
              <w:rPr>
                <w:rFonts w:ascii="Arial" w:cs="Arial" w:eastAsia="Arial" w:hAnsi="Arial"/>
                <w:sz w:val="18"/>
                <w:szCs w:val="18"/>
                <w:color w:val="auto"/>
              </w:rPr>
              <w:t>Section 7.4.</w:t>
            </w:r>
          </w:p>
        </w:tc>
        <w:tc>
          <w:tcPr>
            <w:tcW w:w="9520" w:type="dxa"/>
            <w:vAlign w:val="bottom"/>
          </w:tcPr>
          <w:p>
            <w:pPr>
              <w:ind w:left="140"/>
              <w:spacing w:after="0"/>
              <w:rPr>
                <w:sz w:val="20"/>
                <w:szCs w:val="20"/>
                <w:color w:val="auto"/>
              </w:rPr>
            </w:pPr>
            <w:r>
              <w:rPr>
                <w:rFonts w:ascii="Arial" w:cs="Arial" w:eastAsia="Arial" w:hAnsi="Arial"/>
                <w:sz w:val="18"/>
                <w:szCs w:val="18"/>
                <w:color w:val="auto"/>
              </w:rPr>
              <w:t>Trustee’s Disclaimer.</w:t>
            </w:r>
          </w:p>
        </w:tc>
        <w:tc>
          <w:tcPr>
            <w:tcW w:w="300" w:type="dxa"/>
            <w:vAlign w:val="bottom"/>
            <w:gridSpan w:val="2"/>
          </w:tcPr>
          <w:p>
            <w:pPr>
              <w:jc w:val="right"/>
              <w:ind w:right="20"/>
              <w:spacing w:after="0"/>
              <w:rPr>
                <w:sz w:val="20"/>
                <w:szCs w:val="20"/>
                <w:color w:val="auto"/>
              </w:rPr>
            </w:pPr>
            <w:r>
              <w:rPr>
                <w:rFonts w:ascii="Arial" w:cs="Arial" w:eastAsia="Arial" w:hAnsi="Arial"/>
                <w:sz w:val="18"/>
                <w:szCs w:val="18"/>
                <w:color w:val="auto"/>
              </w:rPr>
              <w:t>22</w:t>
            </w:r>
          </w:p>
        </w:tc>
        <w:tc>
          <w:tcPr>
            <w:tcW w:w="0" w:type="dxa"/>
            <w:vAlign w:val="bottom"/>
          </w:tcPr>
          <w:p>
            <w:pPr>
              <w:spacing w:after="0"/>
              <w:rPr>
                <w:sz w:val="1"/>
                <w:szCs w:val="1"/>
                <w:color w:val="auto"/>
              </w:rPr>
            </w:pPr>
          </w:p>
        </w:tc>
      </w:tr>
      <w:tr>
        <w:trPr>
          <w:trHeight w:val="216"/>
        </w:trPr>
        <w:tc>
          <w:tcPr>
            <w:tcW w:w="1160" w:type="dxa"/>
            <w:vAlign w:val="bottom"/>
          </w:tcPr>
          <w:p>
            <w:pPr>
              <w:spacing w:after="0"/>
              <w:rPr>
                <w:sz w:val="20"/>
                <w:szCs w:val="20"/>
                <w:color w:val="auto"/>
              </w:rPr>
            </w:pPr>
            <w:r>
              <w:rPr>
                <w:rFonts w:ascii="Arial" w:cs="Arial" w:eastAsia="Arial" w:hAnsi="Arial"/>
                <w:sz w:val="18"/>
                <w:szCs w:val="18"/>
                <w:color w:val="auto"/>
              </w:rPr>
              <w:t>Section 7.5.</w:t>
            </w:r>
          </w:p>
        </w:tc>
        <w:tc>
          <w:tcPr>
            <w:tcW w:w="9520" w:type="dxa"/>
            <w:vAlign w:val="bottom"/>
          </w:tcPr>
          <w:p>
            <w:pPr>
              <w:ind w:left="140"/>
              <w:spacing w:after="0"/>
              <w:rPr>
                <w:sz w:val="20"/>
                <w:szCs w:val="20"/>
                <w:color w:val="auto"/>
              </w:rPr>
            </w:pPr>
            <w:r>
              <w:rPr>
                <w:rFonts w:ascii="Arial" w:cs="Arial" w:eastAsia="Arial" w:hAnsi="Arial"/>
                <w:sz w:val="18"/>
                <w:szCs w:val="18"/>
                <w:color w:val="auto"/>
              </w:rPr>
              <w:t>Notice of Defaults.</w:t>
            </w:r>
          </w:p>
        </w:tc>
        <w:tc>
          <w:tcPr>
            <w:tcW w:w="300" w:type="dxa"/>
            <w:vAlign w:val="bottom"/>
            <w:gridSpan w:val="2"/>
          </w:tcPr>
          <w:p>
            <w:pPr>
              <w:jc w:val="right"/>
              <w:ind w:right="20"/>
              <w:spacing w:after="0"/>
              <w:rPr>
                <w:sz w:val="20"/>
                <w:szCs w:val="20"/>
                <w:color w:val="auto"/>
              </w:rPr>
            </w:pPr>
            <w:r>
              <w:rPr>
                <w:rFonts w:ascii="Arial" w:cs="Arial" w:eastAsia="Arial" w:hAnsi="Arial"/>
                <w:sz w:val="18"/>
                <w:szCs w:val="18"/>
                <w:color w:val="auto"/>
              </w:rPr>
              <w:t>22</w:t>
            </w:r>
          </w:p>
        </w:tc>
        <w:tc>
          <w:tcPr>
            <w:tcW w:w="0" w:type="dxa"/>
            <w:vAlign w:val="bottom"/>
          </w:tcPr>
          <w:p>
            <w:pPr>
              <w:spacing w:after="0"/>
              <w:rPr>
                <w:sz w:val="1"/>
                <w:szCs w:val="1"/>
                <w:color w:val="auto"/>
              </w:rPr>
            </w:pPr>
          </w:p>
        </w:tc>
      </w:tr>
      <w:tr>
        <w:trPr>
          <w:trHeight w:val="216"/>
        </w:trPr>
        <w:tc>
          <w:tcPr>
            <w:tcW w:w="1160" w:type="dxa"/>
            <w:vAlign w:val="bottom"/>
          </w:tcPr>
          <w:p>
            <w:pPr>
              <w:spacing w:after="0"/>
              <w:rPr>
                <w:sz w:val="20"/>
                <w:szCs w:val="20"/>
                <w:color w:val="auto"/>
              </w:rPr>
            </w:pPr>
            <w:r>
              <w:rPr>
                <w:rFonts w:ascii="Arial" w:cs="Arial" w:eastAsia="Arial" w:hAnsi="Arial"/>
                <w:sz w:val="18"/>
                <w:szCs w:val="18"/>
                <w:color w:val="auto"/>
              </w:rPr>
              <w:t>Section 7.6.</w:t>
            </w:r>
          </w:p>
        </w:tc>
        <w:tc>
          <w:tcPr>
            <w:tcW w:w="9520" w:type="dxa"/>
            <w:vAlign w:val="bottom"/>
          </w:tcPr>
          <w:p>
            <w:pPr>
              <w:ind w:left="140"/>
              <w:spacing w:after="0"/>
              <w:rPr>
                <w:sz w:val="20"/>
                <w:szCs w:val="20"/>
                <w:color w:val="auto"/>
              </w:rPr>
            </w:pPr>
            <w:r>
              <w:rPr>
                <w:rFonts w:ascii="Arial" w:cs="Arial" w:eastAsia="Arial" w:hAnsi="Arial"/>
                <w:sz w:val="18"/>
                <w:szCs w:val="18"/>
                <w:color w:val="auto"/>
              </w:rPr>
              <w:t>Reports by Trustee to Holders.</w:t>
            </w:r>
          </w:p>
        </w:tc>
        <w:tc>
          <w:tcPr>
            <w:tcW w:w="300" w:type="dxa"/>
            <w:vAlign w:val="bottom"/>
            <w:gridSpan w:val="2"/>
          </w:tcPr>
          <w:p>
            <w:pPr>
              <w:jc w:val="right"/>
              <w:ind w:right="20"/>
              <w:spacing w:after="0"/>
              <w:rPr>
                <w:sz w:val="20"/>
                <w:szCs w:val="20"/>
                <w:color w:val="auto"/>
              </w:rPr>
            </w:pPr>
            <w:r>
              <w:rPr>
                <w:rFonts w:ascii="Arial" w:cs="Arial" w:eastAsia="Arial" w:hAnsi="Arial"/>
                <w:sz w:val="18"/>
                <w:szCs w:val="18"/>
                <w:color w:val="auto"/>
              </w:rPr>
              <w:t>22</w:t>
            </w:r>
          </w:p>
        </w:tc>
        <w:tc>
          <w:tcPr>
            <w:tcW w:w="0" w:type="dxa"/>
            <w:vAlign w:val="bottom"/>
          </w:tcPr>
          <w:p>
            <w:pPr>
              <w:spacing w:after="0"/>
              <w:rPr>
                <w:sz w:val="1"/>
                <w:szCs w:val="1"/>
                <w:color w:val="auto"/>
              </w:rPr>
            </w:pPr>
          </w:p>
        </w:tc>
      </w:tr>
      <w:tr>
        <w:trPr>
          <w:trHeight w:val="216"/>
        </w:trPr>
        <w:tc>
          <w:tcPr>
            <w:tcW w:w="1160" w:type="dxa"/>
            <w:vAlign w:val="bottom"/>
          </w:tcPr>
          <w:p>
            <w:pPr>
              <w:spacing w:after="0"/>
              <w:rPr>
                <w:sz w:val="20"/>
                <w:szCs w:val="20"/>
                <w:color w:val="auto"/>
              </w:rPr>
            </w:pPr>
            <w:r>
              <w:rPr>
                <w:rFonts w:ascii="Arial" w:cs="Arial" w:eastAsia="Arial" w:hAnsi="Arial"/>
                <w:sz w:val="18"/>
                <w:szCs w:val="18"/>
                <w:color w:val="auto"/>
              </w:rPr>
              <w:t>Section 7.7.</w:t>
            </w:r>
          </w:p>
        </w:tc>
        <w:tc>
          <w:tcPr>
            <w:tcW w:w="9520" w:type="dxa"/>
            <w:vAlign w:val="bottom"/>
          </w:tcPr>
          <w:p>
            <w:pPr>
              <w:ind w:left="140"/>
              <w:spacing w:after="0"/>
              <w:rPr>
                <w:sz w:val="20"/>
                <w:szCs w:val="20"/>
                <w:color w:val="auto"/>
              </w:rPr>
            </w:pPr>
            <w:r>
              <w:rPr>
                <w:rFonts w:ascii="Arial" w:cs="Arial" w:eastAsia="Arial" w:hAnsi="Arial"/>
                <w:sz w:val="18"/>
                <w:szCs w:val="18"/>
                <w:color w:val="auto"/>
              </w:rPr>
              <w:t>Compensation and Indemnity.</w:t>
            </w:r>
          </w:p>
        </w:tc>
        <w:tc>
          <w:tcPr>
            <w:tcW w:w="300" w:type="dxa"/>
            <w:vAlign w:val="bottom"/>
            <w:gridSpan w:val="2"/>
          </w:tcPr>
          <w:p>
            <w:pPr>
              <w:jc w:val="right"/>
              <w:ind w:right="20"/>
              <w:spacing w:after="0"/>
              <w:rPr>
                <w:sz w:val="20"/>
                <w:szCs w:val="20"/>
                <w:color w:val="auto"/>
              </w:rPr>
            </w:pPr>
            <w:r>
              <w:rPr>
                <w:rFonts w:ascii="Arial" w:cs="Arial" w:eastAsia="Arial" w:hAnsi="Arial"/>
                <w:sz w:val="18"/>
                <w:szCs w:val="18"/>
                <w:color w:val="auto"/>
              </w:rPr>
              <w:t>23</w:t>
            </w:r>
          </w:p>
        </w:tc>
        <w:tc>
          <w:tcPr>
            <w:tcW w:w="0" w:type="dxa"/>
            <w:vAlign w:val="bottom"/>
          </w:tcPr>
          <w:p>
            <w:pPr>
              <w:spacing w:after="0"/>
              <w:rPr>
                <w:sz w:val="1"/>
                <w:szCs w:val="1"/>
                <w:color w:val="auto"/>
              </w:rPr>
            </w:pPr>
          </w:p>
        </w:tc>
      </w:tr>
      <w:tr>
        <w:trPr>
          <w:trHeight w:val="216"/>
        </w:trPr>
        <w:tc>
          <w:tcPr>
            <w:tcW w:w="1160" w:type="dxa"/>
            <w:vAlign w:val="bottom"/>
          </w:tcPr>
          <w:p>
            <w:pPr>
              <w:spacing w:after="0"/>
              <w:rPr>
                <w:sz w:val="20"/>
                <w:szCs w:val="20"/>
                <w:color w:val="auto"/>
              </w:rPr>
            </w:pPr>
            <w:r>
              <w:rPr>
                <w:rFonts w:ascii="Arial" w:cs="Arial" w:eastAsia="Arial" w:hAnsi="Arial"/>
                <w:sz w:val="18"/>
                <w:szCs w:val="18"/>
                <w:color w:val="auto"/>
              </w:rPr>
              <w:t>Section 7.8.</w:t>
            </w:r>
          </w:p>
        </w:tc>
        <w:tc>
          <w:tcPr>
            <w:tcW w:w="9520" w:type="dxa"/>
            <w:vAlign w:val="bottom"/>
          </w:tcPr>
          <w:p>
            <w:pPr>
              <w:ind w:left="140"/>
              <w:spacing w:after="0"/>
              <w:rPr>
                <w:sz w:val="20"/>
                <w:szCs w:val="20"/>
                <w:color w:val="auto"/>
              </w:rPr>
            </w:pPr>
            <w:r>
              <w:rPr>
                <w:rFonts w:ascii="Arial" w:cs="Arial" w:eastAsia="Arial" w:hAnsi="Arial"/>
                <w:sz w:val="18"/>
                <w:szCs w:val="18"/>
                <w:color w:val="auto"/>
              </w:rPr>
              <w:t>Replacement of Trustee.</w:t>
            </w:r>
          </w:p>
        </w:tc>
        <w:tc>
          <w:tcPr>
            <w:tcW w:w="300" w:type="dxa"/>
            <w:vAlign w:val="bottom"/>
            <w:gridSpan w:val="2"/>
          </w:tcPr>
          <w:p>
            <w:pPr>
              <w:jc w:val="right"/>
              <w:ind w:right="20"/>
              <w:spacing w:after="0"/>
              <w:rPr>
                <w:sz w:val="20"/>
                <w:szCs w:val="20"/>
                <w:color w:val="auto"/>
              </w:rPr>
            </w:pPr>
            <w:r>
              <w:rPr>
                <w:rFonts w:ascii="Arial" w:cs="Arial" w:eastAsia="Arial" w:hAnsi="Arial"/>
                <w:sz w:val="18"/>
                <w:szCs w:val="18"/>
                <w:color w:val="auto"/>
              </w:rPr>
              <w:t>23</w:t>
            </w:r>
          </w:p>
        </w:tc>
        <w:tc>
          <w:tcPr>
            <w:tcW w:w="0" w:type="dxa"/>
            <w:vAlign w:val="bottom"/>
          </w:tcPr>
          <w:p>
            <w:pPr>
              <w:spacing w:after="0"/>
              <w:rPr>
                <w:sz w:val="1"/>
                <w:szCs w:val="1"/>
                <w:color w:val="auto"/>
              </w:rPr>
            </w:pPr>
          </w:p>
        </w:tc>
      </w:tr>
      <w:tr>
        <w:trPr>
          <w:trHeight w:val="216"/>
        </w:trPr>
        <w:tc>
          <w:tcPr>
            <w:tcW w:w="1160" w:type="dxa"/>
            <w:vAlign w:val="bottom"/>
          </w:tcPr>
          <w:p>
            <w:pPr>
              <w:spacing w:after="0"/>
              <w:rPr>
                <w:sz w:val="20"/>
                <w:szCs w:val="20"/>
                <w:color w:val="auto"/>
              </w:rPr>
            </w:pPr>
            <w:r>
              <w:rPr>
                <w:rFonts w:ascii="Arial" w:cs="Arial" w:eastAsia="Arial" w:hAnsi="Arial"/>
                <w:sz w:val="18"/>
                <w:szCs w:val="18"/>
                <w:color w:val="auto"/>
              </w:rPr>
              <w:t>Section 7.9.</w:t>
            </w:r>
          </w:p>
        </w:tc>
        <w:tc>
          <w:tcPr>
            <w:tcW w:w="9520" w:type="dxa"/>
            <w:vAlign w:val="bottom"/>
          </w:tcPr>
          <w:p>
            <w:pPr>
              <w:ind w:left="140"/>
              <w:spacing w:after="0"/>
              <w:rPr>
                <w:sz w:val="20"/>
                <w:szCs w:val="20"/>
                <w:color w:val="auto"/>
              </w:rPr>
            </w:pPr>
            <w:r>
              <w:rPr>
                <w:rFonts w:ascii="Arial" w:cs="Arial" w:eastAsia="Arial" w:hAnsi="Arial"/>
                <w:sz w:val="18"/>
                <w:szCs w:val="18"/>
                <w:color w:val="auto"/>
              </w:rPr>
              <w:t>Successor Trustee by Merger, Etc.</w:t>
            </w:r>
          </w:p>
        </w:tc>
        <w:tc>
          <w:tcPr>
            <w:tcW w:w="300" w:type="dxa"/>
            <w:vAlign w:val="bottom"/>
            <w:gridSpan w:val="2"/>
          </w:tcPr>
          <w:p>
            <w:pPr>
              <w:jc w:val="right"/>
              <w:ind w:right="20"/>
              <w:spacing w:after="0"/>
              <w:rPr>
                <w:sz w:val="20"/>
                <w:szCs w:val="20"/>
                <w:color w:val="auto"/>
              </w:rPr>
            </w:pPr>
            <w:r>
              <w:rPr>
                <w:rFonts w:ascii="Arial" w:cs="Arial" w:eastAsia="Arial" w:hAnsi="Arial"/>
                <w:sz w:val="18"/>
                <w:szCs w:val="18"/>
                <w:color w:val="auto"/>
              </w:rPr>
              <w:t>24</w:t>
            </w:r>
          </w:p>
        </w:tc>
        <w:tc>
          <w:tcPr>
            <w:tcW w:w="0" w:type="dxa"/>
            <w:vAlign w:val="bottom"/>
          </w:tcPr>
          <w:p>
            <w:pPr>
              <w:spacing w:after="0"/>
              <w:rPr>
                <w:sz w:val="1"/>
                <w:szCs w:val="1"/>
                <w:color w:val="auto"/>
              </w:rPr>
            </w:pPr>
          </w:p>
        </w:tc>
      </w:tr>
      <w:tr>
        <w:trPr>
          <w:trHeight w:val="216"/>
        </w:trPr>
        <w:tc>
          <w:tcPr>
            <w:tcW w:w="1160" w:type="dxa"/>
            <w:vAlign w:val="bottom"/>
          </w:tcPr>
          <w:p>
            <w:pPr>
              <w:spacing w:after="0"/>
              <w:rPr>
                <w:sz w:val="20"/>
                <w:szCs w:val="20"/>
                <w:color w:val="auto"/>
              </w:rPr>
            </w:pPr>
            <w:r>
              <w:rPr>
                <w:rFonts w:ascii="Arial" w:cs="Arial" w:eastAsia="Arial" w:hAnsi="Arial"/>
                <w:sz w:val="18"/>
                <w:szCs w:val="18"/>
                <w:color w:val="auto"/>
              </w:rPr>
              <w:t>Section 7.10.</w:t>
            </w:r>
          </w:p>
        </w:tc>
        <w:tc>
          <w:tcPr>
            <w:tcW w:w="9520" w:type="dxa"/>
            <w:vAlign w:val="bottom"/>
          </w:tcPr>
          <w:p>
            <w:pPr>
              <w:ind w:left="140"/>
              <w:spacing w:after="0"/>
              <w:rPr>
                <w:sz w:val="20"/>
                <w:szCs w:val="20"/>
                <w:color w:val="auto"/>
              </w:rPr>
            </w:pPr>
            <w:r>
              <w:rPr>
                <w:rFonts w:ascii="Arial" w:cs="Arial" w:eastAsia="Arial" w:hAnsi="Arial"/>
                <w:sz w:val="18"/>
                <w:szCs w:val="18"/>
                <w:color w:val="auto"/>
              </w:rPr>
              <w:t>Eligibility; Disqualification.</w:t>
            </w:r>
          </w:p>
        </w:tc>
        <w:tc>
          <w:tcPr>
            <w:tcW w:w="300" w:type="dxa"/>
            <w:vAlign w:val="bottom"/>
            <w:gridSpan w:val="2"/>
          </w:tcPr>
          <w:p>
            <w:pPr>
              <w:jc w:val="right"/>
              <w:ind w:right="20"/>
              <w:spacing w:after="0"/>
              <w:rPr>
                <w:sz w:val="20"/>
                <w:szCs w:val="20"/>
                <w:color w:val="auto"/>
              </w:rPr>
            </w:pPr>
            <w:r>
              <w:rPr>
                <w:rFonts w:ascii="Arial" w:cs="Arial" w:eastAsia="Arial" w:hAnsi="Arial"/>
                <w:sz w:val="18"/>
                <w:szCs w:val="18"/>
                <w:color w:val="auto"/>
              </w:rPr>
              <w:t>24</w:t>
            </w:r>
          </w:p>
        </w:tc>
        <w:tc>
          <w:tcPr>
            <w:tcW w:w="0" w:type="dxa"/>
            <w:vAlign w:val="bottom"/>
          </w:tcPr>
          <w:p>
            <w:pPr>
              <w:spacing w:after="0"/>
              <w:rPr>
                <w:sz w:val="1"/>
                <w:szCs w:val="1"/>
                <w:color w:val="auto"/>
              </w:rPr>
            </w:pPr>
          </w:p>
        </w:tc>
      </w:tr>
      <w:tr>
        <w:trPr>
          <w:trHeight w:val="216"/>
        </w:trPr>
        <w:tc>
          <w:tcPr>
            <w:tcW w:w="1160" w:type="dxa"/>
            <w:vAlign w:val="bottom"/>
          </w:tcPr>
          <w:p>
            <w:pPr>
              <w:spacing w:after="0"/>
              <w:rPr>
                <w:sz w:val="20"/>
                <w:szCs w:val="20"/>
                <w:color w:val="auto"/>
              </w:rPr>
            </w:pPr>
            <w:r>
              <w:rPr>
                <w:rFonts w:ascii="Arial" w:cs="Arial" w:eastAsia="Arial" w:hAnsi="Arial"/>
                <w:sz w:val="18"/>
                <w:szCs w:val="18"/>
                <w:color w:val="auto"/>
              </w:rPr>
              <w:t>Section 7.11.</w:t>
            </w:r>
          </w:p>
        </w:tc>
        <w:tc>
          <w:tcPr>
            <w:tcW w:w="9520" w:type="dxa"/>
            <w:vAlign w:val="bottom"/>
          </w:tcPr>
          <w:p>
            <w:pPr>
              <w:ind w:left="140"/>
              <w:spacing w:after="0"/>
              <w:rPr>
                <w:sz w:val="20"/>
                <w:szCs w:val="20"/>
                <w:color w:val="auto"/>
              </w:rPr>
            </w:pPr>
            <w:r>
              <w:rPr>
                <w:rFonts w:ascii="Arial" w:cs="Arial" w:eastAsia="Arial" w:hAnsi="Arial"/>
                <w:sz w:val="18"/>
                <w:szCs w:val="18"/>
                <w:color w:val="auto"/>
              </w:rPr>
              <w:t>Preferential Collection of Claims Against Company.</w:t>
            </w:r>
          </w:p>
        </w:tc>
        <w:tc>
          <w:tcPr>
            <w:tcW w:w="300" w:type="dxa"/>
            <w:vAlign w:val="bottom"/>
            <w:gridSpan w:val="2"/>
          </w:tcPr>
          <w:p>
            <w:pPr>
              <w:jc w:val="right"/>
              <w:ind w:right="20"/>
              <w:spacing w:after="0"/>
              <w:rPr>
                <w:sz w:val="20"/>
                <w:szCs w:val="20"/>
                <w:color w:val="auto"/>
              </w:rPr>
            </w:pPr>
            <w:r>
              <w:rPr>
                <w:rFonts w:ascii="Arial" w:cs="Arial" w:eastAsia="Arial" w:hAnsi="Arial"/>
                <w:sz w:val="18"/>
                <w:szCs w:val="18"/>
                <w:color w:val="auto"/>
              </w:rPr>
              <w:t>24</w:t>
            </w:r>
          </w:p>
        </w:tc>
        <w:tc>
          <w:tcPr>
            <w:tcW w:w="0" w:type="dxa"/>
            <w:vAlign w:val="bottom"/>
          </w:tcPr>
          <w:p>
            <w:pPr>
              <w:spacing w:after="0"/>
              <w:rPr>
                <w:sz w:val="1"/>
                <w:szCs w:val="1"/>
                <w:color w:val="auto"/>
              </w:rPr>
            </w:pPr>
          </w:p>
        </w:tc>
      </w:tr>
      <w:tr>
        <w:trPr>
          <w:trHeight w:val="216"/>
        </w:trPr>
        <w:tc>
          <w:tcPr>
            <w:tcW w:w="10680" w:type="dxa"/>
            <w:vAlign w:val="bottom"/>
            <w:gridSpan w:val="2"/>
          </w:tcPr>
          <w:p>
            <w:pPr>
              <w:spacing w:after="0"/>
              <w:rPr>
                <w:sz w:val="20"/>
                <w:szCs w:val="20"/>
                <w:color w:val="auto"/>
              </w:rPr>
            </w:pPr>
            <w:r>
              <w:rPr>
                <w:rFonts w:ascii="Arial" w:cs="Arial" w:eastAsia="Arial" w:hAnsi="Arial"/>
                <w:sz w:val="18"/>
                <w:szCs w:val="18"/>
                <w:color w:val="auto"/>
              </w:rPr>
              <w:t>ARTICLE VIII. SATISFACTION AND DISCHARGE; DEFEASANCE</w:t>
            </w:r>
          </w:p>
        </w:tc>
        <w:tc>
          <w:tcPr>
            <w:tcW w:w="300" w:type="dxa"/>
            <w:vAlign w:val="bottom"/>
            <w:gridSpan w:val="2"/>
          </w:tcPr>
          <w:p>
            <w:pPr>
              <w:jc w:val="right"/>
              <w:ind w:right="20"/>
              <w:spacing w:after="0"/>
              <w:rPr>
                <w:sz w:val="20"/>
                <w:szCs w:val="20"/>
                <w:color w:val="auto"/>
              </w:rPr>
            </w:pPr>
            <w:r>
              <w:rPr>
                <w:rFonts w:ascii="Arial" w:cs="Arial" w:eastAsia="Arial" w:hAnsi="Arial"/>
                <w:sz w:val="18"/>
                <w:szCs w:val="18"/>
                <w:color w:val="auto"/>
              </w:rPr>
              <w:t>24</w:t>
            </w:r>
          </w:p>
        </w:tc>
        <w:tc>
          <w:tcPr>
            <w:tcW w:w="0" w:type="dxa"/>
            <w:vAlign w:val="bottom"/>
          </w:tcPr>
          <w:p>
            <w:pPr>
              <w:spacing w:after="0"/>
              <w:rPr>
                <w:sz w:val="1"/>
                <w:szCs w:val="1"/>
                <w:color w:val="auto"/>
              </w:rPr>
            </w:pPr>
          </w:p>
        </w:tc>
      </w:tr>
      <w:tr>
        <w:trPr>
          <w:trHeight w:val="216"/>
        </w:trPr>
        <w:tc>
          <w:tcPr>
            <w:tcW w:w="1160" w:type="dxa"/>
            <w:vAlign w:val="bottom"/>
          </w:tcPr>
          <w:p>
            <w:pPr>
              <w:spacing w:after="0"/>
              <w:rPr>
                <w:sz w:val="20"/>
                <w:szCs w:val="20"/>
                <w:color w:val="auto"/>
              </w:rPr>
            </w:pPr>
            <w:r>
              <w:rPr>
                <w:rFonts w:ascii="Arial" w:cs="Arial" w:eastAsia="Arial" w:hAnsi="Arial"/>
                <w:sz w:val="18"/>
                <w:szCs w:val="18"/>
                <w:color w:val="auto"/>
              </w:rPr>
              <w:t>Section 8.1.</w:t>
            </w:r>
          </w:p>
        </w:tc>
        <w:tc>
          <w:tcPr>
            <w:tcW w:w="9520" w:type="dxa"/>
            <w:vAlign w:val="bottom"/>
          </w:tcPr>
          <w:p>
            <w:pPr>
              <w:ind w:left="140"/>
              <w:spacing w:after="0"/>
              <w:rPr>
                <w:sz w:val="20"/>
                <w:szCs w:val="20"/>
                <w:color w:val="auto"/>
              </w:rPr>
            </w:pPr>
            <w:r>
              <w:rPr>
                <w:rFonts w:ascii="Arial" w:cs="Arial" w:eastAsia="Arial" w:hAnsi="Arial"/>
                <w:sz w:val="18"/>
                <w:szCs w:val="18"/>
                <w:color w:val="auto"/>
              </w:rPr>
              <w:t>Satisfaction and Discharge of Indenture.</w:t>
            </w:r>
          </w:p>
        </w:tc>
        <w:tc>
          <w:tcPr>
            <w:tcW w:w="300" w:type="dxa"/>
            <w:vAlign w:val="bottom"/>
            <w:gridSpan w:val="2"/>
          </w:tcPr>
          <w:p>
            <w:pPr>
              <w:jc w:val="right"/>
              <w:ind w:right="20"/>
              <w:spacing w:after="0"/>
              <w:rPr>
                <w:sz w:val="20"/>
                <w:szCs w:val="20"/>
                <w:color w:val="auto"/>
              </w:rPr>
            </w:pPr>
            <w:r>
              <w:rPr>
                <w:rFonts w:ascii="Arial" w:cs="Arial" w:eastAsia="Arial" w:hAnsi="Arial"/>
                <w:sz w:val="18"/>
                <w:szCs w:val="18"/>
                <w:color w:val="auto"/>
              </w:rPr>
              <w:t>24</w:t>
            </w:r>
          </w:p>
        </w:tc>
        <w:tc>
          <w:tcPr>
            <w:tcW w:w="0" w:type="dxa"/>
            <w:vAlign w:val="bottom"/>
          </w:tcPr>
          <w:p>
            <w:pPr>
              <w:spacing w:after="0"/>
              <w:rPr>
                <w:sz w:val="1"/>
                <w:szCs w:val="1"/>
                <w:color w:val="auto"/>
              </w:rPr>
            </w:pPr>
          </w:p>
        </w:tc>
      </w:tr>
      <w:tr>
        <w:trPr>
          <w:trHeight w:val="216"/>
        </w:trPr>
        <w:tc>
          <w:tcPr>
            <w:tcW w:w="1160" w:type="dxa"/>
            <w:vAlign w:val="bottom"/>
          </w:tcPr>
          <w:p>
            <w:pPr>
              <w:spacing w:after="0"/>
              <w:rPr>
                <w:sz w:val="20"/>
                <w:szCs w:val="20"/>
                <w:color w:val="auto"/>
              </w:rPr>
            </w:pPr>
            <w:r>
              <w:rPr>
                <w:rFonts w:ascii="Arial" w:cs="Arial" w:eastAsia="Arial" w:hAnsi="Arial"/>
                <w:sz w:val="18"/>
                <w:szCs w:val="18"/>
                <w:color w:val="auto"/>
              </w:rPr>
              <w:t>Section 8.2.</w:t>
            </w:r>
          </w:p>
        </w:tc>
        <w:tc>
          <w:tcPr>
            <w:tcW w:w="9520" w:type="dxa"/>
            <w:vAlign w:val="bottom"/>
          </w:tcPr>
          <w:p>
            <w:pPr>
              <w:ind w:left="140"/>
              <w:spacing w:after="0"/>
              <w:rPr>
                <w:sz w:val="20"/>
                <w:szCs w:val="20"/>
                <w:color w:val="auto"/>
              </w:rPr>
            </w:pPr>
            <w:r>
              <w:rPr>
                <w:rFonts w:ascii="Arial" w:cs="Arial" w:eastAsia="Arial" w:hAnsi="Arial"/>
                <w:sz w:val="18"/>
                <w:szCs w:val="18"/>
                <w:color w:val="auto"/>
              </w:rPr>
              <w:t>Application of Trust Funds; Indemnification.</w:t>
            </w:r>
          </w:p>
        </w:tc>
        <w:tc>
          <w:tcPr>
            <w:tcW w:w="300" w:type="dxa"/>
            <w:vAlign w:val="bottom"/>
            <w:gridSpan w:val="2"/>
          </w:tcPr>
          <w:p>
            <w:pPr>
              <w:jc w:val="right"/>
              <w:ind w:right="20"/>
              <w:spacing w:after="0"/>
              <w:rPr>
                <w:sz w:val="20"/>
                <w:szCs w:val="20"/>
                <w:color w:val="auto"/>
              </w:rPr>
            </w:pPr>
            <w:r>
              <w:rPr>
                <w:rFonts w:ascii="Arial" w:cs="Arial" w:eastAsia="Arial" w:hAnsi="Arial"/>
                <w:sz w:val="18"/>
                <w:szCs w:val="18"/>
                <w:color w:val="auto"/>
              </w:rPr>
              <w:t>25</w:t>
            </w:r>
          </w:p>
        </w:tc>
        <w:tc>
          <w:tcPr>
            <w:tcW w:w="0" w:type="dxa"/>
            <w:vAlign w:val="bottom"/>
          </w:tcPr>
          <w:p>
            <w:pPr>
              <w:spacing w:after="0"/>
              <w:rPr>
                <w:sz w:val="1"/>
                <w:szCs w:val="1"/>
                <w:color w:val="auto"/>
              </w:rPr>
            </w:pPr>
          </w:p>
        </w:tc>
      </w:tr>
      <w:tr>
        <w:trPr>
          <w:trHeight w:val="216"/>
        </w:trPr>
        <w:tc>
          <w:tcPr>
            <w:tcW w:w="1160" w:type="dxa"/>
            <w:vAlign w:val="bottom"/>
          </w:tcPr>
          <w:p>
            <w:pPr>
              <w:spacing w:after="0"/>
              <w:rPr>
                <w:sz w:val="20"/>
                <w:szCs w:val="20"/>
                <w:color w:val="auto"/>
              </w:rPr>
            </w:pPr>
            <w:r>
              <w:rPr>
                <w:rFonts w:ascii="Arial" w:cs="Arial" w:eastAsia="Arial" w:hAnsi="Arial"/>
                <w:sz w:val="18"/>
                <w:szCs w:val="18"/>
                <w:color w:val="auto"/>
              </w:rPr>
              <w:t>Section 8.3.</w:t>
            </w:r>
          </w:p>
        </w:tc>
        <w:tc>
          <w:tcPr>
            <w:tcW w:w="9520" w:type="dxa"/>
            <w:vAlign w:val="bottom"/>
          </w:tcPr>
          <w:p>
            <w:pPr>
              <w:ind w:left="140"/>
              <w:spacing w:after="0"/>
              <w:rPr>
                <w:sz w:val="20"/>
                <w:szCs w:val="20"/>
                <w:color w:val="auto"/>
              </w:rPr>
            </w:pPr>
            <w:r>
              <w:rPr>
                <w:rFonts w:ascii="Arial" w:cs="Arial" w:eastAsia="Arial" w:hAnsi="Arial"/>
                <w:sz w:val="18"/>
                <w:szCs w:val="18"/>
                <w:color w:val="auto"/>
              </w:rPr>
              <w:t>Legal Defeasance of Securities of any Series.</w:t>
            </w:r>
          </w:p>
        </w:tc>
        <w:tc>
          <w:tcPr>
            <w:tcW w:w="300" w:type="dxa"/>
            <w:vAlign w:val="bottom"/>
            <w:gridSpan w:val="2"/>
          </w:tcPr>
          <w:p>
            <w:pPr>
              <w:jc w:val="right"/>
              <w:ind w:right="20"/>
              <w:spacing w:after="0"/>
              <w:rPr>
                <w:sz w:val="20"/>
                <w:szCs w:val="20"/>
                <w:color w:val="auto"/>
              </w:rPr>
            </w:pPr>
            <w:r>
              <w:rPr>
                <w:rFonts w:ascii="Arial" w:cs="Arial" w:eastAsia="Arial" w:hAnsi="Arial"/>
                <w:sz w:val="18"/>
                <w:szCs w:val="18"/>
                <w:color w:val="auto"/>
              </w:rPr>
              <w:t>25</w:t>
            </w:r>
          </w:p>
        </w:tc>
        <w:tc>
          <w:tcPr>
            <w:tcW w:w="0" w:type="dxa"/>
            <w:vAlign w:val="bottom"/>
          </w:tcPr>
          <w:p>
            <w:pPr>
              <w:spacing w:after="0"/>
              <w:rPr>
                <w:sz w:val="1"/>
                <w:szCs w:val="1"/>
                <w:color w:val="auto"/>
              </w:rPr>
            </w:pPr>
          </w:p>
        </w:tc>
      </w:tr>
      <w:tr>
        <w:trPr>
          <w:trHeight w:val="216"/>
        </w:trPr>
        <w:tc>
          <w:tcPr>
            <w:tcW w:w="1160" w:type="dxa"/>
            <w:vAlign w:val="bottom"/>
          </w:tcPr>
          <w:p>
            <w:pPr>
              <w:spacing w:after="0"/>
              <w:rPr>
                <w:sz w:val="20"/>
                <w:szCs w:val="20"/>
                <w:color w:val="auto"/>
              </w:rPr>
            </w:pPr>
            <w:r>
              <w:rPr>
                <w:rFonts w:ascii="Arial" w:cs="Arial" w:eastAsia="Arial" w:hAnsi="Arial"/>
                <w:sz w:val="18"/>
                <w:szCs w:val="18"/>
                <w:color w:val="auto"/>
              </w:rPr>
              <w:t>Section 8.4.</w:t>
            </w:r>
          </w:p>
        </w:tc>
        <w:tc>
          <w:tcPr>
            <w:tcW w:w="9520" w:type="dxa"/>
            <w:vAlign w:val="bottom"/>
          </w:tcPr>
          <w:p>
            <w:pPr>
              <w:ind w:left="140"/>
              <w:spacing w:after="0"/>
              <w:rPr>
                <w:sz w:val="20"/>
                <w:szCs w:val="20"/>
                <w:color w:val="auto"/>
              </w:rPr>
            </w:pPr>
            <w:r>
              <w:rPr>
                <w:rFonts w:ascii="Arial" w:cs="Arial" w:eastAsia="Arial" w:hAnsi="Arial"/>
                <w:sz w:val="18"/>
                <w:szCs w:val="18"/>
                <w:color w:val="auto"/>
              </w:rPr>
              <w:t>Covenant Defeasance.</w:t>
            </w:r>
          </w:p>
        </w:tc>
        <w:tc>
          <w:tcPr>
            <w:tcW w:w="300" w:type="dxa"/>
            <w:vAlign w:val="bottom"/>
            <w:gridSpan w:val="2"/>
          </w:tcPr>
          <w:p>
            <w:pPr>
              <w:jc w:val="right"/>
              <w:ind w:right="20"/>
              <w:spacing w:after="0"/>
              <w:rPr>
                <w:sz w:val="20"/>
                <w:szCs w:val="20"/>
                <w:color w:val="auto"/>
              </w:rPr>
            </w:pPr>
            <w:r>
              <w:rPr>
                <w:rFonts w:ascii="Arial" w:cs="Arial" w:eastAsia="Arial" w:hAnsi="Arial"/>
                <w:sz w:val="18"/>
                <w:szCs w:val="18"/>
                <w:color w:val="auto"/>
              </w:rPr>
              <w:t>27</w:t>
            </w:r>
          </w:p>
        </w:tc>
        <w:tc>
          <w:tcPr>
            <w:tcW w:w="0" w:type="dxa"/>
            <w:vAlign w:val="bottom"/>
          </w:tcPr>
          <w:p>
            <w:pPr>
              <w:spacing w:after="0"/>
              <w:rPr>
                <w:sz w:val="1"/>
                <w:szCs w:val="1"/>
                <w:color w:val="auto"/>
              </w:rPr>
            </w:pPr>
          </w:p>
        </w:tc>
      </w:tr>
      <w:tr>
        <w:trPr>
          <w:trHeight w:val="216"/>
        </w:trPr>
        <w:tc>
          <w:tcPr>
            <w:tcW w:w="1160" w:type="dxa"/>
            <w:vAlign w:val="bottom"/>
          </w:tcPr>
          <w:p>
            <w:pPr>
              <w:spacing w:after="0"/>
              <w:rPr>
                <w:sz w:val="20"/>
                <w:szCs w:val="20"/>
                <w:color w:val="auto"/>
              </w:rPr>
            </w:pPr>
            <w:r>
              <w:rPr>
                <w:rFonts w:ascii="Arial" w:cs="Arial" w:eastAsia="Arial" w:hAnsi="Arial"/>
                <w:sz w:val="18"/>
                <w:szCs w:val="18"/>
                <w:color w:val="auto"/>
              </w:rPr>
              <w:t>Section 8.5.</w:t>
            </w:r>
          </w:p>
        </w:tc>
        <w:tc>
          <w:tcPr>
            <w:tcW w:w="9520" w:type="dxa"/>
            <w:vAlign w:val="bottom"/>
          </w:tcPr>
          <w:p>
            <w:pPr>
              <w:ind w:left="140"/>
              <w:spacing w:after="0"/>
              <w:rPr>
                <w:sz w:val="20"/>
                <w:szCs w:val="20"/>
                <w:color w:val="auto"/>
              </w:rPr>
            </w:pPr>
            <w:r>
              <w:rPr>
                <w:rFonts w:ascii="Arial" w:cs="Arial" w:eastAsia="Arial" w:hAnsi="Arial"/>
                <w:sz w:val="18"/>
                <w:szCs w:val="18"/>
                <w:color w:val="auto"/>
              </w:rPr>
              <w:t>Repayment to Company.</w:t>
            </w:r>
          </w:p>
        </w:tc>
        <w:tc>
          <w:tcPr>
            <w:tcW w:w="300" w:type="dxa"/>
            <w:vAlign w:val="bottom"/>
            <w:gridSpan w:val="2"/>
          </w:tcPr>
          <w:p>
            <w:pPr>
              <w:jc w:val="right"/>
              <w:ind w:right="20"/>
              <w:spacing w:after="0"/>
              <w:rPr>
                <w:sz w:val="20"/>
                <w:szCs w:val="20"/>
                <w:color w:val="auto"/>
              </w:rPr>
            </w:pPr>
            <w:r>
              <w:rPr>
                <w:rFonts w:ascii="Arial" w:cs="Arial" w:eastAsia="Arial" w:hAnsi="Arial"/>
                <w:sz w:val="18"/>
                <w:szCs w:val="18"/>
                <w:color w:val="auto"/>
              </w:rPr>
              <w:t>27</w:t>
            </w:r>
          </w:p>
        </w:tc>
        <w:tc>
          <w:tcPr>
            <w:tcW w:w="0" w:type="dxa"/>
            <w:vAlign w:val="bottom"/>
          </w:tcPr>
          <w:p>
            <w:pPr>
              <w:spacing w:after="0"/>
              <w:rPr>
                <w:sz w:val="1"/>
                <w:szCs w:val="1"/>
                <w:color w:val="auto"/>
              </w:rPr>
            </w:pPr>
          </w:p>
        </w:tc>
      </w:tr>
      <w:tr>
        <w:trPr>
          <w:trHeight w:val="216"/>
        </w:trPr>
        <w:tc>
          <w:tcPr>
            <w:tcW w:w="1160" w:type="dxa"/>
            <w:vAlign w:val="bottom"/>
          </w:tcPr>
          <w:p>
            <w:pPr>
              <w:spacing w:after="0"/>
              <w:rPr>
                <w:sz w:val="20"/>
                <w:szCs w:val="20"/>
                <w:color w:val="auto"/>
              </w:rPr>
            </w:pPr>
            <w:r>
              <w:rPr>
                <w:rFonts w:ascii="Arial" w:cs="Arial" w:eastAsia="Arial" w:hAnsi="Arial"/>
                <w:sz w:val="18"/>
                <w:szCs w:val="18"/>
                <w:color w:val="auto"/>
              </w:rPr>
              <w:t>Section 8.6.</w:t>
            </w:r>
          </w:p>
        </w:tc>
        <w:tc>
          <w:tcPr>
            <w:tcW w:w="9520" w:type="dxa"/>
            <w:vAlign w:val="bottom"/>
          </w:tcPr>
          <w:p>
            <w:pPr>
              <w:ind w:left="140"/>
              <w:spacing w:after="0"/>
              <w:rPr>
                <w:sz w:val="20"/>
                <w:szCs w:val="20"/>
                <w:color w:val="auto"/>
              </w:rPr>
            </w:pPr>
            <w:r>
              <w:rPr>
                <w:rFonts w:ascii="Arial" w:cs="Arial" w:eastAsia="Arial" w:hAnsi="Arial"/>
                <w:sz w:val="18"/>
                <w:szCs w:val="18"/>
                <w:color w:val="auto"/>
              </w:rPr>
              <w:t>Reinstatement.</w:t>
            </w:r>
          </w:p>
        </w:tc>
        <w:tc>
          <w:tcPr>
            <w:tcW w:w="300" w:type="dxa"/>
            <w:vAlign w:val="bottom"/>
            <w:gridSpan w:val="2"/>
          </w:tcPr>
          <w:p>
            <w:pPr>
              <w:jc w:val="right"/>
              <w:ind w:right="20"/>
              <w:spacing w:after="0"/>
              <w:rPr>
                <w:sz w:val="20"/>
                <w:szCs w:val="20"/>
                <w:color w:val="auto"/>
              </w:rPr>
            </w:pPr>
            <w:r>
              <w:rPr>
                <w:rFonts w:ascii="Arial" w:cs="Arial" w:eastAsia="Arial" w:hAnsi="Arial"/>
                <w:sz w:val="18"/>
                <w:szCs w:val="18"/>
                <w:color w:val="auto"/>
              </w:rPr>
              <w:t>28</w:t>
            </w:r>
          </w:p>
        </w:tc>
        <w:tc>
          <w:tcPr>
            <w:tcW w:w="0" w:type="dxa"/>
            <w:vAlign w:val="bottom"/>
          </w:tcPr>
          <w:p>
            <w:pPr>
              <w:spacing w:after="0"/>
              <w:rPr>
                <w:sz w:val="1"/>
                <w:szCs w:val="1"/>
                <w:color w:val="auto"/>
              </w:rPr>
            </w:pPr>
          </w:p>
        </w:tc>
      </w:tr>
      <w:tr>
        <w:trPr>
          <w:trHeight w:val="216"/>
        </w:trPr>
        <w:tc>
          <w:tcPr>
            <w:tcW w:w="10680" w:type="dxa"/>
            <w:vAlign w:val="bottom"/>
            <w:gridSpan w:val="2"/>
          </w:tcPr>
          <w:p>
            <w:pPr>
              <w:spacing w:after="0"/>
              <w:rPr>
                <w:sz w:val="20"/>
                <w:szCs w:val="20"/>
                <w:color w:val="auto"/>
              </w:rPr>
            </w:pPr>
            <w:r>
              <w:rPr>
                <w:rFonts w:ascii="Arial" w:cs="Arial" w:eastAsia="Arial" w:hAnsi="Arial"/>
                <w:sz w:val="18"/>
                <w:szCs w:val="18"/>
                <w:color w:val="auto"/>
              </w:rPr>
              <w:t>ARTICLE IX. AMENDMENTS AND WAIVERS</w:t>
            </w:r>
          </w:p>
        </w:tc>
        <w:tc>
          <w:tcPr>
            <w:tcW w:w="300" w:type="dxa"/>
            <w:vAlign w:val="bottom"/>
            <w:gridSpan w:val="2"/>
          </w:tcPr>
          <w:p>
            <w:pPr>
              <w:jc w:val="right"/>
              <w:ind w:right="20"/>
              <w:spacing w:after="0"/>
              <w:rPr>
                <w:sz w:val="20"/>
                <w:szCs w:val="20"/>
                <w:color w:val="auto"/>
              </w:rPr>
            </w:pPr>
            <w:r>
              <w:rPr>
                <w:rFonts w:ascii="Arial" w:cs="Arial" w:eastAsia="Arial" w:hAnsi="Arial"/>
                <w:sz w:val="18"/>
                <w:szCs w:val="18"/>
                <w:color w:val="auto"/>
              </w:rPr>
              <w:t>28</w:t>
            </w:r>
          </w:p>
        </w:tc>
        <w:tc>
          <w:tcPr>
            <w:tcW w:w="0" w:type="dxa"/>
            <w:vAlign w:val="bottom"/>
          </w:tcPr>
          <w:p>
            <w:pPr>
              <w:spacing w:after="0"/>
              <w:rPr>
                <w:sz w:val="1"/>
                <w:szCs w:val="1"/>
                <w:color w:val="auto"/>
              </w:rPr>
            </w:pPr>
          </w:p>
        </w:tc>
      </w:tr>
      <w:tr>
        <w:trPr>
          <w:trHeight w:val="216"/>
        </w:trPr>
        <w:tc>
          <w:tcPr>
            <w:tcW w:w="1160" w:type="dxa"/>
            <w:vAlign w:val="bottom"/>
          </w:tcPr>
          <w:p>
            <w:pPr>
              <w:spacing w:after="0"/>
              <w:rPr>
                <w:sz w:val="20"/>
                <w:szCs w:val="20"/>
                <w:color w:val="auto"/>
              </w:rPr>
            </w:pPr>
            <w:r>
              <w:rPr>
                <w:rFonts w:ascii="Arial" w:cs="Arial" w:eastAsia="Arial" w:hAnsi="Arial"/>
                <w:sz w:val="18"/>
                <w:szCs w:val="18"/>
                <w:color w:val="auto"/>
              </w:rPr>
              <w:t>Section 9.1.</w:t>
            </w:r>
          </w:p>
        </w:tc>
        <w:tc>
          <w:tcPr>
            <w:tcW w:w="9520" w:type="dxa"/>
            <w:vAlign w:val="bottom"/>
          </w:tcPr>
          <w:p>
            <w:pPr>
              <w:ind w:left="140"/>
              <w:spacing w:after="0"/>
              <w:rPr>
                <w:sz w:val="20"/>
                <w:szCs w:val="20"/>
                <w:color w:val="auto"/>
              </w:rPr>
            </w:pPr>
            <w:r>
              <w:rPr>
                <w:rFonts w:ascii="Arial" w:cs="Arial" w:eastAsia="Arial" w:hAnsi="Arial"/>
                <w:sz w:val="18"/>
                <w:szCs w:val="18"/>
                <w:color w:val="auto"/>
              </w:rPr>
              <w:t>Without Consent of Holders.</w:t>
            </w:r>
          </w:p>
        </w:tc>
        <w:tc>
          <w:tcPr>
            <w:tcW w:w="300" w:type="dxa"/>
            <w:vAlign w:val="bottom"/>
            <w:gridSpan w:val="2"/>
          </w:tcPr>
          <w:p>
            <w:pPr>
              <w:jc w:val="right"/>
              <w:ind w:right="20"/>
              <w:spacing w:after="0"/>
              <w:rPr>
                <w:sz w:val="20"/>
                <w:szCs w:val="20"/>
                <w:color w:val="auto"/>
              </w:rPr>
            </w:pPr>
            <w:r>
              <w:rPr>
                <w:rFonts w:ascii="Arial" w:cs="Arial" w:eastAsia="Arial" w:hAnsi="Arial"/>
                <w:sz w:val="18"/>
                <w:szCs w:val="18"/>
                <w:color w:val="auto"/>
              </w:rPr>
              <w:t>28</w:t>
            </w:r>
          </w:p>
        </w:tc>
        <w:tc>
          <w:tcPr>
            <w:tcW w:w="0" w:type="dxa"/>
            <w:vAlign w:val="bottom"/>
          </w:tcPr>
          <w:p>
            <w:pPr>
              <w:spacing w:after="0"/>
              <w:rPr>
                <w:sz w:val="1"/>
                <w:szCs w:val="1"/>
                <w:color w:val="auto"/>
              </w:rPr>
            </w:pPr>
          </w:p>
        </w:tc>
      </w:tr>
      <w:tr>
        <w:trPr>
          <w:trHeight w:val="216"/>
        </w:trPr>
        <w:tc>
          <w:tcPr>
            <w:tcW w:w="1160" w:type="dxa"/>
            <w:vAlign w:val="bottom"/>
          </w:tcPr>
          <w:p>
            <w:pPr>
              <w:spacing w:after="0"/>
              <w:rPr>
                <w:sz w:val="20"/>
                <w:szCs w:val="20"/>
                <w:color w:val="auto"/>
              </w:rPr>
            </w:pPr>
            <w:r>
              <w:rPr>
                <w:rFonts w:ascii="Arial" w:cs="Arial" w:eastAsia="Arial" w:hAnsi="Arial"/>
                <w:sz w:val="18"/>
                <w:szCs w:val="18"/>
                <w:color w:val="auto"/>
              </w:rPr>
              <w:t>Section 9.2.</w:t>
            </w:r>
          </w:p>
        </w:tc>
        <w:tc>
          <w:tcPr>
            <w:tcW w:w="9520" w:type="dxa"/>
            <w:vAlign w:val="bottom"/>
          </w:tcPr>
          <w:p>
            <w:pPr>
              <w:ind w:left="140"/>
              <w:spacing w:after="0"/>
              <w:rPr>
                <w:sz w:val="20"/>
                <w:szCs w:val="20"/>
                <w:color w:val="auto"/>
              </w:rPr>
            </w:pPr>
            <w:r>
              <w:rPr>
                <w:rFonts w:ascii="Arial" w:cs="Arial" w:eastAsia="Arial" w:hAnsi="Arial"/>
                <w:sz w:val="18"/>
                <w:szCs w:val="18"/>
                <w:color w:val="auto"/>
              </w:rPr>
              <w:t>With Consent of Holders.</w:t>
            </w:r>
          </w:p>
        </w:tc>
        <w:tc>
          <w:tcPr>
            <w:tcW w:w="300" w:type="dxa"/>
            <w:vAlign w:val="bottom"/>
            <w:gridSpan w:val="2"/>
          </w:tcPr>
          <w:p>
            <w:pPr>
              <w:jc w:val="right"/>
              <w:ind w:right="20"/>
              <w:spacing w:after="0"/>
              <w:rPr>
                <w:sz w:val="20"/>
                <w:szCs w:val="20"/>
                <w:color w:val="auto"/>
              </w:rPr>
            </w:pPr>
            <w:r>
              <w:rPr>
                <w:rFonts w:ascii="Arial" w:cs="Arial" w:eastAsia="Arial" w:hAnsi="Arial"/>
                <w:sz w:val="18"/>
                <w:szCs w:val="18"/>
                <w:color w:val="auto"/>
              </w:rPr>
              <w:t>28</w:t>
            </w:r>
          </w:p>
        </w:tc>
        <w:tc>
          <w:tcPr>
            <w:tcW w:w="0" w:type="dxa"/>
            <w:vAlign w:val="bottom"/>
          </w:tcPr>
          <w:p>
            <w:pPr>
              <w:spacing w:after="0"/>
              <w:rPr>
                <w:sz w:val="1"/>
                <w:szCs w:val="1"/>
                <w:color w:val="auto"/>
              </w:rPr>
            </w:pPr>
          </w:p>
        </w:tc>
      </w:tr>
      <w:tr>
        <w:trPr>
          <w:trHeight w:val="216"/>
        </w:trPr>
        <w:tc>
          <w:tcPr>
            <w:tcW w:w="1160" w:type="dxa"/>
            <w:vAlign w:val="bottom"/>
          </w:tcPr>
          <w:p>
            <w:pPr>
              <w:spacing w:after="0"/>
              <w:rPr>
                <w:sz w:val="20"/>
                <w:szCs w:val="20"/>
                <w:color w:val="auto"/>
              </w:rPr>
            </w:pPr>
            <w:r>
              <w:rPr>
                <w:rFonts w:ascii="Arial" w:cs="Arial" w:eastAsia="Arial" w:hAnsi="Arial"/>
                <w:sz w:val="18"/>
                <w:szCs w:val="18"/>
                <w:color w:val="auto"/>
              </w:rPr>
              <w:t>Section 9.3.</w:t>
            </w:r>
          </w:p>
        </w:tc>
        <w:tc>
          <w:tcPr>
            <w:tcW w:w="9520" w:type="dxa"/>
            <w:vAlign w:val="bottom"/>
          </w:tcPr>
          <w:p>
            <w:pPr>
              <w:ind w:left="140"/>
              <w:spacing w:after="0"/>
              <w:rPr>
                <w:sz w:val="20"/>
                <w:szCs w:val="20"/>
                <w:color w:val="auto"/>
              </w:rPr>
            </w:pPr>
            <w:r>
              <w:rPr>
                <w:rFonts w:ascii="Arial" w:cs="Arial" w:eastAsia="Arial" w:hAnsi="Arial"/>
                <w:sz w:val="18"/>
                <w:szCs w:val="18"/>
                <w:color w:val="auto"/>
              </w:rPr>
              <w:t>Limitations.</w:t>
            </w:r>
          </w:p>
        </w:tc>
        <w:tc>
          <w:tcPr>
            <w:tcW w:w="300" w:type="dxa"/>
            <w:vAlign w:val="bottom"/>
            <w:gridSpan w:val="2"/>
          </w:tcPr>
          <w:p>
            <w:pPr>
              <w:jc w:val="right"/>
              <w:ind w:right="20"/>
              <w:spacing w:after="0"/>
              <w:rPr>
                <w:sz w:val="20"/>
                <w:szCs w:val="20"/>
                <w:color w:val="auto"/>
              </w:rPr>
            </w:pPr>
            <w:r>
              <w:rPr>
                <w:rFonts w:ascii="Arial" w:cs="Arial" w:eastAsia="Arial" w:hAnsi="Arial"/>
                <w:sz w:val="18"/>
                <w:szCs w:val="18"/>
                <w:color w:val="auto"/>
              </w:rPr>
              <w:t>29</w:t>
            </w:r>
          </w:p>
        </w:tc>
        <w:tc>
          <w:tcPr>
            <w:tcW w:w="0" w:type="dxa"/>
            <w:vAlign w:val="bottom"/>
          </w:tcPr>
          <w:p>
            <w:pPr>
              <w:spacing w:after="0"/>
              <w:rPr>
                <w:sz w:val="1"/>
                <w:szCs w:val="1"/>
                <w:color w:val="auto"/>
              </w:rPr>
            </w:pPr>
          </w:p>
        </w:tc>
      </w:tr>
      <w:tr>
        <w:trPr>
          <w:trHeight w:val="216"/>
        </w:trPr>
        <w:tc>
          <w:tcPr>
            <w:tcW w:w="1160" w:type="dxa"/>
            <w:vAlign w:val="bottom"/>
          </w:tcPr>
          <w:p>
            <w:pPr>
              <w:spacing w:after="0"/>
              <w:rPr>
                <w:sz w:val="20"/>
                <w:szCs w:val="20"/>
                <w:color w:val="auto"/>
              </w:rPr>
            </w:pPr>
            <w:r>
              <w:rPr>
                <w:rFonts w:ascii="Arial" w:cs="Arial" w:eastAsia="Arial" w:hAnsi="Arial"/>
                <w:sz w:val="18"/>
                <w:szCs w:val="18"/>
                <w:color w:val="auto"/>
              </w:rPr>
              <w:t>Section 9.4.</w:t>
            </w:r>
          </w:p>
        </w:tc>
        <w:tc>
          <w:tcPr>
            <w:tcW w:w="9520" w:type="dxa"/>
            <w:vAlign w:val="bottom"/>
          </w:tcPr>
          <w:p>
            <w:pPr>
              <w:ind w:left="140"/>
              <w:spacing w:after="0"/>
              <w:rPr>
                <w:sz w:val="20"/>
                <w:szCs w:val="20"/>
                <w:color w:val="auto"/>
              </w:rPr>
            </w:pPr>
            <w:r>
              <w:rPr>
                <w:rFonts w:ascii="Arial" w:cs="Arial" w:eastAsia="Arial" w:hAnsi="Arial"/>
                <w:sz w:val="18"/>
                <w:szCs w:val="18"/>
                <w:color w:val="auto"/>
              </w:rPr>
              <w:t>Compliance with Trust Indenture Act.</w:t>
            </w:r>
          </w:p>
        </w:tc>
        <w:tc>
          <w:tcPr>
            <w:tcW w:w="300" w:type="dxa"/>
            <w:vAlign w:val="bottom"/>
            <w:gridSpan w:val="2"/>
          </w:tcPr>
          <w:p>
            <w:pPr>
              <w:jc w:val="right"/>
              <w:ind w:right="20"/>
              <w:spacing w:after="0"/>
              <w:rPr>
                <w:sz w:val="20"/>
                <w:szCs w:val="20"/>
                <w:color w:val="auto"/>
              </w:rPr>
            </w:pPr>
            <w:r>
              <w:rPr>
                <w:rFonts w:ascii="Arial" w:cs="Arial" w:eastAsia="Arial" w:hAnsi="Arial"/>
                <w:sz w:val="18"/>
                <w:szCs w:val="18"/>
                <w:color w:val="auto"/>
              </w:rPr>
              <w:t>29</w:t>
            </w:r>
          </w:p>
        </w:tc>
        <w:tc>
          <w:tcPr>
            <w:tcW w:w="0" w:type="dxa"/>
            <w:vAlign w:val="bottom"/>
          </w:tcPr>
          <w:p>
            <w:pPr>
              <w:spacing w:after="0"/>
              <w:rPr>
                <w:sz w:val="1"/>
                <w:szCs w:val="1"/>
                <w:color w:val="auto"/>
              </w:rPr>
            </w:pPr>
          </w:p>
        </w:tc>
      </w:tr>
      <w:tr>
        <w:trPr>
          <w:trHeight w:val="216"/>
        </w:trPr>
        <w:tc>
          <w:tcPr>
            <w:tcW w:w="1160" w:type="dxa"/>
            <w:vAlign w:val="bottom"/>
          </w:tcPr>
          <w:p>
            <w:pPr>
              <w:spacing w:after="0"/>
              <w:rPr>
                <w:sz w:val="20"/>
                <w:szCs w:val="20"/>
                <w:color w:val="auto"/>
              </w:rPr>
            </w:pPr>
            <w:r>
              <w:rPr>
                <w:rFonts w:ascii="Arial" w:cs="Arial" w:eastAsia="Arial" w:hAnsi="Arial"/>
                <w:sz w:val="18"/>
                <w:szCs w:val="18"/>
                <w:color w:val="auto"/>
              </w:rPr>
              <w:t>Section 9.5.</w:t>
            </w:r>
          </w:p>
        </w:tc>
        <w:tc>
          <w:tcPr>
            <w:tcW w:w="9520" w:type="dxa"/>
            <w:vAlign w:val="bottom"/>
          </w:tcPr>
          <w:p>
            <w:pPr>
              <w:ind w:left="140"/>
              <w:spacing w:after="0"/>
              <w:rPr>
                <w:sz w:val="20"/>
                <w:szCs w:val="20"/>
                <w:color w:val="auto"/>
              </w:rPr>
            </w:pPr>
            <w:r>
              <w:rPr>
                <w:rFonts w:ascii="Arial" w:cs="Arial" w:eastAsia="Arial" w:hAnsi="Arial"/>
                <w:sz w:val="18"/>
                <w:szCs w:val="18"/>
                <w:color w:val="auto"/>
              </w:rPr>
              <w:t>Revocation and Effect of Consents.</w:t>
            </w:r>
          </w:p>
        </w:tc>
        <w:tc>
          <w:tcPr>
            <w:tcW w:w="300" w:type="dxa"/>
            <w:vAlign w:val="bottom"/>
            <w:gridSpan w:val="2"/>
          </w:tcPr>
          <w:p>
            <w:pPr>
              <w:jc w:val="right"/>
              <w:ind w:right="20"/>
              <w:spacing w:after="0"/>
              <w:rPr>
                <w:sz w:val="20"/>
                <w:szCs w:val="20"/>
                <w:color w:val="auto"/>
              </w:rPr>
            </w:pPr>
            <w:r>
              <w:rPr>
                <w:rFonts w:ascii="Arial" w:cs="Arial" w:eastAsia="Arial" w:hAnsi="Arial"/>
                <w:sz w:val="18"/>
                <w:szCs w:val="18"/>
                <w:color w:val="auto"/>
              </w:rPr>
              <w:t>29</w:t>
            </w:r>
          </w:p>
        </w:tc>
        <w:tc>
          <w:tcPr>
            <w:tcW w:w="0" w:type="dxa"/>
            <w:vAlign w:val="bottom"/>
          </w:tcPr>
          <w:p>
            <w:pPr>
              <w:spacing w:after="0"/>
              <w:rPr>
                <w:sz w:val="1"/>
                <w:szCs w:val="1"/>
                <w:color w:val="auto"/>
              </w:rPr>
            </w:pPr>
          </w:p>
        </w:tc>
      </w:tr>
      <w:tr>
        <w:trPr>
          <w:trHeight w:val="216"/>
        </w:trPr>
        <w:tc>
          <w:tcPr>
            <w:tcW w:w="1160" w:type="dxa"/>
            <w:vAlign w:val="bottom"/>
          </w:tcPr>
          <w:p>
            <w:pPr>
              <w:spacing w:after="0"/>
              <w:rPr>
                <w:sz w:val="20"/>
                <w:szCs w:val="20"/>
                <w:color w:val="auto"/>
              </w:rPr>
            </w:pPr>
            <w:r>
              <w:rPr>
                <w:rFonts w:ascii="Arial" w:cs="Arial" w:eastAsia="Arial" w:hAnsi="Arial"/>
                <w:sz w:val="18"/>
                <w:szCs w:val="18"/>
                <w:color w:val="auto"/>
              </w:rPr>
              <w:t>Section 9.6.</w:t>
            </w:r>
          </w:p>
        </w:tc>
        <w:tc>
          <w:tcPr>
            <w:tcW w:w="9520" w:type="dxa"/>
            <w:vAlign w:val="bottom"/>
          </w:tcPr>
          <w:p>
            <w:pPr>
              <w:ind w:left="140"/>
              <w:spacing w:after="0"/>
              <w:rPr>
                <w:sz w:val="20"/>
                <w:szCs w:val="20"/>
                <w:color w:val="auto"/>
              </w:rPr>
            </w:pPr>
            <w:r>
              <w:rPr>
                <w:rFonts w:ascii="Arial" w:cs="Arial" w:eastAsia="Arial" w:hAnsi="Arial"/>
                <w:sz w:val="18"/>
                <w:szCs w:val="18"/>
                <w:color w:val="auto"/>
              </w:rPr>
              <w:t>Notation on or Exchange of Securities.</w:t>
            </w:r>
          </w:p>
        </w:tc>
        <w:tc>
          <w:tcPr>
            <w:tcW w:w="300" w:type="dxa"/>
            <w:vAlign w:val="bottom"/>
            <w:gridSpan w:val="2"/>
          </w:tcPr>
          <w:p>
            <w:pPr>
              <w:jc w:val="right"/>
              <w:ind w:right="20"/>
              <w:spacing w:after="0"/>
              <w:rPr>
                <w:sz w:val="20"/>
                <w:szCs w:val="20"/>
                <w:color w:val="auto"/>
              </w:rPr>
            </w:pPr>
            <w:r>
              <w:rPr>
                <w:rFonts w:ascii="Arial" w:cs="Arial" w:eastAsia="Arial" w:hAnsi="Arial"/>
                <w:sz w:val="18"/>
                <w:szCs w:val="18"/>
                <w:color w:val="auto"/>
              </w:rPr>
              <w:t>30</w:t>
            </w:r>
          </w:p>
        </w:tc>
        <w:tc>
          <w:tcPr>
            <w:tcW w:w="0" w:type="dxa"/>
            <w:vAlign w:val="bottom"/>
          </w:tcPr>
          <w:p>
            <w:pPr>
              <w:spacing w:after="0"/>
              <w:rPr>
                <w:sz w:val="1"/>
                <w:szCs w:val="1"/>
                <w:color w:val="auto"/>
              </w:rPr>
            </w:pPr>
          </w:p>
        </w:tc>
      </w:tr>
      <w:tr>
        <w:trPr>
          <w:trHeight w:val="216"/>
        </w:trPr>
        <w:tc>
          <w:tcPr>
            <w:tcW w:w="1160" w:type="dxa"/>
            <w:vAlign w:val="bottom"/>
          </w:tcPr>
          <w:p>
            <w:pPr>
              <w:spacing w:after="0"/>
              <w:rPr>
                <w:sz w:val="20"/>
                <w:szCs w:val="20"/>
                <w:color w:val="auto"/>
              </w:rPr>
            </w:pPr>
            <w:r>
              <w:rPr>
                <w:rFonts w:ascii="Arial" w:cs="Arial" w:eastAsia="Arial" w:hAnsi="Arial"/>
                <w:sz w:val="18"/>
                <w:szCs w:val="18"/>
                <w:color w:val="auto"/>
              </w:rPr>
              <w:t>Section 9.7.</w:t>
            </w:r>
          </w:p>
        </w:tc>
        <w:tc>
          <w:tcPr>
            <w:tcW w:w="9520" w:type="dxa"/>
            <w:vAlign w:val="bottom"/>
          </w:tcPr>
          <w:p>
            <w:pPr>
              <w:ind w:left="140"/>
              <w:spacing w:after="0"/>
              <w:rPr>
                <w:sz w:val="20"/>
                <w:szCs w:val="20"/>
                <w:color w:val="auto"/>
              </w:rPr>
            </w:pPr>
            <w:r>
              <w:rPr>
                <w:rFonts w:ascii="Arial" w:cs="Arial" w:eastAsia="Arial" w:hAnsi="Arial"/>
                <w:sz w:val="18"/>
                <w:szCs w:val="18"/>
                <w:color w:val="auto"/>
              </w:rPr>
              <w:t>Trustee Protected.</w:t>
            </w:r>
          </w:p>
        </w:tc>
        <w:tc>
          <w:tcPr>
            <w:tcW w:w="300" w:type="dxa"/>
            <w:vAlign w:val="bottom"/>
            <w:gridSpan w:val="2"/>
          </w:tcPr>
          <w:p>
            <w:pPr>
              <w:jc w:val="right"/>
              <w:ind w:right="20"/>
              <w:spacing w:after="0"/>
              <w:rPr>
                <w:sz w:val="20"/>
                <w:szCs w:val="20"/>
                <w:color w:val="auto"/>
              </w:rPr>
            </w:pPr>
            <w:r>
              <w:rPr>
                <w:rFonts w:ascii="Arial" w:cs="Arial" w:eastAsia="Arial" w:hAnsi="Arial"/>
                <w:sz w:val="18"/>
                <w:szCs w:val="18"/>
                <w:color w:val="auto"/>
              </w:rPr>
              <w:t>30</w:t>
            </w:r>
          </w:p>
        </w:tc>
        <w:tc>
          <w:tcPr>
            <w:tcW w:w="0" w:type="dxa"/>
            <w:vAlign w:val="bottom"/>
          </w:tcPr>
          <w:p>
            <w:pPr>
              <w:spacing w:after="0"/>
              <w:rPr>
                <w:sz w:val="1"/>
                <w:szCs w:val="1"/>
                <w:color w:val="auto"/>
              </w:rPr>
            </w:pPr>
          </w:p>
        </w:tc>
      </w:tr>
      <w:tr>
        <w:trPr>
          <w:trHeight w:val="216"/>
        </w:trPr>
        <w:tc>
          <w:tcPr>
            <w:tcW w:w="10680" w:type="dxa"/>
            <w:vAlign w:val="bottom"/>
            <w:gridSpan w:val="2"/>
          </w:tcPr>
          <w:p>
            <w:pPr>
              <w:spacing w:after="0"/>
              <w:rPr>
                <w:sz w:val="20"/>
                <w:szCs w:val="20"/>
                <w:color w:val="auto"/>
              </w:rPr>
            </w:pPr>
            <w:r>
              <w:rPr>
                <w:rFonts w:ascii="Arial" w:cs="Arial" w:eastAsia="Arial" w:hAnsi="Arial"/>
                <w:sz w:val="18"/>
                <w:szCs w:val="18"/>
                <w:color w:val="auto"/>
              </w:rPr>
              <w:t>ARTICLE X. MISCELLANEOUS</w:t>
            </w:r>
          </w:p>
        </w:tc>
        <w:tc>
          <w:tcPr>
            <w:tcW w:w="300" w:type="dxa"/>
            <w:vAlign w:val="bottom"/>
            <w:gridSpan w:val="2"/>
          </w:tcPr>
          <w:p>
            <w:pPr>
              <w:jc w:val="right"/>
              <w:ind w:right="20"/>
              <w:spacing w:after="0"/>
              <w:rPr>
                <w:sz w:val="20"/>
                <w:szCs w:val="20"/>
                <w:color w:val="auto"/>
              </w:rPr>
            </w:pPr>
            <w:r>
              <w:rPr>
                <w:rFonts w:ascii="Arial" w:cs="Arial" w:eastAsia="Arial" w:hAnsi="Arial"/>
                <w:sz w:val="18"/>
                <w:szCs w:val="18"/>
                <w:color w:val="auto"/>
              </w:rPr>
              <w:t>30</w:t>
            </w:r>
          </w:p>
        </w:tc>
        <w:tc>
          <w:tcPr>
            <w:tcW w:w="0" w:type="dxa"/>
            <w:vAlign w:val="bottom"/>
          </w:tcPr>
          <w:p>
            <w:pPr>
              <w:spacing w:after="0"/>
              <w:rPr>
                <w:sz w:val="1"/>
                <w:szCs w:val="1"/>
                <w:color w:val="auto"/>
              </w:rPr>
            </w:pPr>
          </w:p>
        </w:tc>
      </w:tr>
      <w:tr>
        <w:trPr>
          <w:trHeight w:val="216"/>
        </w:trPr>
        <w:tc>
          <w:tcPr>
            <w:tcW w:w="1160" w:type="dxa"/>
            <w:vAlign w:val="bottom"/>
          </w:tcPr>
          <w:p>
            <w:pPr>
              <w:spacing w:after="0"/>
              <w:rPr>
                <w:sz w:val="20"/>
                <w:szCs w:val="20"/>
                <w:color w:val="auto"/>
              </w:rPr>
            </w:pPr>
            <w:r>
              <w:rPr>
                <w:rFonts w:ascii="Arial" w:cs="Arial" w:eastAsia="Arial" w:hAnsi="Arial"/>
                <w:sz w:val="18"/>
                <w:szCs w:val="18"/>
                <w:color w:val="auto"/>
              </w:rPr>
              <w:t>Section 10.1.</w:t>
            </w:r>
          </w:p>
        </w:tc>
        <w:tc>
          <w:tcPr>
            <w:tcW w:w="9520" w:type="dxa"/>
            <w:vAlign w:val="bottom"/>
          </w:tcPr>
          <w:p>
            <w:pPr>
              <w:ind w:left="140"/>
              <w:spacing w:after="0"/>
              <w:rPr>
                <w:sz w:val="20"/>
                <w:szCs w:val="20"/>
                <w:color w:val="auto"/>
              </w:rPr>
            </w:pPr>
            <w:r>
              <w:rPr>
                <w:rFonts w:ascii="Arial" w:cs="Arial" w:eastAsia="Arial" w:hAnsi="Arial"/>
                <w:sz w:val="18"/>
                <w:szCs w:val="18"/>
                <w:color w:val="auto"/>
              </w:rPr>
              <w:t>Trust Indenture Act Controls.</w:t>
            </w:r>
          </w:p>
        </w:tc>
        <w:tc>
          <w:tcPr>
            <w:tcW w:w="300" w:type="dxa"/>
            <w:vAlign w:val="bottom"/>
            <w:gridSpan w:val="2"/>
          </w:tcPr>
          <w:p>
            <w:pPr>
              <w:jc w:val="right"/>
              <w:ind w:right="20"/>
              <w:spacing w:after="0"/>
              <w:rPr>
                <w:sz w:val="20"/>
                <w:szCs w:val="20"/>
                <w:color w:val="auto"/>
              </w:rPr>
            </w:pPr>
            <w:r>
              <w:rPr>
                <w:rFonts w:ascii="Arial" w:cs="Arial" w:eastAsia="Arial" w:hAnsi="Arial"/>
                <w:sz w:val="18"/>
                <w:szCs w:val="18"/>
                <w:color w:val="auto"/>
              </w:rPr>
              <w:t>30</w:t>
            </w:r>
          </w:p>
        </w:tc>
        <w:tc>
          <w:tcPr>
            <w:tcW w:w="0" w:type="dxa"/>
            <w:vAlign w:val="bottom"/>
          </w:tcPr>
          <w:p>
            <w:pPr>
              <w:spacing w:after="0"/>
              <w:rPr>
                <w:sz w:val="1"/>
                <w:szCs w:val="1"/>
                <w:color w:val="auto"/>
              </w:rPr>
            </w:pPr>
          </w:p>
        </w:tc>
      </w:tr>
      <w:tr>
        <w:trPr>
          <w:trHeight w:val="216"/>
        </w:trPr>
        <w:tc>
          <w:tcPr>
            <w:tcW w:w="1160" w:type="dxa"/>
            <w:vAlign w:val="bottom"/>
          </w:tcPr>
          <w:p>
            <w:pPr>
              <w:spacing w:after="0"/>
              <w:rPr>
                <w:sz w:val="20"/>
                <w:szCs w:val="20"/>
                <w:color w:val="auto"/>
              </w:rPr>
            </w:pPr>
            <w:r>
              <w:rPr>
                <w:rFonts w:ascii="Arial" w:cs="Arial" w:eastAsia="Arial" w:hAnsi="Arial"/>
                <w:sz w:val="18"/>
                <w:szCs w:val="18"/>
                <w:color w:val="auto"/>
              </w:rPr>
              <w:t>Section 10.2.</w:t>
            </w:r>
          </w:p>
        </w:tc>
        <w:tc>
          <w:tcPr>
            <w:tcW w:w="9520" w:type="dxa"/>
            <w:vAlign w:val="bottom"/>
          </w:tcPr>
          <w:p>
            <w:pPr>
              <w:ind w:left="140"/>
              <w:spacing w:after="0"/>
              <w:rPr>
                <w:sz w:val="20"/>
                <w:szCs w:val="20"/>
                <w:color w:val="auto"/>
              </w:rPr>
            </w:pPr>
            <w:r>
              <w:rPr>
                <w:rFonts w:ascii="Arial" w:cs="Arial" w:eastAsia="Arial" w:hAnsi="Arial"/>
                <w:sz w:val="18"/>
                <w:szCs w:val="18"/>
                <w:color w:val="auto"/>
              </w:rPr>
              <w:t>Notices.</w:t>
            </w:r>
          </w:p>
        </w:tc>
        <w:tc>
          <w:tcPr>
            <w:tcW w:w="300" w:type="dxa"/>
            <w:vAlign w:val="bottom"/>
            <w:gridSpan w:val="2"/>
          </w:tcPr>
          <w:p>
            <w:pPr>
              <w:jc w:val="right"/>
              <w:ind w:right="20"/>
              <w:spacing w:after="0"/>
              <w:rPr>
                <w:sz w:val="20"/>
                <w:szCs w:val="20"/>
                <w:color w:val="auto"/>
              </w:rPr>
            </w:pPr>
            <w:r>
              <w:rPr>
                <w:rFonts w:ascii="Arial" w:cs="Arial" w:eastAsia="Arial" w:hAnsi="Arial"/>
                <w:sz w:val="18"/>
                <w:szCs w:val="18"/>
                <w:color w:val="auto"/>
              </w:rPr>
              <w:t>30</w:t>
            </w:r>
          </w:p>
        </w:tc>
        <w:tc>
          <w:tcPr>
            <w:tcW w:w="0" w:type="dxa"/>
            <w:vAlign w:val="bottom"/>
          </w:tcPr>
          <w:p>
            <w:pPr>
              <w:spacing w:after="0"/>
              <w:rPr>
                <w:sz w:val="1"/>
                <w:szCs w:val="1"/>
                <w:color w:val="auto"/>
              </w:rPr>
            </w:pPr>
          </w:p>
        </w:tc>
      </w:tr>
      <w:tr>
        <w:trPr>
          <w:trHeight w:val="216"/>
        </w:trPr>
        <w:tc>
          <w:tcPr>
            <w:tcW w:w="1160" w:type="dxa"/>
            <w:vAlign w:val="bottom"/>
          </w:tcPr>
          <w:p>
            <w:pPr>
              <w:spacing w:after="0"/>
              <w:rPr>
                <w:sz w:val="20"/>
                <w:szCs w:val="20"/>
                <w:color w:val="auto"/>
              </w:rPr>
            </w:pPr>
            <w:r>
              <w:rPr>
                <w:rFonts w:ascii="Arial" w:cs="Arial" w:eastAsia="Arial" w:hAnsi="Arial"/>
                <w:sz w:val="18"/>
                <w:szCs w:val="18"/>
                <w:color w:val="auto"/>
              </w:rPr>
              <w:t>Section 10.3.</w:t>
            </w:r>
          </w:p>
        </w:tc>
        <w:tc>
          <w:tcPr>
            <w:tcW w:w="9520" w:type="dxa"/>
            <w:vAlign w:val="bottom"/>
          </w:tcPr>
          <w:p>
            <w:pPr>
              <w:ind w:left="140"/>
              <w:spacing w:after="0"/>
              <w:rPr>
                <w:sz w:val="20"/>
                <w:szCs w:val="20"/>
                <w:color w:val="auto"/>
              </w:rPr>
            </w:pPr>
            <w:r>
              <w:rPr>
                <w:rFonts w:ascii="Arial" w:cs="Arial" w:eastAsia="Arial" w:hAnsi="Arial"/>
                <w:sz w:val="18"/>
                <w:szCs w:val="18"/>
                <w:color w:val="auto"/>
              </w:rPr>
              <w:t>Communication by Holders with Other Holders.</w:t>
            </w:r>
          </w:p>
        </w:tc>
        <w:tc>
          <w:tcPr>
            <w:tcW w:w="300" w:type="dxa"/>
            <w:vAlign w:val="bottom"/>
            <w:gridSpan w:val="2"/>
          </w:tcPr>
          <w:p>
            <w:pPr>
              <w:jc w:val="right"/>
              <w:ind w:right="20"/>
              <w:spacing w:after="0"/>
              <w:rPr>
                <w:sz w:val="20"/>
                <w:szCs w:val="20"/>
                <w:color w:val="auto"/>
              </w:rPr>
            </w:pPr>
            <w:r>
              <w:rPr>
                <w:rFonts w:ascii="Arial" w:cs="Arial" w:eastAsia="Arial" w:hAnsi="Arial"/>
                <w:sz w:val="18"/>
                <w:szCs w:val="18"/>
                <w:color w:val="auto"/>
              </w:rPr>
              <w:t>31</w:t>
            </w:r>
          </w:p>
        </w:tc>
        <w:tc>
          <w:tcPr>
            <w:tcW w:w="0" w:type="dxa"/>
            <w:vAlign w:val="bottom"/>
          </w:tcPr>
          <w:p>
            <w:pPr>
              <w:spacing w:after="0"/>
              <w:rPr>
                <w:sz w:val="1"/>
                <w:szCs w:val="1"/>
                <w:color w:val="auto"/>
              </w:rPr>
            </w:pPr>
          </w:p>
        </w:tc>
      </w:tr>
      <w:tr>
        <w:trPr>
          <w:trHeight w:val="216"/>
        </w:trPr>
        <w:tc>
          <w:tcPr>
            <w:tcW w:w="1160" w:type="dxa"/>
            <w:vAlign w:val="bottom"/>
          </w:tcPr>
          <w:p>
            <w:pPr>
              <w:spacing w:after="0"/>
              <w:rPr>
                <w:sz w:val="20"/>
                <w:szCs w:val="20"/>
                <w:color w:val="auto"/>
              </w:rPr>
            </w:pPr>
            <w:r>
              <w:rPr>
                <w:rFonts w:ascii="Arial" w:cs="Arial" w:eastAsia="Arial" w:hAnsi="Arial"/>
                <w:sz w:val="18"/>
                <w:szCs w:val="18"/>
                <w:color w:val="auto"/>
              </w:rPr>
              <w:t>Section 10.4.</w:t>
            </w:r>
          </w:p>
        </w:tc>
        <w:tc>
          <w:tcPr>
            <w:tcW w:w="9520" w:type="dxa"/>
            <w:vAlign w:val="bottom"/>
          </w:tcPr>
          <w:p>
            <w:pPr>
              <w:ind w:left="140"/>
              <w:spacing w:after="0"/>
              <w:rPr>
                <w:sz w:val="20"/>
                <w:szCs w:val="20"/>
                <w:color w:val="auto"/>
              </w:rPr>
            </w:pPr>
            <w:r>
              <w:rPr>
                <w:rFonts w:ascii="Arial" w:cs="Arial" w:eastAsia="Arial" w:hAnsi="Arial"/>
                <w:sz w:val="18"/>
                <w:szCs w:val="18"/>
                <w:color w:val="auto"/>
              </w:rPr>
              <w:t>Certificate and Opinion as to Conditions Precedent.</w:t>
            </w:r>
          </w:p>
        </w:tc>
        <w:tc>
          <w:tcPr>
            <w:tcW w:w="300" w:type="dxa"/>
            <w:vAlign w:val="bottom"/>
            <w:gridSpan w:val="2"/>
          </w:tcPr>
          <w:p>
            <w:pPr>
              <w:jc w:val="right"/>
              <w:ind w:right="20"/>
              <w:spacing w:after="0"/>
              <w:rPr>
                <w:sz w:val="20"/>
                <w:szCs w:val="20"/>
                <w:color w:val="auto"/>
              </w:rPr>
            </w:pPr>
            <w:r>
              <w:rPr>
                <w:rFonts w:ascii="Arial" w:cs="Arial" w:eastAsia="Arial" w:hAnsi="Arial"/>
                <w:sz w:val="18"/>
                <w:szCs w:val="18"/>
                <w:color w:val="auto"/>
              </w:rPr>
              <w:t>31</w:t>
            </w:r>
          </w:p>
        </w:tc>
        <w:tc>
          <w:tcPr>
            <w:tcW w:w="0" w:type="dxa"/>
            <w:vAlign w:val="bottom"/>
          </w:tcPr>
          <w:p>
            <w:pPr>
              <w:spacing w:after="0"/>
              <w:rPr>
                <w:sz w:val="1"/>
                <w:szCs w:val="1"/>
                <w:color w:val="auto"/>
              </w:rPr>
            </w:pPr>
          </w:p>
        </w:tc>
      </w:tr>
      <w:tr>
        <w:trPr>
          <w:trHeight w:val="216"/>
        </w:trPr>
        <w:tc>
          <w:tcPr>
            <w:tcW w:w="1160" w:type="dxa"/>
            <w:vAlign w:val="bottom"/>
          </w:tcPr>
          <w:p>
            <w:pPr>
              <w:spacing w:after="0"/>
              <w:rPr>
                <w:sz w:val="20"/>
                <w:szCs w:val="20"/>
                <w:color w:val="auto"/>
              </w:rPr>
            </w:pPr>
            <w:r>
              <w:rPr>
                <w:rFonts w:ascii="Arial" w:cs="Arial" w:eastAsia="Arial" w:hAnsi="Arial"/>
                <w:sz w:val="18"/>
                <w:szCs w:val="18"/>
                <w:color w:val="auto"/>
              </w:rPr>
              <w:t>Section 10.5.</w:t>
            </w:r>
          </w:p>
        </w:tc>
        <w:tc>
          <w:tcPr>
            <w:tcW w:w="9520" w:type="dxa"/>
            <w:vAlign w:val="bottom"/>
          </w:tcPr>
          <w:p>
            <w:pPr>
              <w:ind w:left="140"/>
              <w:spacing w:after="0"/>
              <w:rPr>
                <w:sz w:val="20"/>
                <w:szCs w:val="20"/>
                <w:color w:val="auto"/>
              </w:rPr>
            </w:pPr>
            <w:r>
              <w:rPr>
                <w:rFonts w:ascii="Arial" w:cs="Arial" w:eastAsia="Arial" w:hAnsi="Arial"/>
                <w:sz w:val="18"/>
                <w:szCs w:val="18"/>
                <w:color w:val="auto"/>
              </w:rPr>
              <w:t>Statements Required in Certificate or Opinion.</w:t>
            </w:r>
          </w:p>
        </w:tc>
        <w:tc>
          <w:tcPr>
            <w:tcW w:w="300" w:type="dxa"/>
            <w:vAlign w:val="bottom"/>
            <w:gridSpan w:val="2"/>
          </w:tcPr>
          <w:p>
            <w:pPr>
              <w:jc w:val="right"/>
              <w:ind w:right="20"/>
              <w:spacing w:after="0"/>
              <w:rPr>
                <w:sz w:val="20"/>
                <w:szCs w:val="20"/>
                <w:color w:val="auto"/>
              </w:rPr>
            </w:pPr>
            <w:r>
              <w:rPr>
                <w:rFonts w:ascii="Arial" w:cs="Arial" w:eastAsia="Arial" w:hAnsi="Arial"/>
                <w:sz w:val="18"/>
                <w:szCs w:val="18"/>
                <w:color w:val="auto"/>
              </w:rPr>
              <w:t>31</w:t>
            </w:r>
          </w:p>
        </w:tc>
        <w:tc>
          <w:tcPr>
            <w:tcW w:w="0" w:type="dxa"/>
            <w:vAlign w:val="bottom"/>
          </w:tcPr>
          <w:p>
            <w:pPr>
              <w:spacing w:after="0"/>
              <w:rPr>
                <w:sz w:val="1"/>
                <w:szCs w:val="1"/>
                <w:color w:val="auto"/>
              </w:rPr>
            </w:pPr>
          </w:p>
        </w:tc>
      </w:tr>
      <w:tr>
        <w:trPr>
          <w:trHeight w:val="216"/>
        </w:trPr>
        <w:tc>
          <w:tcPr>
            <w:tcW w:w="1160" w:type="dxa"/>
            <w:vAlign w:val="bottom"/>
          </w:tcPr>
          <w:p>
            <w:pPr>
              <w:spacing w:after="0"/>
              <w:rPr>
                <w:sz w:val="20"/>
                <w:szCs w:val="20"/>
                <w:color w:val="auto"/>
              </w:rPr>
            </w:pPr>
            <w:r>
              <w:rPr>
                <w:rFonts w:ascii="Arial" w:cs="Arial" w:eastAsia="Arial" w:hAnsi="Arial"/>
                <w:sz w:val="18"/>
                <w:szCs w:val="18"/>
                <w:color w:val="auto"/>
              </w:rPr>
              <w:t>Section 10.6.</w:t>
            </w:r>
          </w:p>
        </w:tc>
        <w:tc>
          <w:tcPr>
            <w:tcW w:w="9520" w:type="dxa"/>
            <w:vAlign w:val="bottom"/>
          </w:tcPr>
          <w:p>
            <w:pPr>
              <w:ind w:left="140"/>
              <w:spacing w:after="0"/>
              <w:rPr>
                <w:sz w:val="20"/>
                <w:szCs w:val="20"/>
                <w:color w:val="auto"/>
              </w:rPr>
            </w:pPr>
            <w:r>
              <w:rPr>
                <w:rFonts w:ascii="Arial" w:cs="Arial" w:eastAsia="Arial" w:hAnsi="Arial"/>
                <w:sz w:val="18"/>
                <w:szCs w:val="18"/>
                <w:color w:val="auto"/>
              </w:rPr>
              <w:t>Rules by Trustee and Agents.</w:t>
            </w:r>
          </w:p>
        </w:tc>
        <w:tc>
          <w:tcPr>
            <w:tcW w:w="300" w:type="dxa"/>
            <w:vAlign w:val="bottom"/>
            <w:gridSpan w:val="2"/>
          </w:tcPr>
          <w:p>
            <w:pPr>
              <w:jc w:val="right"/>
              <w:ind w:right="20"/>
              <w:spacing w:after="0"/>
              <w:rPr>
                <w:sz w:val="20"/>
                <w:szCs w:val="20"/>
                <w:color w:val="auto"/>
              </w:rPr>
            </w:pPr>
            <w:r>
              <w:rPr>
                <w:rFonts w:ascii="Arial" w:cs="Arial" w:eastAsia="Arial" w:hAnsi="Arial"/>
                <w:sz w:val="18"/>
                <w:szCs w:val="18"/>
                <w:color w:val="auto"/>
              </w:rPr>
              <w:t>32</w:t>
            </w:r>
          </w:p>
        </w:tc>
        <w:tc>
          <w:tcPr>
            <w:tcW w:w="0" w:type="dxa"/>
            <w:vAlign w:val="bottom"/>
          </w:tcPr>
          <w:p>
            <w:pPr>
              <w:spacing w:after="0"/>
              <w:rPr>
                <w:sz w:val="1"/>
                <w:szCs w:val="1"/>
                <w:color w:val="auto"/>
              </w:rPr>
            </w:pPr>
          </w:p>
        </w:tc>
      </w:tr>
      <w:tr>
        <w:trPr>
          <w:trHeight w:val="216"/>
        </w:trPr>
        <w:tc>
          <w:tcPr>
            <w:tcW w:w="1160" w:type="dxa"/>
            <w:vAlign w:val="bottom"/>
          </w:tcPr>
          <w:p>
            <w:pPr>
              <w:spacing w:after="0"/>
              <w:rPr>
                <w:sz w:val="20"/>
                <w:szCs w:val="20"/>
                <w:color w:val="auto"/>
              </w:rPr>
            </w:pPr>
            <w:r>
              <w:rPr>
                <w:rFonts w:ascii="Arial" w:cs="Arial" w:eastAsia="Arial" w:hAnsi="Arial"/>
                <w:sz w:val="18"/>
                <w:szCs w:val="18"/>
                <w:color w:val="auto"/>
              </w:rPr>
              <w:t>Section 10.7.</w:t>
            </w:r>
          </w:p>
        </w:tc>
        <w:tc>
          <w:tcPr>
            <w:tcW w:w="9520" w:type="dxa"/>
            <w:vAlign w:val="bottom"/>
          </w:tcPr>
          <w:p>
            <w:pPr>
              <w:ind w:left="140"/>
              <w:spacing w:after="0"/>
              <w:rPr>
                <w:sz w:val="20"/>
                <w:szCs w:val="20"/>
                <w:color w:val="auto"/>
              </w:rPr>
            </w:pPr>
            <w:r>
              <w:rPr>
                <w:rFonts w:ascii="Arial" w:cs="Arial" w:eastAsia="Arial" w:hAnsi="Arial"/>
                <w:sz w:val="18"/>
                <w:szCs w:val="18"/>
                <w:color w:val="auto"/>
              </w:rPr>
              <w:t>Legal Holidays.</w:t>
            </w:r>
          </w:p>
        </w:tc>
        <w:tc>
          <w:tcPr>
            <w:tcW w:w="300" w:type="dxa"/>
            <w:vAlign w:val="bottom"/>
            <w:gridSpan w:val="2"/>
          </w:tcPr>
          <w:p>
            <w:pPr>
              <w:jc w:val="right"/>
              <w:ind w:right="20"/>
              <w:spacing w:after="0"/>
              <w:rPr>
                <w:sz w:val="20"/>
                <w:szCs w:val="20"/>
                <w:color w:val="auto"/>
              </w:rPr>
            </w:pPr>
            <w:r>
              <w:rPr>
                <w:rFonts w:ascii="Arial" w:cs="Arial" w:eastAsia="Arial" w:hAnsi="Arial"/>
                <w:sz w:val="18"/>
                <w:szCs w:val="18"/>
                <w:color w:val="auto"/>
              </w:rPr>
              <w:t>32</w:t>
            </w:r>
          </w:p>
        </w:tc>
        <w:tc>
          <w:tcPr>
            <w:tcW w:w="0" w:type="dxa"/>
            <w:vAlign w:val="bottom"/>
          </w:tcPr>
          <w:p>
            <w:pPr>
              <w:spacing w:after="0"/>
              <w:rPr>
                <w:sz w:val="1"/>
                <w:szCs w:val="1"/>
                <w:color w:val="auto"/>
              </w:rPr>
            </w:pPr>
          </w:p>
        </w:tc>
      </w:tr>
      <w:tr>
        <w:trPr>
          <w:trHeight w:val="216"/>
        </w:trPr>
        <w:tc>
          <w:tcPr>
            <w:tcW w:w="1160" w:type="dxa"/>
            <w:vAlign w:val="bottom"/>
          </w:tcPr>
          <w:p>
            <w:pPr>
              <w:spacing w:after="0"/>
              <w:rPr>
                <w:sz w:val="20"/>
                <w:szCs w:val="20"/>
                <w:color w:val="auto"/>
              </w:rPr>
            </w:pPr>
            <w:r>
              <w:rPr>
                <w:rFonts w:ascii="Arial" w:cs="Arial" w:eastAsia="Arial" w:hAnsi="Arial"/>
                <w:sz w:val="18"/>
                <w:szCs w:val="18"/>
                <w:color w:val="auto"/>
              </w:rPr>
              <w:t>Section 10.8.</w:t>
            </w:r>
          </w:p>
        </w:tc>
        <w:tc>
          <w:tcPr>
            <w:tcW w:w="9520" w:type="dxa"/>
            <w:vAlign w:val="bottom"/>
          </w:tcPr>
          <w:p>
            <w:pPr>
              <w:ind w:left="140"/>
              <w:spacing w:after="0"/>
              <w:rPr>
                <w:sz w:val="20"/>
                <w:szCs w:val="20"/>
                <w:color w:val="auto"/>
              </w:rPr>
            </w:pPr>
            <w:r>
              <w:rPr>
                <w:rFonts w:ascii="Arial" w:cs="Arial" w:eastAsia="Arial" w:hAnsi="Arial"/>
                <w:sz w:val="18"/>
                <w:szCs w:val="18"/>
                <w:color w:val="auto"/>
              </w:rPr>
              <w:t>No Recourse Against Others.</w:t>
            </w:r>
          </w:p>
        </w:tc>
        <w:tc>
          <w:tcPr>
            <w:tcW w:w="300" w:type="dxa"/>
            <w:vAlign w:val="bottom"/>
            <w:gridSpan w:val="2"/>
          </w:tcPr>
          <w:p>
            <w:pPr>
              <w:jc w:val="right"/>
              <w:ind w:right="20"/>
              <w:spacing w:after="0"/>
              <w:rPr>
                <w:sz w:val="20"/>
                <w:szCs w:val="20"/>
                <w:color w:val="auto"/>
              </w:rPr>
            </w:pPr>
            <w:r>
              <w:rPr>
                <w:rFonts w:ascii="Arial" w:cs="Arial" w:eastAsia="Arial" w:hAnsi="Arial"/>
                <w:sz w:val="18"/>
                <w:szCs w:val="18"/>
                <w:color w:val="auto"/>
              </w:rPr>
              <w:t>32</w:t>
            </w:r>
          </w:p>
        </w:tc>
        <w:tc>
          <w:tcPr>
            <w:tcW w:w="0" w:type="dxa"/>
            <w:vAlign w:val="bottom"/>
          </w:tcPr>
          <w:p>
            <w:pPr>
              <w:spacing w:after="0"/>
              <w:rPr>
                <w:sz w:val="1"/>
                <w:szCs w:val="1"/>
                <w:color w:val="auto"/>
              </w:rPr>
            </w:pPr>
          </w:p>
        </w:tc>
      </w:tr>
      <w:tr>
        <w:trPr>
          <w:trHeight w:val="216"/>
        </w:trPr>
        <w:tc>
          <w:tcPr>
            <w:tcW w:w="1160" w:type="dxa"/>
            <w:vAlign w:val="bottom"/>
          </w:tcPr>
          <w:p>
            <w:pPr>
              <w:spacing w:after="0"/>
              <w:rPr>
                <w:sz w:val="20"/>
                <w:szCs w:val="20"/>
                <w:color w:val="auto"/>
              </w:rPr>
            </w:pPr>
            <w:r>
              <w:rPr>
                <w:rFonts w:ascii="Arial" w:cs="Arial" w:eastAsia="Arial" w:hAnsi="Arial"/>
                <w:sz w:val="18"/>
                <w:szCs w:val="18"/>
                <w:color w:val="auto"/>
              </w:rPr>
              <w:t>Section 10.9.</w:t>
            </w:r>
          </w:p>
        </w:tc>
        <w:tc>
          <w:tcPr>
            <w:tcW w:w="9520" w:type="dxa"/>
            <w:vAlign w:val="bottom"/>
          </w:tcPr>
          <w:p>
            <w:pPr>
              <w:ind w:left="140"/>
              <w:spacing w:after="0"/>
              <w:rPr>
                <w:sz w:val="20"/>
                <w:szCs w:val="20"/>
                <w:color w:val="auto"/>
              </w:rPr>
            </w:pPr>
            <w:r>
              <w:rPr>
                <w:rFonts w:ascii="Arial" w:cs="Arial" w:eastAsia="Arial" w:hAnsi="Arial"/>
                <w:sz w:val="18"/>
                <w:szCs w:val="18"/>
                <w:color w:val="auto"/>
              </w:rPr>
              <w:t>Counterparts.</w:t>
            </w:r>
          </w:p>
        </w:tc>
        <w:tc>
          <w:tcPr>
            <w:tcW w:w="300" w:type="dxa"/>
            <w:vAlign w:val="bottom"/>
            <w:gridSpan w:val="2"/>
          </w:tcPr>
          <w:p>
            <w:pPr>
              <w:jc w:val="right"/>
              <w:ind w:right="20"/>
              <w:spacing w:after="0"/>
              <w:rPr>
                <w:sz w:val="20"/>
                <w:szCs w:val="20"/>
                <w:color w:val="auto"/>
              </w:rPr>
            </w:pPr>
            <w:r>
              <w:rPr>
                <w:rFonts w:ascii="Arial" w:cs="Arial" w:eastAsia="Arial" w:hAnsi="Arial"/>
                <w:sz w:val="18"/>
                <w:szCs w:val="18"/>
                <w:color w:val="auto"/>
              </w:rPr>
              <w:t>32</w:t>
            </w:r>
          </w:p>
        </w:tc>
        <w:tc>
          <w:tcPr>
            <w:tcW w:w="0" w:type="dxa"/>
            <w:vAlign w:val="bottom"/>
          </w:tcPr>
          <w:p>
            <w:pPr>
              <w:spacing w:after="0"/>
              <w:rPr>
                <w:sz w:val="1"/>
                <w:szCs w:val="1"/>
                <w:color w:val="auto"/>
              </w:rPr>
            </w:pPr>
          </w:p>
        </w:tc>
      </w:tr>
      <w:tr>
        <w:trPr>
          <w:trHeight w:val="216"/>
        </w:trPr>
        <w:tc>
          <w:tcPr>
            <w:tcW w:w="1160" w:type="dxa"/>
            <w:vAlign w:val="bottom"/>
          </w:tcPr>
          <w:p>
            <w:pPr>
              <w:spacing w:after="0"/>
              <w:rPr>
                <w:sz w:val="20"/>
                <w:szCs w:val="20"/>
                <w:color w:val="auto"/>
              </w:rPr>
            </w:pPr>
            <w:r>
              <w:rPr>
                <w:rFonts w:ascii="Arial" w:cs="Arial" w:eastAsia="Arial" w:hAnsi="Arial"/>
                <w:sz w:val="18"/>
                <w:szCs w:val="18"/>
                <w:color w:val="auto"/>
                <w:w w:val="99"/>
              </w:rPr>
              <w:t>Section 10.10.</w:t>
            </w:r>
          </w:p>
        </w:tc>
        <w:tc>
          <w:tcPr>
            <w:tcW w:w="9520" w:type="dxa"/>
            <w:vAlign w:val="bottom"/>
          </w:tcPr>
          <w:p>
            <w:pPr>
              <w:ind w:left="140"/>
              <w:spacing w:after="0"/>
              <w:rPr>
                <w:sz w:val="20"/>
                <w:szCs w:val="20"/>
                <w:color w:val="auto"/>
              </w:rPr>
            </w:pPr>
            <w:r>
              <w:rPr>
                <w:rFonts w:ascii="Arial" w:cs="Arial" w:eastAsia="Arial" w:hAnsi="Arial"/>
                <w:sz w:val="18"/>
                <w:szCs w:val="18"/>
                <w:color w:val="auto"/>
              </w:rPr>
              <w:t>Governing Law; Waiver of Jury Trial; Consent to Jurisdiction.</w:t>
            </w:r>
          </w:p>
        </w:tc>
        <w:tc>
          <w:tcPr>
            <w:tcW w:w="300" w:type="dxa"/>
            <w:vAlign w:val="bottom"/>
            <w:gridSpan w:val="2"/>
          </w:tcPr>
          <w:p>
            <w:pPr>
              <w:jc w:val="right"/>
              <w:ind w:right="20"/>
              <w:spacing w:after="0"/>
              <w:rPr>
                <w:sz w:val="20"/>
                <w:szCs w:val="20"/>
                <w:color w:val="auto"/>
              </w:rPr>
            </w:pPr>
            <w:r>
              <w:rPr>
                <w:rFonts w:ascii="Arial" w:cs="Arial" w:eastAsia="Arial" w:hAnsi="Arial"/>
                <w:sz w:val="18"/>
                <w:szCs w:val="18"/>
                <w:color w:val="auto"/>
              </w:rPr>
              <w:t>32</w:t>
            </w:r>
          </w:p>
        </w:tc>
        <w:tc>
          <w:tcPr>
            <w:tcW w:w="0" w:type="dxa"/>
            <w:vAlign w:val="bottom"/>
          </w:tcPr>
          <w:p>
            <w:pPr>
              <w:spacing w:after="0"/>
              <w:rPr>
                <w:sz w:val="1"/>
                <w:szCs w:val="1"/>
                <w:color w:val="auto"/>
              </w:rPr>
            </w:pPr>
          </w:p>
        </w:tc>
      </w:tr>
      <w:tr>
        <w:trPr>
          <w:trHeight w:val="216"/>
        </w:trPr>
        <w:tc>
          <w:tcPr>
            <w:tcW w:w="1160" w:type="dxa"/>
            <w:vAlign w:val="bottom"/>
          </w:tcPr>
          <w:p>
            <w:pPr>
              <w:spacing w:after="0"/>
              <w:rPr>
                <w:sz w:val="20"/>
                <w:szCs w:val="20"/>
                <w:color w:val="auto"/>
              </w:rPr>
            </w:pPr>
            <w:r>
              <w:rPr>
                <w:rFonts w:ascii="Arial" w:cs="Arial" w:eastAsia="Arial" w:hAnsi="Arial"/>
                <w:sz w:val="18"/>
                <w:szCs w:val="18"/>
                <w:color w:val="auto"/>
                <w:w w:val="99"/>
              </w:rPr>
              <w:t>Section 10.11.</w:t>
            </w:r>
          </w:p>
        </w:tc>
        <w:tc>
          <w:tcPr>
            <w:tcW w:w="9520" w:type="dxa"/>
            <w:vAlign w:val="bottom"/>
          </w:tcPr>
          <w:p>
            <w:pPr>
              <w:ind w:left="140"/>
              <w:spacing w:after="0"/>
              <w:rPr>
                <w:sz w:val="20"/>
                <w:szCs w:val="20"/>
                <w:color w:val="auto"/>
              </w:rPr>
            </w:pPr>
            <w:r>
              <w:rPr>
                <w:rFonts w:ascii="Arial" w:cs="Arial" w:eastAsia="Arial" w:hAnsi="Arial"/>
                <w:sz w:val="18"/>
                <w:szCs w:val="18"/>
                <w:color w:val="auto"/>
              </w:rPr>
              <w:t>No Adverse Interpretation of Other Agreements.</w:t>
            </w:r>
          </w:p>
        </w:tc>
        <w:tc>
          <w:tcPr>
            <w:tcW w:w="300" w:type="dxa"/>
            <w:vAlign w:val="bottom"/>
            <w:gridSpan w:val="2"/>
          </w:tcPr>
          <w:p>
            <w:pPr>
              <w:jc w:val="right"/>
              <w:ind w:right="20"/>
              <w:spacing w:after="0"/>
              <w:rPr>
                <w:sz w:val="20"/>
                <w:szCs w:val="20"/>
                <w:color w:val="auto"/>
              </w:rPr>
            </w:pPr>
            <w:r>
              <w:rPr>
                <w:rFonts w:ascii="Arial" w:cs="Arial" w:eastAsia="Arial" w:hAnsi="Arial"/>
                <w:sz w:val="18"/>
                <w:szCs w:val="18"/>
                <w:color w:val="auto"/>
              </w:rPr>
              <w:t>33</w:t>
            </w:r>
          </w:p>
        </w:tc>
        <w:tc>
          <w:tcPr>
            <w:tcW w:w="0" w:type="dxa"/>
            <w:vAlign w:val="bottom"/>
          </w:tcPr>
          <w:p>
            <w:pPr>
              <w:spacing w:after="0"/>
              <w:rPr>
                <w:sz w:val="1"/>
                <w:szCs w:val="1"/>
                <w:color w:val="auto"/>
              </w:rPr>
            </w:pPr>
          </w:p>
        </w:tc>
      </w:tr>
      <w:tr>
        <w:trPr>
          <w:trHeight w:val="216"/>
        </w:trPr>
        <w:tc>
          <w:tcPr>
            <w:tcW w:w="1160" w:type="dxa"/>
            <w:vAlign w:val="bottom"/>
          </w:tcPr>
          <w:p>
            <w:pPr>
              <w:spacing w:after="0"/>
              <w:rPr>
                <w:sz w:val="20"/>
                <w:szCs w:val="20"/>
                <w:color w:val="auto"/>
              </w:rPr>
            </w:pPr>
            <w:r>
              <w:rPr>
                <w:rFonts w:ascii="Arial" w:cs="Arial" w:eastAsia="Arial" w:hAnsi="Arial"/>
                <w:sz w:val="18"/>
                <w:szCs w:val="18"/>
                <w:color w:val="auto"/>
                <w:w w:val="99"/>
              </w:rPr>
              <w:t>Section 10.12.</w:t>
            </w:r>
          </w:p>
        </w:tc>
        <w:tc>
          <w:tcPr>
            <w:tcW w:w="9520" w:type="dxa"/>
            <w:vAlign w:val="bottom"/>
          </w:tcPr>
          <w:p>
            <w:pPr>
              <w:ind w:left="140"/>
              <w:spacing w:after="0"/>
              <w:rPr>
                <w:sz w:val="20"/>
                <w:szCs w:val="20"/>
                <w:color w:val="auto"/>
              </w:rPr>
            </w:pPr>
            <w:r>
              <w:rPr>
                <w:rFonts w:ascii="Arial" w:cs="Arial" w:eastAsia="Arial" w:hAnsi="Arial"/>
                <w:sz w:val="18"/>
                <w:szCs w:val="18"/>
                <w:color w:val="auto"/>
              </w:rPr>
              <w:t>Successors.</w:t>
            </w:r>
          </w:p>
        </w:tc>
        <w:tc>
          <w:tcPr>
            <w:tcW w:w="300" w:type="dxa"/>
            <w:vAlign w:val="bottom"/>
            <w:gridSpan w:val="2"/>
          </w:tcPr>
          <w:p>
            <w:pPr>
              <w:jc w:val="right"/>
              <w:ind w:right="20"/>
              <w:spacing w:after="0"/>
              <w:rPr>
                <w:sz w:val="20"/>
                <w:szCs w:val="20"/>
                <w:color w:val="auto"/>
              </w:rPr>
            </w:pPr>
            <w:r>
              <w:rPr>
                <w:rFonts w:ascii="Arial" w:cs="Arial" w:eastAsia="Arial" w:hAnsi="Arial"/>
                <w:sz w:val="18"/>
                <w:szCs w:val="18"/>
                <w:color w:val="auto"/>
              </w:rPr>
              <w:t>33</w:t>
            </w:r>
          </w:p>
        </w:tc>
        <w:tc>
          <w:tcPr>
            <w:tcW w:w="0" w:type="dxa"/>
            <w:vAlign w:val="bottom"/>
          </w:tcPr>
          <w:p>
            <w:pPr>
              <w:spacing w:after="0"/>
              <w:rPr>
                <w:sz w:val="1"/>
                <w:szCs w:val="1"/>
                <w:color w:val="auto"/>
              </w:rPr>
            </w:pPr>
          </w:p>
        </w:tc>
      </w:tr>
      <w:tr>
        <w:trPr>
          <w:trHeight w:val="216"/>
        </w:trPr>
        <w:tc>
          <w:tcPr>
            <w:tcW w:w="1160" w:type="dxa"/>
            <w:vAlign w:val="bottom"/>
          </w:tcPr>
          <w:p>
            <w:pPr>
              <w:spacing w:after="0"/>
              <w:rPr>
                <w:sz w:val="20"/>
                <w:szCs w:val="20"/>
                <w:color w:val="auto"/>
              </w:rPr>
            </w:pPr>
            <w:r>
              <w:rPr>
                <w:rFonts w:ascii="Arial" w:cs="Arial" w:eastAsia="Arial" w:hAnsi="Arial"/>
                <w:sz w:val="18"/>
                <w:szCs w:val="18"/>
                <w:color w:val="auto"/>
                <w:w w:val="99"/>
              </w:rPr>
              <w:t>Section 10.13.</w:t>
            </w:r>
          </w:p>
        </w:tc>
        <w:tc>
          <w:tcPr>
            <w:tcW w:w="9520" w:type="dxa"/>
            <w:vAlign w:val="bottom"/>
          </w:tcPr>
          <w:p>
            <w:pPr>
              <w:ind w:left="140"/>
              <w:spacing w:after="0"/>
              <w:rPr>
                <w:sz w:val="20"/>
                <w:szCs w:val="20"/>
                <w:color w:val="auto"/>
              </w:rPr>
            </w:pPr>
            <w:r>
              <w:rPr>
                <w:rFonts w:ascii="Arial" w:cs="Arial" w:eastAsia="Arial" w:hAnsi="Arial"/>
                <w:sz w:val="18"/>
                <w:szCs w:val="18"/>
                <w:color w:val="auto"/>
              </w:rPr>
              <w:t>Severability.</w:t>
            </w:r>
          </w:p>
        </w:tc>
        <w:tc>
          <w:tcPr>
            <w:tcW w:w="300" w:type="dxa"/>
            <w:vAlign w:val="bottom"/>
            <w:gridSpan w:val="2"/>
          </w:tcPr>
          <w:p>
            <w:pPr>
              <w:jc w:val="right"/>
              <w:ind w:right="20"/>
              <w:spacing w:after="0"/>
              <w:rPr>
                <w:sz w:val="20"/>
                <w:szCs w:val="20"/>
                <w:color w:val="auto"/>
              </w:rPr>
            </w:pPr>
            <w:r>
              <w:rPr>
                <w:rFonts w:ascii="Arial" w:cs="Arial" w:eastAsia="Arial" w:hAnsi="Arial"/>
                <w:sz w:val="18"/>
                <w:szCs w:val="18"/>
                <w:color w:val="auto"/>
              </w:rPr>
              <w:t>33</w:t>
            </w:r>
          </w:p>
        </w:tc>
        <w:tc>
          <w:tcPr>
            <w:tcW w:w="0" w:type="dxa"/>
            <w:vAlign w:val="bottom"/>
          </w:tcPr>
          <w:p>
            <w:pPr>
              <w:spacing w:after="0"/>
              <w:rPr>
                <w:sz w:val="1"/>
                <w:szCs w:val="1"/>
                <w:color w:val="auto"/>
              </w:rPr>
            </w:pPr>
          </w:p>
        </w:tc>
      </w:tr>
      <w:tr>
        <w:trPr>
          <w:trHeight w:val="216"/>
        </w:trPr>
        <w:tc>
          <w:tcPr>
            <w:tcW w:w="1160" w:type="dxa"/>
            <w:vAlign w:val="bottom"/>
          </w:tcPr>
          <w:p>
            <w:pPr>
              <w:spacing w:after="0"/>
              <w:rPr>
                <w:sz w:val="20"/>
                <w:szCs w:val="20"/>
                <w:color w:val="auto"/>
              </w:rPr>
            </w:pPr>
            <w:r>
              <w:rPr>
                <w:rFonts w:ascii="Arial" w:cs="Arial" w:eastAsia="Arial" w:hAnsi="Arial"/>
                <w:sz w:val="18"/>
                <w:szCs w:val="18"/>
                <w:color w:val="auto"/>
                <w:w w:val="99"/>
              </w:rPr>
              <w:t>Section 10.14.</w:t>
            </w:r>
          </w:p>
        </w:tc>
        <w:tc>
          <w:tcPr>
            <w:tcW w:w="9520" w:type="dxa"/>
            <w:vAlign w:val="bottom"/>
          </w:tcPr>
          <w:p>
            <w:pPr>
              <w:ind w:left="140"/>
              <w:spacing w:after="0"/>
              <w:rPr>
                <w:sz w:val="20"/>
                <w:szCs w:val="20"/>
                <w:color w:val="auto"/>
              </w:rPr>
            </w:pPr>
            <w:r>
              <w:rPr>
                <w:rFonts w:ascii="Arial" w:cs="Arial" w:eastAsia="Arial" w:hAnsi="Arial"/>
                <w:sz w:val="18"/>
                <w:szCs w:val="18"/>
                <w:color w:val="auto"/>
              </w:rPr>
              <w:t>Table of Contents, Headings, Etc.</w:t>
            </w:r>
          </w:p>
        </w:tc>
        <w:tc>
          <w:tcPr>
            <w:tcW w:w="300" w:type="dxa"/>
            <w:vAlign w:val="bottom"/>
            <w:gridSpan w:val="2"/>
          </w:tcPr>
          <w:p>
            <w:pPr>
              <w:jc w:val="right"/>
              <w:ind w:right="20"/>
              <w:spacing w:after="0"/>
              <w:rPr>
                <w:sz w:val="20"/>
                <w:szCs w:val="20"/>
                <w:color w:val="auto"/>
              </w:rPr>
            </w:pPr>
            <w:r>
              <w:rPr>
                <w:rFonts w:ascii="Arial" w:cs="Arial" w:eastAsia="Arial" w:hAnsi="Arial"/>
                <w:sz w:val="18"/>
                <w:szCs w:val="18"/>
                <w:color w:val="auto"/>
              </w:rPr>
              <w:t>33</w:t>
            </w:r>
          </w:p>
        </w:tc>
        <w:tc>
          <w:tcPr>
            <w:tcW w:w="0" w:type="dxa"/>
            <w:vAlign w:val="bottom"/>
          </w:tcPr>
          <w:p>
            <w:pPr>
              <w:spacing w:after="0"/>
              <w:rPr>
                <w:sz w:val="1"/>
                <w:szCs w:val="1"/>
                <w:color w:val="auto"/>
              </w:rPr>
            </w:pPr>
          </w:p>
        </w:tc>
      </w:tr>
      <w:tr>
        <w:trPr>
          <w:trHeight w:val="216"/>
        </w:trPr>
        <w:tc>
          <w:tcPr>
            <w:tcW w:w="1160" w:type="dxa"/>
            <w:vAlign w:val="bottom"/>
          </w:tcPr>
          <w:p>
            <w:pPr>
              <w:spacing w:after="0"/>
              <w:rPr>
                <w:sz w:val="20"/>
                <w:szCs w:val="20"/>
                <w:color w:val="auto"/>
              </w:rPr>
            </w:pPr>
            <w:r>
              <w:rPr>
                <w:rFonts w:ascii="Arial" w:cs="Arial" w:eastAsia="Arial" w:hAnsi="Arial"/>
                <w:sz w:val="18"/>
                <w:szCs w:val="18"/>
                <w:color w:val="auto"/>
                <w:w w:val="99"/>
              </w:rPr>
              <w:t>Section 10.15.</w:t>
            </w:r>
          </w:p>
        </w:tc>
        <w:tc>
          <w:tcPr>
            <w:tcW w:w="9520" w:type="dxa"/>
            <w:vAlign w:val="bottom"/>
          </w:tcPr>
          <w:p>
            <w:pPr>
              <w:ind w:left="140"/>
              <w:spacing w:after="0"/>
              <w:rPr>
                <w:sz w:val="20"/>
                <w:szCs w:val="20"/>
                <w:color w:val="auto"/>
              </w:rPr>
            </w:pPr>
            <w:r>
              <w:rPr>
                <w:rFonts w:ascii="Arial" w:cs="Arial" w:eastAsia="Arial" w:hAnsi="Arial"/>
                <w:sz w:val="18"/>
                <w:szCs w:val="18"/>
                <w:color w:val="auto"/>
              </w:rPr>
              <w:t>Securities in a Foreign Currency.</w:t>
            </w:r>
          </w:p>
        </w:tc>
        <w:tc>
          <w:tcPr>
            <w:tcW w:w="300" w:type="dxa"/>
            <w:vAlign w:val="bottom"/>
            <w:gridSpan w:val="2"/>
          </w:tcPr>
          <w:p>
            <w:pPr>
              <w:jc w:val="right"/>
              <w:ind w:right="20"/>
              <w:spacing w:after="0"/>
              <w:rPr>
                <w:sz w:val="20"/>
                <w:szCs w:val="20"/>
                <w:color w:val="auto"/>
              </w:rPr>
            </w:pPr>
            <w:r>
              <w:rPr>
                <w:rFonts w:ascii="Arial" w:cs="Arial" w:eastAsia="Arial" w:hAnsi="Arial"/>
                <w:sz w:val="18"/>
                <w:szCs w:val="18"/>
                <w:color w:val="auto"/>
              </w:rPr>
              <w:t>33</w:t>
            </w:r>
          </w:p>
        </w:tc>
        <w:tc>
          <w:tcPr>
            <w:tcW w:w="0" w:type="dxa"/>
            <w:vAlign w:val="bottom"/>
          </w:tcPr>
          <w:p>
            <w:pPr>
              <w:spacing w:after="0"/>
              <w:rPr>
                <w:sz w:val="1"/>
                <w:szCs w:val="1"/>
                <w:color w:val="auto"/>
              </w:rPr>
            </w:pPr>
          </w:p>
        </w:tc>
      </w:tr>
      <w:tr>
        <w:trPr>
          <w:trHeight w:val="216"/>
        </w:trPr>
        <w:tc>
          <w:tcPr>
            <w:tcW w:w="1160" w:type="dxa"/>
            <w:vAlign w:val="bottom"/>
          </w:tcPr>
          <w:p>
            <w:pPr>
              <w:spacing w:after="0"/>
              <w:rPr>
                <w:sz w:val="20"/>
                <w:szCs w:val="20"/>
                <w:color w:val="auto"/>
              </w:rPr>
            </w:pPr>
            <w:r>
              <w:rPr>
                <w:rFonts w:ascii="Arial" w:cs="Arial" w:eastAsia="Arial" w:hAnsi="Arial"/>
                <w:sz w:val="18"/>
                <w:szCs w:val="18"/>
                <w:color w:val="auto"/>
                <w:w w:val="99"/>
              </w:rPr>
              <w:t>Section 10.16.</w:t>
            </w:r>
          </w:p>
        </w:tc>
        <w:tc>
          <w:tcPr>
            <w:tcW w:w="9520" w:type="dxa"/>
            <w:vAlign w:val="bottom"/>
          </w:tcPr>
          <w:p>
            <w:pPr>
              <w:ind w:left="140"/>
              <w:spacing w:after="0"/>
              <w:rPr>
                <w:sz w:val="20"/>
                <w:szCs w:val="20"/>
                <w:color w:val="auto"/>
              </w:rPr>
            </w:pPr>
            <w:r>
              <w:rPr>
                <w:rFonts w:ascii="Arial" w:cs="Arial" w:eastAsia="Arial" w:hAnsi="Arial"/>
                <w:sz w:val="18"/>
                <w:szCs w:val="18"/>
                <w:color w:val="auto"/>
              </w:rPr>
              <w:t>Judgment Currency.</w:t>
            </w:r>
          </w:p>
        </w:tc>
        <w:tc>
          <w:tcPr>
            <w:tcW w:w="300" w:type="dxa"/>
            <w:vAlign w:val="bottom"/>
            <w:gridSpan w:val="2"/>
          </w:tcPr>
          <w:p>
            <w:pPr>
              <w:jc w:val="right"/>
              <w:ind w:right="20"/>
              <w:spacing w:after="0"/>
              <w:rPr>
                <w:sz w:val="20"/>
                <w:szCs w:val="20"/>
                <w:color w:val="auto"/>
              </w:rPr>
            </w:pPr>
            <w:r>
              <w:rPr>
                <w:rFonts w:ascii="Arial" w:cs="Arial" w:eastAsia="Arial" w:hAnsi="Arial"/>
                <w:sz w:val="18"/>
                <w:szCs w:val="18"/>
                <w:color w:val="auto"/>
              </w:rPr>
              <w:t>34</w:t>
            </w:r>
          </w:p>
        </w:tc>
        <w:tc>
          <w:tcPr>
            <w:tcW w:w="0" w:type="dxa"/>
            <w:vAlign w:val="bottom"/>
          </w:tcPr>
          <w:p>
            <w:pPr>
              <w:spacing w:after="0"/>
              <w:rPr>
                <w:sz w:val="1"/>
                <w:szCs w:val="1"/>
                <w:color w:val="auto"/>
              </w:rPr>
            </w:pPr>
          </w:p>
        </w:tc>
      </w:tr>
      <w:tr>
        <w:trPr>
          <w:trHeight w:val="216"/>
        </w:trPr>
        <w:tc>
          <w:tcPr>
            <w:tcW w:w="1160" w:type="dxa"/>
            <w:vAlign w:val="bottom"/>
          </w:tcPr>
          <w:p>
            <w:pPr>
              <w:spacing w:after="0"/>
              <w:rPr>
                <w:sz w:val="20"/>
                <w:szCs w:val="20"/>
                <w:color w:val="auto"/>
              </w:rPr>
            </w:pPr>
            <w:r>
              <w:rPr>
                <w:rFonts w:ascii="Arial" w:cs="Arial" w:eastAsia="Arial" w:hAnsi="Arial"/>
                <w:sz w:val="18"/>
                <w:szCs w:val="18"/>
                <w:color w:val="auto"/>
                <w:w w:val="99"/>
              </w:rPr>
              <w:t>Section 10.17.</w:t>
            </w:r>
          </w:p>
        </w:tc>
        <w:tc>
          <w:tcPr>
            <w:tcW w:w="9520" w:type="dxa"/>
            <w:vAlign w:val="bottom"/>
          </w:tcPr>
          <w:p>
            <w:pPr>
              <w:ind w:left="140"/>
              <w:spacing w:after="0"/>
              <w:rPr>
                <w:sz w:val="20"/>
                <w:szCs w:val="20"/>
                <w:color w:val="auto"/>
              </w:rPr>
            </w:pPr>
            <w:r>
              <w:rPr>
                <w:rFonts w:ascii="Arial" w:cs="Arial" w:eastAsia="Arial" w:hAnsi="Arial"/>
                <w:sz w:val="18"/>
                <w:szCs w:val="18"/>
                <w:color w:val="auto"/>
              </w:rPr>
              <w:t>Force Majeure.</w:t>
            </w:r>
          </w:p>
        </w:tc>
        <w:tc>
          <w:tcPr>
            <w:tcW w:w="300" w:type="dxa"/>
            <w:vAlign w:val="bottom"/>
            <w:gridSpan w:val="2"/>
          </w:tcPr>
          <w:p>
            <w:pPr>
              <w:jc w:val="right"/>
              <w:ind w:right="20"/>
              <w:spacing w:after="0"/>
              <w:rPr>
                <w:sz w:val="20"/>
                <w:szCs w:val="20"/>
                <w:color w:val="auto"/>
              </w:rPr>
            </w:pPr>
            <w:r>
              <w:rPr>
                <w:rFonts w:ascii="Arial" w:cs="Arial" w:eastAsia="Arial" w:hAnsi="Arial"/>
                <w:sz w:val="18"/>
                <w:szCs w:val="18"/>
                <w:color w:val="auto"/>
              </w:rPr>
              <w:t>34</w:t>
            </w:r>
          </w:p>
        </w:tc>
        <w:tc>
          <w:tcPr>
            <w:tcW w:w="0" w:type="dxa"/>
            <w:vAlign w:val="bottom"/>
          </w:tcPr>
          <w:p>
            <w:pPr>
              <w:spacing w:after="0"/>
              <w:rPr>
                <w:sz w:val="1"/>
                <w:szCs w:val="1"/>
                <w:color w:val="auto"/>
              </w:rPr>
            </w:pPr>
          </w:p>
        </w:tc>
      </w:tr>
      <w:tr>
        <w:trPr>
          <w:trHeight w:val="216"/>
        </w:trPr>
        <w:tc>
          <w:tcPr>
            <w:tcW w:w="1160" w:type="dxa"/>
            <w:vAlign w:val="bottom"/>
          </w:tcPr>
          <w:p>
            <w:pPr>
              <w:spacing w:after="0"/>
              <w:rPr>
                <w:sz w:val="20"/>
                <w:szCs w:val="20"/>
                <w:color w:val="auto"/>
              </w:rPr>
            </w:pPr>
            <w:r>
              <w:rPr>
                <w:rFonts w:ascii="Arial" w:cs="Arial" w:eastAsia="Arial" w:hAnsi="Arial"/>
                <w:sz w:val="18"/>
                <w:szCs w:val="18"/>
                <w:color w:val="auto"/>
                <w:w w:val="99"/>
              </w:rPr>
              <w:t>Section 10.18.</w:t>
            </w:r>
          </w:p>
        </w:tc>
        <w:tc>
          <w:tcPr>
            <w:tcW w:w="9520" w:type="dxa"/>
            <w:vAlign w:val="bottom"/>
          </w:tcPr>
          <w:p>
            <w:pPr>
              <w:ind w:left="140"/>
              <w:spacing w:after="0"/>
              <w:rPr>
                <w:sz w:val="20"/>
                <w:szCs w:val="20"/>
                <w:color w:val="auto"/>
              </w:rPr>
            </w:pPr>
            <w:r>
              <w:rPr>
                <w:rFonts w:ascii="Arial" w:cs="Arial" w:eastAsia="Arial" w:hAnsi="Arial"/>
                <w:sz w:val="18"/>
                <w:szCs w:val="18"/>
                <w:color w:val="auto"/>
              </w:rPr>
              <w:t>U.S.A. Patriot Act.</w:t>
            </w:r>
          </w:p>
        </w:tc>
        <w:tc>
          <w:tcPr>
            <w:tcW w:w="300" w:type="dxa"/>
            <w:vAlign w:val="bottom"/>
            <w:gridSpan w:val="2"/>
          </w:tcPr>
          <w:p>
            <w:pPr>
              <w:jc w:val="right"/>
              <w:ind w:right="20"/>
              <w:spacing w:after="0"/>
              <w:rPr>
                <w:sz w:val="20"/>
                <w:szCs w:val="20"/>
                <w:color w:val="auto"/>
              </w:rPr>
            </w:pPr>
            <w:r>
              <w:rPr>
                <w:rFonts w:ascii="Arial" w:cs="Arial" w:eastAsia="Arial" w:hAnsi="Arial"/>
                <w:sz w:val="18"/>
                <w:szCs w:val="18"/>
                <w:color w:val="auto"/>
              </w:rPr>
              <w:t>34</w:t>
            </w:r>
          </w:p>
        </w:tc>
        <w:tc>
          <w:tcPr>
            <w:tcW w:w="0" w:type="dxa"/>
            <w:vAlign w:val="bottom"/>
          </w:tcPr>
          <w:p>
            <w:pPr>
              <w:spacing w:after="0"/>
              <w:rPr>
                <w:sz w:val="1"/>
                <w:szCs w:val="1"/>
                <w:color w:val="auto"/>
              </w:rPr>
            </w:pPr>
          </w:p>
        </w:tc>
      </w:tr>
      <w:tr>
        <w:trPr>
          <w:trHeight w:val="216"/>
        </w:trPr>
        <w:tc>
          <w:tcPr>
            <w:tcW w:w="10680" w:type="dxa"/>
            <w:vAlign w:val="bottom"/>
            <w:gridSpan w:val="2"/>
          </w:tcPr>
          <w:p>
            <w:pPr>
              <w:spacing w:after="0"/>
              <w:rPr>
                <w:sz w:val="20"/>
                <w:szCs w:val="20"/>
                <w:color w:val="auto"/>
              </w:rPr>
            </w:pPr>
            <w:r>
              <w:rPr>
                <w:rFonts w:ascii="Arial" w:cs="Arial" w:eastAsia="Arial" w:hAnsi="Arial"/>
                <w:sz w:val="18"/>
                <w:szCs w:val="18"/>
                <w:color w:val="auto"/>
              </w:rPr>
              <w:t>ARTICLE XI. SINKING FUNDS</w:t>
            </w:r>
          </w:p>
        </w:tc>
        <w:tc>
          <w:tcPr>
            <w:tcW w:w="300" w:type="dxa"/>
            <w:vAlign w:val="bottom"/>
            <w:gridSpan w:val="2"/>
          </w:tcPr>
          <w:p>
            <w:pPr>
              <w:jc w:val="right"/>
              <w:ind w:right="20"/>
              <w:spacing w:after="0"/>
              <w:rPr>
                <w:sz w:val="20"/>
                <w:szCs w:val="20"/>
                <w:color w:val="auto"/>
              </w:rPr>
            </w:pPr>
            <w:r>
              <w:rPr>
                <w:rFonts w:ascii="Arial" w:cs="Arial" w:eastAsia="Arial" w:hAnsi="Arial"/>
                <w:sz w:val="18"/>
                <w:szCs w:val="18"/>
                <w:color w:val="auto"/>
              </w:rPr>
              <w:t>34</w:t>
            </w:r>
          </w:p>
        </w:tc>
        <w:tc>
          <w:tcPr>
            <w:tcW w:w="0" w:type="dxa"/>
            <w:vAlign w:val="bottom"/>
          </w:tcPr>
          <w:p>
            <w:pPr>
              <w:spacing w:after="0"/>
              <w:rPr>
                <w:sz w:val="1"/>
                <w:szCs w:val="1"/>
                <w:color w:val="auto"/>
              </w:rPr>
            </w:pPr>
          </w:p>
        </w:tc>
      </w:tr>
      <w:tr>
        <w:trPr>
          <w:trHeight w:val="216"/>
        </w:trPr>
        <w:tc>
          <w:tcPr>
            <w:tcW w:w="1160" w:type="dxa"/>
            <w:vAlign w:val="bottom"/>
          </w:tcPr>
          <w:p>
            <w:pPr>
              <w:spacing w:after="0"/>
              <w:rPr>
                <w:sz w:val="20"/>
                <w:szCs w:val="20"/>
                <w:color w:val="auto"/>
              </w:rPr>
            </w:pPr>
            <w:r>
              <w:rPr>
                <w:rFonts w:ascii="Arial" w:cs="Arial" w:eastAsia="Arial" w:hAnsi="Arial"/>
                <w:sz w:val="18"/>
                <w:szCs w:val="18"/>
                <w:color w:val="auto"/>
              </w:rPr>
              <w:t>Section 11.1.</w:t>
            </w:r>
          </w:p>
        </w:tc>
        <w:tc>
          <w:tcPr>
            <w:tcW w:w="9520" w:type="dxa"/>
            <w:vAlign w:val="bottom"/>
          </w:tcPr>
          <w:p>
            <w:pPr>
              <w:ind w:left="140"/>
              <w:spacing w:after="0"/>
              <w:rPr>
                <w:sz w:val="20"/>
                <w:szCs w:val="20"/>
                <w:color w:val="auto"/>
              </w:rPr>
            </w:pPr>
            <w:r>
              <w:rPr>
                <w:rFonts w:ascii="Arial" w:cs="Arial" w:eastAsia="Arial" w:hAnsi="Arial"/>
                <w:sz w:val="18"/>
                <w:szCs w:val="18"/>
                <w:color w:val="auto"/>
              </w:rPr>
              <w:t>Applicability of Article.</w:t>
            </w:r>
          </w:p>
        </w:tc>
        <w:tc>
          <w:tcPr>
            <w:tcW w:w="300" w:type="dxa"/>
            <w:vAlign w:val="bottom"/>
            <w:gridSpan w:val="2"/>
          </w:tcPr>
          <w:p>
            <w:pPr>
              <w:jc w:val="right"/>
              <w:ind w:right="20"/>
              <w:spacing w:after="0"/>
              <w:rPr>
                <w:sz w:val="20"/>
                <w:szCs w:val="20"/>
                <w:color w:val="auto"/>
              </w:rPr>
            </w:pPr>
            <w:r>
              <w:rPr>
                <w:rFonts w:ascii="Arial" w:cs="Arial" w:eastAsia="Arial" w:hAnsi="Arial"/>
                <w:sz w:val="18"/>
                <w:szCs w:val="18"/>
                <w:color w:val="auto"/>
              </w:rPr>
              <w:t>34</w:t>
            </w:r>
          </w:p>
        </w:tc>
        <w:tc>
          <w:tcPr>
            <w:tcW w:w="0" w:type="dxa"/>
            <w:vAlign w:val="bottom"/>
          </w:tcPr>
          <w:p>
            <w:pPr>
              <w:spacing w:after="0"/>
              <w:rPr>
                <w:sz w:val="1"/>
                <w:szCs w:val="1"/>
                <w:color w:val="auto"/>
              </w:rPr>
            </w:pPr>
          </w:p>
        </w:tc>
      </w:tr>
      <w:tr>
        <w:trPr>
          <w:trHeight w:val="216"/>
        </w:trPr>
        <w:tc>
          <w:tcPr>
            <w:tcW w:w="1160" w:type="dxa"/>
            <w:vAlign w:val="bottom"/>
          </w:tcPr>
          <w:p>
            <w:pPr>
              <w:spacing w:after="0"/>
              <w:rPr>
                <w:sz w:val="20"/>
                <w:szCs w:val="20"/>
                <w:color w:val="auto"/>
              </w:rPr>
            </w:pPr>
            <w:r>
              <w:rPr>
                <w:rFonts w:ascii="Arial" w:cs="Arial" w:eastAsia="Arial" w:hAnsi="Arial"/>
                <w:sz w:val="18"/>
                <w:szCs w:val="18"/>
                <w:color w:val="auto"/>
              </w:rPr>
              <w:t>Section 11.2.</w:t>
            </w:r>
          </w:p>
        </w:tc>
        <w:tc>
          <w:tcPr>
            <w:tcW w:w="9520" w:type="dxa"/>
            <w:vAlign w:val="bottom"/>
          </w:tcPr>
          <w:p>
            <w:pPr>
              <w:ind w:left="140"/>
              <w:spacing w:after="0"/>
              <w:rPr>
                <w:sz w:val="20"/>
                <w:szCs w:val="20"/>
                <w:color w:val="auto"/>
              </w:rPr>
            </w:pPr>
            <w:r>
              <w:rPr>
                <w:rFonts w:ascii="Arial" w:cs="Arial" w:eastAsia="Arial" w:hAnsi="Arial"/>
                <w:sz w:val="18"/>
                <w:szCs w:val="18"/>
                <w:color w:val="auto"/>
              </w:rPr>
              <w:t>Satisfaction of Sinking Fund Payments with Securities.</w:t>
            </w:r>
          </w:p>
        </w:tc>
        <w:tc>
          <w:tcPr>
            <w:tcW w:w="300" w:type="dxa"/>
            <w:vAlign w:val="bottom"/>
            <w:gridSpan w:val="2"/>
          </w:tcPr>
          <w:p>
            <w:pPr>
              <w:jc w:val="right"/>
              <w:ind w:right="20"/>
              <w:spacing w:after="0"/>
              <w:rPr>
                <w:sz w:val="20"/>
                <w:szCs w:val="20"/>
                <w:color w:val="auto"/>
              </w:rPr>
            </w:pPr>
            <w:r>
              <w:rPr>
                <w:rFonts w:ascii="Arial" w:cs="Arial" w:eastAsia="Arial" w:hAnsi="Arial"/>
                <w:sz w:val="18"/>
                <w:szCs w:val="18"/>
                <w:color w:val="auto"/>
              </w:rPr>
              <w:t>35</w:t>
            </w:r>
          </w:p>
        </w:tc>
        <w:tc>
          <w:tcPr>
            <w:tcW w:w="0" w:type="dxa"/>
            <w:vAlign w:val="bottom"/>
          </w:tcPr>
          <w:p>
            <w:pPr>
              <w:spacing w:after="0"/>
              <w:rPr>
                <w:sz w:val="1"/>
                <w:szCs w:val="1"/>
                <w:color w:val="auto"/>
              </w:rPr>
            </w:pPr>
          </w:p>
        </w:tc>
      </w:tr>
      <w:tr>
        <w:trPr>
          <w:trHeight w:val="230"/>
        </w:trPr>
        <w:tc>
          <w:tcPr>
            <w:tcW w:w="1160" w:type="dxa"/>
            <w:vAlign w:val="bottom"/>
          </w:tcPr>
          <w:p>
            <w:pPr>
              <w:spacing w:after="0"/>
              <w:rPr>
                <w:sz w:val="20"/>
                <w:szCs w:val="20"/>
                <w:color w:val="auto"/>
              </w:rPr>
            </w:pPr>
            <w:r>
              <w:rPr>
                <w:rFonts w:ascii="Arial" w:cs="Arial" w:eastAsia="Arial" w:hAnsi="Arial"/>
                <w:sz w:val="18"/>
                <w:szCs w:val="18"/>
                <w:color w:val="auto"/>
              </w:rPr>
              <w:t>Section 11.3.</w:t>
            </w:r>
          </w:p>
        </w:tc>
        <w:tc>
          <w:tcPr>
            <w:tcW w:w="9520" w:type="dxa"/>
            <w:vAlign w:val="bottom"/>
          </w:tcPr>
          <w:p>
            <w:pPr>
              <w:ind w:left="140"/>
              <w:spacing w:after="0"/>
              <w:rPr>
                <w:sz w:val="20"/>
                <w:szCs w:val="20"/>
                <w:color w:val="auto"/>
              </w:rPr>
            </w:pPr>
            <w:r>
              <w:rPr>
                <w:rFonts w:ascii="Arial" w:cs="Arial" w:eastAsia="Arial" w:hAnsi="Arial"/>
                <w:sz w:val="18"/>
                <w:szCs w:val="18"/>
                <w:color w:val="auto"/>
              </w:rPr>
              <w:t>Redemption of Securities for Sinking Fund.</w:t>
            </w:r>
          </w:p>
        </w:tc>
        <w:tc>
          <w:tcPr>
            <w:tcW w:w="300" w:type="dxa"/>
            <w:vAlign w:val="bottom"/>
            <w:gridSpan w:val="2"/>
          </w:tcPr>
          <w:p>
            <w:pPr>
              <w:jc w:val="right"/>
              <w:ind w:right="20"/>
              <w:spacing w:after="0"/>
              <w:rPr>
                <w:sz w:val="20"/>
                <w:szCs w:val="20"/>
                <w:color w:val="auto"/>
              </w:rPr>
            </w:pPr>
            <w:r>
              <w:rPr>
                <w:rFonts w:ascii="Arial" w:cs="Arial" w:eastAsia="Arial" w:hAnsi="Arial"/>
                <w:sz w:val="18"/>
                <w:szCs w:val="18"/>
                <w:color w:val="auto"/>
              </w:rPr>
              <w:t>35</w:t>
            </w:r>
          </w:p>
        </w:tc>
        <w:tc>
          <w:tcPr>
            <w:tcW w:w="0" w:type="dxa"/>
            <w:vAlign w:val="bottom"/>
          </w:tcPr>
          <w:p>
            <w:pPr>
              <w:spacing w:after="0"/>
              <w:rPr>
                <w:sz w:val="1"/>
                <w:szCs w:val="1"/>
                <w:color w:val="auto"/>
              </w:rPr>
            </w:pPr>
          </w:p>
        </w:tc>
      </w:tr>
    </w:tbl>
    <w:p>
      <w:pPr>
        <w:sectPr>
          <w:pgSz w:w="11900" w:h="16838" w:orient="portrait"/>
          <w:cols w:equalWidth="0" w:num="1">
            <w:col w:w="10960"/>
          </w:cols>
          <w:pgMar w:left="440" w:top="269" w:right="499" w:bottom="1440" w:gutter="0" w:footer="0" w:header="0"/>
        </w:sectPr>
      </w:pPr>
    </w:p>
    <w:bookmarkStart w:id="118" w:name="page119"/>
    <w:bookmarkEnd w:id="118"/>
    <w:p>
      <w:pPr>
        <w:spacing w:after="0" w:line="1"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162" name="Picture 1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2"/>
                    <pic:cNvPicPr>
                      <a:picLocks noChangeAspect="1" noChangeArrowheads="1"/>
                    </pic:cNvPicPr>
                  </pic:nvPicPr>
                  <pic:blipFill>
                    <a:blip r:embed="rId184">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p>
    <w:tbl>
      <w:tblPr>
        <w:tblLayout w:type="fixed"/>
        <w:tblInd w:w="0" w:type="dxa"/>
        <w:tblCellMar>
          <w:top w:w="0" w:type="dxa"/>
          <w:left w:w="0" w:type="dxa"/>
          <w:bottom w:w="0" w:type="dxa"/>
          <w:right w:w="0" w:type="dxa"/>
        </w:tblCellMar>
      </w:tblPr>
      <w:tr>
        <w:trPr>
          <w:trHeight w:val="328"/>
        </w:trPr>
        <w:tc>
          <w:tcPr>
            <w:tcW w:w="7780" w:type="dxa"/>
            <w:vAlign w:val="bottom"/>
          </w:tcPr>
          <w:p>
            <w:pPr>
              <w:jc w:val="right"/>
              <w:ind w:right="209"/>
              <w:spacing w:after="0"/>
              <w:rPr>
                <w:sz w:val="20"/>
                <w:szCs w:val="20"/>
                <w:color w:val="auto"/>
              </w:rPr>
            </w:pPr>
            <w:r>
              <w:rPr>
                <w:rFonts w:ascii="Arial" w:cs="Arial" w:eastAsia="Arial" w:hAnsi="Arial"/>
                <w:sz w:val="25"/>
                <w:szCs w:val="25"/>
                <w:b w:val="1"/>
                <w:bCs w:val="1"/>
                <w:color w:val="auto"/>
              </w:rPr>
              <w:t>LARIMAR THERAPEUTICS, INC.</w:t>
            </w:r>
          </w:p>
        </w:tc>
        <w:tc>
          <w:tcPr>
            <w:tcW w:w="1420" w:type="dxa"/>
            <w:vAlign w:val="bottom"/>
          </w:tcPr>
          <w:p>
            <w:pPr>
              <w:spacing w:after="0"/>
              <w:rPr>
                <w:sz w:val="24"/>
                <w:szCs w:val="24"/>
                <w:color w:val="auto"/>
              </w:rPr>
            </w:pPr>
          </w:p>
        </w:tc>
      </w:tr>
      <w:tr>
        <w:trPr>
          <w:trHeight w:val="424"/>
        </w:trPr>
        <w:tc>
          <w:tcPr>
            <w:tcW w:w="7780" w:type="dxa"/>
            <w:vAlign w:val="bottom"/>
          </w:tcPr>
          <w:p>
            <w:pPr>
              <w:jc w:val="right"/>
              <w:ind w:right="3109"/>
              <w:spacing w:after="0"/>
              <w:rPr>
                <w:sz w:val="20"/>
                <w:szCs w:val="20"/>
                <w:color w:val="auto"/>
              </w:rPr>
            </w:pPr>
            <w:r>
              <w:rPr>
                <w:rFonts w:ascii="Arial" w:cs="Arial" w:eastAsia="Arial" w:hAnsi="Arial"/>
                <w:sz w:val="18"/>
                <w:szCs w:val="18"/>
                <w:color w:val="auto"/>
                <w:w w:val="90"/>
              </w:rPr>
              <w:t>Reconciliation and tie between Trust Indenture Act of 1939 and</w:t>
            </w:r>
          </w:p>
        </w:tc>
        <w:tc>
          <w:tcPr>
            <w:tcW w:w="1420" w:type="dxa"/>
            <w:vAlign w:val="bottom"/>
          </w:tcPr>
          <w:p>
            <w:pPr>
              <w:spacing w:after="0"/>
              <w:rPr>
                <w:sz w:val="24"/>
                <w:szCs w:val="24"/>
                <w:color w:val="auto"/>
              </w:rPr>
            </w:pPr>
          </w:p>
        </w:tc>
      </w:tr>
      <w:tr>
        <w:trPr>
          <w:trHeight w:val="432"/>
        </w:trPr>
        <w:tc>
          <w:tcPr>
            <w:tcW w:w="7780" w:type="dxa"/>
            <w:vAlign w:val="bottom"/>
          </w:tcPr>
          <w:p>
            <w:pPr>
              <w:jc w:val="right"/>
              <w:ind w:right="1029"/>
              <w:spacing w:after="0"/>
              <w:rPr>
                <w:sz w:val="20"/>
                <w:szCs w:val="20"/>
                <w:color w:val="auto"/>
              </w:rPr>
            </w:pPr>
            <w:r>
              <w:rPr>
                <w:rFonts w:ascii="Arial" w:cs="Arial" w:eastAsia="Arial" w:hAnsi="Arial"/>
                <w:sz w:val="18"/>
                <w:szCs w:val="18"/>
                <w:color w:val="auto"/>
              </w:rPr>
              <w:t>Indenture, dated as of [●], 20[●]</w:t>
            </w:r>
          </w:p>
        </w:tc>
        <w:tc>
          <w:tcPr>
            <w:tcW w:w="1420" w:type="dxa"/>
            <w:vAlign w:val="bottom"/>
          </w:tcPr>
          <w:p>
            <w:pPr>
              <w:spacing w:after="0"/>
              <w:rPr>
                <w:sz w:val="24"/>
                <w:szCs w:val="24"/>
                <w:color w:val="auto"/>
              </w:rPr>
            </w:pPr>
          </w:p>
        </w:tc>
      </w:tr>
      <w:tr>
        <w:trPr>
          <w:trHeight w:val="445"/>
        </w:trPr>
        <w:tc>
          <w:tcPr>
            <w:tcW w:w="7780" w:type="dxa"/>
            <w:vAlign w:val="bottom"/>
          </w:tcPr>
          <w:p>
            <w:pPr>
              <w:jc w:val="right"/>
              <w:ind w:right="5029"/>
              <w:spacing w:after="0"/>
              <w:rPr>
                <w:sz w:val="20"/>
                <w:szCs w:val="20"/>
                <w:color w:val="auto"/>
              </w:rPr>
            </w:pPr>
            <w:r>
              <w:rPr>
                <w:rFonts w:ascii="Arial" w:cs="Arial" w:eastAsia="Arial" w:hAnsi="Arial"/>
                <w:sz w:val="18"/>
                <w:szCs w:val="18"/>
                <w:color w:val="auto"/>
              </w:rPr>
              <w:t>§ 310(a)(1)</w:t>
            </w:r>
          </w:p>
        </w:tc>
        <w:tc>
          <w:tcPr>
            <w:tcW w:w="1420" w:type="dxa"/>
            <w:vAlign w:val="bottom"/>
          </w:tcPr>
          <w:p>
            <w:pPr>
              <w:ind w:left="320"/>
              <w:spacing w:after="0"/>
              <w:rPr>
                <w:sz w:val="20"/>
                <w:szCs w:val="20"/>
                <w:color w:val="auto"/>
              </w:rPr>
            </w:pPr>
            <w:r>
              <w:rPr>
                <w:rFonts w:ascii="Arial" w:cs="Arial" w:eastAsia="Arial" w:hAnsi="Arial"/>
                <w:sz w:val="18"/>
                <w:szCs w:val="18"/>
                <w:color w:val="auto"/>
              </w:rPr>
              <w:t>7.10</w:t>
            </w:r>
          </w:p>
        </w:tc>
      </w:tr>
      <w:tr>
        <w:trPr>
          <w:trHeight w:val="216"/>
        </w:trPr>
        <w:tc>
          <w:tcPr>
            <w:tcW w:w="7780" w:type="dxa"/>
            <w:vAlign w:val="bottom"/>
          </w:tcPr>
          <w:p>
            <w:pPr>
              <w:jc w:val="right"/>
              <w:ind w:right="5029"/>
              <w:spacing w:after="0"/>
              <w:rPr>
                <w:sz w:val="20"/>
                <w:szCs w:val="20"/>
                <w:color w:val="auto"/>
              </w:rPr>
            </w:pPr>
            <w:r>
              <w:rPr>
                <w:rFonts w:ascii="Arial" w:cs="Arial" w:eastAsia="Arial" w:hAnsi="Arial"/>
                <w:sz w:val="18"/>
                <w:szCs w:val="18"/>
                <w:color w:val="auto"/>
              </w:rPr>
              <w:t>(a)(2)</w:t>
            </w:r>
          </w:p>
        </w:tc>
        <w:tc>
          <w:tcPr>
            <w:tcW w:w="1420" w:type="dxa"/>
            <w:vAlign w:val="bottom"/>
          </w:tcPr>
          <w:p>
            <w:pPr>
              <w:ind w:left="320"/>
              <w:spacing w:after="0"/>
              <w:rPr>
                <w:sz w:val="20"/>
                <w:szCs w:val="20"/>
                <w:color w:val="auto"/>
              </w:rPr>
            </w:pPr>
            <w:r>
              <w:rPr>
                <w:rFonts w:ascii="Arial" w:cs="Arial" w:eastAsia="Arial" w:hAnsi="Arial"/>
                <w:sz w:val="18"/>
                <w:szCs w:val="18"/>
                <w:color w:val="auto"/>
              </w:rPr>
              <w:t>7.10</w:t>
            </w:r>
          </w:p>
        </w:tc>
      </w:tr>
      <w:tr>
        <w:trPr>
          <w:trHeight w:val="216"/>
        </w:trPr>
        <w:tc>
          <w:tcPr>
            <w:tcW w:w="7780" w:type="dxa"/>
            <w:vAlign w:val="bottom"/>
          </w:tcPr>
          <w:p>
            <w:pPr>
              <w:jc w:val="right"/>
              <w:ind w:right="5029"/>
              <w:spacing w:after="0"/>
              <w:rPr>
                <w:sz w:val="20"/>
                <w:szCs w:val="20"/>
                <w:color w:val="auto"/>
              </w:rPr>
            </w:pPr>
            <w:r>
              <w:rPr>
                <w:rFonts w:ascii="Arial" w:cs="Arial" w:eastAsia="Arial" w:hAnsi="Arial"/>
                <w:sz w:val="18"/>
                <w:szCs w:val="18"/>
                <w:color w:val="auto"/>
              </w:rPr>
              <w:t>(a)(3)</w:t>
            </w:r>
          </w:p>
        </w:tc>
        <w:tc>
          <w:tcPr>
            <w:tcW w:w="1420" w:type="dxa"/>
            <w:vAlign w:val="bottom"/>
          </w:tcPr>
          <w:p>
            <w:pPr>
              <w:ind w:left="320"/>
              <w:spacing w:after="0"/>
              <w:rPr>
                <w:sz w:val="20"/>
                <w:szCs w:val="20"/>
                <w:color w:val="auto"/>
              </w:rPr>
            </w:pPr>
            <w:r>
              <w:rPr>
                <w:rFonts w:ascii="Arial" w:cs="Arial" w:eastAsia="Arial" w:hAnsi="Arial"/>
                <w:sz w:val="18"/>
                <w:szCs w:val="18"/>
                <w:color w:val="auto"/>
                <w:w w:val="93"/>
              </w:rPr>
              <w:t>Not Applicable</w:t>
            </w:r>
          </w:p>
        </w:tc>
      </w:tr>
      <w:tr>
        <w:trPr>
          <w:trHeight w:val="216"/>
        </w:trPr>
        <w:tc>
          <w:tcPr>
            <w:tcW w:w="7780" w:type="dxa"/>
            <w:vAlign w:val="bottom"/>
          </w:tcPr>
          <w:p>
            <w:pPr>
              <w:jc w:val="right"/>
              <w:ind w:right="5029"/>
              <w:spacing w:after="0"/>
              <w:rPr>
                <w:sz w:val="20"/>
                <w:szCs w:val="20"/>
                <w:color w:val="auto"/>
              </w:rPr>
            </w:pPr>
            <w:r>
              <w:rPr>
                <w:rFonts w:ascii="Arial" w:cs="Arial" w:eastAsia="Arial" w:hAnsi="Arial"/>
                <w:sz w:val="18"/>
                <w:szCs w:val="18"/>
                <w:color w:val="auto"/>
              </w:rPr>
              <w:t>(a)(4)</w:t>
            </w:r>
          </w:p>
        </w:tc>
        <w:tc>
          <w:tcPr>
            <w:tcW w:w="1420" w:type="dxa"/>
            <w:vAlign w:val="bottom"/>
          </w:tcPr>
          <w:p>
            <w:pPr>
              <w:ind w:left="320"/>
              <w:spacing w:after="0"/>
              <w:rPr>
                <w:sz w:val="20"/>
                <w:szCs w:val="20"/>
                <w:color w:val="auto"/>
              </w:rPr>
            </w:pPr>
            <w:r>
              <w:rPr>
                <w:rFonts w:ascii="Arial" w:cs="Arial" w:eastAsia="Arial" w:hAnsi="Arial"/>
                <w:sz w:val="18"/>
                <w:szCs w:val="18"/>
                <w:color w:val="auto"/>
                <w:w w:val="93"/>
              </w:rPr>
              <w:t>Not Applicable</w:t>
            </w:r>
          </w:p>
        </w:tc>
      </w:tr>
      <w:tr>
        <w:trPr>
          <w:trHeight w:val="216"/>
        </w:trPr>
        <w:tc>
          <w:tcPr>
            <w:tcW w:w="7780" w:type="dxa"/>
            <w:vAlign w:val="bottom"/>
          </w:tcPr>
          <w:p>
            <w:pPr>
              <w:jc w:val="right"/>
              <w:ind w:right="5029"/>
              <w:spacing w:after="0"/>
              <w:rPr>
                <w:sz w:val="20"/>
                <w:szCs w:val="20"/>
                <w:color w:val="auto"/>
              </w:rPr>
            </w:pPr>
            <w:r>
              <w:rPr>
                <w:rFonts w:ascii="Arial" w:cs="Arial" w:eastAsia="Arial" w:hAnsi="Arial"/>
                <w:sz w:val="18"/>
                <w:szCs w:val="18"/>
                <w:color w:val="auto"/>
              </w:rPr>
              <w:t>(a)(5)</w:t>
            </w:r>
          </w:p>
        </w:tc>
        <w:tc>
          <w:tcPr>
            <w:tcW w:w="1420" w:type="dxa"/>
            <w:vAlign w:val="bottom"/>
          </w:tcPr>
          <w:p>
            <w:pPr>
              <w:ind w:left="320"/>
              <w:spacing w:after="0"/>
              <w:rPr>
                <w:sz w:val="20"/>
                <w:szCs w:val="20"/>
                <w:color w:val="auto"/>
              </w:rPr>
            </w:pPr>
            <w:r>
              <w:rPr>
                <w:rFonts w:ascii="Arial" w:cs="Arial" w:eastAsia="Arial" w:hAnsi="Arial"/>
                <w:sz w:val="18"/>
                <w:szCs w:val="18"/>
                <w:color w:val="auto"/>
              </w:rPr>
              <w:t>7.10</w:t>
            </w:r>
          </w:p>
        </w:tc>
      </w:tr>
      <w:tr>
        <w:trPr>
          <w:trHeight w:val="216"/>
        </w:trPr>
        <w:tc>
          <w:tcPr>
            <w:tcW w:w="7780" w:type="dxa"/>
            <w:vAlign w:val="bottom"/>
          </w:tcPr>
          <w:p>
            <w:pPr>
              <w:jc w:val="right"/>
              <w:ind w:right="5029"/>
              <w:spacing w:after="0"/>
              <w:rPr>
                <w:sz w:val="20"/>
                <w:szCs w:val="20"/>
                <w:color w:val="auto"/>
              </w:rPr>
            </w:pPr>
            <w:r>
              <w:rPr>
                <w:rFonts w:ascii="Arial" w:cs="Arial" w:eastAsia="Arial" w:hAnsi="Arial"/>
                <w:sz w:val="18"/>
                <w:szCs w:val="18"/>
                <w:color w:val="auto"/>
              </w:rPr>
              <w:t>(b)</w:t>
            </w:r>
          </w:p>
        </w:tc>
        <w:tc>
          <w:tcPr>
            <w:tcW w:w="1420" w:type="dxa"/>
            <w:vAlign w:val="bottom"/>
          </w:tcPr>
          <w:p>
            <w:pPr>
              <w:ind w:left="320"/>
              <w:spacing w:after="0"/>
              <w:rPr>
                <w:sz w:val="20"/>
                <w:szCs w:val="20"/>
                <w:color w:val="auto"/>
              </w:rPr>
            </w:pPr>
            <w:r>
              <w:rPr>
                <w:rFonts w:ascii="Arial" w:cs="Arial" w:eastAsia="Arial" w:hAnsi="Arial"/>
                <w:sz w:val="18"/>
                <w:szCs w:val="18"/>
                <w:color w:val="auto"/>
              </w:rPr>
              <w:t>7.10</w:t>
            </w:r>
          </w:p>
        </w:tc>
      </w:tr>
      <w:tr>
        <w:trPr>
          <w:trHeight w:val="216"/>
        </w:trPr>
        <w:tc>
          <w:tcPr>
            <w:tcW w:w="7780" w:type="dxa"/>
            <w:vAlign w:val="bottom"/>
          </w:tcPr>
          <w:p>
            <w:pPr>
              <w:jc w:val="right"/>
              <w:ind w:right="5029"/>
              <w:spacing w:after="0"/>
              <w:rPr>
                <w:sz w:val="20"/>
                <w:szCs w:val="20"/>
                <w:color w:val="auto"/>
              </w:rPr>
            </w:pPr>
            <w:r>
              <w:rPr>
                <w:rFonts w:ascii="Arial" w:cs="Arial" w:eastAsia="Arial" w:hAnsi="Arial"/>
                <w:sz w:val="18"/>
                <w:szCs w:val="18"/>
                <w:color w:val="auto"/>
              </w:rPr>
              <w:t>§ 311(a)</w:t>
            </w:r>
          </w:p>
        </w:tc>
        <w:tc>
          <w:tcPr>
            <w:tcW w:w="1420" w:type="dxa"/>
            <w:vAlign w:val="bottom"/>
          </w:tcPr>
          <w:p>
            <w:pPr>
              <w:ind w:left="320"/>
              <w:spacing w:after="0"/>
              <w:rPr>
                <w:sz w:val="20"/>
                <w:szCs w:val="20"/>
                <w:color w:val="auto"/>
              </w:rPr>
            </w:pPr>
            <w:r>
              <w:rPr>
                <w:rFonts w:ascii="Arial" w:cs="Arial" w:eastAsia="Arial" w:hAnsi="Arial"/>
                <w:sz w:val="18"/>
                <w:szCs w:val="18"/>
                <w:color w:val="auto"/>
              </w:rPr>
              <w:t>7.11</w:t>
            </w:r>
          </w:p>
        </w:tc>
      </w:tr>
      <w:tr>
        <w:trPr>
          <w:trHeight w:val="216"/>
        </w:trPr>
        <w:tc>
          <w:tcPr>
            <w:tcW w:w="7780" w:type="dxa"/>
            <w:vAlign w:val="bottom"/>
          </w:tcPr>
          <w:p>
            <w:pPr>
              <w:jc w:val="right"/>
              <w:ind w:right="5029"/>
              <w:spacing w:after="0"/>
              <w:rPr>
                <w:sz w:val="20"/>
                <w:szCs w:val="20"/>
                <w:color w:val="auto"/>
              </w:rPr>
            </w:pPr>
            <w:r>
              <w:rPr>
                <w:rFonts w:ascii="Arial" w:cs="Arial" w:eastAsia="Arial" w:hAnsi="Arial"/>
                <w:sz w:val="18"/>
                <w:szCs w:val="18"/>
                <w:color w:val="auto"/>
              </w:rPr>
              <w:t>(b)</w:t>
            </w:r>
          </w:p>
        </w:tc>
        <w:tc>
          <w:tcPr>
            <w:tcW w:w="1420" w:type="dxa"/>
            <w:vAlign w:val="bottom"/>
          </w:tcPr>
          <w:p>
            <w:pPr>
              <w:ind w:left="320"/>
              <w:spacing w:after="0"/>
              <w:rPr>
                <w:sz w:val="20"/>
                <w:szCs w:val="20"/>
                <w:color w:val="auto"/>
              </w:rPr>
            </w:pPr>
            <w:r>
              <w:rPr>
                <w:rFonts w:ascii="Arial" w:cs="Arial" w:eastAsia="Arial" w:hAnsi="Arial"/>
                <w:sz w:val="18"/>
                <w:szCs w:val="18"/>
                <w:color w:val="auto"/>
              </w:rPr>
              <w:t>7.11</w:t>
            </w:r>
          </w:p>
        </w:tc>
      </w:tr>
      <w:tr>
        <w:trPr>
          <w:trHeight w:val="216"/>
        </w:trPr>
        <w:tc>
          <w:tcPr>
            <w:tcW w:w="7780" w:type="dxa"/>
            <w:vAlign w:val="bottom"/>
          </w:tcPr>
          <w:p>
            <w:pPr>
              <w:jc w:val="right"/>
              <w:ind w:right="5029"/>
              <w:spacing w:after="0"/>
              <w:rPr>
                <w:sz w:val="20"/>
                <w:szCs w:val="20"/>
                <w:color w:val="auto"/>
              </w:rPr>
            </w:pPr>
            <w:r>
              <w:rPr>
                <w:rFonts w:ascii="Arial" w:cs="Arial" w:eastAsia="Arial" w:hAnsi="Arial"/>
                <w:sz w:val="18"/>
                <w:szCs w:val="18"/>
                <w:color w:val="auto"/>
              </w:rPr>
              <w:t>(c)</w:t>
            </w:r>
          </w:p>
        </w:tc>
        <w:tc>
          <w:tcPr>
            <w:tcW w:w="1420" w:type="dxa"/>
            <w:vAlign w:val="bottom"/>
          </w:tcPr>
          <w:p>
            <w:pPr>
              <w:ind w:left="320"/>
              <w:spacing w:after="0"/>
              <w:rPr>
                <w:sz w:val="20"/>
                <w:szCs w:val="20"/>
                <w:color w:val="auto"/>
              </w:rPr>
            </w:pPr>
            <w:r>
              <w:rPr>
                <w:rFonts w:ascii="Arial" w:cs="Arial" w:eastAsia="Arial" w:hAnsi="Arial"/>
                <w:sz w:val="18"/>
                <w:szCs w:val="18"/>
                <w:color w:val="auto"/>
                <w:w w:val="93"/>
              </w:rPr>
              <w:t>Not Applicable</w:t>
            </w:r>
          </w:p>
        </w:tc>
      </w:tr>
      <w:tr>
        <w:trPr>
          <w:trHeight w:val="216"/>
        </w:trPr>
        <w:tc>
          <w:tcPr>
            <w:tcW w:w="7780" w:type="dxa"/>
            <w:vAlign w:val="bottom"/>
          </w:tcPr>
          <w:p>
            <w:pPr>
              <w:jc w:val="right"/>
              <w:ind w:right="5029"/>
              <w:spacing w:after="0"/>
              <w:rPr>
                <w:sz w:val="20"/>
                <w:szCs w:val="20"/>
                <w:color w:val="auto"/>
              </w:rPr>
            </w:pPr>
            <w:r>
              <w:rPr>
                <w:rFonts w:ascii="Arial" w:cs="Arial" w:eastAsia="Arial" w:hAnsi="Arial"/>
                <w:sz w:val="18"/>
                <w:szCs w:val="18"/>
                <w:color w:val="auto"/>
              </w:rPr>
              <w:t>§ 312(a)</w:t>
            </w:r>
          </w:p>
        </w:tc>
        <w:tc>
          <w:tcPr>
            <w:tcW w:w="1420" w:type="dxa"/>
            <w:vAlign w:val="bottom"/>
          </w:tcPr>
          <w:p>
            <w:pPr>
              <w:ind w:left="320"/>
              <w:spacing w:after="0"/>
              <w:rPr>
                <w:sz w:val="20"/>
                <w:szCs w:val="20"/>
                <w:color w:val="auto"/>
              </w:rPr>
            </w:pPr>
            <w:r>
              <w:rPr>
                <w:rFonts w:ascii="Arial" w:cs="Arial" w:eastAsia="Arial" w:hAnsi="Arial"/>
                <w:sz w:val="18"/>
                <w:szCs w:val="18"/>
                <w:color w:val="auto"/>
              </w:rPr>
              <w:t>2.6</w:t>
            </w:r>
          </w:p>
        </w:tc>
      </w:tr>
      <w:tr>
        <w:trPr>
          <w:trHeight w:val="216"/>
        </w:trPr>
        <w:tc>
          <w:tcPr>
            <w:tcW w:w="7780" w:type="dxa"/>
            <w:vAlign w:val="bottom"/>
          </w:tcPr>
          <w:p>
            <w:pPr>
              <w:jc w:val="right"/>
              <w:ind w:right="5029"/>
              <w:spacing w:after="0"/>
              <w:rPr>
                <w:sz w:val="20"/>
                <w:szCs w:val="20"/>
                <w:color w:val="auto"/>
              </w:rPr>
            </w:pPr>
            <w:r>
              <w:rPr>
                <w:rFonts w:ascii="Arial" w:cs="Arial" w:eastAsia="Arial" w:hAnsi="Arial"/>
                <w:sz w:val="18"/>
                <w:szCs w:val="18"/>
                <w:color w:val="auto"/>
              </w:rPr>
              <w:t>(b)</w:t>
            </w:r>
          </w:p>
        </w:tc>
        <w:tc>
          <w:tcPr>
            <w:tcW w:w="1420" w:type="dxa"/>
            <w:vAlign w:val="bottom"/>
          </w:tcPr>
          <w:p>
            <w:pPr>
              <w:ind w:left="320"/>
              <w:spacing w:after="0"/>
              <w:rPr>
                <w:sz w:val="20"/>
                <w:szCs w:val="20"/>
                <w:color w:val="auto"/>
              </w:rPr>
            </w:pPr>
            <w:r>
              <w:rPr>
                <w:rFonts w:ascii="Arial" w:cs="Arial" w:eastAsia="Arial" w:hAnsi="Arial"/>
                <w:sz w:val="18"/>
                <w:szCs w:val="18"/>
                <w:color w:val="auto"/>
              </w:rPr>
              <w:t>10.3</w:t>
            </w:r>
          </w:p>
        </w:tc>
      </w:tr>
      <w:tr>
        <w:trPr>
          <w:trHeight w:val="216"/>
        </w:trPr>
        <w:tc>
          <w:tcPr>
            <w:tcW w:w="7780" w:type="dxa"/>
            <w:vAlign w:val="bottom"/>
          </w:tcPr>
          <w:p>
            <w:pPr>
              <w:jc w:val="right"/>
              <w:ind w:right="5029"/>
              <w:spacing w:after="0"/>
              <w:rPr>
                <w:sz w:val="20"/>
                <w:szCs w:val="20"/>
                <w:color w:val="auto"/>
              </w:rPr>
            </w:pPr>
            <w:r>
              <w:rPr>
                <w:rFonts w:ascii="Arial" w:cs="Arial" w:eastAsia="Arial" w:hAnsi="Arial"/>
                <w:sz w:val="18"/>
                <w:szCs w:val="18"/>
                <w:color w:val="auto"/>
              </w:rPr>
              <w:t>(c)</w:t>
            </w:r>
          </w:p>
        </w:tc>
        <w:tc>
          <w:tcPr>
            <w:tcW w:w="1420" w:type="dxa"/>
            <w:vAlign w:val="bottom"/>
          </w:tcPr>
          <w:p>
            <w:pPr>
              <w:ind w:left="320"/>
              <w:spacing w:after="0"/>
              <w:rPr>
                <w:sz w:val="20"/>
                <w:szCs w:val="20"/>
                <w:color w:val="auto"/>
              </w:rPr>
            </w:pPr>
            <w:r>
              <w:rPr>
                <w:rFonts w:ascii="Arial" w:cs="Arial" w:eastAsia="Arial" w:hAnsi="Arial"/>
                <w:sz w:val="18"/>
                <w:szCs w:val="18"/>
                <w:color w:val="auto"/>
              </w:rPr>
              <w:t>10.3</w:t>
            </w:r>
          </w:p>
        </w:tc>
      </w:tr>
      <w:tr>
        <w:trPr>
          <w:trHeight w:val="216"/>
        </w:trPr>
        <w:tc>
          <w:tcPr>
            <w:tcW w:w="7780" w:type="dxa"/>
            <w:vAlign w:val="bottom"/>
          </w:tcPr>
          <w:p>
            <w:pPr>
              <w:jc w:val="right"/>
              <w:ind w:right="5029"/>
              <w:spacing w:after="0"/>
              <w:rPr>
                <w:sz w:val="20"/>
                <w:szCs w:val="20"/>
                <w:color w:val="auto"/>
              </w:rPr>
            </w:pPr>
            <w:r>
              <w:rPr>
                <w:rFonts w:ascii="Arial" w:cs="Arial" w:eastAsia="Arial" w:hAnsi="Arial"/>
                <w:sz w:val="18"/>
                <w:szCs w:val="18"/>
                <w:color w:val="auto"/>
              </w:rPr>
              <w:t>§ 313(a)</w:t>
            </w:r>
          </w:p>
        </w:tc>
        <w:tc>
          <w:tcPr>
            <w:tcW w:w="1420" w:type="dxa"/>
            <w:vAlign w:val="bottom"/>
          </w:tcPr>
          <w:p>
            <w:pPr>
              <w:ind w:left="320"/>
              <w:spacing w:after="0"/>
              <w:rPr>
                <w:sz w:val="20"/>
                <w:szCs w:val="20"/>
                <w:color w:val="auto"/>
              </w:rPr>
            </w:pPr>
            <w:r>
              <w:rPr>
                <w:rFonts w:ascii="Arial" w:cs="Arial" w:eastAsia="Arial" w:hAnsi="Arial"/>
                <w:sz w:val="18"/>
                <w:szCs w:val="18"/>
                <w:color w:val="auto"/>
              </w:rPr>
              <w:t>7.6</w:t>
            </w:r>
          </w:p>
        </w:tc>
      </w:tr>
      <w:tr>
        <w:trPr>
          <w:trHeight w:val="216"/>
        </w:trPr>
        <w:tc>
          <w:tcPr>
            <w:tcW w:w="7780" w:type="dxa"/>
            <w:vAlign w:val="bottom"/>
          </w:tcPr>
          <w:p>
            <w:pPr>
              <w:jc w:val="right"/>
              <w:ind w:right="5029"/>
              <w:spacing w:after="0"/>
              <w:rPr>
                <w:sz w:val="20"/>
                <w:szCs w:val="20"/>
                <w:color w:val="auto"/>
              </w:rPr>
            </w:pPr>
            <w:r>
              <w:rPr>
                <w:rFonts w:ascii="Arial" w:cs="Arial" w:eastAsia="Arial" w:hAnsi="Arial"/>
                <w:sz w:val="18"/>
                <w:szCs w:val="18"/>
                <w:color w:val="auto"/>
              </w:rPr>
              <w:t>(b)(1)</w:t>
            </w:r>
          </w:p>
        </w:tc>
        <w:tc>
          <w:tcPr>
            <w:tcW w:w="1420" w:type="dxa"/>
            <w:vAlign w:val="bottom"/>
          </w:tcPr>
          <w:p>
            <w:pPr>
              <w:ind w:left="320"/>
              <w:spacing w:after="0"/>
              <w:rPr>
                <w:sz w:val="20"/>
                <w:szCs w:val="20"/>
                <w:color w:val="auto"/>
              </w:rPr>
            </w:pPr>
            <w:r>
              <w:rPr>
                <w:rFonts w:ascii="Arial" w:cs="Arial" w:eastAsia="Arial" w:hAnsi="Arial"/>
                <w:sz w:val="18"/>
                <w:szCs w:val="18"/>
                <w:color w:val="auto"/>
              </w:rPr>
              <w:t>7.6</w:t>
            </w:r>
          </w:p>
        </w:tc>
      </w:tr>
      <w:tr>
        <w:trPr>
          <w:trHeight w:val="216"/>
        </w:trPr>
        <w:tc>
          <w:tcPr>
            <w:tcW w:w="7780" w:type="dxa"/>
            <w:vAlign w:val="bottom"/>
          </w:tcPr>
          <w:p>
            <w:pPr>
              <w:jc w:val="right"/>
              <w:ind w:right="5029"/>
              <w:spacing w:after="0"/>
              <w:rPr>
                <w:sz w:val="20"/>
                <w:szCs w:val="20"/>
                <w:color w:val="auto"/>
              </w:rPr>
            </w:pPr>
            <w:r>
              <w:rPr>
                <w:rFonts w:ascii="Arial" w:cs="Arial" w:eastAsia="Arial" w:hAnsi="Arial"/>
                <w:sz w:val="18"/>
                <w:szCs w:val="18"/>
                <w:color w:val="auto"/>
              </w:rPr>
              <w:t>(b)(2)</w:t>
            </w:r>
          </w:p>
        </w:tc>
        <w:tc>
          <w:tcPr>
            <w:tcW w:w="1420" w:type="dxa"/>
            <w:vAlign w:val="bottom"/>
          </w:tcPr>
          <w:p>
            <w:pPr>
              <w:ind w:left="320"/>
              <w:spacing w:after="0"/>
              <w:rPr>
                <w:sz w:val="20"/>
                <w:szCs w:val="20"/>
                <w:color w:val="auto"/>
              </w:rPr>
            </w:pPr>
            <w:r>
              <w:rPr>
                <w:rFonts w:ascii="Arial" w:cs="Arial" w:eastAsia="Arial" w:hAnsi="Arial"/>
                <w:sz w:val="18"/>
                <w:szCs w:val="18"/>
                <w:color w:val="auto"/>
              </w:rPr>
              <w:t>7.6</w:t>
            </w:r>
          </w:p>
        </w:tc>
      </w:tr>
      <w:tr>
        <w:trPr>
          <w:trHeight w:val="216"/>
        </w:trPr>
        <w:tc>
          <w:tcPr>
            <w:tcW w:w="7780" w:type="dxa"/>
            <w:vAlign w:val="bottom"/>
          </w:tcPr>
          <w:p>
            <w:pPr>
              <w:jc w:val="right"/>
              <w:ind w:right="5029"/>
              <w:spacing w:after="0"/>
              <w:rPr>
                <w:sz w:val="20"/>
                <w:szCs w:val="20"/>
                <w:color w:val="auto"/>
              </w:rPr>
            </w:pPr>
            <w:r>
              <w:rPr>
                <w:rFonts w:ascii="Arial" w:cs="Arial" w:eastAsia="Arial" w:hAnsi="Arial"/>
                <w:sz w:val="18"/>
                <w:szCs w:val="18"/>
                <w:color w:val="auto"/>
              </w:rPr>
              <w:t>(c)(1)</w:t>
            </w:r>
          </w:p>
        </w:tc>
        <w:tc>
          <w:tcPr>
            <w:tcW w:w="1420" w:type="dxa"/>
            <w:vAlign w:val="bottom"/>
          </w:tcPr>
          <w:p>
            <w:pPr>
              <w:ind w:left="320"/>
              <w:spacing w:after="0"/>
              <w:rPr>
                <w:sz w:val="20"/>
                <w:szCs w:val="20"/>
                <w:color w:val="auto"/>
              </w:rPr>
            </w:pPr>
            <w:r>
              <w:rPr>
                <w:rFonts w:ascii="Arial" w:cs="Arial" w:eastAsia="Arial" w:hAnsi="Arial"/>
                <w:sz w:val="18"/>
                <w:szCs w:val="18"/>
                <w:color w:val="auto"/>
              </w:rPr>
              <w:t>7.6</w:t>
            </w:r>
          </w:p>
        </w:tc>
      </w:tr>
      <w:tr>
        <w:trPr>
          <w:trHeight w:val="216"/>
        </w:trPr>
        <w:tc>
          <w:tcPr>
            <w:tcW w:w="7780" w:type="dxa"/>
            <w:vAlign w:val="bottom"/>
          </w:tcPr>
          <w:p>
            <w:pPr>
              <w:jc w:val="right"/>
              <w:ind w:right="5029"/>
              <w:spacing w:after="0"/>
              <w:rPr>
                <w:sz w:val="20"/>
                <w:szCs w:val="20"/>
                <w:color w:val="auto"/>
              </w:rPr>
            </w:pPr>
            <w:r>
              <w:rPr>
                <w:rFonts w:ascii="Arial" w:cs="Arial" w:eastAsia="Arial" w:hAnsi="Arial"/>
                <w:sz w:val="18"/>
                <w:szCs w:val="18"/>
                <w:color w:val="auto"/>
              </w:rPr>
              <w:t>(d)</w:t>
            </w:r>
          </w:p>
        </w:tc>
        <w:tc>
          <w:tcPr>
            <w:tcW w:w="1420" w:type="dxa"/>
            <w:vAlign w:val="bottom"/>
          </w:tcPr>
          <w:p>
            <w:pPr>
              <w:ind w:left="320"/>
              <w:spacing w:after="0"/>
              <w:rPr>
                <w:sz w:val="20"/>
                <w:szCs w:val="20"/>
                <w:color w:val="auto"/>
              </w:rPr>
            </w:pPr>
            <w:r>
              <w:rPr>
                <w:rFonts w:ascii="Arial" w:cs="Arial" w:eastAsia="Arial" w:hAnsi="Arial"/>
                <w:sz w:val="18"/>
                <w:szCs w:val="18"/>
                <w:color w:val="auto"/>
              </w:rPr>
              <w:t>7.6</w:t>
            </w:r>
          </w:p>
        </w:tc>
      </w:tr>
      <w:tr>
        <w:trPr>
          <w:trHeight w:val="216"/>
        </w:trPr>
        <w:tc>
          <w:tcPr>
            <w:tcW w:w="7780" w:type="dxa"/>
            <w:vAlign w:val="bottom"/>
          </w:tcPr>
          <w:p>
            <w:pPr>
              <w:jc w:val="right"/>
              <w:ind w:right="5029"/>
              <w:spacing w:after="0"/>
              <w:rPr>
                <w:sz w:val="20"/>
                <w:szCs w:val="20"/>
                <w:color w:val="auto"/>
              </w:rPr>
            </w:pPr>
            <w:r>
              <w:rPr>
                <w:rFonts w:ascii="Arial" w:cs="Arial" w:eastAsia="Arial" w:hAnsi="Arial"/>
                <w:sz w:val="18"/>
                <w:szCs w:val="18"/>
                <w:color w:val="auto"/>
              </w:rPr>
              <w:t>§ 314(a)</w:t>
            </w:r>
          </w:p>
        </w:tc>
        <w:tc>
          <w:tcPr>
            <w:tcW w:w="1420" w:type="dxa"/>
            <w:vAlign w:val="bottom"/>
          </w:tcPr>
          <w:p>
            <w:pPr>
              <w:ind w:left="320"/>
              <w:spacing w:after="0"/>
              <w:rPr>
                <w:sz w:val="20"/>
                <w:szCs w:val="20"/>
                <w:color w:val="auto"/>
              </w:rPr>
            </w:pPr>
            <w:r>
              <w:rPr>
                <w:rFonts w:ascii="Arial" w:cs="Arial" w:eastAsia="Arial" w:hAnsi="Arial"/>
                <w:sz w:val="18"/>
                <w:szCs w:val="18"/>
                <w:color w:val="auto"/>
              </w:rPr>
              <w:t>4.2, 10.5</w:t>
            </w:r>
          </w:p>
        </w:tc>
      </w:tr>
      <w:tr>
        <w:trPr>
          <w:trHeight w:val="216"/>
        </w:trPr>
        <w:tc>
          <w:tcPr>
            <w:tcW w:w="7780" w:type="dxa"/>
            <w:vAlign w:val="bottom"/>
          </w:tcPr>
          <w:p>
            <w:pPr>
              <w:jc w:val="right"/>
              <w:ind w:right="5029"/>
              <w:spacing w:after="0"/>
              <w:rPr>
                <w:sz w:val="20"/>
                <w:szCs w:val="20"/>
                <w:color w:val="auto"/>
              </w:rPr>
            </w:pPr>
            <w:r>
              <w:rPr>
                <w:rFonts w:ascii="Arial" w:cs="Arial" w:eastAsia="Arial" w:hAnsi="Arial"/>
                <w:sz w:val="18"/>
                <w:szCs w:val="18"/>
                <w:color w:val="auto"/>
              </w:rPr>
              <w:t>(b)</w:t>
            </w:r>
          </w:p>
        </w:tc>
        <w:tc>
          <w:tcPr>
            <w:tcW w:w="1420" w:type="dxa"/>
            <w:vAlign w:val="bottom"/>
          </w:tcPr>
          <w:p>
            <w:pPr>
              <w:ind w:left="320"/>
              <w:spacing w:after="0"/>
              <w:rPr>
                <w:sz w:val="20"/>
                <w:szCs w:val="20"/>
                <w:color w:val="auto"/>
              </w:rPr>
            </w:pPr>
            <w:r>
              <w:rPr>
                <w:rFonts w:ascii="Arial" w:cs="Arial" w:eastAsia="Arial" w:hAnsi="Arial"/>
                <w:sz w:val="18"/>
                <w:szCs w:val="18"/>
                <w:color w:val="auto"/>
                <w:w w:val="93"/>
              </w:rPr>
              <w:t>Not Applicable</w:t>
            </w:r>
          </w:p>
        </w:tc>
      </w:tr>
      <w:tr>
        <w:trPr>
          <w:trHeight w:val="216"/>
        </w:trPr>
        <w:tc>
          <w:tcPr>
            <w:tcW w:w="7780" w:type="dxa"/>
            <w:vAlign w:val="bottom"/>
          </w:tcPr>
          <w:p>
            <w:pPr>
              <w:jc w:val="right"/>
              <w:ind w:right="5029"/>
              <w:spacing w:after="0"/>
              <w:rPr>
                <w:sz w:val="20"/>
                <w:szCs w:val="20"/>
                <w:color w:val="auto"/>
              </w:rPr>
            </w:pPr>
            <w:r>
              <w:rPr>
                <w:rFonts w:ascii="Arial" w:cs="Arial" w:eastAsia="Arial" w:hAnsi="Arial"/>
                <w:sz w:val="18"/>
                <w:szCs w:val="18"/>
                <w:color w:val="auto"/>
              </w:rPr>
              <w:t>(c)(1)</w:t>
            </w:r>
          </w:p>
        </w:tc>
        <w:tc>
          <w:tcPr>
            <w:tcW w:w="1420" w:type="dxa"/>
            <w:vAlign w:val="bottom"/>
          </w:tcPr>
          <w:p>
            <w:pPr>
              <w:ind w:left="320"/>
              <w:spacing w:after="0"/>
              <w:rPr>
                <w:sz w:val="20"/>
                <w:szCs w:val="20"/>
                <w:color w:val="auto"/>
              </w:rPr>
            </w:pPr>
            <w:r>
              <w:rPr>
                <w:rFonts w:ascii="Arial" w:cs="Arial" w:eastAsia="Arial" w:hAnsi="Arial"/>
                <w:sz w:val="18"/>
                <w:szCs w:val="18"/>
                <w:color w:val="auto"/>
              </w:rPr>
              <w:t>10.4</w:t>
            </w:r>
          </w:p>
        </w:tc>
      </w:tr>
      <w:tr>
        <w:trPr>
          <w:trHeight w:val="216"/>
        </w:trPr>
        <w:tc>
          <w:tcPr>
            <w:tcW w:w="7780" w:type="dxa"/>
            <w:vAlign w:val="bottom"/>
          </w:tcPr>
          <w:p>
            <w:pPr>
              <w:jc w:val="right"/>
              <w:ind w:right="5029"/>
              <w:spacing w:after="0"/>
              <w:rPr>
                <w:sz w:val="20"/>
                <w:szCs w:val="20"/>
                <w:color w:val="auto"/>
              </w:rPr>
            </w:pPr>
            <w:r>
              <w:rPr>
                <w:rFonts w:ascii="Arial" w:cs="Arial" w:eastAsia="Arial" w:hAnsi="Arial"/>
                <w:sz w:val="18"/>
                <w:szCs w:val="18"/>
                <w:color w:val="auto"/>
              </w:rPr>
              <w:t>(c)(2)</w:t>
            </w:r>
          </w:p>
        </w:tc>
        <w:tc>
          <w:tcPr>
            <w:tcW w:w="1420" w:type="dxa"/>
            <w:vAlign w:val="bottom"/>
          </w:tcPr>
          <w:p>
            <w:pPr>
              <w:ind w:left="320"/>
              <w:spacing w:after="0"/>
              <w:rPr>
                <w:sz w:val="20"/>
                <w:szCs w:val="20"/>
                <w:color w:val="auto"/>
              </w:rPr>
            </w:pPr>
            <w:r>
              <w:rPr>
                <w:rFonts w:ascii="Arial" w:cs="Arial" w:eastAsia="Arial" w:hAnsi="Arial"/>
                <w:sz w:val="18"/>
                <w:szCs w:val="18"/>
                <w:color w:val="auto"/>
              </w:rPr>
              <w:t>10.4</w:t>
            </w:r>
          </w:p>
        </w:tc>
      </w:tr>
      <w:tr>
        <w:trPr>
          <w:trHeight w:val="216"/>
        </w:trPr>
        <w:tc>
          <w:tcPr>
            <w:tcW w:w="7780" w:type="dxa"/>
            <w:vAlign w:val="bottom"/>
          </w:tcPr>
          <w:p>
            <w:pPr>
              <w:jc w:val="right"/>
              <w:ind w:right="5029"/>
              <w:spacing w:after="0"/>
              <w:rPr>
                <w:sz w:val="20"/>
                <w:szCs w:val="20"/>
                <w:color w:val="auto"/>
              </w:rPr>
            </w:pPr>
            <w:r>
              <w:rPr>
                <w:rFonts w:ascii="Arial" w:cs="Arial" w:eastAsia="Arial" w:hAnsi="Arial"/>
                <w:sz w:val="18"/>
                <w:szCs w:val="18"/>
                <w:color w:val="auto"/>
              </w:rPr>
              <w:t>(c)(3)</w:t>
            </w:r>
          </w:p>
        </w:tc>
        <w:tc>
          <w:tcPr>
            <w:tcW w:w="1420" w:type="dxa"/>
            <w:vAlign w:val="bottom"/>
          </w:tcPr>
          <w:p>
            <w:pPr>
              <w:ind w:left="320"/>
              <w:spacing w:after="0"/>
              <w:rPr>
                <w:sz w:val="20"/>
                <w:szCs w:val="20"/>
                <w:color w:val="auto"/>
              </w:rPr>
            </w:pPr>
            <w:r>
              <w:rPr>
                <w:rFonts w:ascii="Arial" w:cs="Arial" w:eastAsia="Arial" w:hAnsi="Arial"/>
                <w:sz w:val="18"/>
                <w:szCs w:val="18"/>
                <w:color w:val="auto"/>
                <w:w w:val="93"/>
              </w:rPr>
              <w:t>Not Applicable</w:t>
            </w:r>
          </w:p>
        </w:tc>
      </w:tr>
      <w:tr>
        <w:trPr>
          <w:trHeight w:val="216"/>
        </w:trPr>
        <w:tc>
          <w:tcPr>
            <w:tcW w:w="7780" w:type="dxa"/>
            <w:vAlign w:val="bottom"/>
          </w:tcPr>
          <w:p>
            <w:pPr>
              <w:jc w:val="right"/>
              <w:ind w:right="5029"/>
              <w:spacing w:after="0"/>
              <w:rPr>
                <w:sz w:val="20"/>
                <w:szCs w:val="20"/>
                <w:color w:val="auto"/>
              </w:rPr>
            </w:pPr>
            <w:r>
              <w:rPr>
                <w:rFonts w:ascii="Arial" w:cs="Arial" w:eastAsia="Arial" w:hAnsi="Arial"/>
                <w:sz w:val="18"/>
                <w:szCs w:val="18"/>
                <w:color w:val="auto"/>
              </w:rPr>
              <w:t>(d)</w:t>
            </w:r>
          </w:p>
        </w:tc>
        <w:tc>
          <w:tcPr>
            <w:tcW w:w="1420" w:type="dxa"/>
            <w:vAlign w:val="bottom"/>
          </w:tcPr>
          <w:p>
            <w:pPr>
              <w:ind w:left="320"/>
              <w:spacing w:after="0"/>
              <w:rPr>
                <w:sz w:val="20"/>
                <w:szCs w:val="20"/>
                <w:color w:val="auto"/>
              </w:rPr>
            </w:pPr>
            <w:r>
              <w:rPr>
                <w:rFonts w:ascii="Arial" w:cs="Arial" w:eastAsia="Arial" w:hAnsi="Arial"/>
                <w:sz w:val="18"/>
                <w:szCs w:val="18"/>
                <w:color w:val="auto"/>
                <w:w w:val="93"/>
              </w:rPr>
              <w:t>Not Applicable</w:t>
            </w:r>
          </w:p>
        </w:tc>
      </w:tr>
      <w:tr>
        <w:trPr>
          <w:trHeight w:val="216"/>
        </w:trPr>
        <w:tc>
          <w:tcPr>
            <w:tcW w:w="7780" w:type="dxa"/>
            <w:vAlign w:val="bottom"/>
          </w:tcPr>
          <w:p>
            <w:pPr>
              <w:jc w:val="right"/>
              <w:ind w:right="5029"/>
              <w:spacing w:after="0"/>
              <w:rPr>
                <w:sz w:val="20"/>
                <w:szCs w:val="20"/>
                <w:color w:val="auto"/>
              </w:rPr>
            </w:pPr>
            <w:r>
              <w:rPr>
                <w:rFonts w:ascii="Arial" w:cs="Arial" w:eastAsia="Arial" w:hAnsi="Arial"/>
                <w:sz w:val="18"/>
                <w:szCs w:val="18"/>
                <w:color w:val="auto"/>
              </w:rPr>
              <w:t>(e)</w:t>
            </w:r>
          </w:p>
        </w:tc>
        <w:tc>
          <w:tcPr>
            <w:tcW w:w="1420" w:type="dxa"/>
            <w:vAlign w:val="bottom"/>
          </w:tcPr>
          <w:p>
            <w:pPr>
              <w:ind w:left="320"/>
              <w:spacing w:after="0"/>
              <w:rPr>
                <w:sz w:val="20"/>
                <w:szCs w:val="20"/>
                <w:color w:val="auto"/>
              </w:rPr>
            </w:pPr>
            <w:r>
              <w:rPr>
                <w:rFonts w:ascii="Arial" w:cs="Arial" w:eastAsia="Arial" w:hAnsi="Arial"/>
                <w:sz w:val="18"/>
                <w:szCs w:val="18"/>
                <w:color w:val="auto"/>
              </w:rPr>
              <w:t>10.5</w:t>
            </w:r>
          </w:p>
        </w:tc>
      </w:tr>
      <w:tr>
        <w:trPr>
          <w:trHeight w:val="216"/>
        </w:trPr>
        <w:tc>
          <w:tcPr>
            <w:tcW w:w="7780" w:type="dxa"/>
            <w:vAlign w:val="bottom"/>
          </w:tcPr>
          <w:p>
            <w:pPr>
              <w:jc w:val="right"/>
              <w:ind w:right="5029"/>
              <w:spacing w:after="0"/>
              <w:rPr>
                <w:sz w:val="20"/>
                <w:szCs w:val="20"/>
                <w:color w:val="auto"/>
              </w:rPr>
            </w:pPr>
            <w:r>
              <w:rPr>
                <w:rFonts w:ascii="Arial" w:cs="Arial" w:eastAsia="Arial" w:hAnsi="Arial"/>
                <w:sz w:val="18"/>
                <w:szCs w:val="18"/>
                <w:color w:val="auto"/>
              </w:rPr>
              <w:t>(f)</w:t>
            </w:r>
          </w:p>
        </w:tc>
        <w:tc>
          <w:tcPr>
            <w:tcW w:w="1420" w:type="dxa"/>
            <w:vAlign w:val="bottom"/>
          </w:tcPr>
          <w:p>
            <w:pPr>
              <w:ind w:left="320"/>
              <w:spacing w:after="0"/>
              <w:rPr>
                <w:sz w:val="20"/>
                <w:szCs w:val="20"/>
                <w:color w:val="auto"/>
              </w:rPr>
            </w:pPr>
            <w:r>
              <w:rPr>
                <w:rFonts w:ascii="Arial" w:cs="Arial" w:eastAsia="Arial" w:hAnsi="Arial"/>
                <w:sz w:val="18"/>
                <w:szCs w:val="18"/>
                <w:color w:val="auto"/>
                <w:w w:val="93"/>
              </w:rPr>
              <w:t>Not Applicable</w:t>
            </w:r>
          </w:p>
        </w:tc>
      </w:tr>
      <w:tr>
        <w:trPr>
          <w:trHeight w:val="216"/>
        </w:trPr>
        <w:tc>
          <w:tcPr>
            <w:tcW w:w="7780" w:type="dxa"/>
            <w:vAlign w:val="bottom"/>
          </w:tcPr>
          <w:p>
            <w:pPr>
              <w:jc w:val="right"/>
              <w:ind w:right="5029"/>
              <w:spacing w:after="0"/>
              <w:rPr>
                <w:sz w:val="20"/>
                <w:szCs w:val="20"/>
                <w:color w:val="auto"/>
              </w:rPr>
            </w:pPr>
            <w:r>
              <w:rPr>
                <w:rFonts w:ascii="Arial" w:cs="Arial" w:eastAsia="Arial" w:hAnsi="Arial"/>
                <w:sz w:val="18"/>
                <w:szCs w:val="18"/>
                <w:color w:val="auto"/>
              </w:rPr>
              <w:t>§ 315(a)</w:t>
            </w:r>
          </w:p>
        </w:tc>
        <w:tc>
          <w:tcPr>
            <w:tcW w:w="1420" w:type="dxa"/>
            <w:vAlign w:val="bottom"/>
          </w:tcPr>
          <w:p>
            <w:pPr>
              <w:ind w:left="320"/>
              <w:spacing w:after="0"/>
              <w:rPr>
                <w:sz w:val="20"/>
                <w:szCs w:val="20"/>
                <w:color w:val="auto"/>
              </w:rPr>
            </w:pPr>
            <w:r>
              <w:rPr>
                <w:rFonts w:ascii="Arial" w:cs="Arial" w:eastAsia="Arial" w:hAnsi="Arial"/>
                <w:sz w:val="18"/>
                <w:szCs w:val="18"/>
                <w:color w:val="auto"/>
              </w:rPr>
              <w:t>7.1</w:t>
            </w:r>
          </w:p>
        </w:tc>
      </w:tr>
      <w:tr>
        <w:trPr>
          <w:trHeight w:val="216"/>
        </w:trPr>
        <w:tc>
          <w:tcPr>
            <w:tcW w:w="7780" w:type="dxa"/>
            <w:vAlign w:val="bottom"/>
          </w:tcPr>
          <w:p>
            <w:pPr>
              <w:jc w:val="right"/>
              <w:ind w:right="5029"/>
              <w:spacing w:after="0"/>
              <w:rPr>
                <w:sz w:val="20"/>
                <w:szCs w:val="20"/>
                <w:color w:val="auto"/>
              </w:rPr>
            </w:pPr>
            <w:r>
              <w:rPr>
                <w:rFonts w:ascii="Arial" w:cs="Arial" w:eastAsia="Arial" w:hAnsi="Arial"/>
                <w:sz w:val="18"/>
                <w:szCs w:val="18"/>
                <w:color w:val="auto"/>
              </w:rPr>
              <w:t>(b)</w:t>
            </w:r>
          </w:p>
        </w:tc>
        <w:tc>
          <w:tcPr>
            <w:tcW w:w="1420" w:type="dxa"/>
            <w:vAlign w:val="bottom"/>
          </w:tcPr>
          <w:p>
            <w:pPr>
              <w:ind w:left="320"/>
              <w:spacing w:after="0"/>
              <w:rPr>
                <w:sz w:val="20"/>
                <w:szCs w:val="20"/>
                <w:color w:val="auto"/>
              </w:rPr>
            </w:pPr>
            <w:r>
              <w:rPr>
                <w:rFonts w:ascii="Arial" w:cs="Arial" w:eastAsia="Arial" w:hAnsi="Arial"/>
                <w:sz w:val="18"/>
                <w:szCs w:val="18"/>
                <w:color w:val="auto"/>
              </w:rPr>
              <w:t>7.5</w:t>
            </w:r>
          </w:p>
        </w:tc>
      </w:tr>
      <w:tr>
        <w:trPr>
          <w:trHeight w:val="216"/>
        </w:trPr>
        <w:tc>
          <w:tcPr>
            <w:tcW w:w="7780" w:type="dxa"/>
            <w:vAlign w:val="bottom"/>
          </w:tcPr>
          <w:p>
            <w:pPr>
              <w:jc w:val="right"/>
              <w:ind w:right="5029"/>
              <w:spacing w:after="0"/>
              <w:rPr>
                <w:sz w:val="20"/>
                <w:szCs w:val="20"/>
                <w:color w:val="auto"/>
              </w:rPr>
            </w:pPr>
            <w:r>
              <w:rPr>
                <w:rFonts w:ascii="Arial" w:cs="Arial" w:eastAsia="Arial" w:hAnsi="Arial"/>
                <w:sz w:val="18"/>
                <w:szCs w:val="18"/>
                <w:color w:val="auto"/>
              </w:rPr>
              <w:t>(c)</w:t>
            </w:r>
          </w:p>
        </w:tc>
        <w:tc>
          <w:tcPr>
            <w:tcW w:w="1420" w:type="dxa"/>
            <w:vAlign w:val="bottom"/>
          </w:tcPr>
          <w:p>
            <w:pPr>
              <w:ind w:left="320"/>
              <w:spacing w:after="0"/>
              <w:rPr>
                <w:sz w:val="20"/>
                <w:szCs w:val="20"/>
                <w:color w:val="auto"/>
              </w:rPr>
            </w:pPr>
            <w:r>
              <w:rPr>
                <w:rFonts w:ascii="Arial" w:cs="Arial" w:eastAsia="Arial" w:hAnsi="Arial"/>
                <w:sz w:val="18"/>
                <w:szCs w:val="18"/>
                <w:color w:val="auto"/>
              </w:rPr>
              <w:t>7.1</w:t>
            </w:r>
          </w:p>
        </w:tc>
      </w:tr>
      <w:tr>
        <w:trPr>
          <w:trHeight w:val="216"/>
        </w:trPr>
        <w:tc>
          <w:tcPr>
            <w:tcW w:w="7780" w:type="dxa"/>
            <w:vAlign w:val="bottom"/>
          </w:tcPr>
          <w:p>
            <w:pPr>
              <w:jc w:val="right"/>
              <w:ind w:right="5029"/>
              <w:spacing w:after="0"/>
              <w:rPr>
                <w:sz w:val="20"/>
                <w:szCs w:val="20"/>
                <w:color w:val="auto"/>
              </w:rPr>
            </w:pPr>
            <w:r>
              <w:rPr>
                <w:rFonts w:ascii="Arial" w:cs="Arial" w:eastAsia="Arial" w:hAnsi="Arial"/>
                <w:sz w:val="18"/>
                <w:szCs w:val="18"/>
                <w:color w:val="auto"/>
              </w:rPr>
              <w:t>(d)</w:t>
            </w:r>
          </w:p>
        </w:tc>
        <w:tc>
          <w:tcPr>
            <w:tcW w:w="1420" w:type="dxa"/>
            <w:vAlign w:val="bottom"/>
          </w:tcPr>
          <w:p>
            <w:pPr>
              <w:ind w:left="320"/>
              <w:spacing w:after="0"/>
              <w:rPr>
                <w:sz w:val="20"/>
                <w:szCs w:val="20"/>
                <w:color w:val="auto"/>
              </w:rPr>
            </w:pPr>
            <w:r>
              <w:rPr>
                <w:rFonts w:ascii="Arial" w:cs="Arial" w:eastAsia="Arial" w:hAnsi="Arial"/>
                <w:sz w:val="18"/>
                <w:szCs w:val="18"/>
                <w:color w:val="auto"/>
              </w:rPr>
              <w:t>7.1</w:t>
            </w:r>
          </w:p>
        </w:tc>
      </w:tr>
      <w:tr>
        <w:trPr>
          <w:trHeight w:val="216"/>
        </w:trPr>
        <w:tc>
          <w:tcPr>
            <w:tcW w:w="7780" w:type="dxa"/>
            <w:vAlign w:val="bottom"/>
          </w:tcPr>
          <w:p>
            <w:pPr>
              <w:jc w:val="right"/>
              <w:ind w:right="5029"/>
              <w:spacing w:after="0"/>
              <w:rPr>
                <w:sz w:val="20"/>
                <w:szCs w:val="20"/>
                <w:color w:val="auto"/>
              </w:rPr>
            </w:pPr>
            <w:r>
              <w:rPr>
                <w:rFonts w:ascii="Arial" w:cs="Arial" w:eastAsia="Arial" w:hAnsi="Arial"/>
                <w:sz w:val="18"/>
                <w:szCs w:val="18"/>
                <w:color w:val="auto"/>
              </w:rPr>
              <w:t>(e)</w:t>
            </w:r>
          </w:p>
        </w:tc>
        <w:tc>
          <w:tcPr>
            <w:tcW w:w="1420" w:type="dxa"/>
            <w:vAlign w:val="bottom"/>
          </w:tcPr>
          <w:p>
            <w:pPr>
              <w:ind w:left="320"/>
              <w:spacing w:after="0"/>
              <w:rPr>
                <w:sz w:val="20"/>
                <w:szCs w:val="20"/>
                <w:color w:val="auto"/>
              </w:rPr>
            </w:pPr>
            <w:r>
              <w:rPr>
                <w:rFonts w:ascii="Arial" w:cs="Arial" w:eastAsia="Arial" w:hAnsi="Arial"/>
                <w:sz w:val="18"/>
                <w:szCs w:val="18"/>
                <w:color w:val="auto"/>
              </w:rPr>
              <w:t>6.14</w:t>
            </w:r>
          </w:p>
        </w:tc>
      </w:tr>
      <w:tr>
        <w:trPr>
          <w:trHeight w:val="216"/>
        </w:trPr>
        <w:tc>
          <w:tcPr>
            <w:tcW w:w="7780" w:type="dxa"/>
            <w:vAlign w:val="bottom"/>
          </w:tcPr>
          <w:p>
            <w:pPr>
              <w:jc w:val="right"/>
              <w:ind w:right="5029"/>
              <w:spacing w:after="0"/>
              <w:rPr>
                <w:sz w:val="20"/>
                <w:szCs w:val="20"/>
                <w:color w:val="auto"/>
              </w:rPr>
            </w:pPr>
            <w:r>
              <w:rPr>
                <w:rFonts w:ascii="Arial" w:cs="Arial" w:eastAsia="Arial" w:hAnsi="Arial"/>
                <w:sz w:val="18"/>
                <w:szCs w:val="18"/>
                <w:color w:val="auto"/>
              </w:rPr>
              <w:t>§ 316(a)</w:t>
            </w:r>
          </w:p>
        </w:tc>
        <w:tc>
          <w:tcPr>
            <w:tcW w:w="1420" w:type="dxa"/>
            <w:vAlign w:val="bottom"/>
          </w:tcPr>
          <w:p>
            <w:pPr>
              <w:ind w:left="320"/>
              <w:spacing w:after="0"/>
              <w:rPr>
                <w:sz w:val="20"/>
                <w:szCs w:val="20"/>
                <w:color w:val="auto"/>
              </w:rPr>
            </w:pPr>
            <w:r>
              <w:rPr>
                <w:rFonts w:ascii="Arial" w:cs="Arial" w:eastAsia="Arial" w:hAnsi="Arial"/>
                <w:sz w:val="18"/>
                <w:szCs w:val="18"/>
                <w:color w:val="auto"/>
              </w:rPr>
              <w:t>2.10</w:t>
            </w:r>
          </w:p>
        </w:tc>
      </w:tr>
      <w:tr>
        <w:trPr>
          <w:trHeight w:val="216"/>
        </w:trPr>
        <w:tc>
          <w:tcPr>
            <w:tcW w:w="7780" w:type="dxa"/>
            <w:vAlign w:val="bottom"/>
          </w:tcPr>
          <w:p>
            <w:pPr>
              <w:jc w:val="right"/>
              <w:ind w:right="5029"/>
              <w:spacing w:after="0"/>
              <w:rPr>
                <w:sz w:val="20"/>
                <w:szCs w:val="20"/>
                <w:color w:val="auto"/>
              </w:rPr>
            </w:pPr>
            <w:r>
              <w:rPr>
                <w:rFonts w:ascii="Arial" w:cs="Arial" w:eastAsia="Arial" w:hAnsi="Arial"/>
                <w:sz w:val="18"/>
                <w:szCs w:val="18"/>
                <w:color w:val="auto"/>
              </w:rPr>
              <w:t>(a)(1)(A)</w:t>
            </w:r>
          </w:p>
        </w:tc>
        <w:tc>
          <w:tcPr>
            <w:tcW w:w="1420" w:type="dxa"/>
            <w:vAlign w:val="bottom"/>
          </w:tcPr>
          <w:p>
            <w:pPr>
              <w:ind w:left="320"/>
              <w:spacing w:after="0"/>
              <w:rPr>
                <w:sz w:val="20"/>
                <w:szCs w:val="20"/>
                <w:color w:val="auto"/>
              </w:rPr>
            </w:pPr>
            <w:r>
              <w:rPr>
                <w:rFonts w:ascii="Arial" w:cs="Arial" w:eastAsia="Arial" w:hAnsi="Arial"/>
                <w:sz w:val="18"/>
                <w:szCs w:val="18"/>
                <w:color w:val="auto"/>
              </w:rPr>
              <w:t>6.12</w:t>
            </w:r>
          </w:p>
        </w:tc>
      </w:tr>
      <w:tr>
        <w:trPr>
          <w:trHeight w:val="216"/>
        </w:trPr>
        <w:tc>
          <w:tcPr>
            <w:tcW w:w="7780" w:type="dxa"/>
            <w:vAlign w:val="bottom"/>
          </w:tcPr>
          <w:p>
            <w:pPr>
              <w:jc w:val="right"/>
              <w:ind w:right="5029"/>
              <w:spacing w:after="0"/>
              <w:rPr>
                <w:sz w:val="20"/>
                <w:szCs w:val="20"/>
                <w:color w:val="auto"/>
              </w:rPr>
            </w:pPr>
            <w:r>
              <w:rPr>
                <w:rFonts w:ascii="Arial" w:cs="Arial" w:eastAsia="Arial" w:hAnsi="Arial"/>
                <w:sz w:val="18"/>
                <w:szCs w:val="18"/>
                <w:color w:val="auto"/>
              </w:rPr>
              <w:t>(a)(1)(B)</w:t>
            </w:r>
          </w:p>
        </w:tc>
        <w:tc>
          <w:tcPr>
            <w:tcW w:w="1420" w:type="dxa"/>
            <w:vAlign w:val="bottom"/>
          </w:tcPr>
          <w:p>
            <w:pPr>
              <w:ind w:left="320"/>
              <w:spacing w:after="0"/>
              <w:rPr>
                <w:sz w:val="20"/>
                <w:szCs w:val="20"/>
                <w:color w:val="auto"/>
              </w:rPr>
            </w:pPr>
            <w:r>
              <w:rPr>
                <w:rFonts w:ascii="Arial" w:cs="Arial" w:eastAsia="Arial" w:hAnsi="Arial"/>
                <w:sz w:val="18"/>
                <w:szCs w:val="18"/>
                <w:color w:val="auto"/>
              </w:rPr>
              <w:t>6.13</w:t>
            </w:r>
          </w:p>
        </w:tc>
      </w:tr>
      <w:tr>
        <w:trPr>
          <w:trHeight w:val="216"/>
        </w:trPr>
        <w:tc>
          <w:tcPr>
            <w:tcW w:w="7780" w:type="dxa"/>
            <w:vAlign w:val="bottom"/>
          </w:tcPr>
          <w:p>
            <w:pPr>
              <w:jc w:val="right"/>
              <w:ind w:right="5029"/>
              <w:spacing w:after="0"/>
              <w:rPr>
                <w:sz w:val="20"/>
                <w:szCs w:val="20"/>
                <w:color w:val="auto"/>
              </w:rPr>
            </w:pPr>
            <w:r>
              <w:rPr>
                <w:rFonts w:ascii="Arial" w:cs="Arial" w:eastAsia="Arial" w:hAnsi="Arial"/>
                <w:sz w:val="18"/>
                <w:szCs w:val="18"/>
                <w:color w:val="auto"/>
              </w:rPr>
              <w:t>(b)</w:t>
            </w:r>
          </w:p>
        </w:tc>
        <w:tc>
          <w:tcPr>
            <w:tcW w:w="1420" w:type="dxa"/>
            <w:vAlign w:val="bottom"/>
          </w:tcPr>
          <w:p>
            <w:pPr>
              <w:ind w:left="320"/>
              <w:spacing w:after="0"/>
              <w:rPr>
                <w:sz w:val="20"/>
                <w:szCs w:val="20"/>
                <w:color w:val="auto"/>
              </w:rPr>
            </w:pPr>
            <w:r>
              <w:rPr>
                <w:rFonts w:ascii="Arial" w:cs="Arial" w:eastAsia="Arial" w:hAnsi="Arial"/>
                <w:sz w:val="18"/>
                <w:szCs w:val="18"/>
                <w:color w:val="auto"/>
              </w:rPr>
              <w:t>6.8</w:t>
            </w:r>
          </w:p>
        </w:tc>
      </w:tr>
      <w:tr>
        <w:trPr>
          <w:trHeight w:val="216"/>
        </w:trPr>
        <w:tc>
          <w:tcPr>
            <w:tcW w:w="7780" w:type="dxa"/>
            <w:vAlign w:val="bottom"/>
          </w:tcPr>
          <w:p>
            <w:pPr>
              <w:jc w:val="right"/>
              <w:ind w:right="5029"/>
              <w:spacing w:after="0"/>
              <w:rPr>
                <w:sz w:val="20"/>
                <w:szCs w:val="20"/>
                <w:color w:val="auto"/>
              </w:rPr>
            </w:pPr>
            <w:r>
              <w:rPr>
                <w:rFonts w:ascii="Arial" w:cs="Arial" w:eastAsia="Arial" w:hAnsi="Arial"/>
                <w:sz w:val="18"/>
                <w:szCs w:val="18"/>
                <w:color w:val="auto"/>
              </w:rPr>
              <w:t>§ 317(a)(1)</w:t>
            </w:r>
          </w:p>
        </w:tc>
        <w:tc>
          <w:tcPr>
            <w:tcW w:w="1420" w:type="dxa"/>
            <w:vAlign w:val="bottom"/>
          </w:tcPr>
          <w:p>
            <w:pPr>
              <w:ind w:left="320"/>
              <w:spacing w:after="0"/>
              <w:rPr>
                <w:sz w:val="20"/>
                <w:szCs w:val="20"/>
                <w:color w:val="auto"/>
              </w:rPr>
            </w:pPr>
            <w:r>
              <w:rPr>
                <w:rFonts w:ascii="Arial" w:cs="Arial" w:eastAsia="Arial" w:hAnsi="Arial"/>
                <w:sz w:val="18"/>
                <w:szCs w:val="18"/>
                <w:color w:val="auto"/>
              </w:rPr>
              <w:t>6.3</w:t>
            </w:r>
          </w:p>
        </w:tc>
      </w:tr>
      <w:tr>
        <w:trPr>
          <w:trHeight w:val="216"/>
        </w:trPr>
        <w:tc>
          <w:tcPr>
            <w:tcW w:w="7780" w:type="dxa"/>
            <w:vAlign w:val="bottom"/>
          </w:tcPr>
          <w:p>
            <w:pPr>
              <w:jc w:val="right"/>
              <w:ind w:right="5029"/>
              <w:spacing w:after="0"/>
              <w:rPr>
                <w:sz w:val="20"/>
                <w:szCs w:val="20"/>
                <w:color w:val="auto"/>
              </w:rPr>
            </w:pPr>
            <w:r>
              <w:rPr>
                <w:rFonts w:ascii="Arial" w:cs="Arial" w:eastAsia="Arial" w:hAnsi="Arial"/>
                <w:sz w:val="18"/>
                <w:szCs w:val="18"/>
                <w:color w:val="auto"/>
              </w:rPr>
              <w:t>(a)(2)</w:t>
            </w:r>
          </w:p>
        </w:tc>
        <w:tc>
          <w:tcPr>
            <w:tcW w:w="1420" w:type="dxa"/>
            <w:vAlign w:val="bottom"/>
          </w:tcPr>
          <w:p>
            <w:pPr>
              <w:ind w:left="320"/>
              <w:spacing w:after="0"/>
              <w:rPr>
                <w:sz w:val="20"/>
                <w:szCs w:val="20"/>
                <w:color w:val="auto"/>
              </w:rPr>
            </w:pPr>
            <w:r>
              <w:rPr>
                <w:rFonts w:ascii="Arial" w:cs="Arial" w:eastAsia="Arial" w:hAnsi="Arial"/>
                <w:sz w:val="18"/>
                <w:szCs w:val="18"/>
                <w:color w:val="auto"/>
              </w:rPr>
              <w:t>6.4</w:t>
            </w:r>
          </w:p>
        </w:tc>
      </w:tr>
      <w:tr>
        <w:trPr>
          <w:trHeight w:val="216"/>
        </w:trPr>
        <w:tc>
          <w:tcPr>
            <w:tcW w:w="7780" w:type="dxa"/>
            <w:vAlign w:val="bottom"/>
          </w:tcPr>
          <w:p>
            <w:pPr>
              <w:jc w:val="right"/>
              <w:ind w:right="5029"/>
              <w:spacing w:after="0"/>
              <w:rPr>
                <w:sz w:val="20"/>
                <w:szCs w:val="20"/>
                <w:color w:val="auto"/>
              </w:rPr>
            </w:pPr>
            <w:r>
              <w:rPr>
                <w:rFonts w:ascii="Arial" w:cs="Arial" w:eastAsia="Arial" w:hAnsi="Arial"/>
                <w:sz w:val="18"/>
                <w:szCs w:val="18"/>
                <w:color w:val="auto"/>
              </w:rPr>
              <w:t>(b)</w:t>
            </w:r>
          </w:p>
        </w:tc>
        <w:tc>
          <w:tcPr>
            <w:tcW w:w="1420" w:type="dxa"/>
            <w:vAlign w:val="bottom"/>
          </w:tcPr>
          <w:p>
            <w:pPr>
              <w:ind w:left="320"/>
              <w:spacing w:after="0"/>
              <w:rPr>
                <w:sz w:val="20"/>
                <w:szCs w:val="20"/>
                <w:color w:val="auto"/>
              </w:rPr>
            </w:pPr>
            <w:r>
              <w:rPr>
                <w:rFonts w:ascii="Arial" w:cs="Arial" w:eastAsia="Arial" w:hAnsi="Arial"/>
                <w:sz w:val="18"/>
                <w:szCs w:val="18"/>
                <w:color w:val="auto"/>
              </w:rPr>
              <w:t>2.5</w:t>
            </w:r>
          </w:p>
        </w:tc>
      </w:tr>
      <w:tr>
        <w:trPr>
          <w:trHeight w:val="230"/>
        </w:trPr>
        <w:tc>
          <w:tcPr>
            <w:tcW w:w="7780" w:type="dxa"/>
            <w:vAlign w:val="bottom"/>
          </w:tcPr>
          <w:p>
            <w:pPr>
              <w:jc w:val="right"/>
              <w:ind w:right="5029"/>
              <w:spacing w:after="0"/>
              <w:rPr>
                <w:sz w:val="20"/>
                <w:szCs w:val="20"/>
                <w:color w:val="auto"/>
              </w:rPr>
            </w:pPr>
            <w:r>
              <w:rPr>
                <w:rFonts w:ascii="Arial" w:cs="Arial" w:eastAsia="Arial" w:hAnsi="Arial"/>
                <w:sz w:val="18"/>
                <w:szCs w:val="18"/>
                <w:color w:val="auto"/>
              </w:rPr>
              <w:t>§ 318(a)</w:t>
            </w:r>
          </w:p>
        </w:tc>
        <w:tc>
          <w:tcPr>
            <w:tcW w:w="1420" w:type="dxa"/>
            <w:vAlign w:val="bottom"/>
          </w:tcPr>
          <w:p>
            <w:pPr>
              <w:ind w:left="320"/>
              <w:spacing w:after="0"/>
              <w:rPr>
                <w:sz w:val="20"/>
                <w:szCs w:val="20"/>
                <w:color w:val="auto"/>
              </w:rPr>
            </w:pPr>
            <w:r>
              <w:rPr>
                <w:rFonts w:ascii="Arial" w:cs="Arial" w:eastAsia="Arial" w:hAnsi="Arial"/>
                <w:sz w:val="18"/>
                <w:szCs w:val="18"/>
                <w:color w:val="auto"/>
              </w:rPr>
              <w:t>10.1</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85725</wp:posOffset>
            </wp:positionV>
            <wp:extent cx="771525" cy="8255"/>
            <wp:wrapNone/>
            <wp:docPr id="163" name="Picture 1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3"/>
                    <pic:cNvPicPr>
                      <a:picLocks noChangeAspect="1" noChangeArrowheads="1"/>
                    </pic:cNvPicPr>
                  </pic:nvPicPr>
                  <pic:blipFill>
                    <a:blip r:embed="rId185">
                      <a:extLst>
                        <a:ext uri="{28A0092B-C50C-407E-A947-70E740481C1C}"/>
                      </a:extLst>
                    </a:blip>
                    <a:srcRect/>
                    <a:stretch>
                      <a:fillRect/>
                    </a:stretch>
                  </pic:blipFill>
                  <pic:spPr bwMode="auto">
                    <a:xfrm>
                      <a:off x="0" y="0"/>
                      <a:ext cx="771525" cy="8255"/>
                    </a:xfrm>
                    <a:prstGeom prst="rect">
                      <a:avLst/>
                    </a:prstGeom>
                    <a:noFill/>
                  </pic:spPr>
                </pic:pic>
              </a:graphicData>
            </a:graphic>
          </wp:anchor>
        </w:drawing>
      </w:r>
    </w:p>
    <w:p>
      <w:pPr>
        <w:spacing w:after="0" w:line="155" w:lineRule="exact"/>
        <w:rPr>
          <w:sz w:val="20"/>
          <w:szCs w:val="20"/>
          <w:color w:val="auto"/>
        </w:rPr>
      </w:pPr>
    </w:p>
    <w:p>
      <w:pPr>
        <w:spacing w:after="0"/>
        <w:rPr>
          <w:sz w:val="20"/>
          <w:szCs w:val="20"/>
          <w:color w:val="auto"/>
        </w:rPr>
      </w:pPr>
      <w:r>
        <w:rPr>
          <w:rFonts w:ascii="Arial" w:cs="Arial" w:eastAsia="Arial" w:hAnsi="Arial"/>
          <w:sz w:val="18"/>
          <w:szCs w:val="18"/>
          <w:color w:val="auto"/>
        </w:rPr>
        <w:t>Note: This reconciliation and tie shall not, for any purpose, be deemed to be part of the Indenture.</w:t>
      </w:r>
    </w:p>
    <w:p>
      <w:pPr>
        <w:spacing w:after="0" w:line="225" w:lineRule="exact"/>
        <w:rPr>
          <w:sz w:val="20"/>
          <w:szCs w:val="20"/>
          <w:color w:val="auto"/>
        </w:rPr>
      </w:pPr>
    </w:p>
    <w:p>
      <w:pPr>
        <w:ind w:right="680" w:firstLine="440"/>
        <w:spacing w:after="0" w:line="277" w:lineRule="auto"/>
        <w:rPr>
          <w:sz w:val="20"/>
          <w:szCs w:val="20"/>
          <w:color w:val="auto"/>
        </w:rPr>
      </w:pPr>
      <w:r>
        <w:rPr>
          <w:rFonts w:ascii="Arial" w:cs="Arial" w:eastAsia="Arial" w:hAnsi="Arial"/>
          <w:sz w:val="18"/>
          <w:szCs w:val="18"/>
          <w:color w:val="auto"/>
        </w:rPr>
        <w:t>Indenture dated as of [●], 20[●] between Larimar Therapeutics, Inc., a company incorporated under the laws of the State of Delaware (“</w:t>
      </w:r>
      <w:r>
        <w:rPr>
          <w:rFonts w:ascii="Arial" w:cs="Arial" w:eastAsia="Arial" w:hAnsi="Arial"/>
          <w:sz w:val="18"/>
          <w:szCs w:val="18"/>
          <w:i w:val="1"/>
          <w:iCs w:val="1"/>
          <w:color w:val="auto"/>
        </w:rPr>
        <w:t>Company</w:t>
      </w:r>
      <w:r>
        <w:rPr>
          <w:rFonts w:ascii="Arial" w:cs="Arial" w:eastAsia="Arial" w:hAnsi="Arial"/>
          <w:sz w:val="18"/>
          <w:szCs w:val="18"/>
          <w:color w:val="auto"/>
        </w:rPr>
        <w:t>”), and [●] (“</w:t>
      </w:r>
      <w:r>
        <w:rPr>
          <w:rFonts w:ascii="Arial" w:cs="Arial" w:eastAsia="Arial" w:hAnsi="Arial"/>
          <w:sz w:val="18"/>
          <w:szCs w:val="18"/>
          <w:i w:val="1"/>
          <w:iCs w:val="1"/>
          <w:color w:val="auto"/>
        </w:rPr>
        <w:t>Trustee</w:t>
      </w:r>
      <w:r>
        <w:rPr>
          <w:rFonts w:ascii="Arial" w:cs="Arial" w:eastAsia="Arial" w:hAnsi="Arial"/>
          <w:sz w:val="18"/>
          <w:szCs w:val="18"/>
          <w:color w:val="auto"/>
        </w:rPr>
        <w:t>”).</w:t>
      </w:r>
    </w:p>
    <w:p>
      <w:pPr>
        <w:spacing w:after="0" w:line="170" w:lineRule="exact"/>
        <w:rPr>
          <w:sz w:val="20"/>
          <w:szCs w:val="20"/>
          <w:color w:val="auto"/>
        </w:rPr>
      </w:pPr>
    </w:p>
    <w:p>
      <w:pPr>
        <w:ind w:firstLine="440"/>
        <w:spacing w:after="0" w:line="277" w:lineRule="auto"/>
        <w:rPr>
          <w:sz w:val="20"/>
          <w:szCs w:val="20"/>
          <w:color w:val="auto"/>
        </w:rPr>
      </w:pPr>
      <w:r>
        <w:rPr>
          <w:rFonts w:ascii="Arial" w:cs="Arial" w:eastAsia="Arial" w:hAnsi="Arial"/>
          <w:sz w:val="18"/>
          <w:szCs w:val="18"/>
          <w:color w:val="auto"/>
        </w:rPr>
        <w:t>Each party agrees as follows for the benefit of the other party and for the equal and ratable benefit of the Holders of the Securities issued under this Indenture.</w:t>
      </w:r>
    </w:p>
    <w:p>
      <w:pPr>
        <w:spacing w:after="0" w:line="103" w:lineRule="exact"/>
        <w:rPr>
          <w:sz w:val="20"/>
          <w:szCs w:val="20"/>
          <w:color w:val="auto"/>
        </w:rPr>
      </w:pPr>
    </w:p>
    <w:p>
      <w:pPr>
        <w:jc w:val="center"/>
        <w:ind w:right="-279"/>
        <w:spacing w:after="0"/>
        <w:rPr>
          <w:sz w:val="20"/>
          <w:szCs w:val="20"/>
          <w:color w:val="auto"/>
        </w:rPr>
      </w:pPr>
      <w:r>
        <w:rPr>
          <w:rFonts w:ascii="Arial" w:cs="Arial" w:eastAsia="Arial" w:hAnsi="Arial"/>
          <w:sz w:val="18"/>
          <w:szCs w:val="18"/>
          <w:color w:val="auto"/>
        </w:rPr>
        <w:t>1</w:t>
      </w:r>
    </w:p>
    <w:p>
      <w:pPr>
        <w:sectPr>
          <w:pgSz w:w="11900" w:h="16838" w:orient="portrait"/>
          <w:cols w:equalWidth="0" w:num="1">
            <w:col w:w="10720"/>
          </w:cols>
          <w:pgMar w:left="440" w:top="265" w:right="739" w:bottom="1440" w:gutter="0" w:footer="0" w:header="0"/>
        </w:sectPr>
      </w:pPr>
    </w:p>
    <w:bookmarkStart w:id="119" w:name="page120"/>
    <w:bookmarkEnd w:id="119"/>
    <w:p>
      <w:pPr>
        <w:jc w:val="center"/>
        <w:ind w:right="-79"/>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164" name="Picture 1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4"/>
                    <pic:cNvPicPr>
                      <a:picLocks noChangeAspect="1" noChangeArrowheads="1"/>
                    </pic:cNvPicPr>
                  </pic:nvPicPr>
                  <pic:blipFill>
                    <a:blip r:embed="rId186">
                      <a:extLst>
                        <a:ext uri="{28A0092B-C50C-407E-A947-70E740481C1C}"/>
                      </a:extLst>
                    </a:blip>
                    <a:srcRect/>
                    <a:stretch>
                      <a:fillRect/>
                    </a:stretch>
                  </pic:blipFill>
                  <pic:spPr bwMode="auto">
                    <a:xfrm>
                      <a:off x="0" y="0"/>
                      <a:ext cx="7149465" cy="25400"/>
                    </a:xfrm>
                    <a:prstGeom prst="rect">
                      <a:avLst/>
                    </a:prstGeom>
                    <a:noFill/>
                  </pic:spPr>
                </pic:pic>
              </a:graphicData>
            </a:graphic>
          </wp:anchor>
        </w:drawing>
        <w:t>ARTICLE I.</w:t>
      </w:r>
    </w:p>
    <w:p>
      <w:pPr>
        <w:spacing w:after="0" w:line="23"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DEFINITIONS AND INCORPORATION BY REFERENCE</w:t>
      </w:r>
    </w:p>
    <w:p>
      <w:pPr>
        <w:spacing w:after="0" w:line="211" w:lineRule="exact"/>
        <w:rPr>
          <w:sz w:val="20"/>
          <w:szCs w:val="20"/>
          <w:color w:val="auto"/>
        </w:rPr>
      </w:pPr>
    </w:p>
    <w:p>
      <w:pPr>
        <w:ind w:left="440"/>
        <w:spacing w:after="0"/>
        <w:rPr>
          <w:sz w:val="20"/>
          <w:szCs w:val="20"/>
          <w:color w:val="auto"/>
        </w:rPr>
      </w:pPr>
      <w:r>
        <w:rPr>
          <w:rFonts w:ascii="Arial" w:cs="Arial" w:eastAsia="Arial" w:hAnsi="Arial"/>
          <w:sz w:val="18"/>
          <w:szCs w:val="18"/>
          <w:color w:val="auto"/>
        </w:rPr>
        <w:t xml:space="preserve">Section 1.1. </w:t>
      </w:r>
      <w:r>
        <w:rPr>
          <w:rFonts w:ascii="Arial" w:cs="Arial" w:eastAsia="Arial" w:hAnsi="Arial"/>
          <w:sz w:val="18"/>
          <w:szCs w:val="18"/>
          <w:u w:val="single" w:color="auto"/>
          <w:color w:val="auto"/>
        </w:rPr>
        <w:t>Definitions.</w:t>
      </w:r>
    </w:p>
    <w:p>
      <w:pPr>
        <w:spacing w:after="0" w:line="225" w:lineRule="exact"/>
        <w:rPr>
          <w:sz w:val="20"/>
          <w:szCs w:val="20"/>
          <w:color w:val="auto"/>
        </w:rPr>
      </w:pPr>
    </w:p>
    <w:p>
      <w:pPr>
        <w:ind w:right="320" w:firstLine="440"/>
        <w:spacing w:after="0" w:line="342" w:lineRule="auto"/>
        <w:rPr>
          <w:sz w:val="20"/>
          <w:szCs w:val="20"/>
          <w:color w:val="auto"/>
        </w:rPr>
      </w:pPr>
      <w:r>
        <w:rPr>
          <w:rFonts w:ascii="Arial" w:cs="Arial" w:eastAsia="Arial" w:hAnsi="Arial"/>
          <w:sz w:val="16"/>
          <w:szCs w:val="16"/>
          <w:color w:val="auto"/>
        </w:rPr>
        <w:t>“</w:t>
      </w:r>
      <w:r>
        <w:rPr>
          <w:rFonts w:ascii="Arial" w:cs="Arial" w:eastAsia="Arial" w:hAnsi="Arial"/>
          <w:sz w:val="16"/>
          <w:szCs w:val="16"/>
          <w:i w:val="1"/>
          <w:iCs w:val="1"/>
          <w:color w:val="auto"/>
        </w:rPr>
        <w:t>Additional Amounts</w:t>
      </w:r>
      <w:r>
        <w:rPr>
          <w:rFonts w:ascii="Arial" w:cs="Arial" w:eastAsia="Arial" w:hAnsi="Arial"/>
          <w:sz w:val="16"/>
          <w:szCs w:val="16"/>
          <w:color w:val="auto"/>
        </w:rPr>
        <w:t>” means any additional amounts which are required hereby or by any Security, under circumstances specified herein or therein, to be paid by the Company in respect of certain taxes imposed on Holders specified herein or therein and which are owing to such Holders.</w:t>
      </w:r>
    </w:p>
    <w:p>
      <w:pPr>
        <w:spacing w:after="0" w:line="124" w:lineRule="exact"/>
        <w:rPr>
          <w:sz w:val="20"/>
          <w:szCs w:val="20"/>
          <w:color w:val="auto"/>
        </w:rPr>
      </w:pPr>
    </w:p>
    <w:p>
      <w:pPr>
        <w:ind w:right="100" w:firstLine="440"/>
        <w:spacing w:after="0" w:line="279" w:lineRule="auto"/>
        <w:rPr>
          <w:sz w:val="20"/>
          <w:szCs w:val="20"/>
          <w:color w:val="auto"/>
        </w:rPr>
      </w:pPr>
      <w:r>
        <w:rPr>
          <w:rFonts w:ascii="Arial" w:cs="Arial" w:eastAsia="Arial" w:hAnsi="Arial"/>
          <w:sz w:val="17"/>
          <w:szCs w:val="17"/>
          <w:color w:val="auto"/>
        </w:rPr>
        <w:t>“</w:t>
      </w:r>
      <w:r>
        <w:rPr>
          <w:rFonts w:ascii="Arial" w:cs="Arial" w:eastAsia="Arial" w:hAnsi="Arial"/>
          <w:sz w:val="17"/>
          <w:szCs w:val="17"/>
          <w:i w:val="1"/>
          <w:iCs w:val="1"/>
          <w:color w:val="auto"/>
        </w:rPr>
        <w:t>Affiliate</w:t>
      </w:r>
      <w:r>
        <w:rPr>
          <w:rFonts w:ascii="Arial" w:cs="Arial" w:eastAsia="Arial" w:hAnsi="Arial"/>
          <w:sz w:val="17"/>
          <w:szCs w:val="17"/>
          <w:color w:val="auto"/>
        </w:rPr>
        <w:t>” of any specified person means any other person directly or indirectly controlling or controlled by or under common control with such specified person. For the purposes of this definition, “control” (including, with correlative meanings, the terms “controlled by” and “under common control with”), as used with respect to any person, shall mean the possession, directly or indirectly, of the power to direct or cause the direction of the management or policies of such person, whether through the ownership of voting securities or by agreement or otherwise.</w:t>
      </w:r>
    </w:p>
    <w:p>
      <w:pPr>
        <w:spacing w:after="0" w:line="171" w:lineRule="exact"/>
        <w:rPr>
          <w:sz w:val="20"/>
          <w:szCs w:val="20"/>
          <w:color w:val="auto"/>
        </w:rPr>
      </w:pPr>
    </w:p>
    <w:p>
      <w:pPr>
        <w:ind w:left="44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Agent</w:t>
      </w:r>
      <w:r>
        <w:rPr>
          <w:rFonts w:ascii="Arial" w:cs="Arial" w:eastAsia="Arial" w:hAnsi="Arial"/>
          <w:sz w:val="18"/>
          <w:szCs w:val="18"/>
          <w:color w:val="auto"/>
        </w:rPr>
        <w:t>” means any Registrar, Paying Agent or Notice Agent.</w:t>
      </w:r>
    </w:p>
    <w:p>
      <w:pPr>
        <w:spacing w:after="0" w:line="225" w:lineRule="exact"/>
        <w:rPr>
          <w:sz w:val="20"/>
          <w:szCs w:val="20"/>
          <w:color w:val="auto"/>
        </w:rPr>
      </w:pPr>
    </w:p>
    <w:p>
      <w:pPr>
        <w:ind w:left="44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Board of Directors</w:t>
      </w:r>
      <w:r>
        <w:rPr>
          <w:rFonts w:ascii="Arial" w:cs="Arial" w:eastAsia="Arial" w:hAnsi="Arial"/>
          <w:sz w:val="18"/>
          <w:szCs w:val="18"/>
          <w:color w:val="auto"/>
        </w:rPr>
        <w:t>” means the board of directors of the Company or any duly authorized committee thereof.</w:t>
      </w:r>
    </w:p>
    <w:p>
      <w:pPr>
        <w:spacing w:after="0" w:line="225" w:lineRule="exact"/>
        <w:rPr>
          <w:sz w:val="20"/>
          <w:szCs w:val="20"/>
          <w:color w:val="auto"/>
        </w:rPr>
      </w:pPr>
    </w:p>
    <w:p>
      <w:pPr>
        <w:jc w:val="both"/>
        <w:ind w:firstLine="440"/>
        <w:spacing w:after="0" w:line="263" w:lineRule="auto"/>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Board Resolution</w:t>
      </w:r>
      <w:r>
        <w:rPr>
          <w:rFonts w:ascii="Arial" w:cs="Arial" w:eastAsia="Arial" w:hAnsi="Arial"/>
          <w:sz w:val="18"/>
          <w:szCs w:val="18"/>
          <w:color w:val="auto"/>
        </w:rPr>
        <w:t>” means a copy of a resolution certified by the Secretary or an Assistant Secretary of the Company to have been adopted by the Board of Directors or pursuant to authorization by the Board of Directors and to be in full force and effect on the date of the certificate and delivered to the Trustee.</w:t>
      </w:r>
    </w:p>
    <w:p>
      <w:pPr>
        <w:spacing w:after="0" w:line="184" w:lineRule="exact"/>
        <w:rPr>
          <w:sz w:val="20"/>
          <w:szCs w:val="20"/>
          <w:color w:val="auto"/>
        </w:rPr>
      </w:pPr>
    </w:p>
    <w:p>
      <w:pPr>
        <w:ind w:right="380" w:firstLine="440"/>
        <w:spacing w:after="0" w:line="308" w:lineRule="auto"/>
        <w:rPr>
          <w:sz w:val="20"/>
          <w:szCs w:val="20"/>
          <w:color w:val="auto"/>
        </w:rPr>
      </w:pPr>
      <w:r>
        <w:rPr>
          <w:rFonts w:ascii="Arial" w:cs="Arial" w:eastAsia="Arial" w:hAnsi="Arial"/>
          <w:sz w:val="17"/>
          <w:szCs w:val="17"/>
          <w:color w:val="auto"/>
        </w:rPr>
        <w:t>“</w:t>
      </w:r>
      <w:r>
        <w:rPr>
          <w:rFonts w:ascii="Arial" w:cs="Arial" w:eastAsia="Arial" w:hAnsi="Arial"/>
          <w:sz w:val="17"/>
          <w:szCs w:val="17"/>
          <w:i w:val="1"/>
          <w:iCs w:val="1"/>
          <w:color w:val="auto"/>
        </w:rPr>
        <w:t>Business Day</w:t>
      </w:r>
      <w:r>
        <w:rPr>
          <w:rFonts w:ascii="Arial" w:cs="Arial" w:eastAsia="Arial" w:hAnsi="Arial"/>
          <w:sz w:val="17"/>
          <w:szCs w:val="17"/>
          <w:color w:val="auto"/>
        </w:rPr>
        <w:t>” means any day except a Saturday, Sunday or a legal holiday in The City of New York, New York (or in connection with any payment, the place of payment) on which banking institutions are authorized or required by law, regulation or executive order to close.</w:t>
      </w:r>
    </w:p>
    <w:p>
      <w:pPr>
        <w:spacing w:after="0" w:line="146" w:lineRule="exact"/>
        <w:rPr>
          <w:sz w:val="20"/>
          <w:szCs w:val="20"/>
          <w:color w:val="auto"/>
        </w:rPr>
      </w:pPr>
    </w:p>
    <w:p>
      <w:pPr>
        <w:ind w:left="440"/>
        <w:spacing w:after="0"/>
        <w:rPr>
          <w:sz w:val="20"/>
          <w:szCs w:val="20"/>
          <w:color w:val="auto"/>
        </w:rPr>
      </w:pPr>
      <w:r>
        <w:rPr>
          <w:rFonts w:ascii="Arial" w:cs="Arial" w:eastAsia="Arial" w:hAnsi="Arial"/>
          <w:sz w:val="17"/>
          <w:szCs w:val="17"/>
          <w:color w:val="auto"/>
        </w:rPr>
        <w:t>“</w:t>
      </w:r>
      <w:r>
        <w:rPr>
          <w:rFonts w:ascii="Arial" w:cs="Arial" w:eastAsia="Arial" w:hAnsi="Arial"/>
          <w:sz w:val="17"/>
          <w:szCs w:val="17"/>
          <w:i w:val="1"/>
          <w:iCs w:val="1"/>
          <w:color w:val="auto"/>
        </w:rPr>
        <w:t>Capital Stock</w:t>
      </w:r>
      <w:r>
        <w:rPr>
          <w:rFonts w:ascii="Arial" w:cs="Arial" w:eastAsia="Arial" w:hAnsi="Arial"/>
          <w:sz w:val="17"/>
          <w:szCs w:val="17"/>
          <w:color w:val="auto"/>
        </w:rPr>
        <w:t>” means any and all shares, interests, participations, rights or other equivalents (however designated) of corporate stock.</w:t>
      </w:r>
    </w:p>
    <w:p>
      <w:pPr>
        <w:spacing w:after="0" w:line="237" w:lineRule="exact"/>
        <w:rPr>
          <w:sz w:val="20"/>
          <w:szCs w:val="20"/>
          <w:color w:val="auto"/>
        </w:rPr>
      </w:pPr>
    </w:p>
    <w:p>
      <w:pPr>
        <w:ind w:left="44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Company</w:t>
      </w:r>
      <w:r>
        <w:rPr>
          <w:rFonts w:ascii="Arial" w:cs="Arial" w:eastAsia="Arial" w:hAnsi="Arial"/>
          <w:sz w:val="18"/>
          <w:szCs w:val="18"/>
          <w:color w:val="auto"/>
        </w:rPr>
        <w:t>” means the party named as such above until a successor replaces it and thereafter means the successor.</w:t>
      </w:r>
    </w:p>
    <w:p>
      <w:pPr>
        <w:spacing w:after="0" w:line="225" w:lineRule="exact"/>
        <w:rPr>
          <w:sz w:val="20"/>
          <w:szCs w:val="20"/>
          <w:color w:val="auto"/>
        </w:rPr>
      </w:pPr>
    </w:p>
    <w:p>
      <w:pPr>
        <w:ind w:left="44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Company Order</w:t>
      </w:r>
      <w:r>
        <w:rPr>
          <w:rFonts w:ascii="Arial" w:cs="Arial" w:eastAsia="Arial" w:hAnsi="Arial"/>
          <w:sz w:val="18"/>
          <w:szCs w:val="18"/>
          <w:color w:val="auto"/>
        </w:rPr>
        <w:t>” means a written order signed in the name of the Company by an Officer.</w:t>
      </w:r>
    </w:p>
    <w:p>
      <w:pPr>
        <w:spacing w:after="0" w:line="225" w:lineRule="exact"/>
        <w:rPr>
          <w:sz w:val="20"/>
          <w:szCs w:val="20"/>
          <w:color w:val="auto"/>
        </w:rPr>
      </w:pPr>
    </w:p>
    <w:p>
      <w:pPr>
        <w:ind w:right="60" w:firstLine="440"/>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Corporate Trust Office</w:t>
      </w:r>
      <w:r>
        <w:rPr>
          <w:rFonts w:ascii="Arial" w:cs="Arial" w:eastAsia="Arial" w:hAnsi="Arial"/>
          <w:sz w:val="18"/>
          <w:szCs w:val="18"/>
          <w:color w:val="auto"/>
        </w:rPr>
        <w:t>” means the office of the Trustee at which at any particular time its corporate trust business related to this Indenture shall be principally administered.</w:t>
      </w:r>
    </w:p>
    <w:p>
      <w:pPr>
        <w:spacing w:after="0" w:line="170" w:lineRule="exact"/>
        <w:rPr>
          <w:sz w:val="20"/>
          <w:szCs w:val="20"/>
          <w:color w:val="auto"/>
        </w:rPr>
      </w:pPr>
    </w:p>
    <w:p>
      <w:pPr>
        <w:ind w:left="44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Default</w:t>
      </w:r>
      <w:r>
        <w:rPr>
          <w:rFonts w:ascii="Arial" w:cs="Arial" w:eastAsia="Arial" w:hAnsi="Arial"/>
          <w:sz w:val="18"/>
          <w:szCs w:val="18"/>
          <w:color w:val="auto"/>
        </w:rPr>
        <w:t>” means any event which is, or after notice or passage of time or both would be, an Event of Default.</w:t>
      </w:r>
    </w:p>
    <w:p>
      <w:pPr>
        <w:spacing w:after="0" w:line="225" w:lineRule="exact"/>
        <w:rPr>
          <w:sz w:val="20"/>
          <w:szCs w:val="20"/>
          <w:color w:val="auto"/>
        </w:rPr>
      </w:pPr>
    </w:p>
    <w:p>
      <w:pPr>
        <w:ind w:right="220" w:firstLine="440"/>
        <w:spacing w:after="0" w:line="259" w:lineRule="auto"/>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Depositary</w:t>
      </w:r>
      <w:r>
        <w:rPr>
          <w:rFonts w:ascii="Arial" w:cs="Arial" w:eastAsia="Arial" w:hAnsi="Arial"/>
          <w:sz w:val="18"/>
          <w:szCs w:val="18"/>
          <w:color w:val="auto"/>
        </w:rPr>
        <w:t>” means, with respect to the Securities of any Series issuable or issued in whole or in part in the form of one or more Global Securities, the person designated as Depositary for such Series by the Company, which Depositary shall be a clearing agency registered under the Exchange Act; and if at any time there is more than one such person, “Depositary” as used with respect to the Securities of any Series shall mean the Depositary with respect to the Securities of such Series.</w:t>
      </w:r>
    </w:p>
    <w:p>
      <w:pPr>
        <w:spacing w:after="0" w:line="187" w:lineRule="exact"/>
        <w:rPr>
          <w:sz w:val="20"/>
          <w:szCs w:val="20"/>
          <w:color w:val="auto"/>
        </w:rPr>
      </w:pPr>
    </w:p>
    <w:p>
      <w:pPr>
        <w:ind w:right="320" w:firstLine="440"/>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Discount Security</w:t>
      </w:r>
      <w:r>
        <w:rPr>
          <w:rFonts w:ascii="Arial" w:cs="Arial" w:eastAsia="Arial" w:hAnsi="Arial"/>
          <w:sz w:val="18"/>
          <w:szCs w:val="18"/>
          <w:color w:val="auto"/>
        </w:rPr>
        <w:t>” means any Security that provides for an amount less than the stated principal amount thereof to be due and payable upon declaration of acceleration of the maturity thereof pursuant to Section 6.2.</w:t>
      </w:r>
    </w:p>
    <w:p>
      <w:pPr>
        <w:spacing w:after="0" w:line="170" w:lineRule="exact"/>
        <w:rPr>
          <w:sz w:val="20"/>
          <w:szCs w:val="20"/>
          <w:color w:val="auto"/>
        </w:rPr>
      </w:pPr>
    </w:p>
    <w:p>
      <w:pPr>
        <w:ind w:left="44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Dollars</w:t>
      </w:r>
      <w:r>
        <w:rPr>
          <w:rFonts w:ascii="Arial" w:cs="Arial" w:eastAsia="Arial" w:hAnsi="Arial"/>
          <w:sz w:val="18"/>
          <w:szCs w:val="18"/>
          <w:color w:val="auto"/>
        </w:rPr>
        <w:t>” and “</w:t>
      </w:r>
      <w:r>
        <w:rPr>
          <w:rFonts w:ascii="Arial" w:cs="Arial" w:eastAsia="Arial" w:hAnsi="Arial"/>
          <w:sz w:val="18"/>
          <w:szCs w:val="18"/>
          <w:i w:val="1"/>
          <w:iCs w:val="1"/>
          <w:color w:val="auto"/>
        </w:rPr>
        <w:t>$</w:t>
      </w:r>
      <w:r>
        <w:rPr>
          <w:rFonts w:ascii="Arial" w:cs="Arial" w:eastAsia="Arial" w:hAnsi="Arial"/>
          <w:sz w:val="18"/>
          <w:szCs w:val="18"/>
          <w:color w:val="auto"/>
        </w:rPr>
        <w:t>” means the currency of The United States of America.</w:t>
      </w:r>
    </w:p>
    <w:p>
      <w:pPr>
        <w:spacing w:after="0" w:line="225" w:lineRule="exact"/>
        <w:rPr>
          <w:sz w:val="20"/>
          <w:szCs w:val="20"/>
          <w:color w:val="auto"/>
        </w:rPr>
      </w:pPr>
    </w:p>
    <w:p>
      <w:pPr>
        <w:ind w:left="44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Exchange Act</w:t>
      </w:r>
      <w:r>
        <w:rPr>
          <w:rFonts w:ascii="Arial" w:cs="Arial" w:eastAsia="Arial" w:hAnsi="Arial"/>
          <w:sz w:val="18"/>
          <w:szCs w:val="18"/>
          <w:color w:val="auto"/>
        </w:rPr>
        <w:t>” means the Securities Exchange Act of 1934, as amended.</w:t>
      </w:r>
    </w:p>
    <w:p>
      <w:pPr>
        <w:spacing w:after="0" w:line="158" w:lineRule="exact"/>
        <w:rPr>
          <w:sz w:val="20"/>
          <w:szCs w:val="20"/>
          <w:color w:val="auto"/>
        </w:rPr>
      </w:pPr>
    </w:p>
    <w:p>
      <w:pPr>
        <w:ind w:left="5460"/>
        <w:spacing w:after="0"/>
        <w:rPr>
          <w:sz w:val="20"/>
          <w:szCs w:val="20"/>
          <w:color w:val="auto"/>
        </w:rPr>
      </w:pPr>
      <w:r>
        <w:rPr>
          <w:rFonts w:ascii="Arial" w:cs="Arial" w:eastAsia="Arial" w:hAnsi="Arial"/>
          <w:sz w:val="18"/>
          <w:szCs w:val="18"/>
          <w:color w:val="auto"/>
        </w:rPr>
        <w:t>2</w:t>
      </w:r>
    </w:p>
    <w:p>
      <w:pPr>
        <w:sectPr>
          <w:pgSz w:w="11900" w:h="16838" w:orient="portrait"/>
          <w:cols w:equalWidth="0" w:num="1">
            <w:col w:w="10920"/>
          </w:cols>
          <w:pgMar w:left="440" w:top="274" w:right="539" w:bottom="1440" w:gutter="0" w:footer="0" w:header="0"/>
        </w:sectPr>
      </w:pPr>
    </w:p>
    <w:bookmarkStart w:id="120" w:name="page121"/>
    <w:bookmarkEnd w:id="120"/>
    <w:p>
      <w:pPr>
        <w:ind w:left="440"/>
        <w:spacing w:after="0"/>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165" name="Picture 1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5"/>
                    <pic:cNvPicPr>
                      <a:picLocks noChangeAspect="1" noChangeArrowheads="1"/>
                    </pic:cNvPicPr>
                  </pic:nvPicPr>
                  <pic:blipFill>
                    <a:blip r:embed="rId187">
                      <a:extLst>
                        <a:ext uri="{28A0092B-C50C-407E-A947-70E740481C1C}"/>
                      </a:extLst>
                    </a:blip>
                    <a:srcRect/>
                    <a:stretch>
                      <a:fillRect/>
                    </a:stretch>
                  </pic:blipFill>
                  <pic:spPr bwMode="auto">
                    <a:xfrm>
                      <a:off x="0" y="0"/>
                      <a:ext cx="7149465" cy="25400"/>
                    </a:xfrm>
                    <a:prstGeom prst="rect">
                      <a:avLst/>
                    </a:prstGeom>
                    <a:noFill/>
                  </pic:spPr>
                </pic:pic>
              </a:graphicData>
            </a:graphic>
          </wp:anchor>
        </w:drawing>
        <w:t>“</w:t>
      </w:r>
      <w:r>
        <w:rPr>
          <w:rFonts w:ascii="Arial" w:cs="Arial" w:eastAsia="Arial" w:hAnsi="Arial"/>
          <w:sz w:val="16"/>
          <w:szCs w:val="16"/>
          <w:i w:val="1"/>
          <w:iCs w:val="1"/>
          <w:color w:val="auto"/>
        </w:rPr>
        <w:t>Foreign Currency</w:t>
      </w:r>
      <w:r>
        <w:rPr>
          <w:rFonts w:ascii="Arial" w:cs="Arial" w:eastAsia="Arial" w:hAnsi="Arial"/>
          <w:sz w:val="16"/>
          <w:szCs w:val="16"/>
          <w:color w:val="auto"/>
        </w:rPr>
        <w:t>” means any currency or currency unit issued by a government other than the government of The United States of America.</w:t>
      </w:r>
    </w:p>
    <w:p>
      <w:pPr>
        <w:spacing w:after="0" w:line="248" w:lineRule="exact"/>
        <w:rPr>
          <w:sz w:val="20"/>
          <w:szCs w:val="20"/>
          <w:color w:val="auto"/>
        </w:rPr>
      </w:pPr>
    </w:p>
    <w:p>
      <w:pPr>
        <w:jc w:val="both"/>
        <w:ind w:right="100" w:firstLine="440"/>
        <w:spacing w:after="0" w:line="263" w:lineRule="auto"/>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Foreign Government Obligations</w:t>
      </w:r>
      <w:r>
        <w:rPr>
          <w:rFonts w:ascii="Arial" w:cs="Arial" w:eastAsia="Arial" w:hAnsi="Arial"/>
          <w:sz w:val="18"/>
          <w:szCs w:val="18"/>
          <w:color w:val="auto"/>
        </w:rPr>
        <w:t>” means, with respect to Securities of any Series that are denominated in a Foreign Currency, direct obligations of, or obligations guaranteed by, the government that issued or caused to be issued such currency for the payment of which obligations its full faith and credit is pledged and which are not callable or redeemable at the option of the issuer thereof.</w:t>
      </w:r>
    </w:p>
    <w:p>
      <w:pPr>
        <w:spacing w:after="0" w:line="184" w:lineRule="exact"/>
        <w:rPr>
          <w:sz w:val="20"/>
          <w:szCs w:val="20"/>
          <w:color w:val="auto"/>
        </w:rPr>
      </w:pPr>
    </w:p>
    <w:p>
      <w:pPr>
        <w:ind w:firstLine="440"/>
        <w:spacing w:after="0" w:line="259" w:lineRule="auto"/>
        <w:rPr>
          <w:sz w:val="20"/>
          <w:szCs w:val="20"/>
          <w:color w:val="auto"/>
        </w:rPr>
      </w:pPr>
      <w:r>
        <w:rPr>
          <w:rFonts w:ascii="Arial" w:cs="Arial" w:eastAsia="Arial" w:hAnsi="Arial"/>
          <w:sz w:val="18"/>
          <w:szCs w:val="18"/>
          <w:i w:val="1"/>
          <w:iCs w:val="1"/>
          <w:color w:val="auto"/>
        </w:rPr>
        <w:t xml:space="preserve">“GAAP” </w:t>
      </w:r>
      <w:r>
        <w:rPr>
          <w:rFonts w:ascii="Arial" w:cs="Arial" w:eastAsia="Arial" w:hAnsi="Arial"/>
          <w:sz w:val="18"/>
          <w:szCs w:val="18"/>
          <w:color w:val="auto"/>
        </w:rPr>
        <w:t>means accounting principles generally accepted in the United States of America set forth in the opinions and pronouncements of the</w:t>
      </w:r>
      <w:r>
        <w:rPr>
          <w:rFonts w:ascii="Arial" w:cs="Arial" w:eastAsia="Arial" w:hAnsi="Arial"/>
          <w:sz w:val="18"/>
          <w:szCs w:val="18"/>
          <w:i w:val="1"/>
          <w:iCs w:val="1"/>
          <w:color w:val="auto"/>
        </w:rPr>
        <w:t xml:space="preserve"> </w:t>
      </w:r>
      <w:r>
        <w:rPr>
          <w:rFonts w:ascii="Arial" w:cs="Arial" w:eastAsia="Arial" w:hAnsi="Arial"/>
          <w:sz w:val="18"/>
          <w:szCs w:val="18"/>
          <w:color w:val="auto"/>
        </w:rPr>
        <w:t>Accounting Principles Board of the American Institute of Certified Public Accountants and statements and pronouncements of the Financial Accounting Standards Board or in such other statements by such other entity as have been approved by a significant segment of the accounting profession, which are in effect as of the date of determination.</w:t>
      </w:r>
    </w:p>
    <w:p>
      <w:pPr>
        <w:spacing w:after="0" w:line="187" w:lineRule="exact"/>
        <w:rPr>
          <w:sz w:val="20"/>
          <w:szCs w:val="20"/>
          <w:color w:val="auto"/>
        </w:rPr>
      </w:pPr>
    </w:p>
    <w:p>
      <w:pPr>
        <w:ind w:right="120" w:firstLine="440"/>
        <w:spacing w:after="0" w:line="263" w:lineRule="auto"/>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Global Security</w:t>
      </w:r>
      <w:r>
        <w:rPr>
          <w:rFonts w:ascii="Arial" w:cs="Arial" w:eastAsia="Arial" w:hAnsi="Arial"/>
          <w:sz w:val="18"/>
          <w:szCs w:val="18"/>
          <w:color w:val="auto"/>
        </w:rPr>
        <w:t>” or “</w:t>
      </w:r>
      <w:r>
        <w:rPr>
          <w:rFonts w:ascii="Arial" w:cs="Arial" w:eastAsia="Arial" w:hAnsi="Arial"/>
          <w:sz w:val="18"/>
          <w:szCs w:val="18"/>
          <w:i w:val="1"/>
          <w:iCs w:val="1"/>
          <w:color w:val="auto"/>
        </w:rPr>
        <w:t>Global Securities</w:t>
      </w:r>
      <w:r>
        <w:rPr>
          <w:rFonts w:ascii="Arial" w:cs="Arial" w:eastAsia="Arial" w:hAnsi="Arial"/>
          <w:sz w:val="18"/>
          <w:szCs w:val="18"/>
          <w:color w:val="auto"/>
        </w:rPr>
        <w:t>” means a Security or Securities, as the case may be, in the form established pursuant to Section 2.2 evidencing all or part of a Series of Securities, issued to the Depositary for such Series or its nominee, and registered in the name of such Depositary or nominee.</w:t>
      </w:r>
    </w:p>
    <w:p>
      <w:pPr>
        <w:spacing w:after="0" w:line="184" w:lineRule="exact"/>
        <w:rPr>
          <w:sz w:val="20"/>
          <w:szCs w:val="20"/>
          <w:color w:val="auto"/>
        </w:rPr>
      </w:pPr>
    </w:p>
    <w:p>
      <w:pPr>
        <w:ind w:left="44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Holder</w:t>
      </w:r>
      <w:r>
        <w:rPr>
          <w:rFonts w:ascii="Arial" w:cs="Arial" w:eastAsia="Arial" w:hAnsi="Arial"/>
          <w:sz w:val="18"/>
          <w:szCs w:val="18"/>
          <w:color w:val="auto"/>
        </w:rPr>
        <w:t>” or “</w:t>
      </w:r>
      <w:r>
        <w:rPr>
          <w:rFonts w:ascii="Arial" w:cs="Arial" w:eastAsia="Arial" w:hAnsi="Arial"/>
          <w:sz w:val="18"/>
          <w:szCs w:val="18"/>
          <w:i w:val="1"/>
          <w:iCs w:val="1"/>
          <w:color w:val="auto"/>
        </w:rPr>
        <w:t>Securityholder</w:t>
      </w:r>
      <w:r>
        <w:rPr>
          <w:rFonts w:ascii="Arial" w:cs="Arial" w:eastAsia="Arial" w:hAnsi="Arial"/>
          <w:sz w:val="18"/>
          <w:szCs w:val="18"/>
          <w:color w:val="auto"/>
        </w:rPr>
        <w:t>” means a person in whose name a Security is registered.</w:t>
      </w:r>
    </w:p>
    <w:p>
      <w:pPr>
        <w:spacing w:after="0" w:line="225" w:lineRule="exact"/>
        <w:rPr>
          <w:sz w:val="20"/>
          <w:szCs w:val="20"/>
          <w:color w:val="auto"/>
        </w:rPr>
      </w:pPr>
    </w:p>
    <w:p>
      <w:pPr>
        <w:ind w:right="440" w:firstLine="440"/>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Indenture</w:t>
      </w:r>
      <w:r>
        <w:rPr>
          <w:rFonts w:ascii="Arial" w:cs="Arial" w:eastAsia="Arial" w:hAnsi="Arial"/>
          <w:sz w:val="18"/>
          <w:szCs w:val="18"/>
          <w:color w:val="auto"/>
        </w:rPr>
        <w:t>” means this Indenture as amended or supplemented from time to time and shall include the form and terms of particular Series of Securities established as contemplated hereunder.</w:t>
      </w:r>
    </w:p>
    <w:p>
      <w:pPr>
        <w:spacing w:after="0" w:line="170" w:lineRule="exact"/>
        <w:rPr>
          <w:sz w:val="20"/>
          <w:szCs w:val="20"/>
          <w:color w:val="auto"/>
        </w:rPr>
      </w:pPr>
    </w:p>
    <w:p>
      <w:pPr>
        <w:ind w:left="440"/>
        <w:spacing w:after="0"/>
        <w:rPr>
          <w:sz w:val="20"/>
          <w:szCs w:val="20"/>
          <w:color w:val="auto"/>
        </w:rPr>
      </w:pPr>
      <w:r>
        <w:rPr>
          <w:rFonts w:ascii="Arial" w:cs="Arial" w:eastAsia="Arial" w:hAnsi="Arial"/>
          <w:sz w:val="17"/>
          <w:szCs w:val="17"/>
          <w:color w:val="auto"/>
        </w:rPr>
        <w:t>“</w:t>
      </w:r>
      <w:r>
        <w:rPr>
          <w:rFonts w:ascii="Arial" w:cs="Arial" w:eastAsia="Arial" w:hAnsi="Arial"/>
          <w:sz w:val="17"/>
          <w:szCs w:val="17"/>
          <w:i w:val="1"/>
          <w:iCs w:val="1"/>
          <w:color w:val="auto"/>
        </w:rPr>
        <w:t>interest</w:t>
      </w:r>
      <w:r>
        <w:rPr>
          <w:rFonts w:ascii="Arial" w:cs="Arial" w:eastAsia="Arial" w:hAnsi="Arial"/>
          <w:sz w:val="17"/>
          <w:szCs w:val="17"/>
          <w:color w:val="auto"/>
        </w:rPr>
        <w:t>” with respect to any Discount Security which by its terms bears interest only after Maturity, means interest payable after Maturity.</w:t>
      </w:r>
    </w:p>
    <w:p>
      <w:pPr>
        <w:spacing w:after="0" w:line="237" w:lineRule="exact"/>
        <w:rPr>
          <w:sz w:val="20"/>
          <w:szCs w:val="20"/>
          <w:color w:val="auto"/>
        </w:rPr>
      </w:pPr>
    </w:p>
    <w:p>
      <w:pPr>
        <w:ind w:right="20" w:firstLine="440"/>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Maturity</w:t>
      </w:r>
      <w:r>
        <w:rPr>
          <w:rFonts w:ascii="Arial" w:cs="Arial" w:eastAsia="Arial" w:hAnsi="Arial"/>
          <w:sz w:val="18"/>
          <w:szCs w:val="18"/>
          <w:color w:val="auto"/>
        </w:rPr>
        <w:t>,” when used with respect to any Security, means the date on which the principal of such Security becomes due and payable as therein or herein provided, whether at the Stated Maturity or by declaration of acceleration, call for redemption or otherwise.</w:t>
      </w:r>
    </w:p>
    <w:p>
      <w:pPr>
        <w:spacing w:after="0" w:line="170" w:lineRule="exact"/>
        <w:rPr>
          <w:sz w:val="20"/>
          <w:szCs w:val="20"/>
          <w:color w:val="auto"/>
        </w:rPr>
      </w:pPr>
    </w:p>
    <w:p>
      <w:pPr>
        <w:ind w:right="80" w:firstLine="440"/>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Officer</w:t>
      </w:r>
      <w:r>
        <w:rPr>
          <w:rFonts w:ascii="Arial" w:cs="Arial" w:eastAsia="Arial" w:hAnsi="Arial"/>
          <w:sz w:val="18"/>
          <w:szCs w:val="18"/>
          <w:color w:val="auto"/>
        </w:rPr>
        <w:t>” means the Chief Executive Officer, President, the Chief Financial Officer, the Treasurer or any Assistant Treasurer, the Secretary or any Assistant Secretary, and any Vice President of the Company.</w:t>
      </w:r>
    </w:p>
    <w:p>
      <w:pPr>
        <w:spacing w:after="0" w:line="170" w:lineRule="exact"/>
        <w:rPr>
          <w:sz w:val="20"/>
          <w:szCs w:val="20"/>
          <w:color w:val="auto"/>
        </w:rPr>
      </w:pPr>
    </w:p>
    <w:p>
      <w:pPr>
        <w:ind w:left="44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Officer’s Certificate</w:t>
      </w:r>
      <w:r>
        <w:rPr>
          <w:rFonts w:ascii="Arial" w:cs="Arial" w:eastAsia="Arial" w:hAnsi="Arial"/>
          <w:sz w:val="18"/>
          <w:szCs w:val="18"/>
          <w:color w:val="auto"/>
        </w:rPr>
        <w:t>” means a certificate signed by any Officer.</w:t>
      </w:r>
    </w:p>
    <w:p>
      <w:pPr>
        <w:spacing w:after="0" w:line="225" w:lineRule="exact"/>
        <w:rPr>
          <w:sz w:val="20"/>
          <w:szCs w:val="20"/>
          <w:color w:val="auto"/>
        </w:rPr>
      </w:pPr>
    </w:p>
    <w:p>
      <w:pPr>
        <w:ind w:right="20" w:firstLine="440"/>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Opinion of Counsel</w:t>
      </w:r>
      <w:r>
        <w:rPr>
          <w:rFonts w:ascii="Arial" w:cs="Arial" w:eastAsia="Arial" w:hAnsi="Arial"/>
          <w:sz w:val="18"/>
          <w:szCs w:val="18"/>
          <w:color w:val="auto"/>
        </w:rPr>
        <w:t>” means a written opinion of legal counsel who is acceptable to the Trustee. The counsel may be an employee of or counsel to the Company. The opinion may contain customary limitations, conditions and exceptions.</w:t>
      </w:r>
    </w:p>
    <w:p>
      <w:pPr>
        <w:spacing w:after="0" w:line="170" w:lineRule="exact"/>
        <w:rPr>
          <w:sz w:val="20"/>
          <w:szCs w:val="20"/>
          <w:color w:val="auto"/>
        </w:rPr>
      </w:pPr>
    </w:p>
    <w:p>
      <w:pPr>
        <w:ind w:right="720" w:firstLine="440"/>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person</w:t>
      </w:r>
      <w:r>
        <w:rPr>
          <w:rFonts w:ascii="Arial" w:cs="Arial" w:eastAsia="Arial" w:hAnsi="Arial"/>
          <w:sz w:val="18"/>
          <w:szCs w:val="18"/>
          <w:color w:val="auto"/>
        </w:rPr>
        <w:t>” means any individual, corporation, partnership, joint venture, association, limited liability company, joint-stock company, trust, unincorporated organization or government or any agency or political subdivision thereof.</w:t>
      </w:r>
    </w:p>
    <w:p>
      <w:pPr>
        <w:spacing w:after="0" w:line="170" w:lineRule="exact"/>
        <w:rPr>
          <w:sz w:val="20"/>
          <w:szCs w:val="20"/>
          <w:color w:val="auto"/>
        </w:rPr>
      </w:pPr>
    </w:p>
    <w:p>
      <w:pPr>
        <w:ind w:right="400" w:firstLine="440"/>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principal</w:t>
      </w:r>
      <w:r>
        <w:rPr>
          <w:rFonts w:ascii="Arial" w:cs="Arial" w:eastAsia="Arial" w:hAnsi="Arial"/>
          <w:sz w:val="18"/>
          <w:szCs w:val="18"/>
          <w:color w:val="auto"/>
        </w:rPr>
        <w:t>” of a Security means the principal of the Security plus, when appropriate, the premium, if any, on, and any Additional Amounts in respect of, the Security.</w:t>
      </w:r>
    </w:p>
    <w:p>
      <w:pPr>
        <w:spacing w:after="0" w:line="170" w:lineRule="exact"/>
        <w:rPr>
          <w:sz w:val="20"/>
          <w:szCs w:val="20"/>
          <w:color w:val="auto"/>
        </w:rPr>
      </w:pPr>
    </w:p>
    <w:p>
      <w:pPr>
        <w:ind w:right="80" w:firstLine="440"/>
        <w:spacing w:after="0" w:line="263" w:lineRule="auto"/>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Responsible Officer</w:t>
      </w:r>
      <w:r>
        <w:rPr>
          <w:rFonts w:ascii="Arial" w:cs="Arial" w:eastAsia="Arial" w:hAnsi="Arial"/>
          <w:sz w:val="18"/>
          <w:szCs w:val="18"/>
          <w:color w:val="auto"/>
        </w:rPr>
        <w:t>” means any officer of the Trustee in its Corporate Trust Office having responsibility for administration of this Indenture and also means, with respect to a particular corporate trust matter, any other officer to whom any corporate trust matter is referred because of his or her knowledge of and familiarity with a particular subject.</w:t>
      </w:r>
    </w:p>
    <w:p>
      <w:pPr>
        <w:spacing w:after="0" w:line="184" w:lineRule="exact"/>
        <w:rPr>
          <w:sz w:val="20"/>
          <w:szCs w:val="20"/>
          <w:color w:val="auto"/>
        </w:rPr>
      </w:pPr>
    </w:p>
    <w:p>
      <w:pPr>
        <w:ind w:left="44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SEC</w:t>
      </w:r>
      <w:r>
        <w:rPr>
          <w:rFonts w:ascii="Arial" w:cs="Arial" w:eastAsia="Arial" w:hAnsi="Arial"/>
          <w:sz w:val="18"/>
          <w:szCs w:val="18"/>
          <w:color w:val="auto"/>
        </w:rPr>
        <w:t>” means the Securities and Exchange Commission.</w:t>
      </w:r>
    </w:p>
    <w:p>
      <w:pPr>
        <w:spacing w:after="0" w:line="225" w:lineRule="exact"/>
        <w:rPr>
          <w:sz w:val="20"/>
          <w:szCs w:val="20"/>
          <w:color w:val="auto"/>
        </w:rPr>
      </w:pPr>
    </w:p>
    <w:p>
      <w:pPr>
        <w:jc w:val="center"/>
        <w:ind w:left="840" w:right="40"/>
        <w:spacing w:after="0" w:line="449" w:lineRule="auto"/>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Securities</w:t>
      </w:r>
      <w:r>
        <w:rPr>
          <w:rFonts w:ascii="Arial" w:cs="Arial" w:eastAsia="Arial" w:hAnsi="Arial"/>
          <w:sz w:val="18"/>
          <w:szCs w:val="18"/>
          <w:color w:val="auto"/>
        </w:rPr>
        <w:t>” means the debentures, notes or other debt instruments of the Company of any Series authenticated and delivered under this Indenture. 3</w:t>
      </w:r>
    </w:p>
    <w:p>
      <w:pPr>
        <w:sectPr>
          <w:pgSz w:w="11900" w:h="16838" w:orient="portrait"/>
          <w:cols w:equalWidth="0" w:num="1">
            <w:col w:w="11000"/>
          </w:cols>
          <w:pgMar w:left="440" w:top="274" w:right="459" w:bottom="1440" w:gutter="0" w:footer="0" w:header="0"/>
        </w:sectPr>
      </w:pPr>
    </w:p>
    <w:bookmarkStart w:id="121" w:name="page122"/>
    <w:bookmarkEnd w:id="121"/>
    <w:p>
      <w:pPr>
        <w:ind w:right="240" w:firstLine="440"/>
        <w:spacing w:after="0" w:line="277"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166" name="Picture 1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6"/>
                    <pic:cNvPicPr>
                      <a:picLocks noChangeAspect="1" noChangeArrowheads="1"/>
                    </pic:cNvPicPr>
                  </pic:nvPicPr>
                  <pic:blipFill>
                    <a:blip r:embed="rId188">
                      <a:extLst>
                        <a:ext uri="{28A0092B-C50C-407E-A947-70E740481C1C}"/>
                      </a:extLst>
                    </a:blip>
                    <a:srcRect/>
                    <a:stretch>
                      <a:fillRect/>
                    </a:stretch>
                  </pic:blipFill>
                  <pic:spPr bwMode="auto">
                    <a:xfrm>
                      <a:off x="0" y="0"/>
                      <a:ext cx="7149465" cy="25400"/>
                    </a:xfrm>
                    <a:prstGeom prst="rect">
                      <a:avLst/>
                    </a:prstGeom>
                    <a:noFill/>
                  </pic:spPr>
                </pic:pic>
              </a:graphicData>
            </a:graphic>
          </wp:anchor>
        </w:drawing>
        <w:t>“</w:t>
      </w:r>
      <w:r>
        <w:rPr>
          <w:rFonts w:ascii="Arial" w:cs="Arial" w:eastAsia="Arial" w:hAnsi="Arial"/>
          <w:sz w:val="18"/>
          <w:szCs w:val="18"/>
          <w:i w:val="1"/>
          <w:iCs w:val="1"/>
          <w:color w:val="auto"/>
        </w:rPr>
        <w:t>Series</w:t>
      </w:r>
      <w:r>
        <w:rPr>
          <w:rFonts w:ascii="Arial" w:cs="Arial" w:eastAsia="Arial" w:hAnsi="Arial"/>
          <w:sz w:val="18"/>
          <w:szCs w:val="18"/>
          <w:color w:val="auto"/>
        </w:rPr>
        <w:t>” or “</w:t>
      </w:r>
      <w:r>
        <w:rPr>
          <w:rFonts w:ascii="Arial" w:cs="Arial" w:eastAsia="Arial" w:hAnsi="Arial"/>
          <w:sz w:val="18"/>
          <w:szCs w:val="18"/>
          <w:i w:val="1"/>
          <w:iCs w:val="1"/>
          <w:color w:val="auto"/>
        </w:rPr>
        <w:t>Series of Securities</w:t>
      </w:r>
      <w:r>
        <w:rPr>
          <w:rFonts w:ascii="Arial" w:cs="Arial" w:eastAsia="Arial" w:hAnsi="Arial"/>
          <w:sz w:val="18"/>
          <w:szCs w:val="18"/>
          <w:color w:val="auto"/>
        </w:rPr>
        <w:t>” means each series of debentures, notes or other debt instruments of the Company created pursuant to Sections 2.1 and 2.2 hereof.</w:t>
      </w:r>
    </w:p>
    <w:p>
      <w:pPr>
        <w:spacing w:after="0" w:line="170" w:lineRule="exact"/>
        <w:rPr>
          <w:sz w:val="20"/>
          <w:szCs w:val="20"/>
          <w:color w:val="auto"/>
        </w:rPr>
      </w:pPr>
    </w:p>
    <w:p>
      <w:pPr>
        <w:ind w:right="300" w:firstLine="440"/>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Stated Maturity</w:t>
      </w:r>
      <w:r>
        <w:rPr>
          <w:rFonts w:ascii="Arial" w:cs="Arial" w:eastAsia="Arial" w:hAnsi="Arial"/>
          <w:sz w:val="18"/>
          <w:szCs w:val="18"/>
          <w:color w:val="auto"/>
        </w:rPr>
        <w:t>” when used with respect to any Security, means the date specified in such Security as the fixed date on which the principal of such Security or interest is due and payable.</w:t>
      </w:r>
    </w:p>
    <w:p>
      <w:pPr>
        <w:spacing w:after="0" w:line="170" w:lineRule="exact"/>
        <w:rPr>
          <w:sz w:val="20"/>
          <w:szCs w:val="20"/>
          <w:color w:val="auto"/>
        </w:rPr>
      </w:pPr>
    </w:p>
    <w:p>
      <w:pPr>
        <w:ind w:right="100" w:firstLine="440"/>
        <w:spacing w:after="0" w:line="259" w:lineRule="auto"/>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Subsidiary</w:t>
      </w:r>
      <w:r>
        <w:rPr>
          <w:rFonts w:ascii="Arial" w:cs="Arial" w:eastAsia="Arial" w:hAnsi="Arial"/>
          <w:sz w:val="18"/>
          <w:szCs w:val="18"/>
          <w:color w:val="auto"/>
        </w:rPr>
        <w:t>” of any specified person means any corporation, association or other business entity of which more than 50% of the total voting power of shares of Capital Stock entitled (without regard to the occurrence of any contingency) to vote in the election of directors, managers or trustees thereof is at the time owned or controlled, directly or indirectly, by such person or one or more of the other Subsidiaries of that person or a combination thereof.</w:t>
      </w:r>
    </w:p>
    <w:p>
      <w:pPr>
        <w:spacing w:after="0" w:line="187" w:lineRule="exact"/>
        <w:rPr>
          <w:sz w:val="20"/>
          <w:szCs w:val="20"/>
          <w:color w:val="auto"/>
        </w:rPr>
      </w:pPr>
    </w:p>
    <w:p>
      <w:pPr>
        <w:ind w:firstLine="440"/>
        <w:spacing w:after="0" w:line="263" w:lineRule="auto"/>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TIA</w:t>
      </w:r>
      <w:r>
        <w:rPr>
          <w:rFonts w:ascii="Arial" w:cs="Arial" w:eastAsia="Arial" w:hAnsi="Arial"/>
          <w:sz w:val="18"/>
          <w:szCs w:val="18"/>
          <w:color w:val="auto"/>
        </w:rPr>
        <w:t xml:space="preserve">” means the Trust Indenture Act of 1939 (15 U.S. Code §§ 77aaa-77bbbb) as in effect on the date of this Indenture;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w:t>
      </w:r>
      <w:r>
        <w:rPr>
          <w:rFonts w:ascii="Arial" w:cs="Arial" w:eastAsia="Arial" w:hAnsi="Arial"/>
          <w:sz w:val="18"/>
          <w:szCs w:val="18"/>
          <w:u w:val="single" w:color="auto"/>
          <w:color w:val="auto"/>
        </w:rPr>
        <w:t>however</w:t>
      </w:r>
      <w:r>
        <w:rPr>
          <w:rFonts w:ascii="Arial" w:cs="Arial" w:eastAsia="Arial" w:hAnsi="Arial"/>
          <w:sz w:val="18"/>
          <w:szCs w:val="18"/>
          <w:color w:val="auto"/>
        </w:rPr>
        <w:t>, that in the event the Trust Indenture Act of 1939 is amended after such date, “TIA” means, to the extent required by any such amendment, the Trust Indenture Act as so amended.</w:t>
      </w:r>
    </w:p>
    <w:p>
      <w:pPr>
        <w:spacing w:after="0" w:line="184" w:lineRule="exact"/>
        <w:rPr>
          <w:sz w:val="20"/>
          <w:szCs w:val="20"/>
          <w:color w:val="auto"/>
        </w:rPr>
      </w:pPr>
    </w:p>
    <w:p>
      <w:pPr>
        <w:ind w:right="120" w:firstLine="440"/>
        <w:spacing w:after="0" w:line="259" w:lineRule="auto"/>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Trustee</w:t>
      </w:r>
      <w:r>
        <w:rPr>
          <w:rFonts w:ascii="Arial" w:cs="Arial" w:eastAsia="Arial" w:hAnsi="Arial"/>
          <w:sz w:val="18"/>
          <w:szCs w:val="18"/>
          <w:color w:val="auto"/>
        </w:rPr>
        <w:t>” means the person named as the “Trustee” in the first paragraph of this instrument until a successor Trustee shall have become such pursuant to the applicable provisions of this Indenture, and thereafter “Trustee” shall mean or include each person who is then a Trustee hereunder, and if at any time there is more than one such person, “Trustee” as used with respect to the Securities of any Series shall mean the Trustee with respect to Securities of that Series.</w:t>
      </w:r>
    </w:p>
    <w:p>
      <w:pPr>
        <w:spacing w:after="0" w:line="187" w:lineRule="exact"/>
        <w:rPr>
          <w:sz w:val="20"/>
          <w:szCs w:val="20"/>
          <w:color w:val="auto"/>
        </w:rPr>
      </w:pPr>
    </w:p>
    <w:p>
      <w:pPr>
        <w:ind w:right="20" w:firstLine="440"/>
        <w:spacing w:after="0" w:line="293" w:lineRule="auto"/>
        <w:rPr>
          <w:sz w:val="20"/>
          <w:szCs w:val="20"/>
          <w:color w:val="auto"/>
        </w:rPr>
      </w:pPr>
      <w:r>
        <w:rPr>
          <w:rFonts w:ascii="Arial" w:cs="Arial" w:eastAsia="Arial" w:hAnsi="Arial"/>
          <w:sz w:val="16"/>
          <w:szCs w:val="16"/>
          <w:color w:val="auto"/>
        </w:rPr>
        <w:t>“</w:t>
      </w:r>
      <w:r>
        <w:rPr>
          <w:rFonts w:ascii="Arial" w:cs="Arial" w:eastAsia="Arial" w:hAnsi="Arial"/>
          <w:sz w:val="16"/>
          <w:szCs w:val="16"/>
          <w:i w:val="1"/>
          <w:iCs w:val="1"/>
          <w:color w:val="auto"/>
        </w:rPr>
        <w:t>U.S. Government Obligations</w:t>
      </w:r>
      <w:r>
        <w:rPr>
          <w:rFonts w:ascii="Arial" w:cs="Arial" w:eastAsia="Arial" w:hAnsi="Arial"/>
          <w:sz w:val="16"/>
          <w:szCs w:val="16"/>
          <w:color w:val="auto"/>
        </w:rPr>
        <w:t xml:space="preserve">” means securities which are direct obligations of, or guaranteed by, The United States of America for the payment of which its full faith and credit is pledged and which are not callable or redeemable at the option of the issuer thereof, and shall also include a depositary receipt issued by a bank or trust company as custodian with respect to any such U.S. Government Obligation or a specific payment of interest on or principal of any such U.S. Government Obligation held by such custodian for the account of the holder of a depository receipt, </w:t>
      </w:r>
      <w:r>
        <w:rPr>
          <w:rFonts w:ascii="Arial" w:cs="Arial" w:eastAsia="Arial" w:hAnsi="Arial"/>
          <w:sz w:val="16"/>
          <w:szCs w:val="16"/>
          <w:i w:val="1"/>
          <w:iCs w:val="1"/>
          <w:color w:val="auto"/>
        </w:rPr>
        <w:t>provided</w:t>
      </w:r>
      <w:r>
        <w:rPr>
          <w:rFonts w:ascii="Arial" w:cs="Arial" w:eastAsia="Arial" w:hAnsi="Arial"/>
          <w:sz w:val="16"/>
          <w:szCs w:val="16"/>
          <w:color w:val="auto"/>
        </w:rPr>
        <w:t xml:space="preserve"> that (except as required by law) such custodian is not authorized to make any deduction from the amount payable to the holder of such depositary receipt from any amount received by the custodian in respect of the U.S. Government Obligation evidenced by such depositary receipt.</w:t>
      </w:r>
    </w:p>
    <w:p>
      <w:pPr>
        <w:spacing w:after="0" w:line="164" w:lineRule="exact"/>
        <w:rPr>
          <w:sz w:val="20"/>
          <w:szCs w:val="20"/>
          <w:color w:val="auto"/>
        </w:rPr>
      </w:pPr>
    </w:p>
    <w:p>
      <w:pPr>
        <w:ind w:left="440"/>
        <w:spacing w:after="0"/>
        <w:rPr>
          <w:sz w:val="20"/>
          <w:szCs w:val="20"/>
          <w:color w:val="auto"/>
        </w:rPr>
      </w:pPr>
      <w:r>
        <w:rPr>
          <w:rFonts w:ascii="Arial" w:cs="Arial" w:eastAsia="Arial" w:hAnsi="Arial"/>
          <w:sz w:val="18"/>
          <w:szCs w:val="18"/>
          <w:color w:val="auto"/>
        </w:rPr>
        <w:t>Section 1.2. Other Definitions.</w:t>
      </w:r>
    </w:p>
    <w:p>
      <w:pPr>
        <w:spacing w:after="0" w:line="235" w:lineRule="exact"/>
        <w:rPr>
          <w:sz w:val="20"/>
          <w:szCs w:val="20"/>
          <w:color w:val="auto"/>
        </w:rPr>
      </w:pPr>
    </w:p>
    <w:tbl>
      <w:tblPr>
        <w:tblLayout w:type="fixed"/>
        <w:tblInd w:w="1760" w:type="dxa"/>
        <w:tblCellMar>
          <w:top w:w="0" w:type="dxa"/>
          <w:left w:w="0" w:type="dxa"/>
          <w:bottom w:w="0" w:type="dxa"/>
          <w:right w:w="0" w:type="dxa"/>
        </w:tblCellMar>
      </w:tblPr>
      <w:tr>
        <w:trPr>
          <w:trHeight w:val="161"/>
        </w:trPr>
        <w:tc>
          <w:tcPr>
            <w:tcW w:w="6620" w:type="dxa"/>
            <w:vAlign w:val="bottom"/>
            <w:gridSpan w:val="2"/>
            <w:vMerge w:val="restart"/>
          </w:tcPr>
          <w:p>
            <w:pPr>
              <w:spacing w:after="0"/>
              <w:rPr>
                <w:sz w:val="20"/>
                <w:szCs w:val="20"/>
                <w:color w:val="auto"/>
              </w:rPr>
            </w:pPr>
            <w:r>
              <w:rPr>
                <w:rFonts w:ascii="Arial" w:cs="Arial" w:eastAsia="Arial" w:hAnsi="Arial"/>
                <w:sz w:val="14"/>
                <w:szCs w:val="14"/>
                <w:color w:val="auto"/>
              </w:rPr>
              <w:t>TERM</w:t>
            </w:r>
          </w:p>
        </w:tc>
        <w:tc>
          <w:tcPr>
            <w:tcW w:w="860" w:type="dxa"/>
            <w:vAlign w:val="bottom"/>
            <w:gridSpan w:val="2"/>
          </w:tcPr>
          <w:p>
            <w:pPr>
              <w:jc w:val="right"/>
              <w:ind w:right="60"/>
              <w:spacing w:after="0"/>
              <w:rPr>
                <w:sz w:val="20"/>
                <w:szCs w:val="20"/>
                <w:color w:val="auto"/>
              </w:rPr>
            </w:pPr>
            <w:r>
              <w:rPr>
                <w:rFonts w:ascii="Arial" w:cs="Arial" w:eastAsia="Arial" w:hAnsi="Arial"/>
                <w:sz w:val="14"/>
                <w:szCs w:val="14"/>
                <w:color w:val="auto"/>
                <w:w w:val="98"/>
              </w:rPr>
              <w:t>DEFINED IN</w:t>
            </w:r>
          </w:p>
        </w:tc>
        <w:tc>
          <w:tcPr>
            <w:tcW w:w="0" w:type="dxa"/>
            <w:vAlign w:val="bottom"/>
          </w:tcPr>
          <w:p>
            <w:pPr>
              <w:spacing w:after="0"/>
              <w:rPr>
                <w:sz w:val="1"/>
                <w:szCs w:val="1"/>
                <w:color w:val="auto"/>
              </w:rPr>
            </w:pPr>
          </w:p>
        </w:tc>
      </w:tr>
      <w:tr>
        <w:trPr>
          <w:trHeight w:val="154"/>
        </w:trPr>
        <w:tc>
          <w:tcPr>
            <w:tcW w:w="6620" w:type="dxa"/>
            <w:vAlign w:val="bottom"/>
            <w:gridSpan w:val="2"/>
            <w:vMerge w:val="continue"/>
          </w:tcPr>
          <w:p>
            <w:pPr>
              <w:spacing w:after="0"/>
              <w:rPr>
                <w:sz w:val="13"/>
                <w:szCs w:val="13"/>
                <w:color w:val="auto"/>
              </w:rPr>
            </w:pPr>
          </w:p>
        </w:tc>
        <w:tc>
          <w:tcPr>
            <w:tcW w:w="860" w:type="dxa"/>
            <w:vAlign w:val="bottom"/>
            <w:gridSpan w:val="2"/>
          </w:tcPr>
          <w:p>
            <w:pPr>
              <w:jc w:val="right"/>
              <w:ind w:right="160"/>
              <w:spacing w:after="0" w:line="154" w:lineRule="exact"/>
              <w:rPr>
                <w:sz w:val="20"/>
                <w:szCs w:val="20"/>
                <w:color w:val="auto"/>
              </w:rPr>
            </w:pPr>
            <w:r>
              <w:rPr>
                <w:rFonts w:ascii="Arial" w:cs="Arial" w:eastAsia="Arial" w:hAnsi="Arial"/>
                <w:sz w:val="14"/>
                <w:szCs w:val="14"/>
                <w:color w:val="auto"/>
              </w:rPr>
              <w:t>SECTION</w:t>
            </w:r>
          </w:p>
        </w:tc>
        <w:tc>
          <w:tcPr>
            <w:tcW w:w="0" w:type="dxa"/>
            <w:vAlign w:val="bottom"/>
          </w:tcPr>
          <w:p>
            <w:pPr>
              <w:spacing w:after="0"/>
              <w:rPr>
                <w:sz w:val="1"/>
                <w:szCs w:val="1"/>
                <w:color w:val="auto"/>
              </w:rPr>
            </w:pPr>
          </w:p>
        </w:tc>
      </w:tr>
      <w:tr>
        <w:trPr>
          <w:trHeight w:val="20"/>
        </w:trPr>
        <w:tc>
          <w:tcPr>
            <w:tcW w:w="400" w:type="dxa"/>
            <w:vAlign w:val="bottom"/>
            <w:tcBorders>
              <w:bottom w:val="single" w:sz="8" w:color="CCEEFF"/>
            </w:tcBorders>
            <w:shd w:val="clear" w:color="auto" w:fill="000000"/>
          </w:tcPr>
          <w:p>
            <w:pPr>
              <w:spacing w:after="0" w:line="20" w:lineRule="exact"/>
              <w:rPr>
                <w:sz w:val="1"/>
                <w:szCs w:val="1"/>
                <w:color w:val="auto"/>
              </w:rPr>
            </w:pPr>
          </w:p>
        </w:tc>
        <w:tc>
          <w:tcPr>
            <w:tcW w:w="6220" w:type="dxa"/>
            <w:vAlign w:val="bottom"/>
            <w:tcBorders>
              <w:bottom w:val="single" w:sz="8" w:color="CCEEFF"/>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3"/>
        </w:trPr>
        <w:tc>
          <w:tcPr>
            <w:tcW w:w="6620" w:type="dxa"/>
            <w:vAlign w:val="bottom"/>
            <w:gridSpan w:val="2"/>
            <w:shd w:val="clear" w:color="auto" w:fill="CCEEFF"/>
          </w:tcPr>
          <w:p>
            <w:pPr>
              <w:spacing w:after="0" w:line="203" w:lineRule="exact"/>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Bankruptcy Law</w:t>
            </w:r>
            <w:r>
              <w:rPr>
                <w:rFonts w:ascii="Arial" w:cs="Arial" w:eastAsia="Arial" w:hAnsi="Arial"/>
                <w:sz w:val="18"/>
                <w:szCs w:val="18"/>
                <w:color w:val="auto"/>
              </w:rPr>
              <w:t>”</w:t>
            </w:r>
          </w:p>
        </w:tc>
        <w:tc>
          <w:tcPr>
            <w:tcW w:w="800" w:type="dxa"/>
            <w:vAlign w:val="bottom"/>
            <w:shd w:val="clear" w:color="auto" w:fill="CCEEFF"/>
          </w:tcPr>
          <w:p>
            <w:pPr>
              <w:jc w:val="right"/>
              <w:spacing w:after="0" w:line="203" w:lineRule="exact"/>
              <w:rPr>
                <w:sz w:val="20"/>
                <w:szCs w:val="20"/>
                <w:color w:val="auto"/>
              </w:rPr>
            </w:pPr>
            <w:r>
              <w:rPr>
                <w:rFonts w:ascii="Arial" w:cs="Arial" w:eastAsia="Arial" w:hAnsi="Arial"/>
                <w:sz w:val="18"/>
                <w:szCs w:val="18"/>
                <w:color w:val="auto"/>
              </w:rPr>
              <w:t>6.1</w:t>
            </w:r>
          </w:p>
        </w:tc>
        <w:tc>
          <w:tcPr>
            <w:tcW w:w="6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6620" w:type="dxa"/>
            <w:vAlign w:val="bottom"/>
            <w:gridSpan w:val="2"/>
          </w:tcPr>
          <w:p>
            <w:pPr>
              <w:spacing w:after="0"/>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Custodian</w:t>
            </w:r>
            <w:r>
              <w:rPr>
                <w:rFonts w:ascii="Arial" w:cs="Arial" w:eastAsia="Arial" w:hAnsi="Arial"/>
                <w:sz w:val="18"/>
                <w:szCs w:val="18"/>
                <w:color w:val="auto"/>
              </w:rPr>
              <w:t>”</w:t>
            </w:r>
          </w:p>
        </w:tc>
        <w:tc>
          <w:tcPr>
            <w:tcW w:w="860" w:type="dxa"/>
            <w:vAlign w:val="bottom"/>
            <w:gridSpan w:val="2"/>
          </w:tcPr>
          <w:p>
            <w:pPr>
              <w:jc w:val="right"/>
              <w:ind w:right="60"/>
              <w:spacing w:after="0"/>
              <w:rPr>
                <w:sz w:val="20"/>
                <w:szCs w:val="20"/>
                <w:color w:val="auto"/>
              </w:rPr>
            </w:pPr>
            <w:r>
              <w:rPr>
                <w:rFonts w:ascii="Arial" w:cs="Arial" w:eastAsia="Arial" w:hAnsi="Arial"/>
                <w:sz w:val="18"/>
                <w:szCs w:val="18"/>
                <w:color w:val="auto"/>
              </w:rPr>
              <w:t>6.1</w:t>
            </w:r>
          </w:p>
        </w:tc>
        <w:tc>
          <w:tcPr>
            <w:tcW w:w="0" w:type="dxa"/>
            <w:vAlign w:val="bottom"/>
          </w:tcPr>
          <w:p>
            <w:pPr>
              <w:spacing w:after="0"/>
              <w:rPr>
                <w:sz w:val="1"/>
                <w:szCs w:val="1"/>
                <w:color w:val="auto"/>
              </w:rPr>
            </w:pPr>
          </w:p>
        </w:tc>
      </w:tr>
      <w:tr>
        <w:trPr>
          <w:trHeight w:val="216"/>
        </w:trPr>
        <w:tc>
          <w:tcPr>
            <w:tcW w:w="66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Event of Default</w:t>
            </w:r>
            <w:r>
              <w:rPr>
                <w:rFonts w:ascii="Arial" w:cs="Arial" w:eastAsia="Arial" w:hAnsi="Arial"/>
                <w:sz w:val="18"/>
                <w:szCs w:val="18"/>
                <w:color w:val="auto"/>
              </w:rPr>
              <w:t>”</w:t>
            </w:r>
          </w:p>
        </w:tc>
        <w:tc>
          <w:tcPr>
            <w:tcW w:w="8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6.1</w:t>
            </w:r>
          </w:p>
        </w:tc>
        <w:tc>
          <w:tcPr>
            <w:tcW w:w="0" w:type="dxa"/>
            <w:vAlign w:val="bottom"/>
          </w:tcPr>
          <w:p>
            <w:pPr>
              <w:spacing w:after="0"/>
              <w:rPr>
                <w:sz w:val="1"/>
                <w:szCs w:val="1"/>
                <w:color w:val="auto"/>
              </w:rPr>
            </w:pPr>
          </w:p>
        </w:tc>
      </w:tr>
      <w:tr>
        <w:trPr>
          <w:trHeight w:val="216"/>
        </w:trPr>
        <w:tc>
          <w:tcPr>
            <w:tcW w:w="6620" w:type="dxa"/>
            <w:vAlign w:val="bottom"/>
            <w:gridSpan w:val="2"/>
          </w:tcPr>
          <w:p>
            <w:pPr>
              <w:spacing w:after="0"/>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Judgment Currency</w:t>
            </w:r>
            <w:r>
              <w:rPr>
                <w:rFonts w:ascii="Arial" w:cs="Arial" w:eastAsia="Arial" w:hAnsi="Arial"/>
                <w:sz w:val="18"/>
                <w:szCs w:val="18"/>
                <w:color w:val="auto"/>
              </w:rPr>
              <w:t>”</w:t>
            </w:r>
          </w:p>
        </w:tc>
        <w:tc>
          <w:tcPr>
            <w:tcW w:w="860" w:type="dxa"/>
            <w:vAlign w:val="bottom"/>
            <w:gridSpan w:val="2"/>
          </w:tcPr>
          <w:p>
            <w:pPr>
              <w:jc w:val="right"/>
              <w:ind w:right="60"/>
              <w:spacing w:after="0"/>
              <w:rPr>
                <w:sz w:val="20"/>
                <w:szCs w:val="20"/>
                <w:color w:val="auto"/>
              </w:rPr>
            </w:pPr>
            <w:r>
              <w:rPr>
                <w:rFonts w:ascii="Arial" w:cs="Arial" w:eastAsia="Arial" w:hAnsi="Arial"/>
                <w:sz w:val="18"/>
                <w:szCs w:val="18"/>
                <w:color w:val="auto"/>
              </w:rPr>
              <w:t>10.16</w:t>
            </w:r>
          </w:p>
        </w:tc>
        <w:tc>
          <w:tcPr>
            <w:tcW w:w="0" w:type="dxa"/>
            <w:vAlign w:val="bottom"/>
          </w:tcPr>
          <w:p>
            <w:pPr>
              <w:spacing w:after="0"/>
              <w:rPr>
                <w:sz w:val="1"/>
                <w:szCs w:val="1"/>
                <w:color w:val="auto"/>
              </w:rPr>
            </w:pPr>
          </w:p>
        </w:tc>
      </w:tr>
      <w:tr>
        <w:trPr>
          <w:trHeight w:val="216"/>
        </w:trPr>
        <w:tc>
          <w:tcPr>
            <w:tcW w:w="66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Legal Holiday</w:t>
            </w:r>
            <w:r>
              <w:rPr>
                <w:rFonts w:ascii="Arial" w:cs="Arial" w:eastAsia="Arial" w:hAnsi="Arial"/>
                <w:sz w:val="18"/>
                <w:szCs w:val="18"/>
                <w:color w:val="auto"/>
              </w:rPr>
              <w:t>”</w:t>
            </w:r>
          </w:p>
        </w:tc>
        <w:tc>
          <w:tcPr>
            <w:tcW w:w="8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10.7</w:t>
            </w:r>
          </w:p>
        </w:tc>
        <w:tc>
          <w:tcPr>
            <w:tcW w:w="0" w:type="dxa"/>
            <w:vAlign w:val="bottom"/>
          </w:tcPr>
          <w:p>
            <w:pPr>
              <w:spacing w:after="0"/>
              <w:rPr>
                <w:sz w:val="1"/>
                <w:szCs w:val="1"/>
                <w:color w:val="auto"/>
              </w:rPr>
            </w:pPr>
          </w:p>
        </w:tc>
      </w:tr>
      <w:tr>
        <w:trPr>
          <w:trHeight w:val="216"/>
        </w:trPr>
        <w:tc>
          <w:tcPr>
            <w:tcW w:w="6620" w:type="dxa"/>
            <w:vAlign w:val="bottom"/>
            <w:gridSpan w:val="2"/>
          </w:tcPr>
          <w:p>
            <w:pPr>
              <w:spacing w:after="0"/>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mandatory sinking fund payment</w:t>
            </w:r>
            <w:r>
              <w:rPr>
                <w:rFonts w:ascii="Arial" w:cs="Arial" w:eastAsia="Arial" w:hAnsi="Arial"/>
                <w:sz w:val="18"/>
                <w:szCs w:val="18"/>
                <w:color w:val="auto"/>
              </w:rPr>
              <w:t>”</w:t>
            </w:r>
          </w:p>
        </w:tc>
        <w:tc>
          <w:tcPr>
            <w:tcW w:w="860" w:type="dxa"/>
            <w:vAlign w:val="bottom"/>
            <w:gridSpan w:val="2"/>
          </w:tcPr>
          <w:p>
            <w:pPr>
              <w:jc w:val="right"/>
              <w:ind w:right="60"/>
              <w:spacing w:after="0"/>
              <w:rPr>
                <w:sz w:val="20"/>
                <w:szCs w:val="20"/>
                <w:color w:val="auto"/>
              </w:rPr>
            </w:pPr>
            <w:r>
              <w:rPr>
                <w:rFonts w:ascii="Arial" w:cs="Arial" w:eastAsia="Arial" w:hAnsi="Arial"/>
                <w:sz w:val="18"/>
                <w:szCs w:val="18"/>
                <w:color w:val="auto"/>
              </w:rPr>
              <w:t>11.1</w:t>
            </w:r>
          </w:p>
        </w:tc>
        <w:tc>
          <w:tcPr>
            <w:tcW w:w="0" w:type="dxa"/>
            <w:vAlign w:val="bottom"/>
          </w:tcPr>
          <w:p>
            <w:pPr>
              <w:spacing w:after="0"/>
              <w:rPr>
                <w:sz w:val="1"/>
                <w:szCs w:val="1"/>
                <w:color w:val="auto"/>
              </w:rPr>
            </w:pPr>
          </w:p>
        </w:tc>
      </w:tr>
      <w:tr>
        <w:trPr>
          <w:trHeight w:val="216"/>
        </w:trPr>
        <w:tc>
          <w:tcPr>
            <w:tcW w:w="66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New York Banking Day</w:t>
            </w:r>
            <w:r>
              <w:rPr>
                <w:rFonts w:ascii="Arial" w:cs="Arial" w:eastAsia="Arial" w:hAnsi="Arial"/>
                <w:sz w:val="18"/>
                <w:szCs w:val="18"/>
                <w:color w:val="auto"/>
              </w:rPr>
              <w:t>”</w:t>
            </w:r>
          </w:p>
        </w:tc>
        <w:tc>
          <w:tcPr>
            <w:tcW w:w="8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10.16</w:t>
            </w:r>
          </w:p>
        </w:tc>
        <w:tc>
          <w:tcPr>
            <w:tcW w:w="0" w:type="dxa"/>
            <w:vAlign w:val="bottom"/>
          </w:tcPr>
          <w:p>
            <w:pPr>
              <w:spacing w:after="0"/>
              <w:rPr>
                <w:sz w:val="1"/>
                <w:szCs w:val="1"/>
                <w:color w:val="auto"/>
              </w:rPr>
            </w:pPr>
          </w:p>
        </w:tc>
      </w:tr>
      <w:tr>
        <w:trPr>
          <w:trHeight w:val="216"/>
        </w:trPr>
        <w:tc>
          <w:tcPr>
            <w:tcW w:w="6620" w:type="dxa"/>
            <w:vAlign w:val="bottom"/>
            <w:gridSpan w:val="2"/>
          </w:tcPr>
          <w:p>
            <w:pPr>
              <w:spacing w:after="0"/>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Notice Agent</w:t>
            </w:r>
            <w:r>
              <w:rPr>
                <w:rFonts w:ascii="Arial" w:cs="Arial" w:eastAsia="Arial" w:hAnsi="Arial"/>
                <w:sz w:val="18"/>
                <w:szCs w:val="18"/>
                <w:color w:val="auto"/>
              </w:rPr>
              <w:t>”</w:t>
            </w:r>
          </w:p>
        </w:tc>
        <w:tc>
          <w:tcPr>
            <w:tcW w:w="860" w:type="dxa"/>
            <w:vAlign w:val="bottom"/>
            <w:gridSpan w:val="2"/>
          </w:tcPr>
          <w:p>
            <w:pPr>
              <w:jc w:val="right"/>
              <w:ind w:right="60"/>
              <w:spacing w:after="0"/>
              <w:rPr>
                <w:sz w:val="20"/>
                <w:szCs w:val="20"/>
                <w:color w:val="auto"/>
              </w:rPr>
            </w:pPr>
            <w:r>
              <w:rPr>
                <w:rFonts w:ascii="Arial" w:cs="Arial" w:eastAsia="Arial" w:hAnsi="Arial"/>
                <w:sz w:val="18"/>
                <w:szCs w:val="18"/>
                <w:color w:val="auto"/>
              </w:rPr>
              <w:t>2.4</w:t>
            </w:r>
          </w:p>
        </w:tc>
        <w:tc>
          <w:tcPr>
            <w:tcW w:w="0" w:type="dxa"/>
            <w:vAlign w:val="bottom"/>
          </w:tcPr>
          <w:p>
            <w:pPr>
              <w:spacing w:after="0"/>
              <w:rPr>
                <w:sz w:val="1"/>
                <w:szCs w:val="1"/>
                <w:color w:val="auto"/>
              </w:rPr>
            </w:pPr>
          </w:p>
        </w:tc>
      </w:tr>
      <w:tr>
        <w:trPr>
          <w:trHeight w:val="216"/>
        </w:trPr>
        <w:tc>
          <w:tcPr>
            <w:tcW w:w="66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optional sinking fund payment</w:t>
            </w:r>
            <w:r>
              <w:rPr>
                <w:rFonts w:ascii="Arial" w:cs="Arial" w:eastAsia="Arial" w:hAnsi="Arial"/>
                <w:sz w:val="18"/>
                <w:szCs w:val="18"/>
                <w:color w:val="auto"/>
              </w:rPr>
              <w:t>”</w:t>
            </w:r>
          </w:p>
        </w:tc>
        <w:tc>
          <w:tcPr>
            <w:tcW w:w="8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11.1</w:t>
            </w:r>
          </w:p>
        </w:tc>
        <w:tc>
          <w:tcPr>
            <w:tcW w:w="0" w:type="dxa"/>
            <w:vAlign w:val="bottom"/>
          </w:tcPr>
          <w:p>
            <w:pPr>
              <w:spacing w:after="0"/>
              <w:rPr>
                <w:sz w:val="1"/>
                <w:szCs w:val="1"/>
                <w:color w:val="auto"/>
              </w:rPr>
            </w:pPr>
          </w:p>
        </w:tc>
      </w:tr>
      <w:tr>
        <w:trPr>
          <w:trHeight w:val="216"/>
        </w:trPr>
        <w:tc>
          <w:tcPr>
            <w:tcW w:w="6620" w:type="dxa"/>
            <w:vAlign w:val="bottom"/>
            <w:gridSpan w:val="2"/>
          </w:tcPr>
          <w:p>
            <w:pPr>
              <w:spacing w:after="0"/>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Paying Agent</w:t>
            </w:r>
            <w:r>
              <w:rPr>
                <w:rFonts w:ascii="Arial" w:cs="Arial" w:eastAsia="Arial" w:hAnsi="Arial"/>
                <w:sz w:val="18"/>
                <w:szCs w:val="18"/>
                <w:color w:val="auto"/>
              </w:rPr>
              <w:t>”</w:t>
            </w:r>
          </w:p>
        </w:tc>
        <w:tc>
          <w:tcPr>
            <w:tcW w:w="860" w:type="dxa"/>
            <w:vAlign w:val="bottom"/>
            <w:gridSpan w:val="2"/>
          </w:tcPr>
          <w:p>
            <w:pPr>
              <w:jc w:val="right"/>
              <w:ind w:right="60"/>
              <w:spacing w:after="0"/>
              <w:rPr>
                <w:sz w:val="20"/>
                <w:szCs w:val="20"/>
                <w:color w:val="auto"/>
              </w:rPr>
            </w:pPr>
            <w:r>
              <w:rPr>
                <w:rFonts w:ascii="Arial" w:cs="Arial" w:eastAsia="Arial" w:hAnsi="Arial"/>
                <w:sz w:val="18"/>
                <w:szCs w:val="18"/>
                <w:color w:val="auto"/>
              </w:rPr>
              <w:t>2.4</w:t>
            </w:r>
          </w:p>
        </w:tc>
        <w:tc>
          <w:tcPr>
            <w:tcW w:w="0" w:type="dxa"/>
            <w:vAlign w:val="bottom"/>
          </w:tcPr>
          <w:p>
            <w:pPr>
              <w:spacing w:after="0"/>
              <w:rPr>
                <w:sz w:val="1"/>
                <w:szCs w:val="1"/>
                <w:color w:val="auto"/>
              </w:rPr>
            </w:pPr>
          </w:p>
        </w:tc>
      </w:tr>
      <w:tr>
        <w:trPr>
          <w:trHeight w:val="216"/>
        </w:trPr>
        <w:tc>
          <w:tcPr>
            <w:tcW w:w="66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Registrar</w:t>
            </w:r>
            <w:r>
              <w:rPr>
                <w:rFonts w:ascii="Arial" w:cs="Arial" w:eastAsia="Arial" w:hAnsi="Arial"/>
                <w:sz w:val="18"/>
                <w:szCs w:val="18"/>
                <w:color w:val="auto"/>
              </w:rPr>
              <w:t>”</w:t>
            </w:r>
          </w:p>
        </w:tc>
        <w:tc>
          <w:tcPr>
            <w:tcW w:w="8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2.4</w:t>
            </w:r>
          </w:p>
        </w:tc>
        <w:tc>
          <w:tcPr>
            <w:tcW w:w="0" w:type="dxa"/>
            <w:vAlign w:val="bottom"/>
          </w:tcPr>
          <w:p>
            <w:pPr>
              <w:spacing w:after="0"/>
              <w:rPr>
                <w:sz w:val="1"/>
                <w:szCs w:val="1"/>
                <w:color w:val="auto"/>
              </w:rPr>
            </w:pPr>
          </w:p>
        </w:tc>
      </w:tr>
      <w:tr>
        <w:trPr>
          <w:trHeight w:val="216"/>
        </w:trPr>
        <w:tc>
          <w:tcPr>
            <w:tcW w:w="6620" w:type="dxa"/>
            <w:vAlign w:val="bottom"/>
            <w:gridSpan w:val="2"/>
          </w:tcPr>
          <w:p>
            <w:pPr>
              <w:spacing w:after="0"/>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Required Currency</w:t>
            </w:r>
            <w:r>
              <w:rPr>
                <w:rFonts w:ascii="Arial" w:cs="Arial" w:eastAsia="Arial" w:hAnsi="Arial"/>
                <w:sz w:val="18"/>
                <w:szCs w:val="18"/>
                <w:color w:val="auto"/>
              </w:rPr>
              <w:t>”</w:t>
            </w:r>
          </w:p>
        </w:tc>
        <w:tc>
          <w:tcPr>
            <w:tcW w:w="860" w:type="dxa"/>
            <w:vAlign w:val="bottom"/>
            <w:gridSpan w:val="2"/>
          </w:tcPr>
          <w:p>
            <w:pPr>
              <w:jc w:val="right"/>
              <w:ind w:right="60"/>
              <w:spacing w:after="0"/>
              <w:rPr>
                <w:sz w:val="20"/>
                <w:szCs w:val="20"/>
                <w:color w:val="auto"/>
              </w:rPr>
            </w:pPr>
            <w:r>
              <w:rPr>
                <w:rFonts w:ascii="Arial" w:cs="Arial" w:eastAsia="Arial" w:hAnsi="Arial"/>
                <w:sz w:val="18"/>
                <w:szCs w:val="18"/>
                <w:color w:val="auto"/>
              </w:rPr>
              <w:t>10.16</w:t>
            </w:r>
          </w:p>
        </w:tc>
        <w:tc>
          <w:tcPr>
            <w:tcW w:w="0" w:type="dxa"/>
            <w:vAlign w:val="bottom"/>
          </w:tcPr>
          <w:p>
            <w:pPr>
              <w:spacing w:after="0"/>
              <w:rPr>
                <w:sz w:val="1"/>
                <w:szCs w:val="1"/>
                <w:color w:val="auto"/>
              </w:rPr>
            </w:pPr>
          </w:p>
        </w:tc>
      </w:tr>
      <w:tr>
        <w:trPr>
          <w:trHeight w:val="216"/>
        </w:trPr>
        <w:tc>
          <w:tcPr>
            <w:tcW w:w="66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Specified Courts</w:t>
            </w:r>
            <w:r>
              <w:rPr>
                <w:rFonts w:ascii="Arial" w:cs="Arial" w:eastAsia="Arial" w:hAnsi="Arial"/>
                <w:sz w:val="18"/>
                <w:szCs w:val="18"/>
                <w:color w:val="auto"/>
              </w:rPr>
              <w:t>”</w:t>
            </w:r>
          </w:p>
        </w:tc>
        <w:tc>
          <w:tcPr>
            <w:tcW w:w="8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10.10</w:t>
            </w:r>
          </w:p>
        </w:tc>
        <w:tc>
          <w:tcPr>
            <w:tcW w:w="0" w:type="dxa"/>
            <w:vAlign w:val="bottom"/>
          </w:tcPr>
          <w:p>
            <w:pPr>
              <w:spacing w:after="0"/>
              <w:rPr>
                <w:sz w:val="1"/>
                <w:szCs w:val="1"/>
                <w:color w:val="auto"/>
              </w:rPr>
            </w:pPr>
          </w:p>
        </w:tc>
      </w:tr>
      <w:tr>
        <w:trPr>
          <w:trHeight w:val="230"/>
        </w:trPr>
        <w:tc>
          <w:tcPr>
            <w:tcW w:w="6620" w:type="dxa"/>
            <w:vAlign w:val="bottom"/>
            <w:gridSpan w:val="2"/>
          </w:tcPr>
          <w:p>
            <w:pPr>
              <w:spacing w:after="0"/>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successor person</w:t>
            </w:r>
            <w:r>
              <w:rPr>
                <w:rFonts w:ascii="Arial" w:cs="Arial" w:eastAsia="Arial" w:hAnsi="Arial"/>
                <w:sz w:val="18"/>
                <w:szCs w:val="18"/>
                <w:color w:val="auto"/>
              </w:rPr>
              <w:t>”</w:t>
            </w:r>
          </w:p>
        </w:tc>
        <w:tc>
          <w:tcPr>
            <w:tcW w:w="860" w:type="dxa"/>
            <w:vAlign w:val="bottom"/>
            <w:gridSpan w:val="2"/>
          </w:tcPr>
          <w:p>
            <w:pPr>
              <w:jc w:val="right"/>
              <w:ind w:right="60"/>
              <w:spacing w:after="0"/>
              <w:rPr>
                <w:sz w:val="20"/>
                <w:szCs w:val="20"/>
                <w:color w:val="auto"/>
              </w:rPr>
            </w:pPr>
            <w:r>
              <w:rPr>
                <w:rFonts w:ascii="Arial" w:cs="Arial" w:eastAsia="Arial" w:hAnsi="Arial"/>
                <w:sz w:val="18"/>
                <w:szCs w:val="18"/>
                <w:color w:val="auto"/>
              </w:rPr>
              <w:t>5.1</w:t>
            </w:r>
          </w:p>
        </w:tc>
        <w:tc>
          <w:tcPr>
            <w:tcW w:w="0" w:type="dxa"/>
            <w:vAlign w:val="bottom"/>
          </w:tcPr>
          <w:p>
            <w:pPr>
              <w:spacing w:after="0"/>
              <w:rPr>
                <w:sz w:val="1"/>
                <w:szCs w:val="1"/>
                <w:color w:val="auto"/>
              </w:rPr>
            </w:pPr>
          </w:p>
        </w:tc>
      </w:tr>
    </w:tbl>
    <w:p>
      <w:pPr>
        <w:spacing w:after="0" w:line="187" w:lineRule="exact"/>
        <w:rPr>
          <w:sz w:val="20"/>
          <w:szCs w:val="20"/>
          <w:color w:val="auto"/>
        </w:rPr>
      </w:pPr>
    </w:p>
    <w:p>
      <w:pPr>
        <w:spacing w:after="0"/>
        <w:rPr>
          <w:sz w:val="20"/>
          <w:szCs w:val="20"/>
          <w:color w:val="auto"/>
        </w:rPr>
      </w:pPr>
      <w:r>
        <w:rPr>
          <w:rFonts w:ascii="Arial" w:cs="Arial" w:eastAsia="Arial" w:hAnsi="Arial"/>
          <w:sz w:val="18"/>
          <w:szCs w:val="18"/>
          <w:color w:val="auto"/>
        </w:rPr>
        <w:t xml:space="preserve">Section 1.3. </w:t>
      </w:r>
      <w:r>
        <w:rPr>
          <w:rFonts w:ascii="Arial" w:cs="Arial" w:eastAsia="Arial" w:hAnsi="Arial"/>
          <w:sz w:val="18"/>
          <w:szCs w:val="18"/>
          <w:u w:val="single" w:color="auto"/>
          <w:color w:val="auto"/>
        </w:rPr>
        <w:t>Incorporation by Reference of Trust Indenture Act</w:t>
      </w:r>
      <w:r>
        <w:rPr>
          <w:rFonts w:ascii="Arial" w:cs="Arial" w:eastAsia="Arial" w:hAnsi="Arial"/>
          <w:sz w:val="18"/>
          <w:szCs w:val="18"/>
          <w:color w:val="auto"/>
        </w:rPr>
        <w:t>.</w:t>
      </w:r>
    </w:p>
    <w:p>
      <w:pPr>
        <w:spacing w:after="0" w:line="225" w:lineRule="exact"/>
        <w:rPr>
          <w:sz w:val="20"/>
          <w:szCs w:val="20"/>
          <w:color w:val="auto"/>
        </w:rPr>
      </w:pPr>
    </w:p>
    <w:p>
      <w:pPr>
        <w:ind w:right="420" w:firstLine="440"/>
        <w:spacing w:after="0" w:line="277" w:lineRule="auto"/>
        <w:rPr>
          <w:sz w:val="20"/>
          <w:szCs w:val="20"/>
          <w:color w:val="auto"/>
        </w:rPr>
      </w:pPr>
      <w:r>
        <w:rPr>
          <w:rFonts w:ascii="Arial" w:cs="Arial" w:eastAsia="Arial" w:hAnsi="Arial"/>
          <w:sz w:val="18"/>
          <w:szCs w:val="18"/>
          <w:color w:val="auto"/>
        </w:rPr>
        <w:t>Whenever this Indenture refers to a provision of the TIA, the provision is incorporated by reference in and made a part of this Indenture. The following TIA terms used in this Indenture have the following meanings:</w:t>
      </w:r>
    </w:p>
    <w:p>
      <w:pPr>
        <w:spacing w:after="0" w:line="10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w:t>
      </w:r>
    </w:p>
    <w:p>
      <w:pPr>
        <w:sectPr>
          <w:pgSz w:w="11900" w:h="16838" w:orient="portrait"/>
          <w:cols w:equalWidth="0" w:num="1">
            <w:col w:w="11000"/>
          </w:cols>
          <w:pgMar w:left="440" w:top="274" w:right="459" w:bottom="1440" w:gutter="0" w:footer="0" w:header="0"/>
        </w:sectPr>
      </w:pPr>
    </w:p>
    <w:bookmarkStart w:id="122" w:name="page123"/>
    <w:bookmarkEnd w:id="122"/>
    <w:p>
      <w:pPr>
        <w:ind w:left="440"/>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167" name="Picture 1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7"/>
                    <pic:cNvPicPr>
                      <a:picLocks noChangeAspect="1" noChangeArrowheads="1"/>
                    </pic:cNvPicPr>
                  </pic:nvPicPr>
                  <pic:blipFill>
                    <a:blip r:embed="rId189">
                      <a:extLst>
                        <a:ext uri="{28A0092B-C50C-407E-A947-70E740481C1C}"/>
                      </a:extLst>
                    </a:blip>
                    <a:srcRect/>
                    <a:stretch>
                      <a:fillRect/>
                    </a:stretch>
                  </pic:blipFill>
                  <pic:spPr bwMode="auto">
                    <a:xfrm>
                      <a:off x="0" y="0"/>
                      <a:ext cx="7149465" cy="25400"/>
                    </a:xfrm>
                    <a:prstGeom prst="rect">
                      <a:avLst/>
                    </a:prstGeom>
                    <a:noFill/>
                  </pic:spPr>
                </pic:pic>
              </a:graphicData>
            </a:graphic>
          </wp:anchor>
        </w:drawing>
        <w:t>“</w:t>
      </w:r>
      <w:r>
        <w:rPr>
          <w:rFonts w:ascii="Arial" w:cs="Arial" w:eastAsia="Arial" w:hAnsi="Arial"/>
          <w:sz w:val="18"/>
          <w:szCs w:val="18"/>
          <w:i w:val="1"/>
          <w:iCs w:val="1"/>
          <w:color w:val="auto"/>
        </w:rPr>
        <w:t>Commission</w:t>
      </w:r>
      <w:r>
        <w:rPr>
          <w:rFonts w:ascii="Arial" w:cs="Arial" w:eastAsia="Arial" w:hAnsi="Arial"/>
          <w:sz w:val="18"/>
          <w:szCs w:val="18"/>
          <w:color w:val="auto"/>
        </w:rPr>
        <w:t>” means the SEC.</w:t>
      </w:r>
    </w:p>
    <w:p>
      <w:pPr>
        <w:spacing w:after="0" w:line="225" w:lineRule="exact"/>
        <w:rPr>
          <w:sz w:val="20"/>
          <w:szCs w:val="20"/>
          <w:color w:val="auto"/>
        </w:rPr>
      </w:pPr>
    </w:p>
    <w:p>
      <w:pPr>
        <w:ind w:left="44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indenture securities</w:t>
      </w:r>
      <w:r>
        <w:rPr>
          <w:rFonts w:ascii="Arial" w:cs="Arial" w:eastAsia="Arial" w:hAnsi="Arial"/>
          <w:sz w:val="18"/>
          <w:szCs w:val="18"/>
          <w:color w:val="auto"/>
        </w:rPr>
        <w:t>” means the Securities.</w:t>
      </w:r>
    </w:p>
    <w:p>
      <w:pPr>
        <w:spacing w:after="0" w:line="225" w:lineRule="exact"/>
        <w:rPr>
          <w:sz w:val="20"/>
          <w:szCs w:val="20"/>
          <w:color w:val="auto"/>
        </w:rPr>
      </w:pPr>
    </w:p>
    <w:p>
      <w:pPr>
        <w:ind w:left="44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indenture security holder</w:t>
      </w:r>
      <w:r>
        <w:rPr>
          <w:rFonts w:ascii="Arial" w:cs="Arial" w:eastAsia="Arial" w:hAnsi="Arial"/>
          <w:sz w:val="18"/>
          <w:szCs w:val="18"/>
          <w:color w:val="auto"/>
        </w:rPr>
        <w:t>” means a Securityholder.</w:t>
      </w:r>
    </w:p>
    <w:p>
      <w:pPr>
        <w:spacing w:after="0" w:line="225" w:lineRule="exact"/>
        <w:rPr>
          <w:sz w:val="20"/>
          <w:szCs w:val="20"/>
          <w:color w:val="auto"/>
        </w:rPr>
      </w:pPr>
    </w:p>
    <w:p>
      <w:pPr>
        <w:ind w:left="440"/>
        <w:spacing w:after="0"/>
        <w:rPr>
          <w:sz w:val="20"/>
          <w:szCs w:val="20"/>
          <w:color w:val="auto"/>
        </w:rPr>
      </w:pPr>
      <w:r>
        <w:rPr>
          <w:rFonts w:ascii="Arial" w:cs="Arial" w:eastAsia="Arial" w:hAnsi="Arial"/>
          <w:sz w:val="18"/>
          <w:szCs w:val="18"/>
          <w:color w:val="auto"/>
        </w:rPr>
        <w:t>“indenture to be qualified” means this Indenture.</w:t>
      </w:r>
    </w:p>
    <w:p>
      <w:pPr>
        <w:spacing w:after="0" w:line="225" w:lineRule="exact"/>
        <w:rPr>
          <w:sz w:val="20"/>
          <w:szCs w:val="20"/>
          <w:color w:val="auto"/>
        </w:rPr>
      </w:pPr>
    </w:p>
    <w:p>
      <w:pPr>
        <w:ind w:left="440"/>
        <w:spacing w:after="0"/>
        <w:rPr>
          <w:sz w:val="20"/>
          <w:szCs w:val="20"/>
          <w:color w:val="auto"/>
        </w:rPr>
      </w:pPr>
      <w:r>
        <w:rPr>
          <w:rFonts w:ascii="Arial" w:cs="Arial" w:eastAsia="Arial" w:hAnsi="Arial"/>
          <w:sz w:val="18"/>
          <w:szCs w:val="18"/>
          <w:color w:val="auto"/>
        </w:rPr>
        <w:t>“indenture trustee” or “institutional trustee” means the Trustee.</w:t>
      </w:r>
    </w:p>
    <w:p>
      <w:pPr>
        <w:spacing w:after="0" w:line="225" w:lineRule="exact"/>
        <w:rPr>
          <w:sz w:val="20"/>
          <w:szCs w:val="20"/>
          <w:color w:val="auto"/>
        </w:rPr>
      </w:pPr>
    </w:p>
    <w:p>
      <w:pPr>
        <w:ind w:left="44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obligor</w:t>
      </w:r>
      <w:r>
        <w:rPr>
          <w:rFonts w:ascii="Arial" w:cs="Arial" w:eastAsia="Arial" w:hAnsi="Arial"/>
          <w:sz w:val="18"/>
          <w:szCs w:val="18"/>
          <w:color w:val="auto"/>
        </w:rPr>
        <w:t>” on the indenture securities means the Company and any successor obligor upon the Securities.</w:t>
      </w:r>
    </w:p>
    <w:p>
      <w:pPr>
        <w:spacing w:after="0" w:line="225" w:lineRule="exact"/>
        <w:rPr>
          <w:sz w:val="20"/>
          <w:szCs w:val="20"/>
          <w:color w:val="auto"/>
        </w:rPr>
      </w:pPr>
    </w:p>
    <w:p>
      <w:pPr>
        <w:ind w:right="200" w:firstLine="440"/>
        <w:spacing w:after="0" w:line="277" w:lineRule="auto"/>
        <w:rPr>
          <w:sz w:val="20"/>
          <w:szCs w:val="20"/>
          <w:color w:val="auto"/>
        </w:rPr>
      </w:pPr>
      <w:r>
        <w:rPr>
          <w:rFonts w:ascii="Arial" w:cs="Arial" w:eastAsia="Arial" w:hAnsi="Arial"/>
          <w:sz w:val="18"/>
          <w:szCs w:val="18"/>
          <w:color w:val="auto"/>
        </w:rPr>
        <w:t>All other terms used in this Indenture that are defined by the TIA, defined by TIA reference to another statute or defined by SEC rule under the TIA and not otherwise defined herein are used herein as so defined.</w:t>
      </w:r>
    </w:p>
    <w:p>
      <w:pPr>
        <w:spacing w:after="0" w:line="170" w:lineRule="exact"/>
        <w:rPr>
          <w:sz w:val="20"/>
          <w:szCs w:val="20"/>
          <w:color w:val="auto"/>
        </w:rPr>
      </w:pPr>
    </w:p>
    <w:p>
      <w:pPr>
        <w:ind w:left="440"/>
        <w:spacing w:after="0"/>
        <w:rPr>
          <w:sz w:val="20"/>
          <w:szCs w:val="20"/>
          <w:color w:val="auto"/>
        </w:rPr>
      </w:pPr>
      <w:r>
        <w:rPr>
          <w:rFonts w:ascii="Arial" w:cs="Arial" w:eastAsia="Arial" w:hAnsi="Arial"/>
          <w:sz w:val="18"/>
          <w:szCs w:val="18"/>
          <w:color w:val="auto"/>
        </w:rPr>
        <w:t xml:space="preserve">Section 1.4. </w:t>
      </w:r>
      <w:r>
        <w:rPr>
          <w:rFonts w:ascii="Arial" w:cs="Arial" w:eastAsia="Arial" w:hAnsi="Arial"/>
          <w:sz w:val="18"/>
          <w:szCs w:val="18"/>
          <w:u w:val="single" w:color="auto"/>
          <w:color w:val="auto"/>
        </w:rPr>
        <w:t>Rules of Construction</w:t>
      </w:r>
      <w:r>
        <w:rPr>
          <w:rFonts w:ascii="Arial" w:cs="Arial" w:eastAsia="Arial" w:hAnsi="Arial"/>
          <w:sz w:val="18"/>
          <w:szCs w:val="18"/>
          <w:color w:val="auto"/>
        </w:rPr>
        <w:t>.</w:t>
      </w:r>
    </w:p>
    <w:p>
      <w:pPr>
        <w:spacing w:after="0" w:line="225" w:lineRule="exact"/>
        <w:rPr>
          <w:sz w:val="20"/>
          <w:szCs w:val="20"/>
          <w:color w:val="auto"/>
        </w:rPr>
      </w:pPr>
    </w:p>
    <w:p>
      <w:pPr>
        <w:ind w:left="440"/>
        <w:spacing w:after="0"/>
        <w:rPr>
          <w:sz w:val="20"/>
          <w:szCs w:val="20"/>
          <w:color w:val="auto"/>
        </w:rPr>
      </w:pPr>
      <w:r>
        <w:rPr>
          <w:rFonts w:ascii="Arial" w:cs="Arial" w:eastAsia="Arial" w:hAnsi="Arial"/>
          <w:sz w:val="18"/>
          <w:szCs w:val="18"/>
          <w:color w:val="auto"/>
        </w:rPr>
        <w:t>Unless the context otherwise requires:</w:t>
      </w:r>
    </w:p>
    <w:p>
      <w:pPr>
        <w:spacing w:after="0" w:line="117" w:lineRule="exact"/>
        <w:rPr>
          <w:sz w:val="20"/>
          <w:szCs w:val="20"/>
          <w:color w:val="auto"/>
        </w:rPr>
      </w:pPr>
    </w:p>
    <w:p>
      <w:pPr>
        <w:ind w:left="1100" w:hanging="241"/>
        <w:spacing w:after="0"/>
        <w:tabs>
          <w:tab w:leader="none" w:pos="1100" w:val="left"/>
        </w:tabs>
        <w:numPr>
          <w:ilvl w:val="0"/>
          <w:numId w:val="97"/>
        </w:numPr>
        <w:rPr>
          <w:rFonts w:ascii="Arial" w:cs="Arial" w:eastAsia="Arial" w:hAnsi="Arial"/>
          <w:sz w:val="18"/>
          <w:szCs w:val="18"/>
          <w:color w:val="auto"/>
        </w:rPr>
      </w:pPr>
      <w:r>
        <w:rPr>
          <w:rFonts w:ascii="Arial" w:cs="Arial" w:eastAsia="Arial" w:hAnsi="Arial"/>
          <w:sz w:val="18"/>
          <w:szCs w:val="18"/>
          <w:color w:val="auto"/>
        </w:rPr>
        <w:t>a term has the meaning assigned to it;</w:t>
      </w:r>
    </w:p>
    <w:p>
      <w:pPr>
        <w:spacing w:after="0" w:line="117" w:lineRule="exact"/>
        <w:rPr>
          <w:rFonts w:ascii="Arial" w:cs="Arial" w:eastAsia="Arial" w:hAnsi="Arial"/>
          <w:sz w:val="18"/>
          <w:szCs w:val="18"/>
          <w:color w:val="auto"/>
        </w:rPr>
      </w:pPr>
    </w:p>
    <w:p>
      <w:pPr>
        <w:ind w:left="1120" w:hanging="261"/>
        <w:spacing w:after="0"/>
        <w:tabs>
          <w:tab w:leader="none" w:pos="1120" w:val="left"/>
        </w:tabs>
        <w:numPr>
          <w:ilvl w:val="0"/>
          <w:numId w:val="97"/>
        </w:numPr>
        <w:rPr>
          <w:rFonts w:ascii="Arial" w:cs="Arial" w:eastAsia="Arial" w:hAnsi="Arial"/>
          <w:sz w:val="18"/>
          <w:szCs w:val="18"/>
          <w:color w:val="auto"/>
        </w:rPr>
      </w:pPr>
      <w:r>
        <w:rPr>
          <w:rFonts w:ascii="Arial" w:cs="Arial" w:eastAsia="Arial" w:hAnsi="Arial"/>
          <w:sz w:val="18"/>
          <w:szCs w:val="18"/>
          <w:color w:val="auto"/>
        </w:rPr>
        <w:t>an accounting term not otherwise defined has the meaning assigned to it in accordance with GAAP;</w:t>
      </w:r>
    </w:p>
    <w:p>
      <w:pPr>
        <w:spacing w:after="0" w:line="117" w:lineRule="exact"/>
        <w:rPr>
          <w:rFonts w:ascii="Arial" w:cs="Arial" w:eastAsia="Arial" w:hAnsi="Arial"/>
          <w:sz w:val="18"/>
          <w:szCs w:val="18"/>
          <w:color w:val="auto"/>
        </w:rPr>
      </w:pPr>
    </w:p>
    <w:p>
      <w:pPr>
        <w:ind w:left="1100" w:hanging="241"/>
        <w:spacing w:after="0"/>
        <w:tabs>
          <w:tab w:leader="none" w:pos="1100" w:val="left"/>
        </w:tabs>
        <w:numPr>
          <w:ilvl w:val="0"/>
          <w:numId w:val="97"/>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i w:val="1"/>
          <w:iCs w:val="1"/>
          <w:color w:val="auto"/>
        </w:rPr>
        <w:t>or</w:t>
      </w:r>
      <w:r>
        <w:rPr>
          <w:rFonts w:ascii="Arial" w:cs="Arial" w:eastAsia="Arial" w:hAnsi="Arial"/>
          <w:sz w:val="18"/>
          <w:szCs w:val="18"/>
          <w:color w:val="auto"/>
        </w:rPr>
        <w:t>” is not exclusive;</w:t>
      </w:r>
    </w:p>
    <w:p>
      <w:pPr>
        <w:spacing w:after="0" w:line="117" w:lineRule="exact"/>
        <w:rPr>
          <w:rFonts w:ascii="Arial" w:cs="Arial" w:eastAsia="Arial" w:hAnsi="Arial"/>
          <w:sz w:val="18"/>
          <w:szCs w:val="18"/>
          <w:color w:val="auto"/>
        </w:rPr>
      </w:pPr>
    </w:p>
    <w:p>
      <w:pPr>
        <w:ind w:left="1120" w:hanging="261"/>
        <w:spacing w:after="0"/>
        <w:tabs>
          <w:tab w:leader="none" w:pos="1120" w:val="left"/>
        </w:tabs>
        <w:numPr>
          <w:ilvl w:val="0"/>
          <w:numId w:val="97"/>
        </w:numPr>
        <w:rPr>
          <w:rFonts w:ascii="Arial" w:cs="Arial" w:eastAsia="Arial" w:hAnsi="Arial"/>
          <w:sz w:val="18"/>
          <w:szCs w:val="18"/>
          <w:color w:val="auto"/>
        </w:rPr>
      </w:pPr>
      <w:r>
        <w:rPr>
          <w:rFonts w:ascii="Arial" w:cs="Arial" w:eastAsia="Arial" w:hAnsi="Arial"/>
          <w:sz w:val="18"/>
          <w:szCs w:val="18"/>
          <w:color w:val="auto"/>
        </w:rPr>
        <w:t>words in the singular include the plural, and in the plural include the singular; and</w:t>
      </w:r>
    </w:p>
    <w:p>
      <w:pPr>
        <w:spacing w:after="0" w:line="117" w:lineRule="exact"/>
        <w:rPr>
          <w:rFonts w:ascii="Arial" w:cs="Arial" w:eastAsia="Arial" w:hAnsi="Arial"/>
          <w:sz w:val="18"/>
          <w:szCs w:val="18"/>
          <w:color w:val="auto"/>
        </w:rPr>
      </w:pPr>
    </w:p>
    <w:p>
      <w:pPr>
        <w:ind w:left="1100" w:hanging="241"/>
        <w:spacing w:after="0"/>
        <w:tabs>
          <w:tab w:leader="none" w:pos="1100" w:val="left"/>
        </w:tabs>
        <w:numPr>
          <w:ilvl w:val="0"/>
          <w:numId w:val="97"/>
        </w:numPr>
        <w:rPr>
          <w:rFonts w:ascii="Arial" w:cs="Arial" w:eastAsia="Arial" w:hAnsi="Arial"/>
          <w:sz w:val="18"/>
          <w:szCs w:val="18"/>
          <w:color w:val="auto"/>
        </w:rPr>
      </w:pPr>
      <w:r>
        <w:rPr>
          <w:rFonts w:ascii="Arial" w:cs="Arial" w:eastAsia="Arial" w:hAnsi="Arial"/>
          <w:sz w:val="18"/>
          <w:szCs w:val="18"/>
          <w:color w:val="auto"/>
        </w:rPr>
        <w:t>provisions apply to successive events and transactions.</w:t>
      </w:r>
    </w:p>
    <w:p>
      <w:pPr>
        <w:spacing w:after="0" w:line="200" w:lineRule="exact"/>
        <w:rPr>
          <w:sz w:val="20"/>
          <w:szCs w:val="20"/>
          <w:color w:val="auto"/>
        </w:rPr>
      </w:pPr>
    </w:p>
    <w:p>
      <w:pPr>
        <w:spacing w:after="0" w:line="241"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ARTICLE II.</w:t>
      </w:r>
    </w:p>
    <w:p>
      <w:pPr>
        <w:spacing w:after="0" w:line="23"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THE SECURITIES</w:t>
      </w:r>
    </w:p>
    <w:p>
      <w:pPr>
        <w:spacing w:after="0" w:line="211" w:lineRule="exact"/>
        <w:rPr>
          <w:sz w:val="20"/>
          <w:szCs w:val="20"/>
          <w:color w:val="auto"/>
        </w:rPr>
      </w:pPr>
    </w:p>
    <w:p>
      <w:pPr>
        <w:ind w:left="440"/>
        <w:spacing w:after="0"/>
        <w:rPr>
          <w:sz w:val="20"/>
          <w:szCs w:val="20"/>
          <w:color w:val="auto"/>
        </w:rPr>
      </w:pPr>
      <w:r>
        <w:rPr>
          <w:rFonts w:ascii="Arial" w:cs="Arial" w:eastAsia="Arial" w:hAnsi="Arial"/>
          <w:sz w:val="18"/>
          <w:szCs w:val="18"/>
          <w:color w:val="auto"/>
        </w:rPr>
        <w:t xml:space="preserve">Section 2.1. </w:t>
      </w:r>
      <w:r>
        <w:rPr>
          <w:rFonts w:ascii="Arial" w:cs="Arial" w:eastAsia="Arial" w:hAnsi="Arial"/>
          <w:sz w:val="18"/>
          <w:szCs w:val="18"/>
          <w:u w:val="single" w:color="auto"/>
          <w:color w:val="auto"/>
        </w:rPr>
        <w:t>Issuable in Series</w:t>
      </w:r>
      <w:r>
        <w:rPr>
          <w:rFonts w:ascii="Arial" w:cs="Arial" w:eastAsia="Arial" w:hAnsi="Arial"/>
          <w:sz w:val="18"/>
          <w:szCs w:val="18"/>
          <w:color w:val="auto"/>
        </w:rPr>
        <w:t>.</w:t>
      </w:r>
    </w:p>
    <w:p>
      <w:pPr>
        <w:spacing w:after="0" w:line="225" w:lineRule="exact"/>
        <w:rPr>
          <w:sz w:val="20"/>
          <w:szCs w:val="20"/>
          <w:color w:val="auto"/>
        </w:rPr>
      </w:pPr>
    </w:p>
    <w:p>
      <w:pPr>
        <w:ind w:firstLine="440"/>
        <w:spacing w:after="0" w:line="291" w:lineRule="auto"/>
        <w:rPr>
          <w:sz w:val="20"/>
          <w:szCs w:val="20"/>
          <w:color w:val="auto"/>
        </w:rPr>
      </w:pPr>
      <w:r>
        <w:rPr>
          <w:rFonts w:ascii="Arial" w:cs="Arial" w:eastAsia="Arial" w:hAnsi="Arial"/>
          <w:sz w:val="16"/>
          <w:szCs w:val="16"/>
          <w:color w:val="auto"/>
        </w:rPr>
        <w:t>The aggregate principal amount of Securities that may be authenticated and delivered under this Indenture is unlimited. The Securities may be issued in one or more Series. All Securities of a Series shall be identical except as may be set forth or determined in the manner provided in a Board Resolution, a supplemental indenture or an Officer’s Certificate detailing the adoption of the terms thereof pursuant to authority granted under a Board Resolution. In the case of Securities of a Series to be issued from time to time, the Board Resolution, Officer’s Certificate or supplemental indenture detailing the adoption of the terms thereof pursuant to authority granted under a Board Resolution may provide for the method by which specified terms (such as interest rate, maturity date, record date or date from which interest shall accrue) are to be determined. Securities may differ between Series in respect of any matters, provided that all Series of Securities shall be equally and ratably entitled to the benefits of the Indenture.</w:t>
      </w:r>
    </w:p>
    <w:p>
      <w:pPr>
        <w:spacing w:after="0" w:line="166" w:lineRule="exact"/>
        <w:rPr>
          <w:sz w:val="20"/>
          <w:szCs w:val="20"/>
          <w:color w:val="auto"/>
        </w:rPr>
      </w:pPr>
    </w:p>
    <w:p>
      <w:pPr>
        <w:ind w:left="440"/>
        <w:spacing w:after="0"/>
        <w:rPr>
          <w:sz w:val="20"/>
          <w:szCs w:val="20"/>
          <w:color w:val="auto"/>
        </w:rPr>
      </w:pPr>
      <w:r>
        <w:rPr>
          <w:rFonts w:ascii="Arial" w:cs="Arial" w:eastAsia="Arial" w:hAnsi="Arial"/>
          <w:sz w:val="18"/>
          <w:szCs w:val="18"/>
          <w:color w:val="auto"/>
        </w:rPr>
        <w:t xml:space="preserve">Section 2.2. </w:t>
      </w:r>
      <w:r>
        <w:rPr>
          <w:rFonts w:ascii="Arial" w:cs="Arial" w:eastAsia="Arial" w:hAnsi="Arial"/>
          <w:sz w:val="18"/>
          <w:szCs w:val="18"/>
          <w:u w:val="single" w:color="auto"/>
          <w:color w:val="auto"/>
        </w:rPr>
        <w:t>Establishment of Terms of Series of Securities</w:t>
      </w:r>
      <w:r>
        <w:rPr>
          <w:rFonts w:ascii="Arial" w:cs="Arial" w:eastAsia="Arial" w:hAnsi="Arial"/>
          <w:sz w:val="18"/>
          <w:szCs w:val="18"/>
          <w:color w:val="auto"/>
        </w:rPr>
        <w:t>.</w:t>
      </w:r>
    </w:p>
    <w:p>
      <w:pPr>
        <w:spacing w:after="0" w:line="225" w:lineRule="exact"/>
        <w:rPr>
          <w:sz w:val="20"/>
          <w:szCs w:val="20"/>
          <w:color w:val="auto"/>
        </w:rPr>
      </w:pPr>
    </w:p>
    <w:p>
      <w:pPr>
        <w:ind w:firstLine="440"/>
        <w:spacing w:after="0" w:line="311" w:lineRule="auto"/>
        <w:rPr>
          <w:sz w:val="20"/>
          <w:szCs w:val="20"/>
          <w:color w:val="auto"/>
        </w:rPr>
      </w:pPr>
      <w:r>
        <w:rPr>
          <w:rFonts w:ascii="Arial" w:cs="Arial" w:eastAsia="Arial" w:hAnsi="Arial"/>
          <w:sz w:val="16"/>
          <w:szCs w:val="16"/>
          <w:color w:val="auto"/>
        </w:rPr>
        <w:t>At or prior to the issuance of any Securities within a Series, the following shall be established (as to the Series generally, in the case of Subsection 2.2.1 and either as to such Securities within the Series or as to the Series generally in the case of Subsections 2.2.2 through 2.2.23) by or pursuant to a Board Resolution, and set forth or determined in the manner provided in a Board Resolution, supplemental indenture hereto or Officer’s Certificate:</w:t>
      </w:r>
    </w:p>
    <w:p>
      <w:pPr>
        <w:spacing w:after="0" w:line="149" w:lineRule="exact"/>
        <w:rPr>
          <w:sz w:val="20"/>
          <w:szCs w:val="20"/>
          <w:color w:val="auto"/>
        </w:rPr>
      </w:pPr>
    </w:p>
    <w:p>
      <w:pPr>
        <w:ind w:right="680" w:firstLine="991"/>
        <w:spacing w:after="0" w:line="277" w:lineRule="auto"/>
        <w:rPr>
          <w:sz w:val="20"/>
          <w:szCs w:val="20"/>
          <w:color w:val="auto"/>
        </w:rPr>
      </w:pPr>
      <w:r>
        <w:rPr>
          <w:rFonts w:ascii="Arial" w:cs="Arial" w:eastAsia="Arial" w:hAnsi="Arial"/>
          <w:sz w:val="18"/>
          <w:szCs w:val="18"/>
          <w:color w:val="auto"/>
        </w:rPr>
        <w:t>2.2.1. the title (which shall distinguish the Securities of that particular Series from the Securities of any other Series) and ranking (including the terms of any subordination provisions) of the Series;</w:t>
      </w:r>
    </w:p>
    <w:p>
      <w:pPr>
        <w:spacing w:after="0" w:line="103"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5</w:t>
      </w:r>
    </w:p>
    <w:p>
      <w:pPr>
        <w:sectPr>
          <w:pgSz w:w="11900" w:h="16838" w:orient="portrait"/>
          <w:cols w:equalWidth="0" w:num="1">
            <w:col w:w="10940"/>
          </w:cols>
          <w:pgMar w:left="440" w:top="274" w:right="519" w:bottom="1440" w:gutter="0" w:footer="0" w:header="0"/>
        </w:sectPr>
      </w:pPr>
    </w:p>
    <w:bookmarkStart w:id="123" w:name="page124"/>
    <w:bookmarkEnd w:id="123"/>
    <w:p>
      <w:pPr>
        <w:ind w:left="980"/>
        <w:spacing w:after="0"/>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168" name="Picture 1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8"/>
                    <pic:cNvPicPr>
                      <a:picLocks noChangeAspect="1" noChangeArrowheads="1"/>
                    </pic:cNvPicPr>
                  </pic:nvPicPr>
                  <pic:blipFill>
                    <a:blip r:embed="rId190">
                      <a:extLst>
                        <a:ext uri="{28A0092B-C50C-407E-A947-70E740481C1C}"/>
                      </a:extLst>
                    </a:blip>
                    <a:srcRect/>
                    <a:stretch>
                      <a:fillRect/>
                    </a:stretch>
                  </pic:blipFill>
                  <pic:spPr bwMode="auto">
                    <a:xfrm>
                      <a:off x="0" y="0"/>
                      <a:ext cx="7149465" cy="25400"/>
                    </a:xfrm>
                    <a:prstGeom prst="rect">
                      <a:avLst/>
                    </a:prstGeom>
                    <a:noFill/>
                  </pic:spPr>
                </pic:pic>
              </a:graphicData>
            </a:graphic>
          </wp:anchor>
        </w:drawing>
        <w:t>2.2.2. the price or prices (expressed as a percentage of the principal amount thereof) at which the Securities of the Series will be issued;</w:t>
      </w:r>
    </w:p>
    <w:p>
      <w:pPr>
        <w:spacing w:after="0" w:line="248" w:lineRule="exact"/>
        <w:rPr>
          <w:sz w:val="20"/>
          <w:szCs w:val="20"/>
          <w:color w:val="auto"/>
        </w:rPr>
      </w:pPr>
    </w:p>
    <w:p>
      <w:pPr>
        <w:ind w:right="240" w:firstLine="991"/>
        <w:spacing w:after="0" w:line="263" w:lineRule="auto"/>
        <w:rPr>
          <w:sz w:val="20"/>
          <w:szCs w:val="20"/>
          <w:color w:val="auto"/>
        </w:rPr>
      </w:pPr>
      <w:r>
        <w:rPr>
          <w:rFonts w:ascii="Arial" w:cs="Arial" w:eastAsia="Arial" w:hAnsi="Arial"/>
          <w:sz w:val="18"/>
          <w:szCs w:val="18"/>
          <w:color w:val="auto"/>
        </w:rPr>
        <w:t>2.2.3. any limit upon the aggregate principal amount of the Securities of the Series which may be authenticated and delivered under this Indenture (except for Securities authenticated and delivered upon registration of transfer of, or in exchange for, or in lieu of, other Securities of the Series pursuant to Section 2.7, 2.8, 2.11, 3.6 or 9.6);</w:t>
      </w:r>
    </w:p>
    <w:p>
      <w:pPr>
        <w:spacing w:after="0" w:line="184" w:lineRule="exact"/>
        <w:rPr>
          <w:sz w:val="20"/>
          <w:szCs w:val="20"/>
          <w:color w:val="auto"/>
        </w:rPr>
      </w:pPr>
    </w:p>
    <w:p>
      <w:pPr>
        <w:ind w:left="980"/>
        <w:spacing w:after="0"/>
        <w:rPr>
          <w:sz w:val="20"/>
          <w:szCs w:val="20"/>
          <w:color w:val="auto"/>
        </w:rPr>
      </w:pPr>
      <w:r>
        <w:rPr>
          <w:rFonts w:ascii="Arial" w:cs="Arial" w:eastAsia="Arial" w:hAnsi="Arial"/>
          <w:sz w:val="18"/>
          <w:szCs w:val="18"/>
          <w:color w:val="auto"/>
        </w:rPr>
        <w:t>2.2.4. the date or dates on which the principal of the Securities of the Series is payable;</w:t>
      </w:r>
    </w:p>
    <w:p>
      <w:pPr>
        <w:spacing w:after="0" w:line="225" w:lineRule="exact"/>
        <w:rPr>
          <w:sz w:val="20"/>
          <w:szCs w:val="20"/>
          <w:color w:val="auto"/>
        </w:rPr>
      </w:pPr>
    </w:p>
    <w:p>
      <w:pPr>
        <w:ind w:firstLine="991"/>
        <w:spacing w:after="0" w:line="259" w:lineRule="auto"/>
        <w:rPr>
          <w:sz w:val="20"/>
          <w:szCs w:val="20"/>
          <w:color w:val="auto"/>
        </w:rPr>
      </w:pPr>
      <w:r>
        <w:rPr>
          <w:rFonts w:ascii="Arial" w:cs="Arial" w:eastAsia="Arial" w:hAnsi="Arial"/>
          <w:sz w:val="18"/>
          <w:szCs w:val="18"/>
          <w:color w:val="auto"/>
        </w:rPr>
        <w:t>2.2.5. the rate or rates (which may be fixed or variable) per annum or, if applicable, the method used to determine such rate or rates (including, but not limited to, any commodity, commodity index, stock exchange index or financial index) at which the Securities of the Series shall bear interest, if any, the date or dates from which such interest, if any, shall accrue, the date or dates on which such interest, if any, shall commence and be payable and any regular record date for the interest payable on any interest payment date;</w:t>
      </w:r>
    </w:p>
    <w:p>
      <w:pPr>
        <w:spacing w:after="0" w:line="187" w:lineRule="exact"/>
        <w:rPr>
          <w:sz w:val="20"/>
          <w:szCs w:val="20"/>
          <w:color w:val="auto"/>
        </w:rPr>
      </w:pPr>
    </w:p>
    <w:p>
      <w:pPr>
        <w:ind w:right="40" w:firstLine="991"/>
        <w:spacing w:after="0" w:line="311" w:lineRule="auto"/>
        <w:rPr>
          <w:sz w:val="20"/>
          <w:szCs w:val="20"/>
          <w:color w:val="auto"/>
        </w:rPr>
      </w:pPr>
      <w:r>
        <w:rPr>
          <w:rFonts w:ascii="Arial" w:cs="Arial" w:eastAsia="Arial" w:hAnsi="Arial"/>
          <w:sz w:val="16"/>
          <w:szCs w:val="16"/>
          <w:color w:val="auto"/>
        </w:rPr>
        <w:t>2.2.6. the place or places where the principal of and interest, if any, on the Securities of the Series shall be payable, where the Securities of such Series may be surrendered for registration of transfer or exchange and where notices and demands to or upon the Company in respect of the Securities of such Series and this Indenture may be delivered, and the method of such payment, if by wire transfer, mail or other means;</w:t>
      </w:r>
    </w:p>
    <w:p>
      <w:pPr>
        <w:spacing w:after="0" w:line="149" w:lineRule="exact"/>
        <w:rPr>
          <w:sz w:val="20"/>
          <w:szCs w:val="20"/>
          <w:color w:val="auto"/>
        </w:rPr>
      </w:pPr>
    </w:p>
    <w:p>
      <w:pPr>
        <w:ind w:right="20" w:firstLine="991"/>
        <w:spacing w:after="0" w:line="277" w:lineRule="auto"/>
        <w:rPr>
          <w:sz w:val="20"/>
          <w:szCs w:val="20"/>
          <w:color w:val="auto"/>
        </w:rPr>
      </w:pPr>
      <w:r>
        <w:rPr>
          <w:rFonts w:ascii="Arial" w:cs="Arial" w:eastAsia="Arial" w:hAnsi="Arial"/>
          <w:sz w:val="18"/>
          <w:szCs w:val="18"/>
          <w:color w:val="auto"/>
        </w:rPr>
        <w:t>2.2.7. if applicable, the period or periods within which, the price or prices at which and the terms and conditions upon which the Securities of the Series may be redeemed, in whole or in part, at the option of the Company;</w:t>
      </w:r>
    </w:p>
    <w:p>
      <w:pPr>
        <w:spacing w:after="0" w:line="170" w:lineRule="exact"/>
        <w:rPr>
          <w:sz w:val="20"/>
          <w:szCs w:val="20"/>
          <w:color w:val="auto"/>
        </w:rPr>
      </w:pPr>
    </w:p>
    <w:p>
      <w:pPr>
        <w:ind w:right="160" w:firstLine="991"/>
        <w:spacing w:after="0" w:line="286" w:lineRule="auto"/>
        <w:rPr>
          <w:sz w:val="20"/>
          <w:szCs w:val="20"/>
          <w:color w:val="auto"/>
        </w:rPr>
      </w:pPr>
      <w:r>
        <w:rPr>
          <w:rFonts w:ascii="Arial" w:cs="Arial" w:eastAsia="Arial" w:hAnsi="Arial"/>
          <w:sz w:val="17"/>
          <w:szCs w:val="17"/>
          <w:color w:val="auto"/>
        </w:rPr>
        <w:t>2.2.8. the obligation, if any, of the Company to redeem or purchase the Securities of the Series pursuant to any sinking fund or analogous provisions or at the option of a Holder thereof and the period or periods within which, the price or prices at which and the terms and conditions upon which Securities of the Series shall be redeemed or purchased, in whole or in part, pursuant to such obligation;</w:t>
      </w:r>
    </w:p>
    <w:p>
      <w:pPr>
        <w:spacing w:after="0" w:line="165" w:lineRule="exact"/>
        <w:rPr>
          <w:sz w:val="20"/>
          <w:szCs w:val="20"/>
          <w:color w:val="auto"/>
        </w:rPr>
      </w:pPr>
    </w:p>
    <w:p>
      <w:pPr>
        <w:ind w:right="280" w:firstLine="991"/>
        <w:spacing w:after="0" w:line="277" w:lineRule="auto"/>
        <w:rPr>
          <w:sz w:val="20"/>
          <w:szCs w:val="20"/>
          <w:color w:val="auto"/>
        </w:rPr>
      </w:pPr>
      <w:r>
        <w:rPr>
          <w:rFonts w:ascii="Arial" w:cs="Arial" w:eastAsia="Arial" w:hAnsi="Arial"/>
          <w:sz w:val="18"/>
          <w:szCs w:val="18"/>
          <w:color w:val="auto"/>
        </w:rPr>
        <w:t>2.2.9. the dates, if any, on which and the price or prices at which the Securities of the Series will be repurchased by the Company at the option of the Holders thereof and other detailed terms and provisions of such repurchase obligations;</w:t>
      </w:r>
    </w:p>
    <w:p>
      <w:pPr>
        <w:spacing w:after="0" w:line="170" w:lineRule="exact"/>
        <w:rPr>
          <w:sz w:val="20"/>
          <w:szCs w:val="20"/>
          <w:color w:val="auto"/>
        </w:rPr>
      </w:pPr>
    </w:p>
    <w:p>
      <w:pPr>
        <w:ind w:right="300" w:firstLine="991"/>
        <w:spacing w:after="0" w:line="277" w:lineRule="auto"/>
        <w:rPr>
          <w:sz w:val="20"/>
          <w:szCs w:val="20"/>
          <w:color w:val="auto"/>
        </w:rPr>
      </w:pPr>
      <w:r>
        <w:rPr>
          <w:rFonts w:ascii="Arial" w:cs="Arial" w:eastAsia="Arial" w:hAnsi="Arial"/>
          <w:sz w:val="18"/>
          <w:szCs w:val="18"/>
          <w:color w:val="auto"/>
        </w:rPr>
        <w:t>2.2.10. if other than denominations of $1,000 and any integral multiple thereof, the denominations in which the Securities of the Series shall be issuable;</w:t>
      </w:r>
    </w:p>
    <w:p>
      <w:pPr>
        <w:spacing w:after="0" w:line="170" w:lineRule="exact"/>
        <w:rPr>
          <w:sz w:val="20"/>
          <w:szCs w:val="20"/>
          <w:color w:val="auto"/>
        </w:rPr>
      </w:pPr>
    </w:p>
    <w:p>
      <w:pPr>
        <w:ind w:left="980"/>
        <w:spacing w:after="0"/>
        <w:rPr>
          <w:sz w:val="20"/>
          <w:szCs w:val="20"/>
          <w:color w:val="auto"/>
        </w:rPr>
      </w:pPr>
      <w:r>
        <w:rPr>
          <w:rFonts w:ascii="Arial" w:cs="Arial" w:eastAsia="Arial" w:hAnsi="Arial"/>
          <w:sz w:val="18"/>
          <w:szCs w:val="18"/>
          <w:color w:val="auto"/>
        </w:rPr>
        <w:t>2.2.11. the forms of the Securities of the Series and whether the Securities will be issuable as Global Securities;</w:t>
      </w:r>
    </w:p>
    <w:p>
      <w:pPr>
        <w:spacing w:after="0" w:line="225" w:lineRule="exact"/>
        <w:rPr>
          <w:sz w:val="20"/>
          <w:szCs w:val="20"/>
          <w:color w:val="auto"/>
        </w:rPr>
      </w:pPr>
    </w:p>
    <w:p>
      <w:pPr>
        <w:jc w:val="both"/>
        <w:ind w:right="220" w:firstLine="991"/>
        <w:spacing w:after="0" w:line="277" w:lineRule="auto"/>
        <w:rPr>
          <w:sz w:val="20"/>
          <w:szCs w:val="20"/>
          <w:color w:val="auto"/>
        </w:rPr>
      </w:pPr>
      <w:r>
        <w:rPr>
          <w:rFonts w:ascii="Arial" w:cs="Arial" w:eastAsia="Arial" w:hAnsi="Arial"/>
          <w:sz w:val="18"/>
          <w:szCs w:val="18"/>
          <w:color w:val="auto"/>
        </w:rPr>
        <w:t>2.2.12. if other than the principal amount thereof, the portion of the principal amount of the Securities of the Series that shall be payable upon declaration of acceleration of the maturity thereof pursuant to Section 6.2;</w:t>
      </w:r>
    </w:p>
    <w:p>
      <w:pPr>
        <w:spacing w:after="0" w:line="170" w:lineRule="exact"/>
        <w:rPr>
          <w:sz w:val="20"/>
          <w:szCs w:val="20"/>
          <w:color w:val="auto"/>
        </w:rPr>
      </w:pPr>
    </w:p>
    <w:p>
      <w:pPr>
        <w:ind w:right="160" w:firstLine="991"/>
        <w:spacing w:after="0" w:line="308" w:lineRule="auto"/>
        <w:rPr>
          <w:sz w:val="20"/>
          <w:szCs w:val="20"/>
          <w:color w:val="auto"/>
        </w:rPr>
      </w:pPr>
      <w:r>
        <w:rPr>
          <w:rFonts w:ascii="Arial" w:cs="Arial" w:eastAsia="Arial" w:hAnsi="Arial"/>
          <w:sz w:val="17"/>
          <w:szCs w:val="17"/>
          <w:color w:val="auto"/>
        </w:rPr>
        <w:t>2.2.13. the currency of denomination of the Securities of the Series, which may be Dollars or any Foreign Currency, and if such currency of denomination is a composite currency, the agency or organization, if any, responsible for overseeing such composite currency;</w:t>
      </w:r>
    </w:p>
    <w:p>
      <w:pPr>
        <w:spacing w:after="0" w:line="146" w:lineRule="exact"/>
        <w:rPr>
          <w:sz w:val="20"/>
          <w:szCs w:val="20"/>
          <w:color w:val="auto"/>
        </w:rPr>
      </w:pPr>
    </w:p>
    <w:p>
      <w:pPr>
        <w:ind w:right="580" w:firstLine="991"/>
        <w:spacing w:after="0" w:line="277" w:lineRule="auto"/>
        <w:rPr>
          <w:sz w:val="20"/>
          <w:szCs w:val="20"/>
          <w:color w:val="auto"/>
        </w:rPr>
      </w:pPr>
      <w:r>
        <w:rPr>
          <w:rFonts w:ascii="Arial" w:cs="Arial" w:eastAsia="Arial" w:hAnsi="Arial"/>
          <w:sz w:val="18"/>
          <w:szCs w:val="18"/>
          <w:color w:val="auto"/>
        </w:rPr>
        <w:t>2.2.14. the designation of the currency, currencies or currency units in which payment of the principal of and interest, if any, on the Securities of the Series will be made;</w:t>
      </w:r>
    </w:p>
    <w:p>
      <w:pPr>
        <w:spacing w:after="0" w:line="170" w:lineRule="exact"/>
        <w:rPr>
          <w:sz w:val="20"/>
          <w:szCs w:val="20"/>
          <w:color w:val="auto"/>
        </w:rPr>
      </w:pPr>
    </w:p>
    <w:p>
      <w:pPr>
        <w:jc w:val="both"/>
        <w:ind w:right="200" w:firstLine="991"/>
        <w:spacing w:after="0" w:line="263" w:lineRule="auto"/>
        <w:rPr>
          <w:sz w:val="20"/>
          <w:szCs w:val="20"/>
          <w:color w:val="auto"/>
        </w:rPr>
      </w:pPr>
      <w:r>
        <w:rPr>
          <w:rFonts w:ascii="Arial" w:cs="Arial" w:eastAsia="Arial" w:hAnsi="Arial"/>
          <w:sz w:val="18"/>
          <w:szCs w:val="18"/>
          <w:color w:val="auto"/>
        </w:rPr>
        <w:t>2.2.15. if payments of principal of or interest, if any, on the Securities of the Series are to be made in one or more currencies or currency units other than that or those in which such Securities are denominated, the manner in which the exchange rate with respect to such payments will be determined;</w:t>
      </w:r>
    </w:p>
    <w:p>
      <w:pPr>
        <w:spacing w:after="0" w:line="11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w:t>
      </w:r>
    </w:p>
    <w:p>
      <w:pPr>
        <w:sectPr>
          <w:pgSz w:w="11900" w:h="16838" w:orient="portrait"/>
          <w:cols w:equalWidth="0" w:num="1">
            <w:col w:w="11000"/>
          </w:cols>
          <w:pgMar w:left="440" w:top="274" w:right="459" w:bottom="1440" w:gutter="0" w:footer="0" w:header="0"/>
        </w:sectPr>
      </w:pPr>
    </w:p>
    <w:bookmarkStart w:id="124" w:name="page125"/>
    <w:bookmarkEnd w:id="124"/>
    <w:p>
      <w:pPr>
        <w:ind w:left="4" w:right="40" w:firstLine="991"/>
        <w:spacing w:after="0" w:line="263"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169" name="Picture 1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9"/>
                    <pic:cNvPicPr>
                      <a:picLocks noChangeAspect="1" noChangeArrowheads="1"/>
                    </pic:cNvPicPr>
                  </pic:nvPicPr>
                  <pic:blipFill>
                    <a:blip r:embed="rId191">
                      <a:extLst>
                        <a:ext uri="{28A0092B-C50C-407E-A947-70E740481C1C}"/>
                      </a:extLst>
                    </a:blip>
                    <a:srcRect/>
                    <a:stretch>
                      <a:fillRect/>
                    </a:stretch>
                  </pic:blipFill>
                  <pic:spPr bwMode="auto">
                    <a:xfrm>
                      <a:off x="0" y="0"/>
                      <a:ext cx="7149465" cy="25400"/>
                    </a:xfrm>
                    <a:prstGeom prst="rect">
                      <a:avLst/>
                    </a:prstGeom>
                    <a:noFill/>
                  </pic:spPr>
                </pic:pic>
              </a:graphicData>
            </a:graphic>
          </wp:anchor>
        </w:drawing>
        <w:t>2.2.16. the manner in which the amounts of payment of principal of or interest, if any, on the Securities of the Series will be determined, if such amounts may be determined by reference to an index based on a currency or currencies or by reference to a commodity, commodity index, stock exchange index or financial index;</w:t>
      </w:r>
    </w:p>
    <w:p>
      <w:pPr>
        <w:spacing w:after="0" w:line="184" w:lineRule="exact"/>
        <w:rPr>
          <w:sz w:val="20"/>
          <w:szCs w:val="20"/>
          <w:color w:val="auto"/>
        </w:rPr>
      </w:pPr>
    </w:p>
    <w:p>
      <w:pPr>
        <w:ind w:left="984"/>
        <w:spacing w:after="0"/>
        <w:rPr>
          <w:sz w:val="20"/>
          <w:szCs w:val="20"/>
          <w:color w:val="auto"/>
        </w:rPr>
      </w:pPr>
      <w:r>
        <w:rPr>
          <w:rFonts w:ascii="Arial" w:cs="Arial" w:eastAsia="Arial" w:hAnsi="Arial"/>
          <w:sz w:val="18"/>
          <w:szCs w:val="18"/>
          <w:color w:val="auto"/>
        </w:rPr>
        <w:t>2.2.17. the provisions, if any, relating to any security provided for the Securities of the Series;</w:t>
      </w:r>
    </w:p>
    <w:p>
      <w:pPr>
        <w:spacing w:after="0" w:line="225" w:lineRule="exact"/>
        <w:rPr>
          <w:sz w:val="20"/>
          <w:szCs w:val="20"/>
          <w:color w:val="auto"/>
        </w:rPr>
      </w:pPr>
    </w:p>
    <w:p>
      <w:pPr>
        <w:ind w:left="4" w:right="160" w:firstLine="991"/>
        <w:spacing w:after="0" w:line="342" w:lineRule="auto"/>
        <w:rPr>
          <w:sz w:val="20"/>
          <w:szCs w:val="20"/>
          <w:color w:val="auto"/>
        </w:rPr>
      </w:pPr>
      <w:r>
        <w:rPr>
          <w:rFonts w:ascii="Arial" w:cs="Arial" w:eastAsia="Arial" w:hAnsi="Arial"/>
          <w:sz w:val="16"/>
          <w:szCs w:val="16"/>
          <w:color w:val="auto"/>
        </w:rPr>
        <w:t>2.2.18. any addition to, deletion of or change in the Events of Default which applies to any Securities of the Series and any change in the right of the Trustee or the requisite Holders of such Securities to declare the principal amount thereof due and payable pursuant to Section 6.2;</w:t>
      </w:r>
    </w:p>
    <w:p>
      <w:pPr>
        <w:spacing w:after="0" w:line="124" w:lineRule="exact"/>
        <w:rPr>
          <w:sz w:val="20"/>
          <w:szCs w:val="20"/>
          <w:color w:val="auto"/>
        </w:rPr>
      </w:pPr>
    </w:p>
    <w:p>
      <w:pPr>
        <w:ind w:left="984"/>
        <w:spacing w:after="0"/>
        <w:rPr>
          <w:sz w:val="20"/>
          <w:szCs w:val="20"/>
          <w:color w:val="auto"/>
        </w:rPr>
      </w:pPr>
      <w:r>
        <w:rPr>
          <w:rFonts w:ascii="Arial" w:cs="Arial" w:eastAsia="Arial" w:hAnsi="Arial"/>
          <w:sz w:val="17"/>
          <w:szCs w:val="17"/>
          <w:color w:val="auto"/>
        </w:rPr>
        <w:t>2.2.19. any addition to, deletion of or change in the covenants set forth in Articles IV or V which applies to Securities of the Series;</w:t>
      </w:r>
    </w:p>
    <w:p>
      <w:pPr>
        <w:spacing w:after="0" w:line="237" w:lineRule="exact"/>
        <w:rPr>
          <w:sz w:val="20"/>
          <w:szCs w:val="20"/>
          <w:color w:val="auto"/>
        </w:rPr>
      </w:pPr>
    </w:p>
    <w:p>
      <w:pPr>
        <w:ind w:left="4" w:firstLine="991"/>
        <w:spacing w:after="0" w:line="277" w:lineRule="auto"/>
        <w:rPr>
          <w:sz w:val="20"/>
          <w:szCs w:val="20"/>
          <w:color w:val="auto"/>
        </w:rPr>
      </w:pPr>
      <w:r>
        <w:rPr>
          <w:rFonts w:ascii="Arial" w:cs="Arial" w:eastAsia="Arial" w:hAnsi="Arial"/>
          <w:sz w:val="18"/>
          <w:szCs w:val="18"/>
          <w:color w:val="auto"/>
        </w:rPr>
        <w:t>2.2.20. any Depositaries, interest rate calculation agents, exchange rate calculation agents or other agents with respect to Securities of such Series if other than those appointed herein;</w:t>
      </w:r>
    </w:p>
    <w:p>
      <w:pPr>
        <w:spacing w:after="0" w:line="170" w:lineRule="exact"/>
        <w:rPr>
          <w:sz w:val="20"/>
          <w:szCs w:val="20"/>
          <w:color w:val="auto"/>
        </w:rPr>
      </w:pPr>
    </w:p>
    <w:p>
      <w:pPr>
        <w:ind w:left="4" w:right="20" w:firstLine="991"/>
        <w:spacing w:after="0" w:line="259" w:lineRule="auto"/>
        <w:rPr>
          <w:sz w:val="20"/>
          <w:szCs w:val="20"/>
          <w:color w:val="auto"/>
        </w:rPr>
      </w:pPr>
      <w:r>
        <w:rPr>
          <w:rFonts w:ascii="Arial" w:cs="Arial" w:eastAsia="Arial" w:hAnsi="Arial"/>
          <w:sz w:val="18"/>
          <w:szCs w:val="18"/>
          <w:color w:val="auto"/>
        </w:rPr>
        <w:t>2.2.21. the provisions, if any, relating to conversion or exchange of any Securities of such Series, including if applicable, the conversion or exchange price, the conversion or exchange period, provisions as to whether conversion or exchange will be mandatory, at the option of the Holders thereof or at the option of the Company, the events requiring an adjustment of the conversion price or exchange price and provisions affecting conversion or exchange if such Series of Securities are redeemed;</w:t>
      </w:r>
    </w:p>
    <w:p>
      <w:pPr>
        <w:spacing w:after="0" w:line="187" w:lineRule="exact"/>
        <w:rPr>
          <w:sz w:val="20"/>
          <w:szCs w:val="20"/>
          <w:color w:val="auto"/>
        </w:rPr>
      </w:pPr>
    </w:p>
    <w:p>
      <w:pPr>
        <w:jc w:val="both"/>
        <w:ind w:left="4" w:right="60" w:firstLine="991"/>
        <w:spacing w:after="0" w:line="263" w:lineRule="auto"/>
        <w:rPr>
          <w:sz w:val="20"/>
          <w:szCs w:val="20"/>
          <w:color w:val="auto"/>
        </w:rPr>
      </w:pPr>
      <w:r>
        <w:rPr>
          <w:rFonts w:ascii="Arial" w:cs="Arial" w:eastAsia="Arial" w:hAnsi="Arial"/>
          <w:sz w:val="18"/>
          <w:szCs w:val="18"/>
          <w:color w:val="auto"/>
        </w:rPr>
        <w:t>2.2.22. any other terms of the Series (which may supplement, modify or delete any provision of this Indenture insofar as it applies to such Series), including any terms that may be required under applicable law or regulations or advisable in connection with the marketing of Securities of that Series; and</w:t>
      </w:r>
    </w:p>
    <w:p>
      <w:pPr>
        <w:spacing w:after="0" w:line="184" w:lineRule="exact"/>
        <w:rPr>
          <w:sz w:val="20"/>
          <w:szCs w:val="20"/>
          <w:color w:val="auto"/>
        </w:rPr>
      </w:pPr>
    </w:p>
    <w:p>
      <w:pPr>
        <w:ind w:left="4" w:right="320" w:firstLine="991"/>
        <w:spacing w:after="0" w:line="277" w:lineRule="auto"/>
        <w:rPr>
          <w:sz w:val="20"/>
          <w:szCs w:val="20"/>
          <w:color w:val="auto"/>
        </w:rPr>
      </w:pPr>
      <w:r>
        <w:rPr>
          <w:rFonts w:ascii="Arial" w:cs="Arial" w:eastAsia="Arial" w:hAnsi="Arial"/>
          <w:sz w:val="18"/>
          <w:szCs w:val="18"/>
          <w:color w:val="auto"/>
        </w:rPr>
        <w:t>2.2.23. whether any of the Company’s direct or indirect Subsidiaries will guarantee the Securities of that Series, including the terms of subordination, if any, of such guarantees.</w:t>
      </w:r>
    </w:p>
    <w:p>
      <w:pPr>
        <w:spacing w:after="0" w:line="170" w:lineRule="exact"/>
        <w:rPr>
          <w:sz w:val="20"/>
          <w:szCs w:val="20"/>
          <w:color w:val="auto"/>
        </w:rPr>
      </w:pPr>
    </w:p>
    <w:p>
      <w:pPr>
        <w:ind w:left="4" w:right="620" w:firstLine="440"/>
        <w:spacing w:after="0" w:line="342" w:lineRule="auto"/>
        <w:rPr>
          <w:sz w:val="20"/>
          <w:szCs w:val="20"/>
          <w:color w:val="auto"/>
        </w:rPr>
      </w:pPr>
      <w:r>
        <w:rPr>
          <w:rFonts w:ascii="Arial" w:cs="Arial" w:eastAsia="Arial" w:hAnsi="Arial"/>
          <w:sz w:val="16"/>
          <w:szCs w:val="16"/>
          <w:color w:val="auto"/>
        </w:rPr>
        <w:t>All Securities of any one Series need not be issued at the same time and may be issued from time to time, consistent with the terms of this Indenture, if so provided by or pursuant to the Board Resolution, supplemental indenture hereto or Officer’s Certificate referred to above.</w:t>
      </w:r>
    </w:p>
    <w:p>
      <w:pPr>
        <w:spacing w:after="0" w:line="124" w:lineRule="exact"/>
        <w:rPr>
          <w:sz w:val="20"/>
          <w:szCs w:val="20"/>
          <w:color w:val="auto"/>
        </w:rPr>
      </w:pPr>
    </w:p>
    <w:p>
      <w:pPr>
        <w:ind w:left="444"/>
        <w:spacing w:after="0"/>
        <w:rPr>
          <w:sz w:val="20"/>
          <w:szCs w:val="20"/>
          <w:color w:val="auto"/>
        </w:rPr>
      </w:pPr>
      <w:r>
        <w:rPr>
          <w:rFonts w:ascii="Arial" w:cs="Arial" w:eastAsia="Arial" w:hAnsi="Arial"/>
          <w:sz w:val="18"/>
          <w:szCs w:val="18"/>
          <w:color w:val="auto"/>
        </w:rPr>
        <w:t xml:space="preserve">Section 2.3. </w:t>
      </w:r>
      <w:r>
        <w:rPr>
          <w:rFonts w:ascii="Arial" w:cs="Arial" w:eastAsia="Arial" w:hAnsi="Arial"/>
          <w:sz w:val="18"/>
          <w:szCs w:val="18"/>
          <w:u w:val="single" w:color="auto"/>
          <w:color w:val="auto"/>
        </w:rPr>
        <w:t>Execution and Authentication</w:t>
      </w:r>
      <w:r>
        <w:rPr>
          <w:rFonts w:ascii="Arial" w:cs="Arial" w:eastAsia="Arial" w:hAnsi="Arial"/>
          <w:sz w:val="18"/>
          <w:szCs w:val="18"/>
          <w:color w:val="auto"/>
        </w:rPr>
        <w:t>.</w:t>
      </w:r>
    </w:p>
    <w:p>
      <w:pPr>
        <w:spacing w:after="0" w:line="225" w:lineRule="exact"/>
        <w:rPr>
          <w:sz w:val="20"/>
          <w:szCs w:val="20"/>
          <w:color w:val="auto"/>
        </w:rPr>
      </w:pPr>
    </w:p>
    <w:p>
      <w:pPr>
        <w:ind w:left="444"/>
        <w:spacing w:after="0"/>
        <w:rPr>
          <w:sz w:val="20"/>
          <w:szCs w:val="20"/>
          <w:color w:val="auto"/>
        </w:rPr>
      </w:pPr>
      <w:r>
        <w:rPr>
          <w:rFonts w:ascii="Arial" w:cs="Arial" w:eastAsia="Arial" w:hAnsi="Arial"/>
          <w:sz w:val="18"/>
          <w:szCs w:val="18"/>
          <w:color w:val="auto"/>
        </w:rPr>
        <w:t>An Officer shall sign the Securities for the Company by manual or facsimile signature.</w:t>
      </w:r>
    </w:p>
    <w:p>
      <w:pPr>
        <w:spacing w:after="0" w:line="225" w:lineRule="exact"/>
        <w:rPr>
          <w:sz w:val="20"/>
          <w:szCs w:val="20"/>
          <w:color w:val="auto"/>
        </w:rPr>
      </w:pPr>
    </w:p>
    <w:p>
      <w:pPr>
        <w:ind w:left="4" w:right="180" w:firstLine="440"/>
        <w:spacing w:after="0" w:line="277" w:lineRule="auto"/>
        <w:rPr>
          <w:sz w:val="20"/>
          <w:szCs w:val="20"/>
          <w:color w:val="auto"/>
        </w:rPr>
      </w:pPr>
      <w:r>
        <w:rPr>
          <w:rFonts w:ascii="Arial" w:cs="Arial" w:eastAsia="Arial" w:hAnsi="Arial"/>
          <w:sz w:val="18"/>
          <w:szCs w:val="18"/>
          <w:color w:val="auto"/>
        </w:rPr>
        <w:t>If an Officer whose signature is on a Security no longer holds that office at the time the Security is authenticated, the Security shall nevertheless be valid.</w:t>
      </w:r>
    </w:p>
    <w:p>
      <w:pPr>
        <w:spacing w:after="0" w:line="170" w:lineRule="exact"/>
        <w:rPr>
          <w:sz w:val="20"/>
          <w:szCs w:val="20"/>
          <w:color w:val="auto"/>
        </w:rPr>
      </w:pPr>
    </w:p>
    <w:p>
      <w:pPr>
        <w:ind w:left="4" w:right="720" w:firstLine="440"/>
        <w:spacing w:after="0" w:line="277" w:lineRule="auto"/>
        <w:rPr>
          <w:sz w:val="20"/>
          <w:szCs w:val="20"/>
          <w:color w:val="auto"/>
        </w:rPr>
      </w:pPr>
      <w:r>
        <w:rPr>
          <w:rFonts w:ascii="Arial" w:cs="Arial" w:eastAsia="Arial" w:hAnsi="Arial"/>
          <w:sz w:val="18"/>
          <w:szCs w:val="18"/>
          <w:color w:val="auto"/>
        </w:rPr>
        <w:t>A Security shall not be valid until authenticated by the manual signature of the Trustee or an authenticating agent. The signature shall be conclusive evidence that the Security has been authenticated under this Indenture.</w:t>
      </w:r>
    </w:p>
    <w:p>
      <w:pPr>
        <w:spacing w:after="0" w:line="170" w:lineRule="exact"/>
        <w:rPr>
          <w:sz w:val="20"/>
          <w:szCs w:val="20"/>
          <w:color w:val="auto"/>
        </w:rPr>
      </w:pPr>
    </w:p>
    <w:p>
      <w:pPr>
        <w:ind w:left="4" w:right="280" w:firstLine="440"/>
        <w:spacing w:after="0" w:line="263" w:lineRule="auto"/>
        <w:rPr>
          <w:sz w:val="20"/>
          <w:szCs w:val="20"/>
          <w:color w:val="auto"/>
        </w:rPr>
      </w:pPr>
      <w:r>
        <w:rPr>
          <w:rFonts w:ascii="Arial" w:cs="Arial" w:eastAsia="Arial" w:hAnsi="Arial"/>
          <w:sz w:val="18"/>
          <w:szCs w:val="18"/>
          <w:color w:val="auto"/>
        </w:rPr>
        <w:t>The Trustee shall at any time, and from time to time, authenticate Securities for original issue in the principal amount provided in the Board Resolution, supplemental indenture hereto or Officer’s Certificate, upon receipt by the Trustee of a Company Order. Each Security shall be dated the date of its authentication.</w:t>
      </w:r>
    </w:p>
    <w:p>
      <w:pPr>
        <w:spacing w:after="0" w:line="184" w:lineRule="exact"/>
        <w:rPr>
          <w:sz w:val="20"/>
          <w:szCs w:val="20"/>
          <w:color w:val="auto"/>
        </w:rPr>
      </w:pPr>
    </w:p>
    <w:p>
      <w:pPr>
        <w:ind w:left="4" w:right="20" w:firstLine="440"/>
        <w:spacing w:after="0" w:line="263" w:lineRule="auto"/>
        <w:rPr>
          <w:sz w:val="20"/>
          <w:szCs w:val="20"/>
          <w:color w:val="auto"/>
        </w:rPr>
      </w:pPr>
      <w:r>
        <w:rPr>
          <w:rFonts w:ascii="Arial" w:cs="Arial" w:eastAsia="Arial" w:hAnsi="Arial"/>
          <w:sz w:val="18"/>
          <w:szCs w:val="18"/>
          <w:color w:val="auto"/>
        </w:rPr>
        <w:t>The aggregate principal amount of Securities of any Series outstanding at any time may not exceed any limit upon the maximum principal amount for such Series set forth in the Board Resolution, supplemental indenture hereto or Officer’s Certificate delivered pursuant to Section 2.2, except as provided in Section 2.8.</w:t>
      </w:r>
    </w:p>
    <w:p>
      <w:pPr>
        <w:spacing w:after="0" w:line="184" w:lineRule="exact"/>
        <w:rPr>
          <w:sz w:val="20"/>
          <w:szCs w:val="20"/>
          <w:color w:val="auto"/>
        </w:rPr>
      </w:pPr>
    </w:p>
    <w:p>
      <w:pPr>
        <w:ind w:left="444"/>
        <w:spacing w:after="0"/>
        <w:rPr>
          <w:sz w:val="20"/>
          <w:szCs w:val="20"/>
          <w:color w:val="auto"/>
        </w:rPr>
      </w:pPr>
      <w:r>
        <w:rPr>
          <w:rFonts w:ascii="Arial" w:cs="Arial" w:eastAsia="Arial" w:hAnsi="Arial"/>
          <w:sz w:val="16"/>
          <w:szCs w:val="16"/>
          <w:color w:val="auto"/>
        </w:rPr>
        <w:t>Prior to the issuance of Securities of any Series, the Trustee shall have received and (subject to Section 7.2) shall be fully protected in relying on:</w:t>
      </w:r>
    </w:p>
    <w:p>
      <w:pPr>
        <w:spacing w:after="0" w:line="46" w:lineRule="exact"/>
        <w:rPr>
          <w:sz w:val="20"/>
          <w:szCs w:val="20"/>
          <w:color w:val="auto"/>
        </w:rPr>
      </w:pPr>
    </w:p>
    <w:p>
      <w:pPr>
        <w:ind w:left="4" w:right="340" w:hanging="4"/>
        <w:spacing w:after="0" w:line="255" w:lineRule="auto"/>
        <w:tabs>
          <w:tab w:leader="none" w:pos="249" w:val="left"/>
        </w:tabs>
        <w:numPr>
          <w:ilvl w:val="0"/>
          <w:numId w:val="98"/>
        </w:numPr>
        <w:rPr>
          <w:rFonts w:ascii="Arial" w:cs="Arial" w:eastAsia="Arial" w:hAnsi="Arial"/>
          <w:sz w:val="18"/>
          <w:szCs w:val="18"/>
          <w:color w:val="auto"/>
        </w:rPr>
      </w:pPr>
      <w:r>
        <w:rPr>
          <w:rFonts w:ascii="Arial" w:cs="Arial" w:eastAsia="Arial" w:hAnsi="Arial"/>
          <w:sz w:val="18"/>
          <w:szCs w:val="18"/>
          <w:color w:val="auto"/>
        </w:rPr>
        <w:t>the Board Resolution, supplemental indenture hereto or Officer’s Certificate establishing the form of the Securities of that Series or of Securities within that Series and the terms of the Securities of that Series or of Securities within that Series, (b) an Officer’s Certificate complying with Section 10.4, and (c) an Opinion of Counsel complying with Section 10.4.</w:t>
      </w:r>
    </w:p>
    <w:p>
      <w:pPr>
        <w:spacing w:after="0" w:line="122" w:lineRule="exact"/>
        <w:rPr>
          <w:sz w:val="20"/>
          <w:szCs w:val="20"/>
          <w:color w:val="auto"/>
        </w:rPr>
      </w:pPr>
    </w:p>
    <w:p>
      <w:pPr>
        <w:jc w:val="center"/>
        <w:ind w:right="-43"/>
        <w:spacing w:after="0"/>
        <w:rPr>
          <w:sz w:val="20"/>
          <w:szCs w:val="20"/>
          <w:color w:val="auto"/>
        </w:rPr>
      </w:pPr>
      <w:r>
        <w:rPr>
          <w:rFonts w:ascii="Arial" w:cs="Arial" w:eastAsia="Arial" w:hAnsi="Arial"/>
          <w:sz w:val="18"/>
          <w:szCs w:val="18"/>
          <w:color w:val="auto"/>
        </w:rPr>
        <w:t>7</w:t>
      </w:r>
    </w:p>
    <w:p>
      <w:pPr>
        <w:sectPr>
          <w:pgSz w:w="11900" w:h="16838" w:orient="portrait"/>
          <w:cols w:equalWidth="0" w:num="1">
            <w:col w:w="10984"/>
          </w:cols>
          <w:pgMar w:left="436" w:top="274" w:right="479" w:bottom="1440" w:gutter="0" w:footer="0" w:header="0"/>
        </w:sectPr>
      </w:pPr>
    </w:p>
    <w:bookmarkStart w:id="125" w:name="page126"/>
    <w:bookmarkEnd w:id="125"/>
    <w:p>
      <w:pPr>
        <w:jc w:val="both"/>
        <w:ind w:right="80" w:firstLine="440"/>
        <w:spacing w:after="0" w:line="259"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170" name="Picture 1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0"/>
                    <pic:cNvPicPr>
                      <a:picLocks noChangeAspect="1" noChangeArrowheads="1"/>
                    </pic:cNvPicPr>
                  </pic:nvPicPr>
                  <pic:blipFill>
                    <a:blip r:embed="rId192">
                      <a:extLst>
                        <a:ext uri="{28A0092B-C50C-407E-A947-70E740481C1C}"/>
                      </a:extLst>
                    </a:blip>
                    <a:srcRect/>
                    <a:stretch>
                      <a:fillRect/>
                    </a:stretch>
                  </pic:blipFill>
                  <pic:spPr bwMode="auto">
                    <a:xfrm>
                      <a:off x="0" y="0"/>
                      <a:ext cx="7149465" cy="25400"/>
                    </a:xfrm>
                    <a:prstGeom prst="rect">
                      <a:avLst/>
                    </a:prstGeom>
                    <a:noFill/>
                  </pic:spPr>
                </pic:pic>
              </a:graphicData>
            </a:graphic>
          </wp:anchor>
        </w:drawing>
        <w:t>The Trustee shall have the right to decline to authenticate and deliver any Securities of such Series: (a) if the Trustee, being advised by counsel, determines that such action may not be taken lawfully; or (b) if the Trustee in good faith by its board of directors or trustees, executive committee or a trust committee of directors and/or vice-presidents or a committee of Responsible Officers shall determine that such action would expose the Trustee to personal liability to Holders of any then outstanding Series of Securities.</w:t>
      </w:r>
    </w:p>
    <w:p>
      <w:pPr>
        <w:spacing w:after="0" w:line="187" w:lineRule="exact"/>
        <w:rPr>
          <w:sz w:val="20"/>
          <w:szCs w:val="20"/>
          <w:color w:val="auto"/>
        </w:rPr>
      </w:pPr>
    </w:p>
    <w:p>
      <w:pPr>
        <w:jc w:val="both"/>
        <w:ind w:right="100" w:firstLine="440"/>
        <w:spacing w:after="0" w:line="286" w:lineRule="auto"/>
        <w:rPr>
          <w:sz w:val="20"/>
          <w:szCs w:val="20"/>
          <w:color w:val="auto"/>
        </w:rPr>
      </w:pPr>
      <w:r>
        <w:rPr>
          <w:rFonts w:ascii="Arial" w:cs="Arial" w:eastAsia="Arial" w:hAnsi="Arial"/>
          <w:sz w:val="17"/>
          <w:szCs w:val="17"/>
          <w:color w:val="auto"/>
        </w:rPr>
        <w:t>The Trustee may appoint an authenticating agent acceptable to the Company to authenticate Securities. An authenticating agent may authenticate Securities whenever the Trustee may do so. Each reference in this Indenture to authentication by the Trustee includes authentication by such agent. An authenticating agent has the same rights as an Agent to deal with the Company or an Affiliate of the Company.</w:t>
      </w:r>
    </w:p>
    <w:p>
      <w:pPr>
        <w:spacing w:after="0" w:line="165" w:lineRule="exact"/>
        <w:rPr>
          <w:sz w:val="20"/>
          <w:szCs w:val="20"/>
          <w:color w:val="auto"/>
        </w:rPr>
      </w:pPr>
    </w:p>
    <w:p>
      <w:pPr>
        <w:ind w:left="440"/>
        <w:spacing w:after="0"/>
        <w:rPr>
          <w:sz w:val="20"/>
          <w:szCs w:val="20"/>
          <w:color w:val="auto"/>
        </w:rPr>
      </w:pPr>
      <w:r>
        <w:rPr>
          <w:rFonts w:ascii="Arial" w:cs="Arial" w:eastAsia="Arial" w:hAnsi="Arial"/>
          <w:sz w:val="18"/>
          <w:szCs w:val="18"/>
          <w:color w:val="auto"/>
        </w:rPr>
        <w:t xml:space="preserve">Section 2.4. </w:t>
      </w:r>
      <w:r>
        <w:rPr>
          <w:rFonts w:ascii="Arial" w:cs="Arial" w:eastAsia="Arial" w:hAnsi="Arial"/>
          <w:sz w:val="18"/>
          <w:szCs w:val="18"/>
          <w:u w:val="single" w:color="auto"/>
          <w:color w:val="auto"/>
        </w:rPr>
        <w:t>Registrar and Paying Agent</w:t>
      </w:r>
      <w:r>
        <w:rPr>
          <w:rFonts w:ascii="Arial" w:cs="Arial" w:eastAsia="Arial" w:hAnsi="Arial"/>
          <w:sz w:val="18"/>
          <w:szCs w:val="18"/>
          <w:color w:val="auto"/>
        </w:rPr>
        <w:t>.</w:t>
      </w:r>
    </w:p>
    <w:p>
      <w:pPr>
        <w:spacing w:after="0" w:line="225" w:lineRule="exact"/>
        <w:rPr>
          <w:sz w:val="20"/>
          <w:szCs w:val="20"/>
          <w:color w:val="auto"/>
        </w:rPr>
      </w:pPr>
    </w:p>
    <w:p>
      <w:pPr>
        <w:ind w:firstLine="440"/>
        <w:spacing w:after="0" w:line="288" w:lineRule="auto"/>
        <w:rPr>
          <w:sz w:val="20"/>
          <w:szCs w:val="20"/>
          <w:color w:val="auto"/>
        </w:rPr>
      </w:pPr>
      <w:r>
        <w:rPr>
          <w:rFonts w:ascii="Arial" w:cs="Arial" w:eastAsia="Arial" w:hAnsi="Arial"/>
          <w:sz w:val="16"/>
          <w:szCs w:val="16"/>
          <w:color w:val="auto"/>
        </w:rPr>
        <w:t>The Company shall maintain, with respect to each Series of Securities, at the place or places specified with respect to such Series pursuant to Section 2.2, an office or agency where Securities of such Series may be presented or surrendered for payment (“</w:t>
      </w:r>
      <w:r>
        <w:rPr>
          <w:rFonts w:ascii="Arial" w:cs="Arial" w:eastAsia="Arial" w:hAnsi="Arial"/>
          <w:sz w:val="16"/>
          <w:szCs w:val="16"/>
          <w:i w:val="1"/>
          <w:iCs w:val="1"/>
          <w:color w:val="auto"/>
        </w:rPr>
        <w:t>Paying Agent</w:t>
      </w:r>
      <w:r>
        <w:rPr>
          <w:rFonts w:ascii="Arial" w:cs="Arial" w:eastAsia="Arial" w:hAnsi="Arial"/>
          <w:sz w:val="16"/>
          <w:szCs w:val="16"/>
          <w:color w:val="auto"/>
        </w:rPr>
        <w:t>”), where Securities of such Series may be surrendered for registration of transfer or exchange (“</w:t>
      </w:r>
      <w:r>
        <w:rPr>
          <w:rFonts w:ascii="Arial" w:cs="Arial" w:eastAsia="Arial" w:hAnsi="Arial"/>
          <w:sz w:val="16"/>
          <w:szCs w:val="16"/>
          <w:i w:val="1"/>
          <w:iCs w:val="1"/>
          <w:color w:val="auto"/>
        </w:rPr>
        <w:t>Registrar</w:t>
      </w:r>
      <w:r>
        <w:rPr>
          <w:rFonts w:ascii="Arial" w:cs="Arial" w:eastAsia="Arial" w:hAnsi="Arial"/>
          <w:sz w:val="16"/>
          <w:szCs w:val="16"/>
          <w:color w:val="auto"/>
        </w:rPr>
        <w:t>”) and where notices and demands to or upon the Company in respect of the Securities of such Series and this Indenture may be delivered (“</w:t>
      </w:r>
      <w:r>
        <w:rPr>
          <w:rFonts w:ascii="Arial" w:cs="Arial" w:eastAsia="Arial" w:hAnsi="Arial"/>
          <w:sz w:val="16"/>
          <w:szCs w:val="16"/>
          <w:i w:val="1"/>
          <w:iCs w:val="1"/>
          <w:color w:val="auto"/>
        </w:rPr>
        <w:t>Notice Agent</w:t>
      </w:r>
      <w:r>
        <w:rPr>
          <w:rFonts w:ascii="Arial" w:cs="Arial" w:eastAsia="Arial" w:hAnsi="Arial"/>
          <w:sz w:val="16"/>
          <w:szCs w:val="16"/>
          <w:color w:val="auto"/>
        </w:rPr>
        <w:t xml:space="preserve">”). The Registrar shall keep a register with respect to each Series of Securities and to their transfer and exchange. The Company will give prompt written notice to the Trustee of the name and address, and any change in the name or address, of each Registrar, Paying Agent or Notice Agent. If at any time the Company shall fail to maintain any such required Registrar, Paying Agent or Notice Agent or shall fail to furnish the Trustee with the name and address thereof, such presentations, surrenders, notices and demands may be made or served at the Corporate Trust Office of the Trustee, and the Company hereby appoints the Trustee as its agent to receive all such presentations, surrenders, notices and demands;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w:t>
      </w:r>
      <w:r>
        <w:rPr>
          <w:rFonts w:ascii="Arial" w:cs="Arial" w:eastAsia="Arial" w:hAnsi="Arial"/>
          <w:sz w:val="16"/>
          <w:szCs w:val="16"/>
          <w:u w:val="single" w:color="auto"/>
          <w:color w:val="auto"/>
        </w:rPr>
        <w:t>however</w:t>
      </w:r>
      <w:r>
        <w:rPr>
          <w:rFonts w:ascii="Arial" w:cs="Arial" w:eastAsia="Arial" w:hAnsi="Arial"/>
          <w:sz w:val="16"/>
          <w:szCs w:val="16"/>
          <w:color w:val="auto"/>
        </w:rPr>
        <w:t>, that any appointment of the Trustee as the Notice Agent shall exclude the appointment of the Trustee or any office of the Trustee as an agent to receive the service of legal process on the Company.</w:t>
      </w:r>
    </w:p>
    <w:p>
      <w:pPr>
        <w:spacing w:after="0" w:line="168" w:lineRule="exact"/>
        <w:rPr>
          <w:sz w:val="20"/>
          <w:szCs w:val="20"/>
          <w:color w:val="auto"/>
        </w:rPr>
      </w:pPr>
    </w:p>
    <w:p>
      <w:pPr>
        <w:ind w:right="80" w:firstLine="440"/>
        <w:spacing w:after="0" w:line="254" w:lineRule="auto"/>
        <w:rPr>
          <w:sz w:val="20"/>
          <w:szCs w:val="20"/>
          <w:color w:val="auto"/>
        </w:rPr>
      </w:pPr>
      <w:r>
        <w:rPr>
          <w:rFonts w:ascii="Arial" w:cs="Arial" w:eastAsia="Arial" w:hAnsi="Arial"/>
          <w:sz w:val="18"/>
          <w:szCs w:val="18"/>
          <w:color w:val="auto"/>
        </w:rPr>
        <w:t xml:space="preserve">The Company may also from time to time designate one or more co-registrars, additional paying agents or additional notice agents and may from time to time rescind such designations;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w:t>
      </w:r>
      <w:r>
        <w:rPr>
          <w:rFonts w:ascii="Arial" w:cs="Arial" w:eastAsia="Arial" w:hAnsi="Arial"/>
          <w:sz w:val="18"/>
          <w:szCs w:val="18"/>
          <w:u w:val="single" w:color="auto"/>
          <w:color w:val="auto"/>
        </w:rPr>
        <w:t>however</w:t>
      </w:r>
      <w:r>
        <w:rPr>
          <w:rFonts w:ascii="Arial" w:cs="Arial" w:eastAsia="Arial" w:hAnsi="Arial"/>
          <w:sz w:val="18"/>
          <w:szCs w:val="18"/>
          <w:color w:val="auto"/>
        </w:rPr>
        <w:t>, that no such designation or rescission shall in any manner relieve the Company of its obligations to maintain a Registrar, Paying Agent and Notice Agent in each place so specified pursuant to Section 2.2 for Securities of any Series for such purposes. The Company will give prompt written notice to the Trustee of any such designation or rescission and of any change in the name or address of any such co-registrar, additional paying agent or additional notice agent. The term “</w:t>
      </w:r>
      <w:r>
        <w:rPr>
          <w:rFonts w:ascii="Arial" w:cs="Arial" w:eastAsia="Arial" w:hAnsi="Arial"/>
          <w:sz w:val="18"/>
          <w:szCs w:val="18"/>
          <w:i w:val="1"/>
          <w:iCs w:val="1"/>
          <w:color w:val="auto"/>
        </w:rPr>
        <w:t>Registrar</w:t>
      </w:r>
      <w:r>
        <w:rPr>
          <w:rFonts w:ascii="Arial" w:cs="Arial" w:eastAsia="Arial" w:hAnsi="Arial"/>
          <w:sz w:val="18"/>
          <w:szCs w:val="18"/>
          <w:color w:val="auto"/>
        </w:rPr>
        <w:t>” includes any co-registrar; the term “</w:t>
      </w:r>
      <w:r>
        <w:rPr>
          <w:rFonts w:ascii="Arial" w:cs="Arial" w:eastAsia="Arial" w:hAnsi="Arial"/>
          <w:sz w:val="18"/>
          <w:szCs w:val="18"/>
          <w:i w:val="1"/>
          <w:iCs w:val="1"/>
          <w:color w:val="auto"/>
        </w:rPr>
        <w:t>Paying</w:t>
      </w:r>
      <w:r>
        <w:rPr>
          <w:rFonts w:ascii="Arial" w:cs="Arial" w:eastAsia="Arial" w:hAnsi="Arial"/>
          <w:sz w:val="18"/>
          <w:szCs w:val="18"/>
          <w:color w:val="auto"/>
        </w:rPr>
        <w:t xml:space="preserve"> </w:t>
      </w:r>
      <w:r>
        <w:rPr>
          <w:rFonts w:ascii="Arial" w:cs="Arial" w:eastAsia="Arial" w:hAnsi="Arial"/>
          <w:sz w:val="18"/>
          <w:szCs w:val="18"/>
          <w:i w:val="1"/>
          <w:iCs w:val="1"/>
          <w:color w:val="auto"/>
        </w:rPr>
        <w:t>Agent</w:t>
      </w:r>
      <w:r>
        <w:rPr>
          <w:rFonts w:ascii="Arial" w:cs="Arial" w:eastAsia="Arial" w:hAnsi="Arial"/>
          <w:sz w:val="18"/>
          <w:szCs w:val="18"/>
          <w:color w:val="auto"/>
        </w:rPr>
        <w:t>” includes any additional paying agent; and the term “</w:t>
      </w:r>
      <w:r>
        <w:rPr>
          <w:rFonts w:ascii="Arial" w:cs="Arial" w:eastAsia="Arial" w:hAnsi="Arial"/>
          <w:sz w:val="18"/>
          <w:szCs w:val="18"/>
          <w:i w:val="1"/>
          <w:iCs w:val="1"/>
          <w:color w:val="auto"/>
        </w:rPr>
        <w:t>Notice Agent</w:t>
      </w:r>
      <w:r>
        <w:rPr>
          <w:rFonts w:ascii="Arial" w:cs="Arial" w:eastAsia="Arial" w:hAnsi="Arial"/>
          <w:sz w:val="18"/>
          <w:szCs w:val="18"/>
          <w:color w:val="auto"/>
        </w:rPr>
        <w:t>” includes any additional notice agent. The Company or any of its Affiliates</w:t>
      </w:r>
      <w:r>
        <w:rPr>
          <w:rFonts w:ascii="Arial" w:cs="Arial" w:eastAsia="Arial" w:hAnsi="Arial"/>
          <w:sz w:val="18"/>
          <w:szCs w:val="18"/>
          <w:i w:val="1"/>
          <w:iCs w:val="1"/>
          <w:color w:val="auto"/>
        </w:rPr>
        <w:t xml:space="preserve"> </w:t>
      </w:r>
      <w:r>
        <w:rPr>
          <w:rFonts w:ascii="Arial" w:cs="Arial" w:eastAsia="Arial" w:hAnsi="Arial"/>
          <w:sz w:val="18"/>
          <w:szCs w:val="18"/>
          <w:color w:val="auto"/>
        </w:rPr>
        <w:t>may serve as Registrar or Paying Agent.</w:t>
      </w:r>
    </w:p>
    <w:p>
      <w:pPr>
        <w:spacing w:after="0" w:line="195" w:lineRule="exact"/>
        <w:rPr>
          <w:sz w:val="20"/>
          <w:szCs w:val="20"/>
          <w:color w:val="auto"/>
        </w:rPr>
      </w:pPr>
    </w:p>
    <w:p>
      <w:pPr>
        <w:ind w:right="200" w:firstLine="440"/>
        <w:spacing w:after="0" w:line="277" w:lineRule="auto"/>
        <w:rPr>
          <w:sz w:val="20"/>
          <w:szCs w:val="20"/>
          <w:color w:val="auto"/>
        </w:rPr>
      </w:pPr>
      <w:r>
        <w:rPr>
          <w:rFonts w:ascii="Arial" w:cs="Arial" w:eastAsia="Arial" w:hAnsi="Arial"/>
          <w:sz w:val="18"/>
          <w:szCs w:val="18"/>
          <w:color w:val="auto"/>
        </w:rPr>
        <w:t>The Company hereby appoints the Trustee the initial Registrar, Paying Agent and Notice Agent for each Series unless another Registrar, Paying Agent or Notice Agent, as the case may be, is appointed prior to the time Securities of that Series are first issued.</w:t>
      </w:r>
    </w:p>
    <w:p>
      <w:pPr>
        <w:spacing w:after="0" w:line="170" w:lineRule="exact"/>
        <w:rPr>
          <w:sz w:val="20"/>
          <w:szCs w:val="20"/>
          <w:color w:val="auto"/>
        </w:rPr>
      </w:pPr>
    </w:p>
    <w:p>
      <w:pPr>
        <w:ind w:left="440"/>
        <w:spacing w:after="0"/>
        <w:rPr>
          <w:sz w:val="20"/>
          <w:szCs w:val="20"/>
          <w:color w:val="auto"/>
        </w:rPr>
      </w:pPr>
      <w:r>
        <w:rPr>
          <w:rFonts w:ascii="Arial" w:cs="Arial" w:eastAsia="Arial" w:hAnsi="Arial"/>
          <w:sz w:val="18"/>
          <w:szCs w:val="18"/>
          <w:color w:val="auto"/>
        </w:rPr>
        <w:t xml:space="preserve">Section 2.5. </w:t>
      </w:r>
      <w:r>
        <w:rPr>
          <w:rFonts w:ascii="Arial" w:cs="Arial" w:eastAsia="Arial" w:hAnsi="Arial"/>
          <w:sz w:val="18"/>
          <w:szCs w:val="18"/>
          <w:u w:val="single" w:color="auto"/>
          <w:color w:val="auto"/>
        </w:rPr>
        <w:t>Paying Agent to Hold Money in Trust</w:t>
      </w:r>
      <w:r>
        <w:rPr>
          <w:rFonts w:ascii="Arial" w:cs="Arial" w:eastAsia="Arial" w:hAnsi="Arial"/>
          <w:sz w:val="18"/>
          <w:szCs w:val="18"/>
          <w:color w:val="auto"/>
        </w:rPr>
        <w:t>.</w:t>
      </w:r>
    </w:p>
    <w:p>
      <w:pPr>
        <w:spacing w:after="0" w:line="225" w:lineRule="exact"/>
        <w:rPr>
          <w:sz w:val="20"/>
          <w:szCs w:val="20"/>
          <w:color w:val="auto"/>
        </w:rPr>
      </w:pPr>
    </w:p>
    <w:p>
      <w:pPr>
        <w:ind w:firstLine="440"/>
        <w:spacing w:after="0" w:line="290" w:lineRule="auto"/>
        <w:rPr>
          <w:sz w:val="20"/>
          <w:szCs w:val="20"/>
          <w:color w:val="auto"/>
        </w:rPr>
      </w:pPr>
      <w:r>
        <w:rPr>
          <w:rFonts w:ascii="Arial" w:cs="Arial" w:eastAsia="Arial" w:hAnsi="Arial"/>
          <w:sz w:val="16"/>
          <w:szCs w:val="16"/>
          <w:color w:val="auto"/>
        </w:rPr>
        <w:t>The Company shall require each Paying Agent other than the Trustee to agree in writing that the Paying Agent will hold in trust, for the benefit of Securityholders of any Series of Securities, or the Trustee, all money held by the Paying Agent for the payment of principal of or interest on the Series of Securities, and will notify the Trustee in writing of any default by the Company in making any such payment. While any such default continues, the Trustee may require a Paying Agent to pay all money held by it to the Trustee. The Company at any time may require a Paying Agent to pay all money held by it to the Trustee. Upon payment over to the Trustee, the Paying Agent (if other than the Company or a Subsidiary of the Company) shall have no further liability for the money. If the Company or a Subsidiary of the Company acts as Paying Agent, it shall segregate and hold in a separate trust fund for the benefit of Securityholders of any Series of Securities all money held by it as Paying Agent. Upon any bankruptcy, reorganization or similar proceeding with respect to the Company, the Trustee shall serve as Paying Agent for the Securities.</w:t>
      </w:r>
    </w:p>
    <w:p>
      <w:pPr>
        <w:spacing w:after="0" w:line="9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8</w:t>
      </w:r>
    </w:p>
    <w:p>
      <w:pPr>
        <w:sectPr>
          <w:pgSz w:w="11900" w:h="16838" w:orient="portrait"/>
          <w:cols w:equalWidth="0" w:num="1">
            <w:col w:w="10980"/>
          </w:cols>
          <w:pgMar w:left="440" w:top="274" w:right="479" w:bottom="1440" w:gutter="0" w:footer="0" w:header="0"/>
        </w:sectPr>
      </w:pPr>
    </w:p>
    <w:bookmarkStart w:id="126" w:name="page127"/>
    <w:bookmarkEnd w:id="126"/>
    <w:p>
      <w:pPr>
        <w:ind w:left="444"/>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171" name="Picture 1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1"/>
                    <pic:cNvPicPr>
                      <a:picLocks noChangeAspect="1" noChangeArrowheads="1"/>
                    </pic:cNvPicPr>
                  </pic:nvPicPr>
                  <pic:blipFill>
                    <a:blip r:embed="rId193">
                      <a:extLst>
                        <a:ext uri="{28A0092B-C50C-407E-A947-70E740481C1C}"/>
                      </a:extLst>
                    </a:blip>
                    <a:srcRect/>
                    <a:stretch>
                      <a:fillRect/>
                    </a:stretch>
                  </pic:blipFill>
                  <pic:spPr bwMode="auto">
                    <a:xfrm>
                      <a:off x="0" y="0"/>
                      <a:ext cx="7149465" cy="25400"/>
                    </a:xfrm>
                    <a:prstGeom prst="rect">
                      <a:avLst/>
                    </a:prstGeom>
                    <a:noFill/>
                  </pic:spPr>
                </pic:pic>
              </a:graphicData>
            </a:graphic>
          </wp:anchor>
        </w:drawing>
        <w:t xml:space="preserve">Section 2.6. </w:t>
      </w:r>
      <w:r>
        <w:rPr>
          <w:rFonts w:ascii="Arial" w:cs="Arial" w:eastAsia="Arial" w:hAnsi="Arial"/>
          <w:sz w:val="18"/>
          <w:szCs w:val="18"/>
          <w:u w:val="single" w:color="auto"/>
          <w:color w:val="auto"/>
        </w:rPr>
        <w:t>Securityholder Lists</w:t>
      </w:r>
      <w:r>
        <w:rPr>
          <w:rFonts w:ascii="Arial" w:cs="Arial" w:eastAsia="Arial" w:hAnsi="Arial"/>
          <w:sz w:val="18"/>
          <w:szCs w:val="18"/>
          <w:color w:val="auto"/>
        </w:rPr>
        <w:t>.</w:t>
      </w:r>
    </w:p>
    <w:p>
      <w:pPr>
        <w:spacing w:after="0" w:line="225" w:lineRule="exact"/>
        <w:rPr>
          <w:sz w:val="20"/>
          <w:szCs w:val="20"/>
          <w:color w:val="auto"/>
        </w:rPr>
      </w:pPr>
    </w:p>
    <w:p>
      <w:pPr>
        <w:ind w:left="4" w:right="20" w:firstLine="440"/>
        <w:spacing w:after="0" w:line="301" w:lineRule="auto"/>
        <w:rPr>
          <w:sz w:val="20"/>
          <w:szCs w:val="20"/>
          <w:color w:val="auto"/>
        </w:rPr>
      </w:pPr>
      <w:r>
        <w:rPr>
          <w:rFonts w:ascii="Arial" w:cs="Arial" w:eastAsia="Arial" w:hAnsi="Arial"/>
          <w:sz w:val="16"/>
          <w:szCs w:val="16"/>
          <w:color w:val="auto"/>
        </w:rPr>
        <w:t>The Trustee shall preserve in as current a form as is reasonably practicable the most recent list available to it of the names and addresses of Securityholders of each Series of Securities and shall otherwise comply with TIA § 312(a). If the Trustee is not the Registrar, the Company shall furnish to the Trustee at least ten days before each interest payment date and at such other times as the Trustee may request in writing a list, in such form and as of such date as the Trustee may reasonably require, of the names and addresses of Securityholders of each Series of Securities.</w:t>
      </w:r>
    </w:p>
    <w:p>
      <w:pPr>
        <w:spacing w:after="0" w:line="157" w:lineRule="exact"/>
        <w:rPr>
          <w:sz w:val="20"/>
          <w:szCs w:val="20"/>
          <w:color w:val="auto"/>
        </w:rPr>
      </w:pPr>
    </w:p>
    <w:p>
      <w:pPr>
        <w:ind w:left="444"/>
        <w:spacing w:after="0"/>
        <w:rPr>
          <w:sz w:val="20"/>
          <w:szCs w:val="20"/>
          <w:color w:val="auto"/>
        </w:rPr>
      </w:pPr>
      <w:r>
        <w:rPr>
          <w:rFonts w:ascii="Arial" w:cs="Arial" w:eastAsia="Arial" w:hAnsi="Arial"/>
          <w:sz w:val="18"/>
          <w:szCs w:val="18"/>
          <w:color w:val="auto"/>
        </w:rPr>
        <w:t xml:space="preserve">Section 2.7. </w:t>
      </w:r>
      <w:r>
        <w:rPr>
          <w:rFonts w:ascii="Arial" w:cs="Arial" w:eastAsia="Arial" w:hAnsi="Arial"/>
          <w:sz w:val="18"/>
          <w:szCs w:val="18"/>
          <w:u w:val="single" w:color="auto"/>
          <w:color w:val="auto"/>
        </w:rPr>
        <w:t>Transfer and Exchange</w:t>
      </w:r>
      <w:r>
        <w:rPr>
          <w:rFonts w:ascii="Arial" w:cs="Arial" w:eastAsia="Arial" w:hAnsi="Arial"/>
          <w:sz w:val="18"/>
          <w:szCs w:val="18"/>
          <w:color w:val="auto"/>
        </w:rPr>
        <w:t>.</w:t>
      </w:r>
    </w:p>
    <w:p>
      <w:pPr>
        <w:spacing w:after="0" w:line="225" w:lineRule="exact"/>
        <w:rPr>
          <w:sz w:val="20"/>
          <w:szCs w:val="20"/>
          <w:color w:val="auto"/>
        </w:rPr>
      </w:pPr>
    </w:p>
    <w:p>
      <w:pPr>
        <w:ind w:left="4" w:firstLine="440"/>
        <w:spacing w:after="0" w:line="273" w:lineRule="auto"/>
        <w:rPr>
          <w:sz w:val="20"/>
          <w:szCs w:val="20"/>
          <w:color w:val="auto"/>
        </w:rPr>
      </w:pPr>
      <w:r>
        <w:rPr>
          <w:rFonts w:ascii="Arial" w:cs="Arial" w:eastAsia="Arial" w:hAnsi="Arial"/>
          <w:sz w:val="17"/>
          <w:szCs w:val="17"/>
          <w:color w:val="auto"/>
        </w:rPr>
        <w:t>Where Securities of a Series are presented to the Registrar or a co-registrar with a request to register a transfer or to exchange them for an equal principal amount of Securities of the same Series, the Registrar shall register the transfer or make the exchange if its requirements for such transactions are met. To permit registrations of transfers and exchanges, the Trustee shall authenticate Securities at the Registrar’s request. No service charge shall be made for any registration of transfer or exchange (except as otherwise expressly permitted herein), but the Company may require payment of a sum sufficient to cover any transfer tax or similar governmental charge payable in connection therewith (other than any such transfer tax or similar governmental charge payable upon exchanges pursuant to Sections 2.11, 3.6 or 9.6).</w:t>
      </w:r>
    </w:p>
    <w:p>
      <w:pPr>
        <w:spacing w:after="0" w:line="178" w:lineRule="exact"/>
        <w:rPr>
          <w:sz w:val="20"/>
          <w:szCs w:val="20"/>
          <w:color w:val="auto"/>
        </w:rPr>
      </w:pPr>
    </w:p>
    <w:p>
      <w:pPr>
        <w:ind w:left="4" w:right="200" w:firstLine="440"/>
        <w:spacing w:after="0" w:line="257" w:lineRule="auto"/>
        <w:rPr>
          <w:sz w:val="20"/>
          <w:szCs w:val="20"/>
          <w:color w:val="auto"/>
        </w:rPr>
      </w:pPr>
      <w:r>
        <w:rPr>
          <w:rFonts w:ascii="Arial" w:cs="Arial" w:eastAsia="Arial" w:hAnsi="Arial"/>
          <w:sz w:val="18"/>
          <w:szCs w:val="18"/>
          <w:color w:val="auto"/>
        </w:rPr>
        <w:t>Neither the Company nor the Registrar shall be required (a) to issue, register the transfer of, or exchange Securities of any Series for the period beginning at the opening of business fifteen days immediately preceding the sending of a notice of redemption of Securities of that Series selected for redemption and ending at the close of business on the day such notice is sent, or (b) to register the transfer of or exchange Securities of any Series selected, called or being called for redemption as a whole or the portion being redeemed of any such Securities selected, called or being called for redemption in part.</w:t>
      </w:r>
    </w:p>
    <w:p>
      <w:pPr>
        <w:spacing w:after="0" w:line="188" w:lineRule="exact"/>
        <w:rPr>
          <w:sz w:val="20"/>
          <w:szCs w:val="20"/>
          <w:color w:val="auto"/>
        </w:rPr>
      </w:pPr>
    </w:p>
    <w:p>
      <w:pPr>
        <w:ind w:left="444"/>
        <w:spacing w:after="0"/>
        <w:rPr>
          <w:sz w:val="20"/>
          <w:szCs w:val="20"/>
          <w:color w:val="auto"/>
        </w:rPr>
      </w:pPr>
      <w:r>
        <w:rPr>
          <w:rFonts w:ascii="Arial" w:cs="Arial" w:eastAsia="Arial" w:hAnsi="Arial"/>
          <w:sz w:val="18"/>
          <w:szCs w:val="18"/>
          <w:color w:val="auto"/>
        </w:rPr>
        <w:t xml:space="preserve">Section 2.8. </w:t>
      </w:r>
      <w:r>
        <w:rPr>
          <w:rFonts w:ascii="Arial" w:cs="Arial" w:eastAsia="Arial" w:hAnsi="Arial"/>
          <w:sz w:val="18"/>
          <w:szCs w:val="18"/>
          <w:u w:val="single" w:color="auto"/>
          <w:color w:val="auto"/>
        </w:rPr>
        <w:t>Mutilated, Destroyed, Lost and Stolen Securities</w:t>
      </w:r>
      <w:r>
        <w:rPr>
          <w:rFonts w:ascii="Arial" w:cs="Arial" w:eastAsia="Arial" w:hAnsi="Arial"/>
          <w:sz w:val="18"/>
          <w:szCs w:val="18"/>
          <w:color w:val="auto"/>
        </w:rPr>
        <w:t>.</w:t>
      </w:r>
    </w:p>
    <w:p>
      <w:pPr>
        <w:spacing w:after="0" w:line="225" w:lineRule="exact"/>
        <w:rPr>
          <w:sz w:val="20"/>
          <w:szCs w:val="20"/>
          <w:color w:val="auto"/>
        </w:rPr>
      </w:pPr>
    </w:p>
    <w:p>
      <w:pPr>
        <w:ind w:left="4" w:right="420" w:firstLine="440"/>
        <w:spacing w:after="0" w:line="342" w:lineRule="auto"/>
        <w:rPr>
          <w:sz w:val="20"/>
          <w:szCs w:val="20"/>
          <w:color w:val="auto"/>
        </w:rPr>
      </w:pPr>
      <w:r>
        <w:rPr>
          <w:rFonts w:ascii="Arial" w:cs="Arial" w:eastAsia="Arial" w:hAnsi="Arial"/>
          <w:sz w:val="16"/>
          <w:szCs w:val="16"/>
          <w:color w:val="auto"/>
        </w:rPr>
        <w:t>If any mutilated Security is surrendered to the Trustee, the Company shall execute and the Trustee shall authenticate and deliver in exchange therefor a new Security of the same Series and of like tenor and principal amount and bearing a number not contemporaneously outstanding.</w:t>
      </w:r>
    </w:p>
    <w:p>
      <w:pPr>
        <w:spacing w:after="0" w:line="124" w:lineRule="exact"/>
        <w:rPr>
          <w:sz w:val="20"/>
          <w:szCs w:val="20"/>
          <w:color w:val="auto"/>
        </w:rPr>
      </w:pPr>
    </w:p>
    <w:p>
      <w:pPr>
        <w:ind w:left="444"/>
        <w:spacing w:after="0"/>
        <w:rPr>
          <w:sz w:val="20"/>
          <w:szCs w:val="20"/>
          <w:color w:val="auto"/>
        </w:rPr>
      </w:pPr>
      <w:r>
        <w:rPr>
          <w:rFonts w:ascii="Arial" w:cs="Arial" w:eastAsia="Arial" w:hAnsi="Arial"/>
          <w:sz w:val="16"/>
          <w:szCs w:val="16"/>
          <w:color w:val="auto"/>
        </w:rPr>
        <w:t>If there shall be delivered to the Company and the Trustee (i) evidence to their satisfaction of the destruction, loss or theft of any Security and</w:t>
      </w:r>
    </w:p>
    <w:p>
      <w:pPr>
        <w:spacing w:after="0" w:line="46" w:lineRule="exact"/>
        <w:rPr>
          <w:sz w:val="20"/>
          <w:szCs w:val="20"/>
          <w:color w:val="auto"/>
        </w:rPr>
      </w:pPr>
    </w:p>
    <w:p>
      <w:pPr>
        <w:ind w:left="4" w:hanging="4"/>
        <w:spacing w:after="0" w:line="273" w:lineRule="auto"/>
        <w:tabs>
          <w:tab w:leader="none" w:pos="269" w:val="left"/>
        </w:tabs>
        <w:numPr>
          <w:ilvl w:val="0"/>
          <w:numId w:val="99"/>
        </w:numPr>
        <w:rPr>
          <w:rFonts w:ascii="Arial" w:cs="Arial" w:eastAsia="Arial" w:hAnsi="Arial"/>
          <w:sz w:val="17"/>
          <w:szCs w:val="17"/>
          <w:color w:val="auto"/>
        </w:rPr>
      </w:pPr>
      <w:r>
        <w:rPr>
          <w:rFonts w:ascii="Arial" w:cs="Arial" w:eastAsia="Arial" w:hAnsi="Arial"/>
          <w:sz w:val="17"/>
          <w:szCs w:val="17"/>
          <w:color w:val="auto"/>
        </w:rPr>
        <w:t>such security or indemnity bond as may be required by each of them to hold itself and any of its agents harmless, then, in the absence of notice to the Company or the Trustee that such Security has been acquired by a bona fide purchaser, the Company shall execute and upon receipt of a Company Order the Trustee shall authenticate and make available for delivery, in lieu of any such destroyed, lost or stolen Security, a new Security of the same Series and of like tenor and principal amount and bearing a number not contemporaneously outstanding.</w:t>
      </w:r>
    </w:p>
    <w:p>
      <w:pPr>
        <w:spacing w:after="0" w:line="176" w:lineRule="exact"/>
        <w:rPr>
          <w:sz w:val="20"/>
          <w:szCs w:val="20"/>
          <w:color w:val="auto"/>
        </w:rPr>
      </w:pPr>
    </w:p>
    <w:p>
      <w:pPr>
        <w:ind w:left="4" w:right="280" w:firstLine="440"/>
        <w:spacing w:after="0" w:line="277" w:lineRule="auto"/>
        <w:rPr>
          <w:sz w:val="20"/>
          <w:szCs w:val="20"/>
          <w:color w:val="auto"/>
        </w:rPr>
      </w:pPr>
      <w:r>
        <w:rPr>
          <w:rFonts w:ascii="Arial" w:cs="Arial" w:eastAsia="Arial" w:hAnsi="Arial"/>
          <w:sz w:val="18"/>
          <w:szCs w:val="18"/>
          <w:color w:val="auto"/>
        </w:rPr>
        <w:t>In case any such mutilated, destroyed, lost or stolen Security has become or is about to become due and payable, the Company in its discretion may, instead of issuing a new Security, pay such Security.</w:t>
      </w:r>
    </w:p>
    <w:p>
      <w:pPr>
        <w:spacing w:after="0" w:line="170" w:lineRule="exact"/>
        <w:rPr>
          <w:sz w:val="20"/>
          <w:szCs w:val="20"/>
          <w:color w:val="auto"/>
        </w:rPr>
      </w:pPr>
    </w:p>
    <w:p>
      <w:pPr>
        <w:ind w:left="4" w:right="300" w:firstLine="440"/>
        <w:spacing w:after="0" w:line="263" w:lineRule="auto"/>
        <w:rPr>
          <w:sz w:val="20"/>
          <w:szCs w:val="20"/>
          <w:color w:val="auto"/>
        </w:rPr>
      </w:pPr>
      <w:r>
        <w:rPr>
          <w:rFonts w:ascii="Arial" w:cs="Arial" w:eastAsia="Arial" w:hAnsi="Arial"/>
          <w:sz w:val="18"/>
          <w:szCs w:val="18"/>
          <w:color w:val="auto"/>
        </w:rPr>
        <w:t>Upon the issuance of any new Security under this Section, the Company may require the payment of a sum sufficient to cover any tax or other governmental charge that may be imposed in relation thereto and any other expenses (including the fees and expenses of the Trustee) connected therewith.</w:t>
      </w:r>
    </w:p>
    <w:p>
      <w:pPr>
        <w:spacing w:after="0" w:line="184" w:lineRule="exact"/>
        <w:rPr>
          <w:sz w:val="20"/>
          <w:szCs w:val="20"/>
          <w:color w:val="auto"/>
        </w:rPr>
      </w:pPr>
    </w:p>
    <w:p>
      <w:pPr>
        <w:ind w:left="4" w:right="180" w:firstLine="440"/>
        <w:spacing w:after="0" w:line="311" w:lineRule="auto"/>
        <w:rPr>
          <w:sz w:val="20"/>
          <w:szCs w:val="20"/>
          <w:color w:val="auto"/>
        </w:rPr>
      </w:pPr>
      <w:r>
        <w:rPr>
          <w:rFonts w:ascii="Arial" w:cs="Arial" w:eastAsia="Arial" w:hAnsi="Arial"/>
          <w:sz w:val="16"/>
          <w:szCs w:val="16"/>
          <w:color w:val="auto"/>
        </w:rPr>
        <w:t>Every new Security of any Series issued pursuant to this Section in lieu of any destroyed, lost or stolen Security shall constitute an original additional contractual obligation of the Company, whether or not the destroyed, lost or stolen Security shall be at any time enforceable by anyone, and shall be entitled to all the benefits of this Indenture equally and proportionately with any and all other Securities of that Series duly issued hereunder.</w:t>
      </w:r>
    </w:p>
    <w:p>
      <w:pPr>
        <w:spacing w:after="0" w:line="81" w:lineRule="exact"/>
        <w:rPr>
          <w:sz w:val="20"/>
          <w:szCs w:val="20"/>
          <w:color w:val="auto"/>
        </w:rPr>
      </w:pPr>
    </w:p>
    <w:p>
      <w:pPr>
        <w:jc w:val="center"/>
        <w:ind w:right="-23"/>
        <w:spacing w:after="0"/>
        <w:rPr>
          <w:sz w:val="20"/>
          <w:szCs w:val="20"/>
          <w:color w:val="auto"/>
        </w:rPr>
      </w:pPr>
      <w:r>
        <w:rPr>
          <w:rFonts w:ascii="Arial" w:cs="Arial" w:eastAsia="Arial" w:hAnsi="Arial"/>
          <w:sz w:val="18"/>
          <w:szCs w:val="18"/>
          <w:color w:val="auto"/>
        </w:rPr>
        <w:t>9</w:t>
      </w:r>
    </w:p>
    <w:p>
      <w:pPr>
        <w:sectPr>
          <w:pgSz w:w="11900" w:h="16838" w:orient="portrait"/>
          <w:cols w:equalWidth="0" w:num="1">
            <w:col w:w="10984"/>
          </w:cols>
          <w:pgMar w:left="436" w:top="274" w:right="479" w:bottom="1440" w:gutter="0" w:footer="0" w:header="0"/>
        </w:sectPr>
      </w:pPr>
    </w:p>
    <w:bookmarkStart w:id="127" w:name="page128"/>
    <w:bookmarkEnd w:id="127"/>
    <w:p>
      <w:pPr>
        <w:ind w:right="100" w:firstLine="440"/>
        <w:spacing w:after="0" w:line="277"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172" name="Picture 1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2"/>
                    <pic:cNvPicPr>
                      <a:picLocks noChangeAspect="1" noChangeArrowheads="1"/>
                    </pic:cNvPicPr>
                  </pic:nvPicPr>
                  <pic:blipFill>
                    <a:blip r:embed="rId194">
                      <a:extLst>
                        <a:ext uri="{28A0092B-C50C-407E-A947-70E740481C1C}"/>
                      </a:extLst>
                    </a:blip>
                    <a:srcRect/>
                    <a:stretch>
                      <a:fillRect/>
                    </a:stretch>
                  </pic:blipFill>
                  <pic:spPr bwMode="auto">
                    <a:xfrm>
                      <a:off x="0" y="0"/>
                      <a:ext cx="7149465" cy="25400"/>
                    </a:xfrm>
                    <a:prstGeom prst="rect">
                      <a:avLst/>
                    </a:prstGeom>
                    <a:noFill/>
                  </pic:spPr>
                </pic:pic>
              </a:graphicData>
            </a:graphic>
          </wp:anchor>
        </w:drawing>
        <w:t>The provisions of this Section are exclusive and shall preclude (to the extent lawful) all other rights and remedies with respect to the replacement or payment of mutilated, destroyed, lost or stolen Securities.</w:t>
      </w:r>
    </w:p>
    <w:p>
      <w:pPr>
        <w:spacing w:after="0" w:line="170" w:lineRule="exact"/>
        <w:rPr>
          <w:sz w:val="20"/>
          <w:szCs w:val="20"/>
          <w:color w:val="auto"/>
        </w:rPr>
      </w:pPr>
    </w:p>
    <w:p>
      <w:pPr>
        <w:ind w:left="440"/>
        <w:spacing w:after="0"/>
        <w:rPr>
          <w:sz w:val="20"/>
          <w:szCs w:val="20"/>
          <w:color w:val="auto"/>
        </w:rPr>
      </w:pPr>
      <w:r>
        <w:rPr>
          <w:rFonts w:ascii="Arial" w:cs="Arial" w:eastAsia="Arial" w:hAnsi="Arial"/>
          <w:sz w:val="18"/>
          <w:szCs w:val="18"/>
          <w:color w:val="auto"/>
        </w:rPr>
        <w:t xml:space="preserve">Section 2.9. </w:t>
      </w:r>
      <w:r>
        <w:rPr>
          <w:rFonts w:ascii="Arial" w:cs="Arial" w:eastAsia="Arial" w:hAnsi="Arial"/>
          <w:sz w:val="18"/>
          <w:szCs w:val="18"/>
          <w:u w:val="single" w:color="auto"/>
          <w:color w:val="auto"/>
        </w:rPr>
        <w:t>Outstanding Securities</w:t>
      </w:r>
      <w:r>
        <w:rPr>
          <w:rFonts w:ascii="Arial" w:cs="Arial" w:eastAsia="Arial" w:hAnsi="Arial"/>
          <w:sz w:val="18"/>
          <w:szCs w:val="18"/>
          <w:color w:val="auto"/>
        </w:rPr>
        <w:t>.</w:t>
      </w:r>
    </w:p>
    <w:p>
      <w:pPr>
        <w:spacing w:after="0" w:line="225" w:lineRule="exact"/>
        <w:rPr>
          <w:sz w:val="20"/>
          <w:szCs w:val="20"/>
          <w:color w:val="auto"/>
        </w:rPr>
      </w:pPr>
    </w:p>
    <w:p>
      <w:pPr>
        <w:ind w:firstLine="440"/>
        <w:spacing w:after="0" w:line="263" w:lineRule="auto"/>
        <w:rPr>
          <w:sz w:val="20"/>
          <w:szCs w:val="20"/>
          <w:color w:val="auto"/>
        </w:rPr>
      </w:pPr>
      <w:r>
        <w:rPr>
          <w:rFonts w:ascii="Arial" w:cs="Arial" w:eastAsia="Arial" w:hAnsi="Arial"/>
          <w:sz w:val="18"/>
          <w:szCs w:val="18"/>
          <w:color w:val="auto"/>
        </w:rPr>
        <w:t>The Securities outstanding at any time are all the Securities authenticated by the Trustee except for those canceled by it, those delivered to it for cancellation, those reductions in the interest on a Global Security effected by the Trustee in accordance with the provisions hereof and those described in this Section as not outstanding.</w:t>
      </w:r>
    </w:p>
    <w:p>
      <w:pPr>
        <w:spacing w:after="0" w:line="184" w:lineRule="exact"/>
        <w:rPr>
          <w:sz w:val="20"/>
          <w:szCs w:val="20"/>
          <w:color w:val="auto"/>
        </w:rPr>
      </w:pPr>
    </w:p>
    <w:p>
      <w:pPr>
        <w:ind w:right="420" w:firstLine="440"/>
        <w:spacing w:after="0" w:line="277" w:lineRule="auto"/>
        <w:rPr>
          <w:sz w:val="20"/>
          <w:szCs w:val="20"/>
          <w:color w:val="auto"/>
        </w:rPr>
      </w:pPr>
      <w:r>
        <w:rPr>
          <w:rFonts w:ascii="Arial" w:cs="Arial" w:eastAsia="Arial" w:hAnsi="Arial"/>
          <w:sz w:val="18"/>
          <w:szCs w:val="18"/>
          <w:color w:val="auto"/>
        </w:rPr>
        <w:t>If a Security is replaced pursuant to Section 2.8, it ceases to be outstanding until the Trustee receives proof satisfactory to it that the replaced Security is held by a bona fide purchaser.</w:t>
      </w:r>
    </w:p>
    <w:p>
      <w:pPr>
        <w:spacing w:after="0" w:line="170" w:lineRule="exact"/>
        <w:rPr>
          <w:sz w:val="20"/>
          <w:szCs w:val="20"/>
          <w:color w:val="auto"/>
        </w:rPr>
      </w:pPr>
    </w:p>
    <w:p>
      <w:pPr>
        <w:jc w:val="both"/>
        <w:ind w:firstLine="440"/>
        <w:spacing w:after="0" w:line="263" w:lineRule="auto"/>
        <w:rPr>
          <w:sz w:val="20"/>
          <w:szCs w:val="20"/>
          <w:color w:val="auto"/>
        </w:rPr>
      </w:pPr>
      <w:r>
        <w:rPr>
          <w:rFonts w:ascii="Arial" w:cs="Arial" w:eastAsia="Arial" w:hAnsi="Arial"/>
          <w:sz w:val="18"/>
          <w:szCs w:val="18"/>
          <w:color w:val="auto"/>
        </w:rPr>
        <w:t>If the Paying Agent (other than the Company, a Subsidiary of the Company or an Affiliate of the Company) holds on the Maturity of Securities of a Series money sufficient to pay such Securities payable on that date, then on and after that date such Securities of the Series cease to be outstanding and interest on them ceases to accrue.</w:t>
      </w:r>
    </w:p>
    <w:p>
      <w:pPr>
        <w:spacing w:after="0" w:line="184" w:lineRule="exact"/>
        <w:rPr>
          <w:sz w:val="20"/>
          <w:szCs w:val="20"/>
          <w:color w:val="auto"/>
        </w:rPr>
      </w:pPr>
    </w:p>
    <w:p>
      <w:pPr>
        <w:ind w:right="460" w:firstLine="440"/>
        <w:spacing w:after="0" w:line="342" w:lineRule="auto"/>
        <w:rPr>
          <w:sz w:val="20"/>
          <w:szCs w:val="20"/>
          <w:color w:val="auto"/>
        </w:rPr>
      </w:pPr>
      <w:r>
        <w:rPr>
          <w:rFonts w:ascii="Arial" w:cs="Arial" w:eastAsia="Arial" w:hAnsi="Arial"/>
          <w:sz w:val="16"/>
          <w:szCs w:val="16"/>
          <w:color w:val="auto"/>
        </w:rPr>
        <w:t>The Company may purchase or otherwise acquire the Securities, whether by open market purchases, negotiated transactions or otherwise. A Security does not cease to be outstanding because the Company or an Affiliate of the Company holds the Security (but see Section 2.10 below).</w:t>
      </w:r>
    </w:p>
    <w:p>
      <w:pPr>
        <w:spacing w:after="0" w:line="124" w:lineRule="exact"/>
        <w:rPr>
          <w:sz w:val="20"/>
          <w:szCs w:val="20"/>
          <w:color w:val="auto"/>
        </w:rPr>
      </w:pPr>
    </w:p>
    <w:p>
      <w:pPr>
        <w:ind w:right="80" w:firstLine="440"/>
        <w:spacing w:after="0" w:line="259" w:lineRule="auto"/>
        <w:rPr>
          <w:sz w:val="20"/>
          <w:szCs w:val="20"/>
          <w:color w:val="auto"/>
        </w:rPr>
      </w:pPr>
      <w:r>
        <w:rPr>
          <w:rFonts w:ascii="Arial" w:cs="Arial" w:eastAsia="Arial" w:hAnsi="Arial"/>
          <w:sz w:val="18"/>
          <w:szCs w:val="18"/>
          <w:color w:val="auto"/>
        </w:rPr>
        <w:t>In determining whether the Holders of the requisite principal amount of outstanding Securities have given any request, demand, authorization, direction, notice, consent or waiver hereunder, the principal amount of a Discount Security that shall be deemed to be outstanding for such purposes shall be the amount of the principal thereof that would be due and payable as of the date of such determination upon a declaration of acceleration of the Maturity thereof pursuant to Section 6.2.</w:t>
      </w:r>
    </w:p>
    <w:p>
      <w:pPr>
        <w:spacing w:after="0" w:line="187" w:lineRule="exact"/>
        <w:rPr>
          <w:sz w:val="20"/>
          <w:szCs w:val="20"/>
          <w:color w:val="auto"/>
        </w:rPr>
      </w:pPr>
    </w:p>
    <w:p>
      <w:pPr>
        <w:ind w:left="440"/>
        <w:spacing w:after="0"/>
        <w:rPr>
          <w:sz w:val="20"/>
          <w:szCs w:val="20"/>
          <w:color w:val="auto"/>
        </w:rPr>
      </w:pPr>
      <w:r>
        <w:rPr>
          <w:rFonts w:ascii="Arial" w:cs="Arial" w:eastAsia="Arial" w:hAnsi="Arial"/>
          <w:sz w:val="18"/>
          <w:szCs w:val="18"/>
          <w:color w:val="auto"/>
        </w:rPr>
        <w:t xml:space="preserve">Section 2.10. </w:t>
      </w:r>
      <w:r>
        <w:rPr>
          <w:rFonts w:ascii="Arial" w:cs="Arial" w:eastAsia="Arial" w:hAnsi="Arial"/>
          <w:sz w:val="18"/>
          <w:szCs w:val="18"/>
          <w:u w:val="single" w:color="auto"/>
          <w:color w:val="auto"/>
        </w:rPr>
        <w:t>Treasury Securities</w:t>
      </w:r>
      <w:r>
        <w:rPr>
          <w:rFonts w:ascii="Arial" w:cs="Arial" w:eastAsia="Arial" w:hAnsi="Arial"/>
          <w:sz w:val="18"/>
          <w:szCs w:val="18"/>
          <w:color w:val="auto"/>
        </w:rPr>
        <w:t>.</w:t>
      </w:r>
    </w:p>
    <w:p>
      <w:pPr>
        <w:spacing w:after="0" w:line="225" w:lineRule="exact"/>
        <w:rPr>
          <w:sz w:val="20"/>
          <w:szCs w:val="20"/>
          <w:color w:val="auto"/>
        </w:rPr>
      </w:pPr>
    </w:p>
    <w:p>
      <w:pPr>
        <w:ind w:right="160" w:firstLine="440"/>
        <w:spacing w:after="0" w:line="301" w:lineRule="auto"/>
        <w:rPr>
          <w:sz w:val="20"/>
          <w:szCs w:val="20"/>
          <w:color w:val="auto"/>
        </w:rPr>
      </w:pPr>
      <w:r>
        <w:rPr>
          <w:rFonts w:ascii="Arial" w:cs="Arial" w:eastAsia="Arial" w:hAnsi="Arial"/>
          <w:sz w:val="16"/>
          <w:szCs w:val="16"/>
          <w:color w:val="auto"/>
        </w:rPr>
        <w:t>In determining whether the Holders of the required principal amount of Securities of a Series have concurred in any request, demand, authorization, direction, notice, consent or waiver, Securities of a Series owned by the Company or any Affiliate of the Company shall be disregarded, except that for the purposes of determining whether the Trustee shall be protected in relying on any such request, demand, authorization, direction, notice, consent or waiver only Securities of a Series that a Responsible Officer of the Trustee knows are so owned shall be so disregarded.</w:t>
      </w:r>
    </w:p>
    <w:p>
      <w:pPr>
        <w:spacing w:after="0" w:line="157" w:lineRule="exact"/>
        <w:rPr>
          <w:sz w:val="20"/>
          <w:szCs w:val="20"/>
          <w:color w:val="auto"/>
        </w:rPr>
      </w:pPr>
    </w:p>
    <w:p>
      <w:pPr>
        <w:ind w:left="440"/>
        <w:spacing w:after="0"/>
        <w:rPr>
          <w:sz w:val="20"/>
          <w:szCs w:val="20"/>
          <w:color w:val="auto"/>
        </w:rPr>
      </w:pPr>
      <w:r>
        <w:rPr>
          <w:rFonts w:ascii="Arial" w:cs="Arial" w:eastAsia="Arial" w:hAnsi="Arial"/>
          <w:sz w:val="18"/>
          <w:szCs w:val="18"/>
          <w:color w:val="auto"/>
        </w:rPr>
        <w:t xml:space="preserve">Section 2.11. </w:t>
      </w:r>
      <w:r>
        <w:rPr>
          <w:rFonts w:ascii="Arial" w:cs="Arial" w:eastAsia="Arial" w:hAnsi="Arial"/>
          <w:sz w:val="18"/>
          <w:szCs w:val="18"/>
          <w:u w:val="single" w:color="auto"/>
          <w:color w:val="auto"/>
        </w:rPr>
        <w:t>Temporary Securities</w:t>
      </w:r>
      <w:r>
        <w:rPr>
          <w:rFonts w:ascii="Arial" w:cs="Arial" w:eastAsia="Arial" w:hAnsi="Arial"/>
          <w:sz w:val="18"/>
          <w:szCs w:val="18"/>
          <w:color w:val="auto"/>
        </w:rPr>
        <w:t>.</w:t>
      </w:r>
    </w:p>
    <w:p>
      <w:pPr>
        <w:spacing w:after="0" w:line="225" w:lineRule="exact"/>
        <w:rPr>
          <w:sz w:val="20"/>
          <w:szCs w:val="20"/>
          <w:color w:val="auto"/>
        </w:rPr>
      </w:pPr>
    </w:p>
    <w:p>
      <w:pPr>
        <w:ind w:right="40" w:firstLine="440"/>
        <w:spacing w:after="0" w:line="257" w:lineRule="auto"/>
        <w:rPr>
          <w:sz w:val="20"/>
          <w:szCs w:val="20"/>
          <w:color w:val="auto"/>
        </w:rPr>
      </w:pPr>
      <w:r>
        <w:rPr>
          <w:rFonts w:ascii="Arial" w:cs="Arial" w:eastAsia="Arial" w:hAnsi="Arial"/>
          <w:sz w:val="18"/>
          <w:szCs w:val="18"/>
          <w:color w:val="auto"/>
        </w:rPr>
        <w:t>Until definitive Securities are ready for delivery, the Company may prepare and the Trustee shall authenticate temporary Securities upon a Company Order. Temporary Securities shall be substantially in the form of definitive Securities but may have variations that the Company considers appropriate for temporary Securities. Without unreasonable delay, the Company shall prepare and the Trustee upon receipt of a Company Order shall authenticate definitive Securities of the same Series and date of maturity in exchange for temporary Securities. Until so exchanged, temporary securities shall have the same rights under this Indenture as the definitive Securities.</w:t>
      </w:r>
    </w:p>
    <w:p>
      <w:pPr>
        <w:spacing w:after="0" w:line="188" w:lineRule="exact"/>
        <w:rPr>
          <w:sz w:val="20"/>
          <w:szCs w:val="20"/>
          <w:color w:val="auto"/>
        </w:rPr>
      </w:pPr>
    </w:p>
    <w:p>
      <w:pPr>
        <w:ind w:left="440"/>
        <w:spacing w:after="0"/>
        <w:rPr>
          <w:sz w:val="20"/>
          <w:szCs w:val="20"/>
          <w:color w:val="auto"/>
        </w:rPr>
      </w:pPr>
      <w:r>
        <w:rPr>
          <w:rFonts w:ascii="Arial" w:cs="Arial" w:eastAsia="Arial" w:hAnsi="Arial"/>
          <w:sz w:val="18"/>
          <w:szCs w:val="18"/>
          <w:color w:val="auto"/>
        </w:rPr>
        <w:t xml:space="preserve">Section 2.12. </w:t>
      </w:r>
      <w:r>
        <w:rPr>
          <w:rFonts w:ascii="Arial" w:cs="Arial" w:eastAsia="Arial" w:hAnsi="Arial"/>
          <w:sz w:val="18"/>
          <w:szCs w:val="18"/>
          <w:u w:val="single" w:color="auto"/>
          <w:color w:val="auto"/>
        </w:rPr>
        <w:t>Cancellation</w:t>
      </w:r>
      <w:r>
        <w:rPr>
          <w:rFonts w:ascii="Arial" w:cs="Arial" w:eastAsia="Arial" w:hAnsi="Arial"/>
          <w:sz w:val="18"/>
          <w:szCs w:val="18"/>
          <w:color w:val="auto"/>
        </w:rPr>
        <w:t>.</w:t>
      </w:r>
    </w:p>
    <w:p>
      <w:pPr>
        <w:spacing w:after="0" w:line="225" w:lineRule="exact"/>
        <w:rPr>
          <w:sz w:val="20"/>
          <w:szCs w:val="20"/>
          <w:color w:val="auto"/>
        </w:rPr>
      </w:pPr>
    </w:p>
    <w:p>
      <w:pPr>
        <w:ind w:right="60" w:firstLine="440"/>
        <w:spacing w:after="0" w:line="275" w:lineRule="auto"/>
        <w:rPr>
          <w:sz w:val="20"/>
          <w:szCs w:val="20"/>
          <w:color w:val="auto"/>
        </w:rPr>
      </w:pPr>
      <w:r>
        <w:rPr>
          <w:rFonts w:ascii="Arial" w:cs="Arial" w:eastAsia="Arial" w:hAnsi="Arial"/>
          <w:sz w:val="17"/>
          <w:szCs w:val="17"/>
          <w:color w:val="auto"/>
        </w:rPr>
        <w:t>The Company at any time may deliver Securities to the Trustee for cancellation. The Registrar and the Paying Agent shall forward to the Trustee any Securities surrendered to them for registration of transfer, exchange or payment. The Trustee shall cancel all Securities surrendered for transfer, exchange, payment, replacement or cancellation and shall destroy such canceled Securities (subject to the record retention requirement of the Exchange Act and the Trustee) and deliver a certificate of such cancellation to the Company upon written request of the Company. The Company may not issue new Securities to replace Securities that it has paid or delivered to the Trustee for cancellation.</w:t>
      </w:r>
    </w:p>
    <w:p>
      <w:pPr>
        <w:spacing w:after="0" w:line="176" w:lineRule="exact"/>
        <w:rPr>
          <w:sz w:val="20"/>
          <w:szCs w:val="20"/>
          <w:color w:val="auto"/>
        </w:rPr>
      </w:pPr>
    </w:p>
    <w:p>
      <w:pPr>
        <w:ind w:left="440"/>
        <w:spacing w:after="0"/>
        <w:rPr>
          <w:sz w:val="20"/>
          <w:szCs w:val="20"/>
          <w:color w:val="auto"/>
        </w:rPr>
      </w:pPr>
      <w:r>
        <w:rPr>
          <w:rFonts w:ascii="Arial" w:cs="Arial" w:eastAsia="Arial" w:hAnsi="Arial"/>
          <w:sz w:val="18"/>
          <w:szCs w:val="18"/>
          <w:color w:val="auto"/>
        </w:rPr>
        <w:t xml:space="preserve">Section 2.13. </w:t>
      </w:r>
      <w:r>
        <w:rPr>
          <w:rFonts w:ascii="Arial" w:cs="Arial" w:eastAsia="Arial" w:hAnsi="Arial"/>
          <w:sz w:val="18"/>
          <w:szCs w:val="18"/>
          <w:u w:val="single" w:color="auto"/>
          <w:color w:val="auto"/>
        </w:rPr>
        <w:t>Defaulted Interest</w:t>
      </w:r>
      <w:r>
        <w:rPr>
          <w:rFonts w:ascii="Arial" w:cs="Arial" w:eastAsia="Arial" w:hAnsi="Arial"/>
          <w:sz w:val="18"/>
          <w:szCs w:val="18"/>
          <w:color w:val="auto"/>
        </w:rPr>
        <w:t>.</w:t>
      </w:r>
    </w:p>
    <w:p>
      <w:pPr>
        <w:spacing w:after="0" w:line="15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10</w:t>
      </w:r>
    </w:p>
    <w:p>
      <w:pPr>
        <w:sectPr>
          <w:pgSz w:w="11900" w:h="16838" w:orient="portrait"/>
          <w:cols w:equalWidth="0" w:num="1">
            <w:col w:w="10980"/>
          </w:cols>
          <w:pgMar w:left="440" w:top="274" w:right="479" w:bottom="1440" w:gutter="0" w:footer="0" w:header="0"/>
        </w:sectPr>
      </w:pPr>
    </w:p>
    <w:bookmarkStart w:id="128" w:name="page129"/>
    <w:bookmarkEnd w:id="128"/>
    <w:p>
      <w:pPr>
        <w:ind w:right="220" w:firstLine="440"/>
        <w:spacing w:after="0" w:line="342"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173" name="Picture 1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3"/>
                    <pic:cNvPicPr>
                      <a:picLocks noChangeAspect="1" noChangeArrowheads="1"/>
                    </pic:cNvPicPr>
                  </pic:nvPicPr>
                  <pic:blipFill>
                    <a:blip r:embed="rId195">
                      <a:extLst>
                        <a:ext uri="{28A0092B-C50C-407E-A947-70E740481C1C}"/>
                      </a:extLst>
                    </a:blip>
                    <a:srcRect/>
                    <a:stretch>
                      <a:fillRect/>
                    </a:stretch>
                  </pic:blipFill>
                  <pic:spPr bwMode="auto">
                    <a:xfrm>
                      <a:off x="0" y="0"/>
                      <a:ext cx="7149465" cy="25400"/>
                    </a:xfrm>
                    <a:prstGeom prst="rect">
                      <a:avLst/>
                    </a:prstGeom>
                    <a:noFill/>
                  </pic:spPr>
                </pic:pic>
              </a:graphicData>
            </a:graphic>
          </wp:anchor>
        </w:drawing>
        <w:t>If the Company defaults in a payment of interest on a Series of Securities, it shall pay the defaulted interest, plus, to the extent permitted by law, any interest payable on the defaulted interest, to the persons who are Securityholders of the Series on a subsequent special record date.</w:t>
      </w:r>
    </w:p>
    <w:p>
      <w:pPr>
        <w:spacing w:after="0" w:line="124" w:lineRule="exact"/>
        <w:rPr>
          <w:sz w:val="20"/>
          <w:szCs w:val="20"/>
          <w:color w:val="auto"/>
        </w:rPr>
      </w:pPr>
    </w:p>
    <w:p>
      <w:pPr>
        <w:jc w:val="both"/>
        <w:ind w:right="160"/>
        <w:spacing w:after="0" w:line="263" w:lineRule="auto"/>
        <w:rPr>
          <w:sz w:val="20"/>
          <w:szCs w:val="20"/>
          <w:color w:val="auto"/>
        </w:rPr>
      </w:pPr>
      <w:r>
        <w:rPr>
          <w:rFonts w:ascii="Arial" w:cs="Arial" w:eastAsia="Arial" w:hAnsi="Arial"/>
          <w:sz w:val="18"/>
          <w:szCs w:val="18"/>
          <w:color w:val="auto"/>
        </w:rPr>
        <w:t>The Company shall fix the record date and payment date. At least 10 days before the special record date, the Company shall send to the Trustee and to each Securityholder of the Series a notice that states the special record date, the payment date and the amount of interest to be paid. The Company may pay defaulted interest in any other lawful manner.</w:t>
      </w:r>
    </w:p>
    <w:p>
      <w:pPr>
        <w:spacing w:after="0" w:line="184" w:lineRule="exact"/>
        <w:rPr>
          <w:sz w:val="20"/>
          <w:szCs w:val="20"/>
          <w:color w:val="auto"/>
        </w:rPr>
      </w:pPr>
    </w:p>
    <w:p>
      <w:pPr>
        <w:ind w:left="440"/>
        <w:spacing w:after="0"/>
        <w:rPr>
          <w:sz w:val="20"/>
          <w:szCs w:val="20"/>
          <w:color w:val="auto"/>
        </w:rPr>
      </w:pPr>
      <w:r>
        <w:rPr>
          <w:rFonts w:ascii="Arial" w:cs="Arial" w:eastAsia="Arial" w:hAnsi="Arial"/>
          <w:sz w:val="18"/>
          <w:szCs w:val="18"/>
          <w:color w:val="auto"/>
        </w:rPr>
        <w:t xml:space="preserve">Section 2.14. </w:t>
      </w:r>
      <w:r>
        <w:rPr>
          <w:rFonts w:ascii="Arial" w:cs="Arial" w:eastAsia="Arial" w:hAnsi="Arial"/>
          <w:sz w:val="18"/>
          <w:szCs w:val="18"/>
          <w:u w:val="single" w:color="auto"/>
          <w:color w:val="auto"/>
        </w:rPr>
        <w:t>Global Securities</w:t>
      </w:r>
      <w:r>
        <w:rPr>
          <w:rFonts w:ascii="Arial" w:cs="Arial" w:eastAsia="Arial" w:hAnsi="Arial"/>
          <w:sz w:val="18"/>
          <w:szCs w:val="18"/>
          <w:color w:val="auto"/>
        </w:rPr>
        <w:t>.</w:t>
      </w:r>
    </w:p>
    <w:p>
      <w:pPr>
        <w:spacing w:after="0" w:line="225" w:lineRule="exact"/>
        <w:rPr>
          <w:sz w:val="20"/>
          <w:szCs w:val="20"/>
          <w:color w:val="auto"/>
        </w:rPr>
      </w:pPr>
    </w:p>
    <w:p>
      <w:pPr>
        <w:jc w:val="both"/>
        <w:ind w:right="320" w:firstLine="991"/>
        <w:spacing w:after="0" w:line="263" w:lineRule="auto"/>
        <w:rPr>
          <w:sz w:val="20"/>
          <w:szCs w:val="20"/>
          <w:color w:val="auto"/>
        </w:rPr>
      </w:pPr>
      <w:r>
        <w:rPr>
          <w:rFonts w:ascii="Arial" w:cs="Arial" w:eastAsia="Arial" w:hAnsi="Arial"/>
          <w:sz w:val="18"/>
          <w:szCs w:val="18"/>
          <w:color w:val="auto"/>
        </w:rPr>
        <w:t xml:space="preserve">2.14.1. </w:t>
      </w:r>
      <w:r>
        <w:rPr>
          <w:rFonts w:ascii="Arial" w:cs="Arial" w:eastAsia="Arial" w:hAnsi="Arial"/>
          <w:sz w:val="18"/>
          <w:szCs w:val="18"/>
          <w:u w:val="single" w:color="auto"/>
          <w:color w:val="auto"/>
        </w:rPr>
        <w:t>Terms of Securities</w:t>
      </w:r>
      <w:r>
        <w:rPr>
          <w:rFonts w:ascii="Arial" w:cs="Arial" w:eastAsia="Arial" w:hAnsi="Arial"/>
          <w:sz w:val="18"/>
          <w:szCs w:val="18"/>
          <w:color w:val="auto"/>
        </w:rPr>
        <w:t>. A Board Resolution, a supplemental indenture hereto or an Officer’s Certificate shall establish whether the Securities of a Series shall be issued in whole or in part in the form of one or more Global Securities and the Depositary for such Global Security or Securities.</w:t>
      </w:r>
    </w:p>
    <w:p>
      <w:pPr>
        <w:spacing w:after="0" w:line="184" w:lineRule="exact"/>
        <w:rPr>
          <w:sz w:val="20"/>
          <w:szCs w:val="20"/>
          <w:color w:val="auto"/>
        </w:rPr>
      </w:pPr>
    </w:p>
    <w:p>
      <w:pPr>
        <w:ind w:right="120" w:firstLine="991"/>
        <w:spacing w:after="0" w:line="290" w:lineRule="auto"/>
        <w:rPr>
          <w:sz w:val="20"/>
          <w:szCs w:val="20"/>
          <w:color w:val="auto"/>
        </w:rPr>
      </w:pPr>
      <w:r>
        <w:rPr>
          <w:rFonts w:ascii="Arial" w:cs="Arial" w:eastAsia="Arial" w:hAnsi="Arial"/>
          <w:sz w:val="16"/>
          <w:szCs w:val="16"/>
          <w:color w:val="auto"/>
        </w:rPr>
        <w:t xml:space="preserve">2.14.2. </w:t>
      </w:r>
      <w:r>
        <w:rPr>
          <w:rFonts w:ascii="Arial" w:cs="Arial" w:eastAsia="Arial" w:hAnsi="Arial"/>
          <w:sz w:val="16"/>
          <w:szCs w:val="16"/>
          <w:u w:val="single" w:color="auto"/>
          <w:color w:val="auto"/>
        </w:rPr>
        <w:t>Transfer and Exchange</w:t>
      </w:r>
      <w:r>
        <w:rPr>
          <w:rFonts w:ascii="Arial" w:cs="Arial" w:eastAsia="Arial" w:hAnsi="Arial"/>
          <w:sz w:val="16"/>
          <w:szCs w:val="16"/>
          <w:color w:val="auto"/>
        </w:rPr>
        <w:t>. Notwithstanding any provisions to the contrary contained in Section 2.7 of the Indenture and in addition thereto, any Global Security shall be exchangeable pursuant to Section 2.7 of the Indenture for Securities registered in the names of Holders other than the Depositary for such Security or its nominee only if (i) such Depositary notifies the Company that it is unwilling or unable to continue as Depositary for such Global Security or if at any time such Depositary ceases to be a clearing agency registered under the Exchange Act, and, in either case, the Company fails to appoint a successor Depositary registered as a clearing agency under the Exchange Act within 90 days of such event or (ii) the Company executes and delivers to the Trustee an Officer’s Certificate to the effect that such Global Security shall be so exchangeable. Any Global Security that is exchangeable pursuant to the preceding sentence shall be exchangeable for Securities registered in such names as the Depositary shall direct in writing in an aggregate principal amount equal to the principal amount of the Global Security with like tenor and terms.</w:t>
      </w:r>
    </w:p>
    <w:p>
      <w:pPr>
        <w:spacing w:after="0" w:line="165" w:lineRule="exact"/>
        <w:rPr>
          <w:sz w:val="20"/>
          <w:szCs w:val="20"/>
          <w:color w:val="auto"/>
        </w:rPr>
      </w:pPr>
    </w:p>
    <w:p>
      <w:pPr>
        <w:ind w:right="140" w:firstLine="440"/>
        <w:spacing w:after="0" w:line="286" w:lineRule="auto"/>
        <w:rPr>
          <w:sz w:val="20"/>
          <w:szCs w:val="20"/>
          <w:color w:val="auto"/>
        </w:rPr>
      </w:pPr>
      <w:r>
        <w:rPr>
          <w:rFonts w:ascii="Arial" w:cs="Arial" w:eastAsia="Arial" w:hAnsi="Arial"/>
          <w:sz w:val="17"/>
          <w:szCs w:val="17"/>
          <w:color w:val="auto"/>
        </w:rPr>
        <w:t>Except as provided in this Section 2.14.2, a Global Security may not be transferred except as a whole by the Depositary with respect to such Global Security to a nominee of such Depositary, by a nominee of such Depositary to such Depositary or another nominee of such Depositary or by the Depositary or any such nominee to a successor Depositary or a nominee of such a successor Depositary.</w:t>
      </w:r>
    </w:p>
    <w:p>
      <w:pPr>
        <w:spacing w:after="0" w:line="165" w:lineRule="exact"/>
        <w:rPr>
          <w:sz w:val="20"/>
          <w:szCs w:val="20"/>
          <w:color w:val="auto"/>
        </w:rPr>
      </w:pPr>
    </w:p>
    <w:p>
      <w:pPr>
        <w:ind w:left="980"/>
        <w:spacing w:after="0"/>
        <w:rPr>
          <w:sz w:val="20"/>
          <w:szCs w:val="20"/>
          <w:color w:val="auto"/>
        </w:rPr>
      </w:pPr>
      <w:r>
        <w:rPr>
          <w:rFonts w:ascii="Arial" w:cs="Arial" w:eastAsia="Arial" w:hAnsi="Arial"/>
          <w:sz w:val="18"/>
          <w:szCs w:val="18"/>
          <w:color w:val="auto"/>
        </w:rPr>
        <w:t xml:space="preserve">2.14.3. </w:t>
      </w:r>
      <w:r>
        <w:rPr>
          <w:rFonts w:ascii="Arial" w:cs="Arial" w:eastAsia="Arial" w:hAnsi="Arial"/>
          <w:sz w:val="18"/>
          <w:szCs w:val="18"/>
          <w:u w:val="single" w:color="auto"/>
          <w:color w:val="auto"/>
        </w:rPr>
        <w:t>Legends</w:t>
      </w:r>
      <w:r>
        <w:rPr>
          <w:rFonts w:ascii="Arial" w:cs="Arial" w:eastAsia="Arial" w:hAnsi="Arial"/>
          <w:sz w:val="18"/>
          <w:szCs w:val="18"/>
          <w:color w:val="auto"/>
        </w:rPr>
        <w:t>. Any Global Security issued hereunder shall bear a legend in substantially the following form:</w:t>
      </w:r>
    </w:p>
    <w:p>
      <w:pPr>
        <w:spacing w:after="0" w:line="225" w:lineRule="exact"/>
        <w:rPr>
          <w:sz w:val="20"/>
          <w:szCs w:val="20"/>
          <w:color w:val="auto"/>
        </w:rPr>
      </w:pPr>
    </w:p>
    <w:p>
      <w:pPr>
        <w:ind w:right="140" w:firstLine="440"/>
        <w:spacing w:after="0" w:line="254" w:lineRule="auto"/>
        <w:rPr>
          <w:sz w:val="20"/>
          <w:szCs w:val="20"/>
          <w:color w:val="auto"/>
        </w:rPr>
      </w:pPr>
      <w:r>
        <w:rPr>
          <w:rFonts w:ascii="Arial" w:cs="Arial" w:eastAsia="Arial" w:hAnsi="Arial"/>
          <w:sz w:val="18"/>
          <w:szCs w:val="18"/>
          <w:color w:val="auto"/>
        </w:rPr>
        <w:t>“THIS SECURITY IS A GLOBAL SECURITY WITHIN THE MEANING OF THE INDENTURE HEREINAFTER REFERRED TO AND IS REGISTERED IN THE NAME OF THE DEPOSITARY OR A NOMINEE OF THE DEPOSITARY. THIS SECURITY IS EXCHANGEABLE FOR SECURITIES REGISTERED IN THE NAME OF A PERSON OTHER THAN THE DEPOSITARY OR ITS NOMINEE ONLY IN THE LIMITED CIRCUMSTANCES DESCRIBED IN THE INDENTURE, AND MAY NOT BE TRANSFERRED EXCEPT AS A WHOLE BY THE DEPOSITARY TO A NOMINEE OF THE DEPOSITARY, BY A NOMINEE OF THE DEPOSITARY TO THE DEPOSITARY OR ANOTHER NOMINEE OF THE DEPOSITARY OR BY THE DEPOSITARY OR ANY SUCH NOMINEE TO A SUCCESSOR DEPOSITARY OR A NOMINEE OF SUCH A SUCCESSOR DEPOSITARY.”</w:t>
      </w:r>
    </w:p>
    <w:p>
      <w:pPr>
        <w:spacing w:after="0" w:line="195" w:lineRule="exact"/>
        <w:rPr>
          <w:sz w:val="20"/>
          <w:szCs w:val="20"/>
          <w:color w:val="auto"/>
        </w:rPr>
      </w:pPr>
    </w:p>
    <w:p>
      <w:pPr>
        <w:ind w:right="120" w:firstLine="440"/>
        <w:spacing w:after="0" w:line="277" w:lineRule="auto"/>
        <w:rPr>
          <w:sz w:val="20"/>
          <w:szCs w:val="20"/>
          <w:color w:val="auto"/>
        </w:rPr>
      </w:pPr>
      <w:r>
        <w:rPr>
          <w:rFonts w:ascii="Arial" w:cs="Arial" w:eastAsia="Arial" w:hAnsi="Arial"/>
          <w:sz w:val="18"/>
          <w:szCs w:val="18"/>
          <w:color w:val="auto"/>
        </w:rPr>
        <w:t>In addition, so long as the Depository Trust Company (“DTC”) is the Depositary, each Global Note registered in the name of DTC or its nominee shall bear a legend in substantially the following form:</w:t>
      </w:r>
    </w:p>
    <w:p>
      <w:pPr>
        <w:spacing w:after="0" w:line="170" w:lineRule="exact"/>
        <w:rPr>
          <w:sz w:val="20"/>
          <w:szCs w:val="20"/>
          <w:color w:val="auto"/>
        </w:rPr>
      </w:pPr>
    </w:p>
    <w:p>
      <w:pPr>
        <w:ind w:firstLine="440"/>
        <w:spacing w:after="0" w:line="254" w:lineRule="auto"/>
        <w:rPr>
          <w:sz w:val="20"/>
          <w:szCs w:val="20"/>
          <w:color w:val="auto"/>
        </w:rPr>
      </w:pPr>
      <w:r>
        <w:rPr>
          <w:rFonts w:ascii="Arial" w:cs="Arial" w:eastAsia="Arial" w:hAnsi="Arial"/>
          <w:sz w:val="18"/>
          <w:szCs w:val="18"/>
          <w:color w:val="auto"/>
        </w:rPr>
        <w:t>“UNLESS THIS GLOBAL NOTE IS PRESENTED BY AN AUTHORIZED REPRESENTATIVE OF THE DEPOSITORY TRUST COMPANY, A NEW YORK CORPORATION (“DTC”), TO THE COMPANY OR ITS AGENT FOR REGISTRATION OF TRANSFER, EXCHANGE OR PAYMENT, AND ANY GLOBAL NOTE ISSUED IS REGISTERED IN THE NAME OF CEDE &amp; CO. OR IN SUCH OTHER NAME AS IS REQUESTED BY AN AUTHORIZED REPRESENTATIVE OF DTC (AND ANY PAYMENT IS MADE TO CEDE &amp; CO. OR TO SUCH OTHER ENTITY AS IS REQUESTED BY AN AUTHORIZED REPRESENTATIVE OF DTC), ANY TRANSFER, PLEDGE OR OTHER USE HEREOF FOR VALUE OR OTHERWISE BY OR TO ANY PERSON IS WRONGFUL INASMUCH AS THE REGISTERED OWNER HEREOF, CEDE &amp; CO., HAS AN INTEREST HEREIN.”</w:t>
      </w:r>
    </w:p>
    <w:p>
      <w:pPr>
        <w:spacing w:after="0" w:line="12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11</w:t>
      </w:r>
    </w:p>
    <w:p>
      <w:pPr>
        <w:sectPr>
          <w:pgSz w:w="11900" w:h="16838" w:orient="portrait"/>
          <w:cols w:equalWidth="0" w:num="1">
            <w:col w:w="11020"/>
          </w:cols>
          <w:pgMar w:left="440" w:top="274" w:right="439" w:bottom="1440" w:gutter="0" w:footer="0" w:header="0"/>
        </w:sectPr>
      </w:pPr>
    </w:p>
    <w:bookmarkStart w:id="129" w:name="page130"/>
    <w:bookmarkEnd w:id="129"/>
    <w:p>
      <w:pPr>
        <w:ind w:right="60" w:firstLine="991"/>
        <w:spacing w:after="0" w:line="308" w:lineRule="auto"/>
        <w:rPr>
          <w:sz w:val="20"/>
          <w:szCs w:val="20"/>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174" name="Picture 1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4"/>
                    <pic:cNvPicPr>
                      <a:picLocks noChangeAspect="1" noChangeArrowheads="1"/>
                    </pic:cNvPicPr>
                  </pic:nvPicPr>
                  <pic:blipFill>
                    <a:blip r:embed="rId196">
                      <a:extLst>
                        <a:ext uri="{28A0092B-C50C-407E-A947-70E740481C1C}"/>
                      </a:extLst>
                    </a:blip>
                    <a:srcRect/>
                    <a:stretch>
                      <a:fillRect/>
                    </a:stretch>
                  </pic:blipFill>
                  <pic:spPr bwMode="auto">
                    <a:xfrm>
                      <a:off x="0" y="0"/>
                      <a:ext cx="7149465" cy="25400"/>
                    </a:xfrm>
                    <a:prstGeom prst="rect">
                      <a:avLst/>
                    </a:prstGeom>
                    <a:noFill/>
                  </pic:spPr>
                </pic:pic>
              </a:graphicData>
            </a:graphic>
          </wp:anchor>
        </w:drawing>
        <w:t xml:space="preserve">2.14.4. </w:t>
      </w:r>
      <w:r>
        <w:rPr>
          <w:rFonts w:ascii="Arial" w:cs="Arial" w:eastAsia="Arial" w:hAnsi="Arial"/>
          <w:sz w:val="17"/>
          <w:szCs w:val="17"/>
          <w:u w:val="single" w:color="auto"/>
          <w:color w:val="auto"/>
        </w:rPr>
        <w:t>Acts of Holders</w:t>
      </w:r>
      <w:r>
        <w:rPr>
          <w:rFonts w:ascii="Arial" w:cs="Arial" w:eastAsia="Arial" w:hAnsi="Arial"/>
          <w:sz w:val="17"/>
          <w:szCs w:val="17"/>
          <w:color w:val="auto"/>
        </w:rPr>
        <w:t>. The Depositary, as a Holder, may appoint agents and otherwise authorize participants to give or take any request, demand, authorization, direction, notice, consent, waiver or other action which a Holder is entitled to give or take under the Indenture.</w:t>
      </w:r>
    </w:p>
    <w:p>
      <w:pPr>
        <w:spacing w:after="0" w:line="146" w:lineRule="exact"/>
        <w:rPr>
          <w:sz w:val="20"/>
          <w:szCs w:val="20"/>
          <w:color w:val="auto"/>
        </w:rPr>
      </w:pPr>
    </w:p>
    <w:p>
      <w:pPr>
        <w:ind w:right="420" w:firstLine="991"/>
        <w:spacing w:after="0" w:line="277" w:lineRule="auto"/>
        <w:rPr>
          <w:sz w:val="20"/>
          <w:szCs w:val="20"/>
          <w:color w:val="auto"/>
        </w:rPr>
      </w:pPr>
      <w:r>
        <w:rPr>
          <w:rFonts w:ascii="Arial" w:cs="Arial" w:eastAsia="Arial" w:hAnsi="Arial"/>
          <w:sz w:val="18"/>
          <w:szCs w:val="18"/>
          <w:color w:val="auto"/>
        </w:rPr>
        <w:t xml:space="preserve">2.14.5. </w:t>
      </w:r>
      <w:r>
        <w:rPr>
          <w:rFonts w:ascii="Arial" w:cs="Arial" w:eastAsia="Arial" w:hAnsi="Arial"/>
          <w:sz w:val="18"/>
          <w:szCs w:val="18"/>
          <w:u w:val="single" w:color="auto"/>
          <w:color w:val="auto"/>
        </w:rPr>
        <w:t>Payments</w:t>
      </w:r>
      <w:r>
        <w:rPr>
          <w:rFonts w:ascii="Arial" w:cs="Arial" w:eastAsia="Arial" w:hAnsi="Arial"/>
          <w:sz w:val="18"/>
          <w:szCs w:val="18"/>
          <w:color w:val="auto"/>
        </w:rPr>
        <w:t>. Notwithstanding the other provisions of this Indenture, unless otherwise specified as contemplated by Section 2.2, payment of the principal of and interest, if any, on any Global Security shall be made to the Holder thereof.</w:t>
      </w:r>
    </w:p>
    <w:p>
      <w:pPr>
        <w:spacing w:after="0" w:line="170" w:lineRule="exact"/>
        <w:rPr>
          <w:sz w:val="20"/>
          <w:szCs w:val="20"/>
          <w:color w:val="auto"/>
        </w:rPr>
      </w:pPr>
    </w:p>
    <w:p>
      <w:pPr>
        <w:ind w:firstLine="991"/>
        <w:spacing w:after="0" w:line="259" w:lineRule="auto"/>
        <w:rPr>
          <w:sz w:val="20"/>
          <w:szCs w:val="20"/>
          <w:color w:val="auto"/>
        </w:rPr>
      </w:pPr>
      <w:r>
        <w:rPr>
          <w:rFonts w:ascii="Arial" w:cs="Arial" w:eastAsia="Arial" w:hAnsi="Arial"/>
          <w:sz w:val="18"/>
          <w:szCs w:val="18"/>
          <w:color w:val="auto"/>
        </w:rPr>
        <w:t xml:space="preserve">2.14.6. </w:t>
      </w:r>
      <w:r>
        <w:rPr>
          <w:rFonts w:ascii="Arial" w:cs="Arial" w:eastAsia="Arial" w:hAnsi="Arial"/>
          <w:sz w:val="18"/>
          <w:szCs w:val="18"/>
          <w:u w:val="single" w:color="auto"/>
          <w:color w:val="auto"/>
        </w:rPr>
        <w:t>Consents, Declaration and Directions</w:t>
      </w:r>
      <w:r>
        <w:rPr>
          <w:rFonts w:ascii="Arial" w:cs="Arial" w:eastAsia="Arial" w:hAnsi="Arial"/>
          <w:sz w:val="18"/>
          <w:szCs w:val="18"/>
          <w:color w:val="auto"/>
        </w:rPr>
        <w:t>. The Company, the Trustee and any Agent shall treat a person as the Holder of such principal amount of outstanding Securities of such Series represented by a Global Security as shall be specified in a written statement of the Depositary or by the applicable procedures of such Depositary with respect to such Global Security, for purposes of obtaining any consents, declarations, waivers or directions required to be given by the Holders pursuant to this Indenture.</w:t>
      </w:r>
    </w:p>
    <w:p>
      <w:pPr>
        <w:spacing w:after="0" w:line="187" w:lineRule="exact"/>
        <w:rPr>
          <w:sz w:val="20"/>
          <w:szCs w:val="20"/>
          <w:color w:val="auto"/>
        </w:rPr>
      </w:pPr>
    </w:p>
    <w:p>
      <w:pPr>
        <w:ind w:left="440"/>
        <w:spacing w:after="0"/>
        <w:rPr>
          <w:sz w:val="20"/>
          <w:szCs w:val="20"/>
          <w:color w:val="auto"/>
        </w:rPr>
      </w:pPr>
      <w:r>
        <w:rPr>
          <w:rFonts w:ascii="Arial" w:cs="Arial" w:eastAsia="Arial" w:hAnsi="Arial"/>
          <w:sz w:val="18"/>
          <w:szCs w:val="18"/>
          <w:color w:val="auto"/>
        </w:rPr>
        <w:t xml:space="preserve">Section 2.15. </w:t>
      </w:r>
      <w:r>
        <w:rPr>
          <w:rFonts w:ascii="Arial" w:cs="Arial" w:eastAsia="Arial" w:hAnsi="Arial"/>
          <w:sz w:val="18"/>
          <w:szCs w:val="18"/>
          <w:u w:val="single" w:color="auto"/>
          <w:color w:val="auto"/>
        </w:rPr>
        <w:t>CUSIP Numbers</w:t>
      </w:r>
      <w:r>
        <w:rPr>
          <w:rFonts w:ascii="Arial" w:cs="Arial" w:eastAsia="Arial" w:hAnsi="Arial"/>
          <w:sz w:val="18"/>
          <w:szCs w:val="18"/>
          <w:color w:val="auto"/>
        </w:rPr>
        <w:t>.</w:t>
      </w:r>
    </w:p>
    <w:p>
      <w:pPr>
        <w:spacing w:after="0" w:line="225" w:lineRule="exact"/>
        <w:rPr>
          <w:sz w:val="20"/>
          <w:szCs w:val="20"/>
          <w:color w:val="auto"/>
        </w:rPr>
      </w:pPr>
    </w:p>
    <w:p>
      <w:pPr>
        <w:ind w:right="40" w:firstLine="440"/>
        <w:spacing w:after="0" w:line="301" w:lineRule="auto"/>
        <w:rPr>
          <w:sz w:val="20"/>
          <w:szCs w:val="20"/>
          <w:color w:val="auto"/>
        </w:rPr>
      </w:pPr>
      <w:r>
        <w:rPr>
          <w:rFonts w:ascii="Arial" w:cs="Arial" w:eastAsia="Arial" w:hAnsi="Arial"/>
          <w:sz w:val="16"/>
          <w:szCs w:val="16"/>
          <w:color w:val="auto"/>
        </w:rPr>
        <w:t xml:space="preserve">The Company in issuing the Securities may use “CUSIP” numbers (if then generally in use), and, if so, the Trustee shall use “CUSIP” numbers in notices of redemption as a convenience to Holders;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that any such notice may state that no representation is made as to the correctness of such numbers either as printed on the Securities or as contained in any notice of a redemption and that reliance may be placed only on the other elements of identification printed on the Securities, and any such redemption shall not be affected by any defect in or omission of such numbers.</w:t>
      </w:r>
    </w:p>
    <w:p>
      <w:pPr>
        <w:spacing w:after="0" w:line="373"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ARTICLE III.</w:t>
      </w:r>
    </w:p>
    <w:p>
      <w:pPr>
        <w:spacing w:after="0" w:line="23"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REDEMPTION</w:t>
      </w:r>
    </w:p>
    <w:p>
      <w:pPr>
        <w:spacing w:after="0" w:line="211" w:lineRule="exact"/>
        <w:rPr>
          <w:sz w:val="20"/>
          <w:szCs w:val="20"/>
          <w:color w:val="auto"/>
        </w:rPr>
      </w:pPr>
    </w:p>
    <w:p>
      <w:pPr>
        <w:ind w:left="440"/>
        <w:spacing w:after="0"/>
        <w:rPr>
          <w:sz w:val="20"/>
          <w:szCs w:val="20"/>
          <w:color w:val="auto"/>
        </w:rPr>
      </w:pPr>
      <w:r>
        <w:rPr>
          <w:rFonts w:ascii="Arial" w:cs="Arial" w:eastAsia="Arial" w:hAnsi="Arial"/>
          <w:sz w:val="18"/>
          <w:szCs w:val="18"/>
          <w:color w:val="auto"/>
        </w:rPr>
        <w:t xml:space="preserve">Section 3.1. </w:t>
      </w:r>
      <w:r>
        <w:rPr>
          <w:rFonts w:ascii="Arial" w:cs="Arial" w:eastAsia="Arial" w:hAnsi="Arial"/>
          <w:sz w:val="18"/>
          <w:szCs w:val="18"/>
          <w:u w:val="single" w:color="auto"/>
          <w:color w:val="auto"/>
        </w:rPr>
        <w:t>Notice to Trustee</w:t>
      </w:r>
      <w:r>
        <w:rPr>
          <w:rFonts w:ascii="Arial" w:cs="Arial" w:eastAsia="Arial" w:hAnsi="Arial"/>
          <w:sz w:val="18"/>
          <w:szCs w:val="18"/>
          <w:color w:val="auto"/>
        </w:rPr>
        <w:t>.</w:t>
      </w:r>
    </w:p>
    <w:p>
      <w:pPr>
        <w:spacing w:after="0" w:line="225" w:lineRule="exact"/>
        <w:rPr>
          <w:sz w:val="20"/>
          <w:szCs w:val="20"/>
          <w:color w:val="auto"/>
        </w:rPr>
      </w:pPr>
    </w:p>
    <w:p>
      <w:pPr>
        <w:ind w:right="60" w:firstLine="440"/>
        <w:spacing w:after="0" w:line="255" w:lineRule="auto"/>
        <w:rPr>
          <w:sz w:val="20"/>
          <w:szCs w:val="20"/>
          <w:color w:val="auto"/>
        </w:rPr>
      </w:pPr>
      <w:r>
        <w:rPr>
          <w:rFonts w:ascii="Arial" w:cs="Arial" w:eastAsia="Arial" w:hAnsi="Arial"/>
          <w:sz w:val="18"/>
          <w:szCs w:val="18"/>
          <w:color w:val="auto"/>
        </w:rPr>
        <w:t>The Company may, with respect to any Series of Securities, reserve the right to redeem and pay the Series of Securities or may covenant to redeem and pay the Series of Securities or any part thereof prior to the Stated Maturity thereof at such time and on such terms as provided for in such Securities. If a Series of Securities is redeemable and the Company wants or is obligated to redeem prior to the Stated Maturity thereof all or part of the Series of Securities pursuant to the terms of such Securities, it shall notify the Trustee in writing of the redemption date and the principal amount of Series of Securities to be redeemed. The Company shall give the notice at least 15 days before the redemption date, unless a shorter period is satisfactory to the Trustee.</w:t>
      </w:r>
    </w:p>
    <w:p>
      <w:pPr>
        <w:spacing w:after="0" w:line="192" w:lineRule="exact"/>
        <w:rPr>
          <w:sz w:val="20"/>
          <w:szCs w:val="20"/>
          <w:color w:val="auto"/>
        </w:rPr>
      </w:pPr>
    </w:p>
    <w:p>
      <w:pPr>
        <w:ind w:left="440"/>
        <w:spacing w:after="0"/>
        <w:rPr>
          <w:sz w:val="20"/>
          <w:szCs w:val="20"/>
          <w:color w:val="auto"/>
        </w:rPr>
      </w:pPr>
      <w:r>
        <w:rPr>
          <w:rFonts w:ascii="Arial" w:cs="Arial" w:eastAsia="Arial" w:hAnsi="Arial"/>
          <w:sz w:val="18"/>
          <w:szCs w:val="18"/>
          <w:color w:val="auto"/>
        </w:rPr>
        <w:t xml:space="preserve">Section 3.2. </w:t>
      </w:r>
      <w:r>
        <w:rPr>
          <w:rFonts w:ascii="Arial" w:cs="Arial" w:eastAsia="Arial" w:hAnsi="Arial"/>
          <w:sz w:val="18"/>
          <w:szCs w:val="18"/>
          <w:u w:val="single" w:color="auto"/>
          <w:color w:val="auto"/>
        </w:rPr>
        <w:t>Selection of Securities to be Redeemed</w:t>
      </w:r>
      <w:r>
        <w:rPr>
          <w:rFonts w:ascii="Arial" w:cs="Arial" w:eastAsia="Arial" w:hAnsi="Arial"/>
          <w:sz w:val="18"/>
          <w:szCs w:val="18"/>
          <w:color w:val="auto"/>
        </w:rPr>
        <w:t>.</w:t>
      </w:r>
    </w:p>
    <w:p>
      <w:pPr>
        <w:spacing w:after="0" w:line="225" w:lineRule="exact"/>
        <w:rPr>
          <w:sz w:val="20"/>
          <w:szCs w:val="20"/>
          <w:color w:val="auto"/>
        </w:rPr>
      </w:pPr>
    </w:p>
    <w:p>
      <w:pPr>
        <w:ind w:firstLine="440"/>
        <w:spacing w:after="0" w:line="287" w:lineRule="auto"/>
        <w:rPr>
          <w:sz w:val="20"/>
          <w:szCs w:val="20"/>
          <w:color w:val="auto"/>
        </w:rPr>
      </w:pPr>
      <w:r>
        <w:rPr>
          <w:rFonts w:ascii="Arial" w:cs="Arial" w:eastAsia="Arial" w:hAnsi="Arial"/>
          <w:sz w:val="16"/>
          <w:szCs w:val="16"/>
          <w:color w:val="auto"/>
        </w:rPr>
        <w:t>Unless otherwise indicated for a particular Series by a Board Resolution, a supplemental indenture hereto or an Officer’s Certificate, if less than all the Securities of a Series are to be redeemed, the Securities of the Series to be redeemed will be selected as follows: (a) if the Securities are in the form of Global Securities, in accordance with the procedures of the Depositary, (b) if the Securities are listed on any national securities exchange, in compliance with the requirements of the principal national securities exchange, if any, on which the Securities are listed, or (c) if not otherwise provided for under clause (a) or (b) in the manner that the Trustee deems fair and appropriate, including by lot or other method, unless otherwise required by law or applicable stock exchange requirements, subject, in the case of Global Securities, to the applicable rules and procedures of the Depositary. The Securities to be redeemed shall be selected from Securities of the Series outstanding not previously called for redemption. Portions of the principal of Securities of the Series that have denominations larger than $1,000 may be selected for redemption. Securities of the Series and portions of them it selected for redemption shall be in amounts of $1,000 or whole multiples of $1,000 or, with respect to Securities of any Series issuable in other denominations pursuant to Section 2.2.10, the minimum principal denomination for each Series and the authorized integral multiples thereof. Provisions of this Indenture that apply to Securities of a Series called for redemption also apply to portions of Securities of that Series called for redemption.</w:t>
      </w:r>
    </w:p>
    <w:p>
      <w:pPr>
        <w:spacing w:after="0" w:line="104"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12</w:t>
      </w:r>
    </w:p>
    <w:p>
      <w:pPr>
        <w:sectPr>
          <w:pgSz w:w="11900" w:h="16838" w:orient="portrait"/>
          <w:cols w:equalWidth="0" w:num="1">
            <w:col w:w="10960"/>
          </w:cols>
          <w:pgMar w:left="440" w:top="274" w:right="499" w:bottom="1440" w:gutter="0" w:footer="0" w:header="0"/>
        </w:sectPr>
      </w:pPr>
    </w:p>
    <w:bookmarkStart w:id="130" w:name="page131"/>
    <w:bookmarkEnd w:id="130"/>
    <w:p>
      <w:pPr>
        <w:ind w:left="440"/>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175" name="Picture 1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5"/>
                    <pic:cNvPicPr>
                      <a:picLocks noChangeAspect="1" noChangeArrowheads="1"/>
                    </pic:cNvPicPr>
                  </pic:nvPicPr>
                  <pic:blipFill>
                    <a:blip r:embed="rId197">
                      <a:extLst>
                        <a:ext uri="{28A0092B-C50C-407E-A947-70E740481C1C}"/>
                      </a:extLst>
                    </a:blip>
                    <a:srcRect/>
                    <a:stretch>
                      <a:fillRect/>
                    </a:stretch>
                  </pic:blipFill>
                  <pic:spPr bwMode="auto">
                    <a:xfrm>
                      <a:off x="0" y="0"/>
                      <a:ext cx="7149465" cy="25400"/>
                    </a:xfrm>
                    <a:prstGeom prst="rect">
                      <a:avLst/>
                    </a:prstGeom>
                    <a:noFill/>
                  </pic:spPr>
                </pic:pic>
              </a:graphicData>
            </a:graphic>
          </wp:anchor>
        </w:drawing>
        <w:t xml:space="preserve">Section 3.3. </w:t>
      </w:r>
      <w:r>
        <w:rPr>
          <w:rFonts w:ascii="Arial" w:cs="Arial" w:eastAsia="Arial" w:hAnsi="Arial"/>
          <w:sz w:val="18"/>
          <w:szCs w:val="18"/>
          <w:u w:val="single" w:color="auto"/>
          <w:color w:val="auto"/>
        </w:rPr>
        <w:t>Notice of Redemption</w:t>
      </w:r>
      <w:r>
        <w:rPr>
          <w:rFonts w:ascii="Arial" w:cs="Arial" w:eastAsia="Arial" w:hAnsi="Arial"/>
          <w:sz w:val="18"/>
          <w:szCs w:val="18"/>
          <w:color w:val="auto"/>
        </w:rPr>
        <w:t>.</w:t>
      </w:r>
    </w:p>
    <w:p>
      <w:pPr>
        <w:spacing w:after="0" w:line="225" w:lineRule="exact"/>
        <w:rPr>
          <w:sz w:val="20"/>
          <w:szCs w:val="20"/>
          <w:color w:val="auto"/>
        </w:rPr>
      </w:pPr>
    </w:p>
    <w:p>
      <w:pPr>
        <w:ind w:firstLine="440"/>
        <w:spacing w:after="0" w:line="286" w:lineRule="auto"/>
        <w:rPr>
          <w:sz w:val="20"/>
          <w:szCs w:val="20"/>
          <w:color w:val="auto"/>
        </w:rPr>
      </w:pPr>
      <w:r>
        <w:rPr>
          <w:rFonts w:ascii="Arial" w:cs="Arial" w:eastAsia="Arial" w:hAnsi="Arial"/>
          <w:sz w:val="17"/>
          <w:szCs w:val="17"/>
          <w:color w:val="auto"/>
        </w:rPr>
        <w:t>Unless otherwise indicated for a particular Series by Board Resolution, a supplemental indenture hereto or an Officer’s Certificate, at least 15 days but not more than 60 days before a redemption date, the Company shall send or cause to be sent by first-class mail or electronically, in accordance with the procedures of the Depositary, a notice of redemption to each Holder whose Securities are to be redeemed.</w:t>
      </w:r>
    </w:p>
    <w:p>
      <w:pPr>
        <w:spacing w:after="0" w:line="165" w:lineRule="exact"/>
        <w:rPr>
          <w:sz w:val="20"/>
          <w:szCs w:val="20"/>
          <w:color w:val="auto"/>
        </w:rPr>
      </w:pPr>
    </w:p>
    <w:p>
      <w:pPr>
        <w:ind w:left="440"/>
        <w:spacing w:after="0"/>
        <w:rPr>
          <w:sz w:val="20"/>
          <w:szCs w:val="20"/>
          <w:color w:val="auto"/>
        </w:rPr>
      </w:pPr>
      <w:r>
        <w:rPr>
          <w:rFonts w:ascii="Arial" w:cs="Arial" w:eastAsia="Arial" w:hAnsi="Arial"/>
          <w:sz w:val="18"/>
          <w:szCs w:val="18"/>
          <w:color w:val="auto"/>
        </w:rPr>
        <w:t>The notice shall identify the Securities of the Series to be redeemed and shall state:</w:t>
      </w:r>
    </w:p>
    <w:p>
      <w:pPr>
        <w:spacing w:after="0" w:line="117" w:lineRule="exact"/>
        <w:rPr>
          <w:sz w:val="20"/>
          <w:szCs w:val="20"/>
          <w:color w:val="auto"/>
        </w:rPr>
      </w:pPr>
    </w:p>
    <w:p>
      <w:pPr>
        <w:ind w:left="1100" w:hanging="241"/>
        <w:spacing w:after="0"/>
        <w:tabs>
          <w:tab w:leader="none" w:pos="1100" w:val="left"/>
        </w:tabs>
        <w:numPr>
          <w:ilvl w:val="0"/>
          <w:numId w:val="100"/>
        </w:numPr>
        <w:rPr>
          <w:rFonts w:ascii="Arial" w:cs="Arial" w:eastAsia="Arial" w:hAnsi="Arial"/>
          <w:sz w:val="18"/>
          <w:szCs w:val="18"/>
          <w:color w:val="auto"/>
        </w:rPr>
      </w:pPr>
      <w:r>
        <w:rPr>
          <w:rFonts w:ascii="Arial" w:cs="Arial" w:eastAsia="Arial" w:hAnsi="Arial"/>
          <w:sz w:val="18"/>
          <w:szCs w:val="18"/>
          <w:color w:val="auto"/>
        </w:rPr>
        <w:t>the redemption date;</w:t>
      </w:r>
    </w:p>
    <w:p>
      <w:pPr>
        <w:spacing w:after="0" w:line="117" w:lineRule="exact"/>
        <w:rPr>
          <w:rFonts w:ascii="Arial" w:cs="Arial" w:eastAsia="Arial" w:hAnsi="Arial"/>
          <w:sz w:val="18"/>
          <w:szCs w:val="18"/>
          <w:color w:val="auto"/>
        </w:rPr>
      </w:pPr>
    </w:p>
    <w:p>
      <w:pPr>
        <w:ind w:left="1120" w:hanging="261"/>
        <w:spacing w:after="0"/>
        <w:tabs>
          <w:tab w:leader="none" w:pos="1120" w:val="left"/>
        </w:tabs>
        <w:numPr>
          <w:ilvl w:val="0"/>
          <w:numId w:val="100"/>
        </w:numPr>
        <w:rPr>
          <w:rFonts w:ascii="Arial" w:cs="Arial" w:eastAsia="Arial" w:hAnsi="Arial"/>
          <w:sz w:val="18"/>
          <w:szCs w:val="18"/>
          <w:color w:val="auto"/>
        </w:rPr>
      </w:pPr>
      <w:r>
        <w:rPr>
          <w:rFonts w:ascii="Arial" w:cs="Arial" w:eastAsia="Arial" w:hAnsi="Arial"/>
          <w:sz w:val="18"/>
          <w:szCs w:val="18"/>
          <w:color w:val="auto"/>
        </w:rPr>
        <w:t>the redemption price;</w:t>
      </w:r>
    </w:p>
    <w:p>
      <w:pPr>
        <w:spacing w:after="0" w:line="117" w:lineRule="exact"/>
        <w:rPr>
          <w:rFonts w:ascii="Arial" w:cs="Arial" w:eastAsia="Arial" w:hAnsi="Arial"/>
          <w:sz w:val="18"/>
          <w:szCs w:val="18"/>
          <w:color w:val="auto"/>
        </w:rPr>
      </w:pPr>
    </w:p>
    <w:p>
      <w:pPr>
        <w:ind w:left="1100" w:hanging="241"/>
        <w:spacing w:after="0"/>
        <w:tabs>
          <w:tab w:leader="none" w:pos="1100" w:val="left"/>
        </w:tabs>
        <w:numPr>
          <w:ilvl w:val="0"/>
          <w:numId w:val="100"/>
        </w:numPr>
        <w:rPr>
          <w:rFonts w:ascii="Arial" w:cs="Arial" w:eastAsia="Arial" w:hAnsi="Arial"/>
          <w:sz w:val="18"/>
          <w:szCs w:val="18"/>
          <w:color w:val="auto"/>
        </w:rPr>
      </w:pPr>
      <w:r>
        <w:rPr>
          <w:rFonts w:ascii="Arial" w:cs="Arial" w:eastAsia="Arial" w:hAnsi="Arial"/>
          <w:sz w:val="18"/>
          <w:szCs w:val="18"/>
          <w:color w:val="auto"/>
        </w:rPr>
        <w:t>the name and address of the Paying Agent;</w:t>
      </w:r>
    </w:p>
    <w:p>
      <w:pPr>
        <w:spacing w:after="0" w:line="117" w:lineRule="exact"/>
        <w:rPr>
          <w:rFonts w:ascii="Arial" w:cs="Arial" w:eastAsia="Arial" w:hAnsi="Arial"/>
          <w:sz w:val="18"/>
          <w:szCs w:val="18"/>
          <w:color w:val="auto"/>
        </w:rPr>
      </w:pPr>
    </w:p>
    <w:p>
      <w:pPr>
        <w:jc w:val="both"/>
        <w:ind w:left="440" w:right="360" w:firstLine="419"/>
        <w:spacing w:after="0" w:line="286" w:lineRule="auto"/>
        <w:tabs>
          <w:tab w:leader="none" w:pos="1118" w:val="left"/>
        </w:tabs>
        <w:numPr>
          <w:ilvl w:val="0"/>
          <w:numId w:val="100"/>
        </w:numPr>
        <w:rPr>
          <w:rFonts w:ascii="Arial" w:cs="Arial" w:eastAsia="Arial" w:hAnsi="Arial"/>
          <w:sz w:val="17"/>
          <w:szCs w:val="17"/>
          <w:color w:val="auto"/>
        </w:rPr>
      </w:pPr>
      <w:r>
        <w:rPr>
          <w:rFonts w:ascii="Arial" w:cs="Arial" w:eastAsia="Arial" w:hAnsi="Arial"/>
          <w:sz w:val="17"/>
          <w:szCs w:val="17"/>
          <w:color w:val="auto"/>
        </w:rPr>
        <w:t>if any Securities are being redeemed in part, the portion of the principal amount of such Securities to be redeemed and that, after the redemption date and upon surrender of such Security, a new Security or Securities in principal amount equal to the unredeemed portion of the original Security shall be issued in the name of the Holder thereof upon cancellation of the original Security;</w:t>
      </w:r>
    </w:p>
    <w:p>
      <w:pPr>
        <w:spacing w:after="0" w:line="57" w:lineRule="exact"/>
        <w:rPr>
          <w:rFonts w:ascii="Arial" w:cs="Arial" w:eastAsia="Arial" w:hAnsi="Arial"/>
          <w:sz w:val="17"/>
          <w:szCs w:val="17"/>
          <w:color w:val="auto"/>
        </w:rPr>
      </w:pPr>
    </w:p>
    <w:p>
      <w:pPr>
        <w:ind w:left="1100" w:hanging="241"/>
        <w:spacing w:after="0"/>
        <w:tabs>
          <w:tab w:leader="none" w:pos="1100" w:val="left"/>
        </w:tabs>
        <w:numPr>
          <w:ilvl w:val="0"/>
          <w:numId w:val="100"/>
        </w:numPr>
        <w:rPr>
          <w:rFonts w:ascii="Arial" w:cs="Arial" w:eastAsia="Arial" w:hAnsi="Arial"/>
          <w:sz w:val="18"/>
          <w:szCs w:val="18"/>
          <w:color w:val="auto"/>
        </w:rPr>
      </w:pPr>
      <w:r>
        <w:rPr>
          <w:rFonts w:ascii="Arial" w:cs="Arial" w:eastAsia="Arial" w:hAnsi="Arial"/>
          <w:sz w:val="18"/>
          <w:szCs w:val="18"/>
          <w:color w:val="auto"/>
        </w:rPr>
        <w:t>that Securities of the Series called for redemption must be surrendered to the Paying Agent to collect the redemption price;</w:t>
      </w:r>
    </w:p>
    <w:p>
      <w:pPr>
        <w:spacing w:after="0" w:line="117" w:lineRule="exact"/>
        <w:rPr>
          <w:rFonts w:ascii="Arial" w:cs="Arial" w:eastAsia="Arial" w:hAnsi="Arial"/>
          <w:sz w:val="18"/>
          <w:szCs w:val="18"/>
          <w:color w:val="auto"/>
        </w:rPr>
      </w:pPr>
    </w:p>
    <w:p>
      <w:pPr>
        <w:ind w:left="440" w:right="460" w:firstLine="419"/>
        <w:spacing w:after="0" w:line="277" w:lineRule="auto"/>
        <w:tabs>
          <w:tab w:leader="none" w:pos="1088" w:val="left"/>
        </w:tabs>
        <w:numPr>
          <w:ilvl w:val="0"/>
          <w:numId w:val="100"/>
        </w:numPr>
        <w:rPr>
          <w:rFonts w:ascii="Arial" w:cs="Arial" w:eastAsia="Arial" w:hAnsi="Arial"/>
          <w:sz w:val="18"/>
          <w:szCs w:val="18"/>
          <w:color w:val="auto"/>
        </w:rPr>
      </w:pPr>
      <w:r>
        <w:rPr>
          <w:rFonts w:ascii="Arial" w:cs="Arial" w:eastAsia="Arial" w:hAnsi="Arial"/>
          <w:sz w:val="18"/>
          <w:szCs w:val="18"/>
          <w:color w:val="auto"/>
        </w:rPr>
        <w:t>that interest on Securities of the Series called for redemption ceases to accrue on and after the redemption date unless the Company defaults in the deposit of the redemption price;</w:t>
      </w:r>
    </w:p>
    <w:p>
      <w:pPr>
        <w:spacing w:after="0" w:line="62" w:lineRule="exact"/>
        <w:rPr>
          <w:rFonts w:ascii="Arial" w:cs="Arial" w:eastAsia="Arial" w:hAnsi="Arial"/>
          <w:sz w:val="18"/>
          <w:szCs w:val="18"/>
          <w:color w:val="auto"/>
        </w:rPr>
      </w:pPr>
    </w:p>
    <w:p>
      <w:pPr>
        <w:ind w:left="1120" w:hanging="261"/>
        <w:spacing w:after="0"/>
        <w:tabs>
          <w:tab w:leader="none" w:pos="1120" w:val="left"/>
        </w:tabs>
        <w:numPr>
          <w:ilvl w:val="0"/>
          <w:numId w:val="100"/>
        </w:numPr>
        <w:rPr>
          <w:rFonts w:ascii="Arial" w:cs="Arial" w:eastAsia="Arial" w:hAnsi="Arial"/>
          <w:sz w:val="18"/>
          <w:szCs w:val="18"/>
          <w:color w:val="auto"/>
        </w:rPr>
      </w:pPr>
      <w:r>
        <w:rPr>
          <w:rFonts w:ascii="Arial" w:cs="Arial" w:eastAsia="Arial" w:hAnsi="Arial"/>
          <w:sz w:val="18"/>
          <w:szCs w:val="18"/>
          <w:color w:val="auto"/>
        </w:rPr>
        <w:t>the CUSIP number, if any; and</w:t>
      </w:r>
    </w:p>
    <w:p>
      <w:pPr>
        <w:spacing w:after="0" w:line="117" w:lineRule="exact"/>
        <w:rPr>
          <w:rFonts w:ascii="Arial" w:cs="Arial" w:eastAsia="Arial" w:hAnsi="Arial"/>
          <w:sz w:val="18"/>
          <w:szCs w:val="18"/>
          <w:color w:val="auto"/>
        </w:rPr>
      </w:pPr>
    </w:p>
    <w:p>
      <w:pPr>
        <w:ind w:left="1120" w:hanging="261"/>
        <w:spacing w:after="0"/>
        <w:tabs>
          <w:tab w:leader="none" w:pos="1120" w:val="left"/>
        </w:tabs>
        <w:numPr>
          <w:ilvl w:val="0"/>
          <w:numId w:val="100"/>
        </w:numPr>
        <w:rPr>
          <w:rFonts w:ascii="Arial" w:cs="Arial" w:eastAsia="Arial" w:hAnsi="Arial"/>
          <w:sz w:val="18"/>
          <w:szCs w:val="18"/>
          <w:color w:val="auto"/>
        </w:rPr>
      </w:pPr>
      <w:r>
        <w:rPr>
          <w:rFonts w:ascii="Arial" w:cs="Arial" w:eastAsia="Arial" w:hAnsi="Arial"/>
          <w:sz w:val="18"/>
          <w:szCs w:val="18"/>
          <w:color w:val="auto"/>
        </w:rPr>
        <w:t>any other information as may be required by the terms of the particular Series or the Securities of a Series being redeemed.</w:t>
      </w:r>
    </w:p>
    <w:p>
      <w:pPr>
        <w:spacing w:after="0" w:line="225" w:lineRule="exact"/>
        <w:rPr>
          <w:sz w:val="20"/>
          <w:szCs w:val="20"/>
          <w:color w:val="auto"/>
        </w:rPr>
      </w:pPr>
    </w:p>
    <w:p>
      <w:pPr>
        <w:ind w:right="120" w:firstLine="440"/>
        <w:spacing w:after="0" w:line="286" w:lineRule="auto"/>
        <w:rPr>
          <w:sz w:val="20"/>
          <w:szCs w:val="20"/>
          <w:color w:val="auto"/>
        </w:rPr>
      </w:pPr>
      <w:r>
        <w:rPr>
          <w:rFonts w:ascii="Arial" w:cs="Arial" w:eastAsia="Arial" w:hAnsi="Arial"/>
          <w:sz w:val="17"/>
          <w:szCs w:val="17"/>
          <w:color w:val="auto"/>
        </w:rPr>
        <w:t>At the Company’s request, the Trustee shall give the notice of redemption in the Company’s name and at its expense, provided, however, that the Company has delivered to the Trustee, at least 10 days (unless a shorter time shall be acceptable to the Trustee) prior to the notice date, an Officer’s Certificate requesting that the Trustee give such notice and setting forth the information to be stated in such notice.</w:t>
      </w:r>
    </w:p>
    <w:p>
      <w:pPr>
        <w:spacing w:after="0" w:line="165" w:lineRule="exact"/>
        <w:rPr>
          <w:sz w:val="20"/>
          <w:szCs w:val="20"/>
          <w:color w:val="auto"/>
        </w:rPr>
      </w:pPr>
    </w:p>
    <w:p>
      <w:pPr>
        <w:ind w:left="440"/>
        <w:spacing w:after="0"/>
        <w:rPr>
          <w:sz w:val="20"/>
          <w:szCs w:val="20"/>
          <w:color w:val="auto"/>
        </w:rPr>
      </w:pPr>
      <w:r>
        <w:rPr>
          <w:rFonts w:ascii="Arial" w:cs="Arial" w:eastAsia="Arial" w:hAnsi="Arial"/>
          <w:sz w:val="18"/>
          <w:szCs w:val="18"/>
          <w:color w:val="auto"/>
        </w:rPr>
        <w:t xml:space="preserve">Section 3.4. </w:t>
      </w:r>
      <w:r>
        <w:rPr>
          <w:rFonts w:ascii="Arial" w:cs="Arial" w:eastAsia="Arial" w:hAnsi="Arial"/>
          <w:sz w:val="18"/>
          <w:szCs w:val="18"/>
          <w:u w:val="single" w:color="auto"/>
          <w:color w:val="auto"/>
        </w:rPr>
        <w:t>Effect of Notice of Redemption</w:t>
      </w:r>
      <w:r>
        <w:rPr>
          <w:rFonts w:ascii="Arial" w:cs="Arial" w:eastAsia="Arial" w:hAnsi="Arial"/>
          <w:sz w:val="18"/>
          <w:szCs w:val="18"/>
          <w:color w:val="auto"/>
        </w:rPr>
        <w:t>.</w:t>
      </w:r>
    </w:p>
    <w:p>
      <w:pPr>
        <w:spacing w:after="0" w:line="225" w:lineRule="exact"/>
        <w:rPr>
          <w:sz w:val="20"/>
          <w:szCs w:val="20"/>
          <w:color w:val="auto"/>
        </w:rPr>
      </w:pPr>
    </w:p>
    <w:p>
      <w:pPr>
        <w:ind w:right="20" w:firstLine="440"/>
        <w:spacing w:after="0" w:line="259" w:lineRule="auto"/>
        <w:rPr>
          <w:sz w:val="20"/>
          <w:szCs w:val="20"/>
          <w:color w:val="auto"/>
        </w:rPr>
      </w:pPr>
      <w:r>
        <w:rPr>
          <w:rFonts w:ascii="Arial" w:cs="Arial" w:eastAsia="Arial" w:hAnsi="Arial"/>
          <w:sz w:val="18"/>
          <w:szCs w:val="18"/>
          <w:color w:val="auto"/>
        </w:rPr>
        <w:t>Once notice of redemption is sent as provided in Section 3.3, Securities of a Series called for redemption become due and payable on the redemption date and at the redemption price. Except as otherwise provided in the supplemental indenture, Board Resolution or Officer’s Certificate for a Series, a notice of redemption may not be conditional. Upon surrender to the Paying Agent, such Securities shall be paid at the redemption price plus accrued interest to the redemption date.</w:t>
      </w:r>
    </w:p>
    <w:p>
      <w:pPr>
        <w:spacing w:after="0" w:line="187" w:lineRule="exact"/>
        <w:rPr>
          <w:sz w:val="20"/>
          <w:szCs w:val="20"/>
          <w:color w:val="auto"/>
        </w:rPr>
      </w:pPr>
    </w:p>
    <w:p>
      <w:pPr>
        <w:ind w:left="440"/>
        <w:spacing w:after="0"/>
        <w:rPr>
          <w:sz w:val="20"/>
          <w:szCs w:val="20"/>
          <w:color w:val="auto"/>
        </w:rPr>
      </w:pPr>
      <w:r>
        <w:rPr>
          <w:rFonts w:ascii="Arial" w:cs="Arial" w:eastAsia="Arial" w:hAnsi="Arial"/>
          <w:sz w:val="18"/>
          <w:szCs w:val="18"/>
          <w:color w:val="auto"/>
        </w:rPr>
        <w:t xml:space="preserve">Section 3.5. </w:t>
      </w:r>
      <w:r>
        <w:rPr>
          <w:rFonts w:ascii="Arial" w:cs="Arial" w:eastAsia="Arial" w:hAnsi="Arial"/>
          <w:sz w:val="18"/>
          <w:szCs w:val="18"/>
          <w:u w:val="single" w:color="auto"/>
          <w:color w:val="auto"/>
        </w:rPr>
        <w:t>Deposit of Redemption Price</w:t>
      </w:r>
      <w:r>
        <w:rPr>
          <w:rFonts w:ascii="Arial" w:cs="Arial" w:eastAsia="Arial" w:hAnsi="Arial"/>
          <w:sz w:val="18"/>
          <w:szCs w:val="18"/>
          <w:color w:val="auto"/>
        </w:rPr>
        <w:t>.</w:t>
      </w:r>
    </w:p>
    <w:p>
      <w:pPr>
        <w:spacing w:after="0" w:line="225" w:lineRule="exact"/>
        <w:rPr>
          <w:sz w:val="20"/>
          <w:szCs w:val="20"/>
          <w:color w:val="auto"/>
        </w:rPr>
      </w:pPr>
    </w:p>
    <w:p>
      <w:pPr>
        <w:ind w:right="140" w:firstLine="440"/>
        <w:spacing w:after="0" w:line="277" w:lineRule="auto"/>
        <w:rPr>
          <w:sz w:val="20"/>
          <w:szCs w:val="20"/>
          <w:color w:val="auto"/>
        </w:rPr>
      </w:pPr>
      <w:r>
        <w:rPr>
          <w:rFonts w:ascii="Arial" w:cs="Arial" w:eastAsia="Arial" w:hAnsi="Arial"/>
          <w:sz w:val="18"/>
          <w:szCs w:val="18"/>
          <w:color w:val="auto"/>
        </w:rPr>
        <w:t>On or before 11:00 a.m., New York City time, on the redemption date, the Company shall deposit with the Paying Agent money sufficient to pay the redemption price of and accrued interest, if any, on all Securities to be redeemed on that date.</w:t>
      </w:r>
    </w:p>
    <w:p>
      <w:pPr>
        <w:spacing w:after="0" w:line="170" w:lineRule="exact"/>
        <w:rPr>
          <w:sz w:val="20"/>
          <w:szCs w:val="20"/>
          <w:color w:val="auto"/>
        </w:rPr>
      </w:pPr>
    </w:p>
    <w:p>
      <w:pPr>
        <w:ind w:left="440"/>
        <w:spacing w:after="0"/>
        <w:rPr>
          <w:sz w:val="20"/>
          <w:szCs w:val="20"/>
          <w:color w:val="auto"/>
        </w:rPr>
      </w:pPr>
      <w:r>
        <w:rPr>
          <w:rFonts w:ascii="Arial" w:cs="Arial" w:eastAsia="Arial" w:hAnsi="Arial"/>
          <w:sz w:val="18"/>
          <w:szCs w:val="18"/>
          <w:color w:val="auto"/>
        </w:rPr>
        <w:t xml:space="preserve">Section 3.6. </w:t>
      </w:r>
      <w:r>
        <w:rPr>
          <w:rFonts w:ascii="Arial" w:cs="Arial" w:eastAsia="Arial" w:hAnsi="Arial"/>
          <w:sz w:val="18"/>
          <w:szCs w:val="18"/>
          <w:u w:val="single" w:color="auto"/>
          <w:color w:val="auto"/>
        </w:rPr>
        <w:t>Securities Redeemed in Part</w:t>
      </w:r>
      <w:r>
        <w:rPr>
          <w:rFonts w:ascii="Arial" w:cs="Arial" w:eastAsia="Arial" w:hAnsi="Arial"/>
          <w:sz w:val="18"/>
          <w:szCs w:val="18"/>
          <w:color w:val="auto"/>
        </w:rPr>
        <w:t>.</w:t>
      </w:r>
    </w:p>
    <w:p>
      <w:pPr>
        <w:spacing w:after="0" w:line="15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13</w:t>
      </w:r>
    </w:p>
    <w:p>
      <w:pPr>
        <w:sectPr>
          <w:pgSz w:w="11900" w:h="16838" w:orient="portrait"/>
          <w:cols w:equalWidth="0" w:num="1">
            <w:col w:w="11000"/>
          </w:cols>
          <w:pgMar w:left="440" w:top="274" w:right="459" w:bottom="1440" w:gutter="0" w:footer="0" w:header="0"/>
        </w:sectPr>
      </w:pPr>
    </w:p>
    <w:bookmarkStart w:id="131" w:name="page132"/>
    <w:bookmarkEnd w:id="131"/>
    <w:p>
      <w:pPr>
        <w:ind w:right="60" w:firstLine="440"/>
        <w:spacing w:after="0" w:line="277"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176" name="Picture 1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6"/>
                    <pic:cNvPicPr>
                      <a:picLocks noChangeAspect="1" noChangeArrowheads="1"/>
                    </pic:cNvPicPr>
                  </pic:nvPicPr>
                  <pic:blipFill>
                    <a:blip r:embed="rId198">
                      <a:extLst>
                        <a:ext uri="{28A0092B-C50C-407E-A947-70E740481C1C}"/>
                      </a:extLst>
                    </a:blip>
                    <a:srcRect/>
                    <a:stretch>
                      <a:fillRect/>
                    </a:stretch>
                  </pic:blipFill>
                  <pic:spPr bwMode="auto">
                    <a:xfrm>
                      <a:off x="0" y="0"/>
                      <a:ext cx="7149465" cy="25400"/>
                    </a:xfrm>
                    <a:prstGeom prst="rect">
                      <a:avLst/>
                    </a:prstGeom>
                    <a:noFill/>
                  </pic:spPr>
                </pic:pic>
              </a:graphicData>
            </a:graphic>
          </wp:anchor>
        </w:drawing>
        <w:t>Upon surrender of a Security that is redeemed in part, the Trustee shall authenticate for the Holder a new Security of the same Series and the same maturity equal in principal amount to the unredeemed portion of the Security surrendered.</w:t>
      </w:r>
    </w:p>
    <w:p>
      <w:pPr>
        <w:spacing w:after="0" w:line="386" w:lineRule="exact"/>
        <w:rPr>
          <w:sz w:val="20"/>
          <w:szCs w:val="20"/>
          <w:color w:val="auto"/>
        </w:rPr>
      </w:pPr>
    </w:p>
    <w:p>
      <w:pPr>
        <w:ind w:left="5000"/>
        <w:spacing w:after="0"/>
        <w:rPr>
          <w:sz w:val="20"/>
          <w:szCs w:val="20"/>
          <w:color w:val="auto"/>
        </w:rPr>
      </w:pPr>
      <w:r>
        <w:rPr>
          <w:rFonts w:ascii="Arial" w:cs="Arial" w:eastAsia="Arial" w:hAnsi="Arial"/>
          <w:sz w:val="18"/>
          <w:szCs w:val="18"/>
          <w:color w:val="auto"/>
        </w:rPr>
        <w:t>ARTICLE IV.</w:t>
      </w:r>
    </w:p>
    <w:p>
      <w:pPr>
        <w:spacing w:after="0" w:line="23" w:lineRule="exact"/>
        <w:rPr>
          <w:sz w:val="20"/>
          <w:szCs w:val="20"/>
          <w:color w:val="auto"/>
        </w:rPr>
      </w:pPr>
    </w:p>
    <w:p>
      <w:pPr>
        <w:ind w:left="4960"/>
        <w:spacing w:after="0"/>
        <w:rPr>
          <w:sz w:val="20"/>
          <w:szCs w:val="20"/>
          <w:color w:val="auto"/>
        </w:rPr>
      </w:pPr>
      <w:r>
        <w:rPr>
          <w:rFonts w:ascii="Arial" w:cs="Arial" w:eastAsia="Arial" w:hAnsi="Arial"/>
          <w:sz w:val="18"/>
          <w:szCs w:val="18"/>
          <w:color w:val="auto"/>
        </w:rPr>
        <w:t>COVENANTS</w:t>
      </w:r>
    </w:p>
    <w:p>
      <w:pPr>
        <w:spacing w:after="0" w:line="211" w:lineRule="exact"/>
        <w:rPr>
          <w:sz w:val="20"/>
          <w:szCs w:val="20"/>
          <w:color w:val="auto"/>
        </w:rPr>
      </w:pPr>
    </w:p>
    <w:p>
      <w:pPr>
        <w:ind w:left="440"/>
        <w:spacing w:after="0"/>
        <w:rPr>
          <w:sz w:val="20"/>
          <w:szCs w:val="20"/>
          <w:color w:val="auto"/>
        </w:rPr>
      </w:pPr>
      <w:r>
        <w:rPr>
          <w:rFonts w:ascii="Arial" w:cs="Arial" w:eastAsia="Arial" w:hAnsi="Arial"/>
          <w:sz w:val="18"/>
          <w:szCs w:val="18"/>
          <w:color w:val="auto"/>
        </w:rPr>
        <w:t xml:space="preserve">Section 4.1. </w:t>
      </w:r>
      <w:r>
        <w:rPr>
          <w:rFonts w:ascii="Arial" w:cs="Arial" w:eastAsia="Arial" w:hAnsi="Arial"/>
          <w:sz w:val="18"/>
          <w:szCs w:val="18"/>
          <w:u w:val="single" w:color="auto"/>
          <w:color w:val="auto"/>
        </w:rPr>
        <w:t>Payment of Principal and Interest</w:t>
      </w:r>
      <w:r>
        <w:rPr>
          <w:rFonts w:ascii="Arial" w:cs="Arial" w:eastAsia="Arial" w:hAnsi="Arial"/>
          <w:sz w:val="18"/>
          <w:szCs w:val="18"/>
          <w:color w:val="auto"/>
        </w:rPr>
        <w:t>.</w:t>
      </w:r>
    </w:p>
    <w:p>
      <w:pPr>
        <w:spacing w:after="0" w:line="225" w:lineRule="exact"/>
        <w:rPr>
          <w:sz w:val="20"/>
          <w:szCs w:val="20"/>
          <w:color w:val="auto"/>
        </w:rPr>
      </w:pPr>
    </w:p>
    <w:p>
      <w:pPr>
        <w:ind w:right="140" w:firstLine="440"/>
        <w:spacing w:after="0" w:line="279" w:lineRule="auto"/>
        <w:rPr>
          <w:sz w:val="20"/>
          <w:szCs w:val="20"/>
          <w:color w:val="auto"/>
        </w:rPr>
      </w:pPr>
      <w:r>
        <w:rPr>
          <w:rFonts w:ascii="Arial" w:cs="Arial" w:eastAsia="Arial" w:hAnsi="Arial"/>
          <w:sz w:val="17"/>
          <w:szCs w:val="17"/>
          <w:color w:val="auto"/>
        </w:rPr>
        <w:t>The Company covenants and agrees for the benefit of the Holders of each Series of Securities that it will duly and punctually pay the principal of and interest, if any, on the Securities of that Series in accordance with the terms of such Securities and this Indenture. On or before 11:00 a.m., New York City time, on the applicable payment date, the Company shall deposit with the Paying Agent money sufficient to pay the principal of and interest, if any, on the Securities of each Series in accordance with the terms of such Securities and this Indenture.</w:t>
      </w:r>
    </w:p>
    <w:p>
      <w:pPr>
        <w:spacing w:after="0" w:line="171" w:lineRule="exact"/>
        <w:rPr>
          <w:sz w:val="20"/>
          <w:szCs w:val="20"/>
          <w:color w:val="auto"/>
        </w:rPr>
      </w:pPr>
    </w:p>
    <w:p>
      <w:pPr>
        <w:ind w:left="440"/>
        <w:spacing w:after="0"/>
        <w:rPr>
          <w:sz w:val="20"/>
          <w:szCs w:val="20"/>
          <w:color w:val="auto"/>
        </w:rPr>
      </w:pPr>
      <w:r>
        <w:rPr>
          <w:rFonts w:ascii="Arial" w:cs="Arial" w:eastAsia="Arial" w:hAnsi="Arial"/>
          <w:sz w:val="18"/>
          <w:szCs w:val="18"/>
          <w:color w:val="auto"/>
        </w:rPr>
        <w:t xml:space="preserve">Section 4.2. </w:t>
      </w:r>
      <w:r>
        <w:rPr>
          <w:rFonts w:ascii="Arial" w:cs="Arial" w:eastAsia="Arial" w:hAnsi="Arial"/>
          <w:sz w:val="18"/>
          <w:szCs w:val="18"/>
          <w:u w:val="single" w:color="auto"/>
          <w:color w:val="auto"/>
        </w:rPr>
        <w:t>SEC Reports</w:t>
      </w:r>
      <w:r>
        <w:rPr>
          <w:rFonts w:ascii="Arial" w:cs="Arial" w:eastAsia="Arial" w:hAnsi="Arial"/>
          <w:sz w:val="18"/>
          <w:szCs w:val="18"/>
          <w:color w:val="auto"/>
        </w:rPr>
        <w:t>.</w:t>
      </w:r>
    </w:p>
    <w:p>
      <w:pPr>
        <w:spacing w:after="0" w:line="225" w:lineRule="exact"/>
        <w:rPr>
          <w:sz w:val="20"/>
          <w:szCs w:val="20"/>
          <w:color w:val="auto"/>
        </w:rPr>
      </w:pPr>
    </w:p>
    <w:p>
      <w:pPr>
        <w:ind w:right="60" w:firstLine="440"/>
        <w:spacing w:after="0" w:line="275" w:lineRule="auto"/>
        <w:rPr>
          <w:sz w:val="20"/>
          <w:szCs w:val="20"/>
          <w:color w:val="auto"/>
        </w:rPr>
      </w:pPr>
      <w:r>
        <w:rPr>
          <w:rFonts w:ascii="Arial" w:cs="Arial" w:eastAsia="Arial" w:hAnsi="Arial"/>
          <w:sz w:val="17"/>
          <w:szCs w:val="17"/>
          <w:color w:val="auto"/>
        </w:rPr>
        <w:t>To the extent any Securities of a Series are outstanding, the Company shall deliver to the Trustee within 15 days after it files them with the SEC copies of the annual reports and of the information, documents, and other reports (or copies of such portions of any of the foregoing as the SEC may by rules and regulations prescribe) which the Company is required to file with the SEC pursuant to Section 13 or 15(d) of the Exchange Act. The Company also shall comply with the other provisions of TIA § 314(a). Reports, information and documents filed with the SEC via the EDGAR system will be deemed to be delivered to the Trustee as of the time of such filing via EDGAR for purposes of this Section 4.2.</w:t>
      </w:r>
    </w:p>
    <w:p>
      <w:pPr>
        <w:spacing w:after="0" w:line="176" w:lineRule="exact"/>
        <w:rPr>
          <w:sz w:val="20"/>
          <w:szCs w:val="20"/>
          <w:color w:val="auto"/>
        </w:rPr>
      </w:pPr>
    </w:p>
    <w:p>
      <w:pPr>
        <w:ind w:right="120" w:firstLine="440"/>
        <w:spacing w:after="0" w:line="259" w:lineRule="auto"/>
        <w:rPr>
          <w:sz w:val="20"/>
          <w:szCs w:val="20"/>
          <w:color w:val="auto"/>
        </w:rPr>
      </w:pPr>
      <w:r>
        <w:rPr>
          <w:rFonts w:ascii="Arial" w:cs="Arial" w:eastAsia="Arial" w:hAnsi="Arial"/>
          <w:sz w:val="18"/>
          <w:szCs w:val="18"/>
          <w:color w:val="auto"/>
        </w:rPr>
        <w:t>Delivery of reports, information and documents to the Trustee under this Section 4.2 are for informational purposes only and the Trustee’s receipt of the foregoing shall not constitute constructive or actual notice of any information contained therein or determinable from information contained therein, including the Company’s compliance with any of their covenants hereunder (as to which the Trustee is entitled to rely exclusively on Officer’s Certificates).</w:t>
      </w:r>
    </w:p>
    <w:p>
      <w:pPr>
        <w:spacing w:after="0" w:line="187" w:lineRule="exact"/>
        <w:rPr>
          <w:sz w:val="20"/>
          <w:szCs w:val="20"/>
          <w:color w:val="auto"/>
        </w:rPr>
      </w:pPr>
    </w:p>
    <w:p>
      <w:pPr>
        <w:ind w:left="440"/>
        <w:spacing w:after="0"/>
        <w:rPr>
          <w:sz w:val="20"/>
          <w:szCs w:val="20"/>
          <w:color w:val="auto"/>
        </w:rPr>
      </w:pPr>
      <w:r>
        <w:rPr>
          <w:rFonts w:ascii="Arial" w:cs="Arial" w:eastAsia="Arial" w:hAnsi="Arial"/>
          <w:sz w:val="18"/>
          <w:szCs w:val="18"/>
          <w:color w:val="auto"/>
        </w:rPr>
        <w:t xml:space="preserve">Section 4.3. </w:t>
      </w:r>
      <w:r>
        <w:rPr>
          <w:rFonts w:ascii="Arial" w:cs="Arial" w:eastAsia="Arial" w:hAnsi="Arial"/>
          <w:sz w:val="18"/>
          <w:szCs w:val="18"/>
          <w:u w:val="single" w:color="auto"/>
          <w:color w:val="auto"/>
        </w:rPr>
        <w:t>Compliance Certificate</w:t>
      </w:r>
      <w:r>
        <w:rPr>
          <w:rFonts w:ascii="Arial" w:cs="Arial" w:eastAsia="Arial" w:hAnsi="Arial"/>
          <w:sz w:val="18"/>
          <w:szCs w:val="18"/>
          <w:color w:val="auto"/>
        </w:rPr>
        <w:t>.</w:t>
      </w:r>
    </w:p>
    <w:p>
      <w:pPr>
        <w:spacing w:after="0" w:line="225" w:lineRule="exact"/>
        <w:rPr>
          <w:sz w:val="20"/>
          <w:szCs w:val="20"/>
          <w:color w:val="auto"/>
        </w:rPr>
      </w:pPr>
    </w:p>
    <w:p>
      <w:pPr>
        <w:ind w:firstLine="440"/>
        <w:spacing w:after="0" w:line="272" w:lineRule="auto"/>
        <w:rPr>
          <w:sz w:val="20"/>
          <w:szCs w:val="20"/>
          <w:color w:val="auto"/>
        </w:rPr>
      </w:pPr>
      <w:r>
        <w:rPr>
          <w:rFonts w:ascii="Arial" w:cs="Arial" w:eastAsia="Arial" w:hAnsi="Arial"/>
          <w:sz w:val="17"/>
          <w:szCs w:val="17"/>
          <w:color w:val="auto"/>
        </w:rPr>
        <w:t>To the extent any Securities of a Series are outstanding, the Company shall deliver to the Trustee, within 120 days after the end of each fiscal year of the Company, an Officer’s Certificate stating that a review of the activities of the Company and its Subsidiaries during the preceding fiscal year has been made under the supervision of the signing Officers with a view to determining whether the Company has kept, observed, performed and fulfilled its obligations under this Indenture, and further stating, as to each such Officer signing such certificate, that to the best of his/her knowledge the Company has kept, observed, performed and fulfilled each and every covenant contained in this Indenture and is not in default in the performance or observance of any of the terms, provisions and conditions hereof (or, if a Default or Event of Default shall have occurred, describing all such Defaults or Events of Default of which the Officer may have knowledge).</w:t>
      </w:r>
    </w:p>
    <w:p>
      <w:pPr>
        <w:spacing w:after="0" w:line="177" w:lineRule="exact"/>
        <w:rPr>
          <w:sz w:val="20"/>
          <w:szCs w:val="20"/>
          <w:color w:val="auto"/>
        </w:rPr>
      </w:pPr>
    </w:p>
    <w:p>
      <w:pPr>
        <w:ind w:left="440"/>
        <w:spacing w:after="0"/>
        <w:rPr>
          <w:sz w:val="20"/>
          <w:szCs w:val="20"/>
          <w:color w:val="auto"/>
        </w:rPr>
      </w:pPr>
      <w:r>
        <w:rPr>
          <w:rFonts w:ascii="Arial" w:cs="Arial" w:eastAsia="Arial" w:hAnsi="Arial"/>
          <w:sz w:val="18"/>
          <w:szCs w:val="18"/>
          <w:color w:val="auto"/>
        </w:rPr>
        <w:t xml:space="preserve">Section 4.4. </w:t>
      </w:r>
      <w:r>
        <w:rPr>
          <w:rFonts w:ascii="Arial" w:cs="Arial" w:eastAsia="Arial" w:hAnsi="Arial"/>
          <w:sz w:val="18"/>
          <w:szCs w:val="18"/>
          <w:u w:val="single" w:color="auto"/>
          <w:color w:val="auto"/>
        </w:rPr>
        <w:t>Stay, Extension and Usury Laws</w:t>
      </w:r>
      <w:r>
        <w:rPr>
          <w:rFonts w:ascii="Arial" w:cs="Arial" w:eastAsia="Arial" w:hAnsi="Arial"/>
          <w:sz w:val="18"/>
          <w:szCs w:val="18"/>
          <w:color w:val="auto"/>
        </w:rPr>
        <w:t>.</w:t>
      </w:r>
    </w:p>
    <w:p>
      <w:pPr>
        <w:spacing w:after="0" w:line="225" w:lineRule="exact"/>
        <w:rPr>
          <w:sz w:val="20"/>
          <w:szCs w:val="20"/>
          <w:color w:val="auto"/>
        </w:rPr>
      </w:pPr>
    </w:p>
    <w:p>
      <w:pPr>
        <w:ind w:right="20" w:firstLine="440"/>
        <w:spacing w:after="0" w:line="275" w:lineRule="auto"/>
        <w:rPr>
          <w:sz w:val="20"/>
          <w:szCs w:val="20"/>
          <w:color w:val="auto"/>
        </w:rPr>
      </w:pPr>
      <w:r>
        <w:rPr>
          <w:rFonts w:ascii="Arial" w:cs="Arial" w:eastAsia="Arial" w:hAnsi="Arial"/>
          <w:sz w:val="17"/>
          <w:szCs w:val="17"/>
          <w:color w:val="auto"/>
        </w:rPr>
        <w:t>The Company covenants (to the extent that it may lawfully do so) that it will not at any time insist upon, plead, or in any manner whatsoever claim or take the benefit or advantage of, any stay, extension or usury law wherever enacted, now or at any time hereafter in force, which may affect the covenants or the performance of this Indenture or the Securities; and the Company (to the extent it may lawfully do so) hereby expressly waives all benefit or advantage of any such law and covenants that it will not, by resort to any such law, hinder, delay or impede the execution of any power herein granted to the Trustee, but will suffer and permit the execution of every such power as though no such law has been enacted.</w:t>
      </w:r>
    </w:p>
    <w:p>
      <w:pPr>
        <w:spacing w:after="0" w:line="39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ARTICLE V.</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SUCCESSORS</w:t>
      </w:r>
    </w:p>
    <w:p>
      <w:pPr>
        <w:spacing w:after="0" w:line="14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14</w:t>
      </w:r>
    </w:p>
    <w:p>
      <w:pPr>
        <w:sectPr>
          <w:pgSz w:w="11900" w:h="16838" w:orient="portrait"/>
          <w:cols w:equalWidth="0" w:num="1">
            <w:col w:w="11020"/>
          </w:cols>
          <w:pgMar w:left="440" w:top="274" w:right="439" w:bottom="1440" w:gutter="0" w:footer="0" w:header="0"/>
        </w:sectPr>
      </w:pPr>
    </w:p>
    <w:bookmarkStart w:id="132" w:name="page133"/>
    <w:bookmarkEnd w:id="132"/>
    <w:p>
      <w:pPr>
        <w:ind w:left="440"/>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177" name="Picture 1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7"/>
                    <pic:cNvPicPr>
                      <a:picLocks noChangeAspect="1" noChangeArrowheads="1"/>
                    </pic:cNvPicPr>
                  </pic:nvPicPr>
                  <pic:blipFill>
                    <a:blip r:embed="rId199">
                      <a:extLst>
                        <a:ext uri="{28A0092B-C50C-407E-A947-70E740481C1C}"/>
                      </a:extLst>
                    </a:blip>
                    <a:srcRect/>
                    <a:stretch>
                      <a:fillRect/>
                    </a:stretch>
                  </pic:blipFill>
                  <pic:spPr bwMode="auto">
                    <a:xfrm>
                      <a:off x="0" y="0"/>
                      <a:ext cx="7149465" cy="25400"/>
                    </a:xfrm>
                    <a:prstGeom prst="rect">
                      <a:avLst/>
                    </a:prstGeom>
                    <a:noFill/>
                  </pic:spPr>
                </pic:pic>
              </a:graphicData>
            </a:graphic>
          </wp:anchor>
        </w:drawing>
        <w:t xml:space="preserve">Section 5.1. </w:t>
      </w:r>
      <w:r>
        <w:rPr>
          <w:rFonts w:ascii="Arial" w:cs="Arial" w:eastAsia="Arial" w:hAnsi="Arial"/>
          <w:sz w:val="18"/>
          <w:szCs w:val="18"/>
          <w:u w:val="single" w:color="auto"/>
          <w:color w:val="auto"/>
        </w:rPr>
        <w:t>When Company May Merge, Etc</w:t>
      </w:r>
      <w:r>
        <w:rPr>
          <w:rFonts w:ascii="Arial" w:cs="Arial" w:eastAsia="Arial" w:hAnsi="Arial"/>
          <w:sz w:val="18"/>
          <w:szCs w:val="18"/>
          <w:color w:val="auto"/>
        </w:rPr>
        <w:t>.</w:t>
      </w:r>
    </w:p>
    <w:p>
      <w:pPr>
        <w:spacing w:after="0" w:line="225" w:lineRule="exact"/>
        <w:rPr>
          <w:sz w:val="20"/>
          <w:szCs w:val="20"/>
          <w:color w:val="auto"/>
        </w:rPr>
      </w:pPr>
    </w:p>
    <w:p>
      <w:pPr>
        <w:ind w:right="280" w:firstLine="440"/>
        <w:spacing w:after="0" w:line="277" w:lineRule="auto"/>
        <w:rPr>
          <w:sz w:val="20"/>
          <w:szCs w:val="20"/>
          <w:color w:val="auto"/>
        </w:rPr>
      </w:pPr>
      <w:r>
        <w:rPr>
          <w:rFonts w:ascii="Arial" w:cs="Arial" w:eastAsia="Arial" w:hAnsi="Arial"/>
          <w:sz w:val="18"/>
          <w:szCs w:val="18"/>
          <w:color w:val="auto"/>
        </w:rPr>
        <w:t>The Company shall not consolidate with or merge with or into, or convey, transfer or lease all or substantially all of its properties and assets to, any person (a “</w:t>
      </w:r>
      <w:r>
        <w:rPr>
          <w:rFonts w:ascii="Arial" w:cs="Arial" w:eastAsia="Arial" w:hAnsi="Arial"/>
          <w:sz w:val="18"/>
          <w:szCs w:val="18"/>
          <w:i w:val="1"/>
          <w:iCs w:val="1"/>
          <w:color w:val="auto"/>
        </w:rPr>
        <w:t>successor person</w:t>
      </w:r>
      <w:r>
        <w:rPr>
          <w:rFonts w:ascii="Arial" w:cs="Arial" w:eastAsia="Arial" w:hAnsi="Arial"/>
          <w:sz w:val="18"/>
          <w:szCs w:val="18"/>
          <w:color w:val="auto"/>
        </w:rPr>
        <w:t>”) unless:</w:t>
      </w:r>
    </w:p>
    <w:p>
      <w:pPr>
        <w:spacing w:after="0" w:line="62" w:lineRule="exact"/>
        <w:rPr>
          <w:sz w:val="20"/>
          <w:szCs w:val="20"/>
          <w:color w:val="auto"/>
        </w:rPr>
      </w:pPr>
    </w:p>
    <w:p>
      <w:pPr>
        <w:ind w:left="440" w:right="360" w:firstLine="419"/>
        <w:spacing w:after="0" w:line="263" w:lineRule="auto"/>
        <w:tabs>
          <w:tab w:leader="none" w:pos="1108" w:val="left"/>
        </w:tabs>
        <w:numPr>
          <w:ilvl w:val="0"/>
          <w:numId w:val="101"/>
        </w:numPr>
        <w:rPr>
          <w:rFonts w:ascii="Arial" w:cs="Arial" w:eastAsia="Arial" w:hAnsi="Arial"/>
          <w:sz w:val="18"/>
          <w:szCs w:val="18"/>
          <w:color w:val="auto"/>
        </w:rPr>
      </w:pPr>
      <w:r>
        <w:rPr>
          <w:rFonts w:ascii="Arial" w:cs="Arial" w:eastAsia="Arial" w:hAnsi="Arial"/>
          <w:sz w:val="18"/>
          <w:szCs w:val="18"/>
          <w:color w:val="auto"/>
        </w:rPr>
        <w:t>the Company is the surviving corporation or the successor person (if other than the Company) is a corporation organized and validly existing under the laws of any U.S. domestic jurisdiction and expressly assumes the Company’s obligations on the Securities and under this Indenture; and</w:t>
      </w:r>
    </w:p>
    <w:p>
      <w:pPr>
        <w:spacing w:after="0" w:line="75" w:lineRule="exact"/>
        <w:rPr>
          <w:rFonts w:ascii="Arial" w:cs="Arial" w:eastAsia="Arial" w:hAnsi="Arial"/>
          <w:sz w:val="18"/>
          <w:szCs w:val="18"/>
          <w:color w:val="auto"/>
        </w:rPr>
      </w:pPr>
    </w:p>
    <w:p>
      <w:pPr>
        <w:ind w:left="1120" w:hanging="261"/>
        <w:spacing w:after="0"/>
        <w:tabs>
          <w:tab w:leader="none" w:pos="1120" w:val="left"/>
        </w:tabs>
        <w:numPr>
          <w:ilvl w:val="0"/>
          <w:numId w:val="101"/>
        </w:numPr>
        <w:rPr>
          <w:rFonts w:ascii="Arial" w:cs="Arial" w:eastAsia="Arial" w:hAnsi="Arial"/>
          <w:sz w:val="18"/>
          <w:szCs w:val="18"/>
          <w:color w:val="auto"/>
        </w:rPr>
      </w:pPr>
      <w:r>
        <w:rPr>
          <w:rFonts w:ascii="Arial" w:cs="Arial" w:eastAsia="Arial" w:hAnsi="Arial"/>
          <w:sz w:val="18"/>
          <w:szCs w:val="18"/>
          <w:color w:val="auto"/>
        </w:rPr>
        <w:t>immediately after giving effect to the transaction, no Default or Event of Default, shall have occurred and be continuing.</w:t>
      </w:r>
    </w:p>
    <w:p>
      <w:pPr>
        <w:spacing w:after="0" w:line="225" w:lineRule="exact"/>
        <w:rPr>
          <w:sz w:val="20"/>
          <w:szCs w:val="20"/>
          <w:color w:val="auto"/>
        </w:rPr>
      </w:pPr>
    </w:p>
    <w:p>
      <w:pPr>
        <w:ind w:right="280" w:firstLine="440"/>
        <w:spacing w:after="0" w:line="308" w:lineRule="auto"/>
        <w:rPr>
          <w:sz w:val="20"/>
          <w:szCs w:val="20"/>
          <w:color w:val="auto"/>
        </w:rPr>
      </w:pPr>
      <w:r>
        <w:rPr>
          <w:rFonts w:ascii="Arial" w:cs="Arial" w:eastAsia="Arial" w:hAnsi="Arial"/>
          <w:sz w:val="17"/>
          <w:szCs w:val="17"/>
          <w:color w:val="auto"/>
        </w:rPr>
        <w:t>The Company shall deliver to the Trustee prior to the consummation of the proposed transaction an Officer’s Certificate to the foregoing effect and an Opinion of Counsel stating that the proposed transaction and any supplemental indenture comply with this Indenture.</w:t>
      </w:r>
    </w:p>
    <w:p>
      <w:pPr>
        <w:spacing w:after="0" w:line="146" w:lineRule="exact"/>
        <w:rPr>
          <w:sz w:val="20"/>
          <w:szCs w:val="20"/>
          <w:color w:val="auto"/>
        </w:rPr>
      </w:pPr>
    </w:p>
    <w:p>
      <w:pPr>
        <w:ind w:right="660" w:firstLine="440"/>
        <w:spacing w:after="0" w:line="308" w:lineRule="auto"/>
        <w:rPr>
          <w:sz w:val="20"/>
          <w:szCs w:val="20"/>
          <w:color w:val="auto"/>
        </w:rPr>
      </w:pPr>
      <w:r>
        <w:rPr>
          <w:rFonts w:ascii="Arial" w:cs="Arial" w:eastAsia="Arial" w:hAnsi="Arial"/>
          <w:sz w:val="17"/>
          <w:szCs w:val="17"/>
          <w:color w:val="auto"/>
        </w:rPr>
        <w:t>Notwithstanding the above, any Subsidiary of the Company may consolidate with, merge into or transfer all or part of its properties to the Company. Neither an Officer’s Certificate nor an Opinion of Counsel shall be required to be delivered in connection therewith.</w:t>
      </w:r>
    </w:p>
    <w:p>
      <w:pPr>
        <w:spacing w:after="0" w:line="146" w:lineRule="exact"/>
        <w:rPr>
          <w:sz w:val="20"/>
          <w:szCs w:val="20"/>
          <w:color w:val="auto"/>
        </w:rPr>
      </w:pPr>
    </w:p>
    <w:p>
      <w:pPr>
        <w:ind w:left="440"/>
        <w:spacing w:after="0"/>
        <w:rPr>
          <w:sz w:val="20"/>
          <w:szCs w:val="20"/>
          <w:color w:val="auto"/>
        </w:rPr>
      </w:pPr>
      <w:r>
        <w:rPr>
          <w:rFonts w:ascii="Arial" w:cs="Arial" w:eastAsia="Arial" w:hAnsi="Arial"/>
          <w:sz w:val="18"/>
          <w:szCs w:val="18"/>
          <w:color w:val="auto"/>
        </w:rPr>
        <w:t xml:space="preserve">Section 5.2. </w:t>
      </w:r>
      <w:r>
        <w:rPr>
          <w:rFonts w:ascii="Arial" w:cs="Arial" w:eastAsia="Arial" w:hAnsi="Arial"/>
          <w:sz w:val="18"/>
          <w:szCs w:val="18"/>
          <w:u w:val="single" w:color="auto"/>
          <w:color w:val="auto"/>
        </w:rPr>
        <w:t>Successor Corporation Substituted</w:t>
      </w:r>
      <w:r>
        <w:rPr>
          <w:rFonts w:ascii="Arial" w:cs="Arial" w:eastAsia="Arial" w:hAnsi="Arial"/>
          <w:sz w:val="18"/>
          <w:szCs w:val="18"/>
          <w:color w:val="auto"/>
        </w:rPr>
        <w:t>.</w:t>
      </w:r>
    </w:p>
    <w:p>
      <w:pPr>
        <w:spacing w:after="0" w:line="225" w:lineRule="exact"/>
        <w:rPr>
          <w:sz w:val="20"/>
          <w:szCs w:val="20"/>
          <w:color w:val="auto"/>
        </w:rPr>
      </w:pPr>
    </w:p>
    <w:p>
      <w:pPr>
        <w:ind w:right="220" w:firstLine="440"/>
        <w:spacing w:after="0" w:line="255" w:lineRule="auto"/>
        <w:rPr>
          <w:sz w:val="20"/>
          <w:szCs w:val="20"/>
          <w:color w:val="auto"/>
        </w:rPr>
      </w:pPr>
      <w:r>
        <w:rPr>
          <w:rFonts w:ascii="Arial" w:cs="Arial" w:eastAsia="Arial" w:hAnsi="Arial"/>
          <w:sz w:val="18"/>
          <w:szCs w:val="18"/>
          <w:color w:val="auto"/>
        </w:rPr>
        <w:t xml:space="preserve">Upon any consolidation or merger, or any sale, lease, conveyance or other disposition of all or substantially all of the assets of the Company in accordance with Section 5.1, the successor corporation formed by such consolidation or into or with which the Company is merged or to which such sale, lease, conveyance or other disposition is made shall succeed to, and be substituted for, and may exercise every right and power of, the Company under this Indenture with the same effect as if such successor person has been named as the Company herein;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w:t>
      </w:r>
      <w:r>
        <w:rPr>
          <w:rFonts w:ascii="Arial" w:cs="Arial" w:eastAsia="Arial" w:hAnsi="Arial"/>
          <w:sz w:val="18"/>
          <w:szCs w:val="18"/>
          <w:u w:val="single" w:color="auto"/>
          <w:color w:val="auto"/>
        </w:rPr>
        <w:t>however</w:t>
      </w:r>
      <w:r>
        <w:rPr>
          <w:rFonts w:ascii="Arial" w:cs="Arial" w:eastAsia="Arial" w:hAnsi="Arial"/>
          <w:sz w:val="18"/>
          <w:szCs w:val="18"/>
          <w:color w:val="auto"/>
        </w:rPr>
        <w:t>, that the predecessor Company in the case of a sale, conveyance or other disposition (other than a lease) shall be released from all obligations and covenants under this Indenture and the Securities.</w:t>
      </w:r>
    </w:p>
    <w:p>
      <w:pPr>
        <w:spacing w:after="0" w:line="200" w:lineRule="exact"/>
        <w:rPr>
          <w:sz w:val="20"/>
          <w:szCs w:val="20"/>
          <w:color w:val="auto"/>
        </w:rPr>
      </w:pPr>
    </w:p>
    <w:p>
      <w:pPr>
        <w:spacing w:after="0" w:line="20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ARTICLE VI.</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DEFAULTS AND REMEDIES</w:t>
      </w:r>
    </w:p>
    <w:p>
      <w:pPr>
        <w:spacing w:after="0" w:line="211" w:lineRule="exact"/>
        <w:rPr>
          <w:sz w:val="20"/>
          <w:szCs w:val="20"/>
          <w:color w:val="auto"/>
        </w:rPr>
      </w:pPr>
    </w:p>
    <w:p>
      <w:pPr>
        <w:ind w:left="440"/>
        <w:spacing w:after="0"/>
        <w:rPr>
          <w:sz w:val="20"/>
          <w:szCs w:val="20"/>
          <w:color w:val="auto"/>
        </w:rPr>
      </w:pPr>
      <w:r>
        <w:rPr>
          <w:rFonts w:ascii="Arial" w:cs="Arial" w:eastAsia="Arial" w:hAnsi="Arial"/>
          <w:sz w:val="18"/>
          <w:szCs w:val="18"/>
          <w:color w:val="auto"/>
        </w:rPr>
        <w:t>Section 6.1. Events of Default.</w:t>
      </w:r>
    </w:p>
    <w:p>
      <w:pPr>
        <w:spacing w:after="0" w:line="225" w:lineRule="exact"/>
        <w:rPr>
          <w:sz w:val="20"/>
          <w:szCs w:val="20"/>
          <w:color w:val="auto"/>
        </w:rPr>
      </w:pPr>
    </w:p>
    <w:p>
      <w:pPr>
        <w:ind w:left="440"/>
        <w:spacing w:after="0"/>
        <w:rPr>
          <w:sz w:val="20"/>
          <w:szCs w:val="20"/>
          <w:color w:val="auto"/>
        </w:rPr>
      </w:pPr>
      <w:r>
        <w:rPr>
          <w:rFonts w:ascii="Arial" w:cs="Arial" w:eastAsia="Arial" w:hAnsi="Arial"/>
          <w:sz w:val="16"/>
          <w:szCs w:val="16"/>
          <w:color w:val="auto"/>
        </w:rPr>
        <w:t>“</w:t>
      </w:r>
      <w:r>
        <w:rPr>
          <w:rFonts w:ascii="Arial" w:cs="Arial" w:eastAsia="Arial" w:hAnsi="Arial"/>
          <w:sz w:val="16"/>
          <w:szCs w:val="16"/>
          <w:i w:val="1"/>
          <w:iCs w:val="1"/>
          <w:color w:val="auto"/>
        </w:rPr>
        <w:t>Event of Default</w:t>
      </w:r>
      <w:r>
        <w:rPr>
          <w:rFonts w:ascii="Arial" w:cs="Arial" w:eastAsia="Arial" w:hAnsi="Arial"/>
          <w:sz w:val="16"/>
          <w:szCs w:val="16"/>
          <w:color w:val="auto"/>
        </w:rPr>
        <w:t>,” wherever used herein with respect to Securities of any Series, means any one of the following events, unless in the establishing</w:t>
      </w:r>
    </w:p>
    <w:p>
      <w:pPr>
        <w:spacing w:after="0" w:line="46" w:lineRule="exact"/>
        <w:rPr>
          <w:sz w:val="20"/>
          <w:szCs w:val="20"/>
          <w:color w:val="auto"/>
        </w:rPr>
      </w:pPr>
    </w:p>
    <w:p>
      <w:pPr>
        <w:spacing w:after="0"/>
        <w:rPr>
          <w:sz w:val="20"/>
          <w:szCs w:val="20"/>
          <w:color w:val="auto"/>
        </w:rPr>
      </w:pPr>
      <w:r>
        <w:rPr>
          <w:rFonts w:ascii="Arial" w:cs="Arial" w:eastAsia="Arial" w:hAnsi="Arial"/>
          <w:sz w:val="17"/>
          <w:szCs w:val="17"/>
          <w:color w:val="auto"/>
        </w:rPr>
        <w:t>Board Resolution, supplemental indenture or Officer’s Certificate, it is provided that such Series shall not have the benefit of said Event of Default:</w:t>
      </w:r>
    </w:p>
    <w:p>
      <w:pPr>
        <w:spacing w:after="0" w:line="114" w:lineRule="exact"/>
        <w:rPr>
          <w:sz w:val="20"/>
          <w:szCs w:val="20"/>
          <w:color w:val="auto"/>
        </w:rPr>
      </w:pPr>
    </w:p>
    <w:p>
      <w:pPr>
        <w:jc w:val="both"/>
        <w:ind w:left="440" w:right="200" w:firstLine="419"/>
        <w:spacing w:after="0" w:line="263" w:lineRule="auto"/>
        <w:tabs>
          <w:tab w:leader="none" w:pos="1108" w:val="left"/>
        </w:tabs>
        <w:numPr>
          <w:ilvl w:val="0"/>
          <w:numId w:val="102"/>
        </w:numPr>
        <w:rPr>
          <w:rFonts w:ascii="Arial" w:cs="Arial" w:eastAsia="Arial" w:hAnsi="Arial"/>
          <w:sz w:val="18"/>
          <w:szCs w:val="18"/>
          <w:color w:val="auto"/>
        </w:rPr>
      </w:pPr>
      <w:r>
        <w:rPr>
          <w:rFonts w:ascii="Arial" w:cs="Arial" w:eastAsia="Arial" w:hAnsi="Arial"/>
          <w:sz w:val="18"/>
          <w:szCs w:val="18"/>
          <w:color w:val="auto"/>
        </w:rPr>
        <w:t>default in the payment of any interest on any Security of that Series when it becomes due and payable, and continuance of such default for a period of 30 days (unless the entire amount of such payment is deposited by the Company with the Trustee or with a Paying Agent prior to 11:00 a.m., New York City time, on the 30th day of such period); or</w:t>
      </w:r>
    </w:p>
    <w:p>
      <w:pPr>
        <w:spacing w:after="0" w:line="75" w:lineRule="exact"/>
        <w:rPr>
          <w:rFonts w:ascii="Arial" w:cs="Arial" w:eastAsia="Arial" w:hAnsi="Arial"/>
          <w:sz w:val="18"/>
          <w:szCs w:val="18"/>
          <w:color w:val="auto"/>
        </w:rPr>
      </w:pPr>
    </w:p>
    <w:p>
      <w:pPr>
        <w:ind w:left="1120" w:hanging="261"/>
        <w:spacing w:after="0"/>
        <w:tabs>
          <w:tab w:leader="none" w:pos="1120" w:val="left"/>
        </w:tabs>
        <w:numPr>
          <w:ilvl w:val="0"/>
          <w:numId w:val="102"/>
        </w:numPr>
        <w:rPr>
          <w:rFonts w:ascii="Arial" w:cs="Arial" w:eastAsia="Arial" w:hAnsi="Arial"/>
          <w:sz w:val="18"/>
          <w:szCs w:val="18"/>
          <w:color w:val="auto"/>
        </w:rPr>
      </w:pPr>
      <w:r>
        <w:rPr>
          <w:rFonts w:ascii="Arial" w:cs="Arial" w:eastAsia="Arial" w:hAnsi="Arial"/>
          <w:sz w:val="18"/>
          <w:szCs w:val="18"/>
          <w:color w:val="auto"/>
        </w:rPr>
        <w:t>default in the payment of principal of any Security of that Series at its Maturity; or</w:t>
      </w:r>
    </w:p>
    <w:p>
      <w:pPr>
        <w:spacing w:after="0" w:line="117" w:lineRule="exact"/>
        <w:rPr>
          <w:rFonts w:ascii="Arial" w:cs="Arial" w:eastAsia="Arial" w:hAnsi="Arial"/>
          <w:sz w:val="18"/>
          <w:szCs w:val="18"/>
          <w:color w:val="auto"/>
        </w:rPr>
      </w:pPr>
    </w:p>
    <w:p>
      <w:pPr>
        <w:ind w:left="440" w:right="100" w:firstLine="419"/>
        <w:spacing w:after="0" w:line="255" w:lineRule="auto"/>
        <w:tabs>
          <w:tab w:leader="none" w:pos="1108" w:val="left"/>
        </w:tabs>
        <w:numPr>
          <w:ilvl w:val="0"/>
          <w:numId w:val="102"/>
        </w:numPr>
        <w:rPr>
          <w:rFonts w:ascii="Arial" w:cs="Arial" w:eastAsia="Arial" w:hAnsi="Arial"/>
          <w:sz w:val="18"/>
          <w:szCs w:val="18"/>
          <w:color w:val="auto"/>
        </w:rPr>
      </w:pPr>
      <w:r>
        <w:rPr>
          <w:rFonts w:ascii="Arial" w:cs="Arial" w:eastAsia="Arial" w:hAnsi="Arial"/>
          <w:sz w:val="18"/>
          <w:szCs w:val="18"/>
          <w:color w:val="auto"/>
        </w:rPr>
        <w:t>default in the performance or breach of any covenant or warranty of the Company in this Indenture (other than defaults pursuant to paragraphs (a) or (b) above or pursuant to a covenant or warranty that has been included in this Indenture solely for the benefit of Series of Securities other than that Series), which default continues uncured for a period of 60 days after there has been given, by registered or certified mail, to the Company by the Trustee or to the Company and the Trustee by the Holders of at least 25% in principal amount of the outstanding Securities of that Series a written notice specifying such default or breach and requiring it to be remedied and stating that such notice is a “Notice of Default” hereunder; or</w:t>
      </w:r>
    </w:p>
    <w:p>
      <w:pPr>
        <w:spacing w:after="0" w:line="84" w:lineRule="exact"/>
        <w:rPr>
          <w:rFonts w:ascii="Arial" w:cs="Arial" w:eastAsia="Arial" w:hAnsi="Arial"/>
          <w:sz w:val="18"/>
          <w:szCs w:val="18"/>
          <w:color w:val="auto"/>
        </w:rPr>
      </w:pPr>
    </w:p>
    <w:p>
      <w:pPr>
        <w:ind w:left="1120" w:hanging="261"/>
        <w:spacing w:after="0"/>
        <w:tabs>
          <w:tab w:leader="none" w:pos="1120" w:val="left"/>
        </w:tabs>
        <w:numPr>
          <w:ilvl w:val="0"/>
          <w:numId w:val="102"/>
        </w:numPr>
        <w:rPr>
          <w:rFonts w:ascii="Arial" w:cs="Arial" w:eastAsia="Arial" w:hAnsi="Arial"/>
          <w:sz w:val="18"/>
          <w:szCs w:val="18"/>
          <w:color w:val="auto"/>
        </w:rPr>
      </w:pPr>
      <w:r>
        <w:rPr>
          <w:rFonts w:ascii="Arial" w:cs="Arial" w:eastAsia="Arial" w:hAnsi="Arial"/>
          <w:sz w:val="18"/>
          <w:szCs w:val="18"/>
          <w:color w:val="auto"/>
        </w:rPr>
        <w:t>the Company pursuant to or within the meaning of any Bankruptcy Law:</w:t>
      </w:r>
    </w:p>
    <w:p>
      <w:pPr>
        <w:spacing w:after="0" w:line="15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15</w:t>
      </w:r>
    </w:p>
    <w:p>
      <w:pPr>
        <w:sectPr>
          <w:pgSz w:w="11900" w:h="16838" w:orient="portrait"/>
          <w:cols w:equalWidth="0" w:num="1">
            <w:col w:w="11000"/>
          </w:cols>
          <w:pgMar w:left="440" w:top="274" w:right="459" w:bottom="1440" w:gutter="0" w:footer="0" w:header="0"/>
        </w:sectPr>
      </w:pPr>
    </w:p>
    <w:bookmarkStart w:id="133" w:name="page134"/>
    <w:bookmarkEnd w:id="133"/>
    <w:p>
      <w:pPr>
        <w:ind w:left="1600" w:hanging="212"/>
        <w:spacing w:after="0"/>
        <w:tabs>
          <w:tab w:leader="none" w:pos="1600" w:val="left"/>
        </w:tabs>
        <w:numPr>
          <w:ilvl w:val="1"/>
          <w:numId w:val="103"/>
        </w:numPr>
        <w:rPr>
          <w:rFonts w:ascii="Arial" w:cs="Arial" w:eastAsia="Arial" w:hAnsi="Arial"/>
          <w:sz w:val="18"/>
          <w:szCs w:val="18"/>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178" name="Picture 1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8"/>
                    <pic:cNvPicPr>
                      <a:picLocks noChangeAspect="1" noChangeArrowheads="1"/>
                    </pic:cNvPicPr>
                  </pic:nvPicPr>
                  <pic:blipFill>
                    <a:blip r:embed="rId200">
                      <a:extLst>
                        <a:ext uri="{28A0092B-C50C-407E-A947-70E740481C1C}"/>
                      </a:extLst>
                    </a:blip>
                    <a:srcRect/>
                    <a:stretch>
                      <a:fillRect/>
                    </a:stretch>
                  </pic:blipFill>
                  <pic:spPr bwMode="auto">
                    <a:xfrm>
                      <a:off x="0" y="0"/>
                      <a:ext cx="7149465" cy="25400"/>
                    </a:xfrm>
                    <a:prstGeom prst="rect">
                      <a:avLst/>
                    </a:prstGeom>
                    <a:noFill/>
                  </pic:spPr>
                </pic:pic>
              </a:graphicData>
            </a:graphic>
          </wp:anchor>
        </w:drawing>
        <w:t>commences a voluntary case,</w:t>
      </w:r>
    </w:p>
    <w:p>
      <w:pPr>
        <w:spacing w:after="0" w:line="117" w:lineRule="exact"/>
        <w:rPr>
          <w:rFonts w:ascii="Arial" w:cs="Arial" w:eastAsia="Arial" w:hAnsi="Arial"/>
          <w:sz w:val="18"/>
          <w:szCs w:val="18"/>
          <w:color w:val="auto"/>
        </w:rPr>
      </w:pPr>
    </w:p>
    <w:p>
      <w:pPr>
        <w:ind w:left="1660" w:hanging="272"/>
        <w:spacing w:after="0"/>
        <w:tabs>
          <w:tab w:leader="none" w:pos="1660" w:val="left"/>
        </w:tabs>
        <w:numPr>
          <w:ilvl w:val="1"/>
          <w:numId w:val="103"/>
        </w:numPr>
        <w:rPr>
          <w:rFonts w:ascii="Arial" w:cs="Arial" w:eastAsia="Arial" w:hAnsi="Arial"/>
          <w:sz w:val="18"/>
          <w:szCs w:val="18"/>
          <w:color w:val="auto"/>
        </w:rPr>
      </w:pPr>
      <w:r>
        <w:rPr>
          <w:rFonts w:ascii="Arial" w:cs="Arial" w:eastAsia="Arial" w:hAnsi="Arial"/>
          <w:sz w:val="18"/>
          <w:szCs w:val="18"/>
          <w:color w:val="auto"/>
        </w:rPr>
        <w:t>consents to the entry of an order for relief against it in an involuntary case,</w:t>
      </w:r>
    </w:p>
    <w:p>
      <w:pPr>
        <w:spacing w:after="0" w:line="117" w:lineRule="exact"/>
        <w:rPr>
          <w:rFonts w:ascii="Arial" w:cs="Arial" w:eastAsia="Arial" w:hAnsi="Arial"/>
          <w:sz w:val="18"/>
          <w:szCs w:val="18"/>
          <w:color w:val="auto"/>
        </w:rPr>
      </w:pPr>
    </w:p>
    <w:p>
      <w:pPr>
        <w:ind w:left="1700" w:hanging="312"/>
        <w:spacing w:after="0"/>
        <w:tabs>
          <w:tab w:leader="none" w:pos="1700" w:val="left"/>
        </w:tabs>
        <w:numPr>
          <w:ilvl w:val="1"/>
          <w:numId w:val="103"/>
        </w:numPr>
        <w:rPr>
          <w:rFonts w:ascii="Arial" w:cs="Arial" w:eastAsia="Arial" w:hAnsi="Arial"/>
          <w:sz w:val="18"/>
          <w:szCs w:val="18"/>
          <w:color w:val="auto"/>
        </w:rPr>
      </w:pPr>
      <w:r>
        <w:rPr>
          <w:rFonts w:ascii="Arial" w:cs="Arial" w:eastAsia="Arial" w:hAnsi="Arial"/>
          <w:sz w:val="18"/>
          <w:szCs w:val="18"/>
          <w:color w:val="auto"/>
        </w:rPr>
        <w:t>consents to the appointment of a Custodian of it or for all or substantially all of its property,</w:t>
      </w:r>
    </w:p>
    <w:p>
      <w:pPr>
        <w:spacing w:after="0" w:line="117" w:lineRule="exact"/>
        <w:rPr>
          <w:rFonts w:ascii="Arial" w:cs="Arial" w:eastAsia="Arial" w:hAnsi="Arial"/>
          <w:sz w:val="18"/>
          <w:szCs w:val="18"/>
          <w:color w:val="auto"/>
        </w:rPr>
      </w:pPr>
    </w:p>
    <w:p>
      <w:pPr>
        <w:ind w:left="1700" w:hanging="312"/>
        <w:spacing w:after="0"/>
        <w:tabs>
          <w:tab w:leader="none" w:pos="1700" w:val="left"/>
        </w:tabs>
        <w:numPr>
          <w:ilvl w:val="1"/>
          <w:numId w:val="103"/>
        </w:numPr>
        <w:rPr>
          <w:rFonts w:ascii="Arial" w:cs="Arial" w:eastAsia="Arial" w:hAnsi="Arial"/>
          <w:sz w:val="18"/>
          <w:szCs w:val="18"/>
          <w:color w:val="auto"/>
        </w:rPr>
      </w:pPr>
      <w:r>
        <w:rPr>
          <w:rFonts w:ascii="Arial" w:cs="Arial" w:eastAsia="Arial" w:hAnsi="Arial"/>
          <w:sz w:val="18"/>
          <w:szCs w:val="18"/>
          <w:color w:val="auto"/>
        </w:rPr>
        <w:t>makes a general assignment for the benefit of its creditors, or</w:t>
      </w:r>
    </w:p>
    <w:p>
      <w:pPr>
        <w:spacing w:after="0" w:line="117" w:lineRule="exact"/>
        <w:rPr>
          <w:rFonts w:ascii="Arial" w:cs="Arial" w:eastAsia="Arial" w:hAnsi="Arial"/>
          <w:sz w:val="18"/>
          <w:szCs w:val="18"/>
          <w:color w:val="auto"/>
        </w:rPr>
      </w:pPr>
    </w:p>
    <w:p>
      <w:pPr>
        <w:ind w:left="1640" w:hanging="252"/>
        <w:spacing w:after="0"/>
        <w:tabs>
          <w:tab w:leader="none" w:pos="1640" w:val="left"/>
        </w:tabs>
        <w:numPr>
          <w:ilvl w:val="1"/>
          <w:numId w:val="103"/>
        </w:numPr>
        <w:rPr>
          <w:rFonts w:ascii="Arial" w:cs="Arial" w:eastAsia="Arial" w:hAnsi="Arial"/>
          <w:sz w:val="18"/>
          <w:szCs w:val="18"/>
          <w:color w:val="auto"/>
        </w:rPr>
      </w:pPr>
      <w:r>
        <w:rPr>
          <w:rFonts w:ascii="Arial" w:cs="Arial" w:eastAsia="Arial" w:hAnsi="Arial"/>
          <w:sz w:val="18"/>
          <w:szCs w:val="18"/>
          <w:color w:val="auto"/>
        </w:rPr>
        <w:t>generally is unable to pay its debts as the same become due; or</w:t>
      </w:r>
    </w:p>
    <w:p>
      <w:pPr>
        <w:spacing w:after="0" w:line="117" w:lineRule="exact"/>
        <w:rPr>
          <w:rFonts w:ascii="Arial" w:cs="Arial" w:eastAsia="Arial" w:hAnsi="Arial"/>
          <w:sz w:val="18"/>
          <w:szCs w:val="18"/>
          <w:color w:val="auto"/>
        </w:rPr>
      </w:pPr>
    </w:p>
    <w:p>
      <w:pPr>
        <w:ind w:left="1100" w:hanging="241"/>
        <w:spacing w:after="0"/>
        <w:tabs>
          <w:tab w:leader="none" w:pos="1100" w:val="left"/>
        </w:tabs>
        <w:numPr>
          <w:ilvl w:val="0"/>
          <w:numId w:val="104"/>
        </w:numPr>
        <w:rPr>
          <w:rFonts w:ascii="Arial" w:cs="Arial" w:eastAsia="Arial" w:hAnsi="Arial"/>
          <w:sz w:val="18"/>
          <w:szCs w:val="18"/>
          <w:color w:val="auto"/>
        </w:rPr>
      </w:pPr>
      <w:r>
        <w:rPr>
          <w:rFonts w:ascii="Arial" w:cs="Arial" w:eastAsia="Arial" w:hAnsi="Arial"/>
          <w:sz w:val="18"/>
          <w:szCs w:val="18"/>
          <w:color w:val="auto"/>
        </w:rPr>
        <w:t>a court of competent jurisdiction enters an order or decree under any Bankruptcy Law that:</w:t>
      </w:r>
    </w:p>
    <w:p>
      <w:pPr>
        <w:spacing w:after="0" w:line="117" w:lineRule="exact"/>
        <w:rPr>
          <w:rFonts w:ascii="Arial" w:cs="Arial" w:eastAsia="Arial" w:hAnsi="Arial"/>
          <w:sz w:val="18"/>
          <w:szCs w:val="18"/>
          <w:color w:val="auto"/>
        </w:rPr>
      </w:pPr>
    </w:p>
    <w:p>
      <w:pPr>
        <w:ind w:left="1600" w:hanging="212"/>
        <w:spacing w:after="0"/>
        <w:tabs>
          <w:tab w:leader="none" w:pos="1600" w:val="left"/>
        </w:tabs>
        <w:numPr>
          <w:ilvl w:val="1"/>
          <w:numId w:val="104"/>
        </w:numPr>
        <w:rPr>
          <w:rFonts w:ascii="Arial" w:cs="Arial" w:eastAsia="Arial" w:hAnsi="Arial"/>
          <w:sz w:val="18"/>
          <w:szCs w:val="18"/>
          <w:color w:val="auto"/>
        </w:rPr>
      </w:pPr>
      <w:r>
        <w:rPr>
          <w:rFonts w:ascii="Arial" w:cs="Arial" w:eastAsia="Arial" w:hAnsi="Arial"/>
          <w:sz w:val="18"/>
          <w:szCs w:val="18"/>
          <w:color w:val="auto"/>
        </w:rPr>
        <w:t>is for relief against the Company in an involuntary case,</w:t>
      </w:r>
    </w:p>
    <w:p>
      <w:pPr>
        <w:spacing w:after="0" w:line="117" w:lineRule="exact"/>
        <w:rPr>
          <w:rFonts w:ascii="Arial" w:cs="Arial" w:eastAsia="Arial" w:hAnsi="Arial"/>
          <w:sz w:val="18"/>
          <w:szCs w:val="18"/>
          <w:color w:val="auto"/>
        </w:rPr>
      </w:pPr>
    </w:p>
    <w:p>
      <w:pPr>
        <w:ind w:left="1660" w:hanging="272"/>
        <w:spacing w:after="0"/>
        <w:tabs>
          <w:tab w:leader="none" w:pos="1660" w:val="left"/>
        </w:tabs>
        <w:numPr>
          <w:ilvl w:val="1"/>
          <w:numId w:val="104"/>
        </w:numPr>
        <w:rPr>
          <w:rFonts w:ascii="Arial" w:cs="Arial" w:eastAsia="Arial" w:hAnsi="Arial"/>
          <w:sz w:val="18"/>
          <w:szCs w:val="18"/>
          <w:color w:val="auto"/>
        </w:rPr>
      </w:pPr>
      <w:r>
        <w:rPr>
          <w:rFonts w:ascii="Arial" w:cs="Arial" w:eastAsia="Arial" w:hAnsi="Arial"/>
          <w:sz w:val="18"/>
          <w:szCs w:val="18"/>
          <w:color w:val="auto"/>
        </w:rPr>
        <w:t>appoints a Custodian of the Company or for all or substantially all of its property, or</w:t>
      </w:r>
    </w:p>
    <w:p>
      <w:pPr>
        <w:spacing w:after="0" w:line="117" w:lineRule="exact"/>
        <w:rPr>
          <w:rFonts w:ascii="Arial" w:cs="Arial" w:eastAsia="Arial" w:hAnsi="Arial"/>
          <w:sz w:val="18"/>
          <w:szCs w:val="18"/>
          <w:color w:val="auto"/>
        </w:rPr>
      </w:pPr>
    </w:p>
    <w:p>
      <w:pPr>
        <w:ind w:left="1700" w:hanging="312"/>
        <w:spacing w:after="0"/>
        <w:tabs>
          <w:tab w:leader="none" w:pos="1700" w:val="left"/>
        </w:tabs>
        <w:numPr>
          <w:ilvl w:val="1"/>
          <w:numId w:val="104"/>
        </w:numPr>
        <w:rPr>
          <w:rFonts w:ascii="Arial" w:cs="Arial" w:eastAsia="Arial" w:hAnsi="Arial"/>
          <w:sz w:val="18"/>
          <w:szCs w:val="18"/>
          <w:color w:val="auto"/>
        </w:rPr>
      </w:pPr>
      <w:r>
        <w:rPr>
          <w:rFonts w:ascii="Arial" w:cs="Arial" w:eastAsia="Arial" w:hAnsi="Arial"/>
          <w:sz w:val="18"/>
          <w:szCs w:val="18"/>
          <w:color w:val="auto"/>
        </w:rPr>
        <w:t>orders the liquidation of the Company,</w:t>
      </w:r>
    </w:p>
    <w:p>
      <w:pPr>
        <w:spacing w:after="0" w:line="225" w:lineRule="exact"/>
        <w:rPr>
          <w:sz w:val="20"/>
          <w:szCs w:val="20"/>
          <w:color w:val="auto"/>
        </w:rPr>
      </w:pPr>
    </w:p>
    <w:p>
      <w:pPr>
        <w:ind w:left="440"/>
        <w:spacing w:after="0"/>
        <w:rPr>
          <w:sz w:val="20"/>
          <w:szCs w:val="20"/>
          <w:color w:val="auto"/>
        </w:rPr>
      </w:pPr>
      <w:r>
        <w:rPr>
          <w:rFonts w:ascii="Arial" w:cs="Arial" w:eastAsia="Arial" w:hAnsi="Arial"/>
          <w:sz w:val="18"/>
          <w:szCs w:val="18"/>
          <w:color w:val="auto"/>
        </w:rPr>
        <w:t>and the order or decree remains unstayed and in effect for 60 days; or</w:t>
      </w:r>
    </w:p>
    <w:p>
      <w:pPr>
        <w:spacing w:after="0" w:line="117" w:lineRule="exact"/>
        <w:rPr>
          <w:sz w:val="20"/>
          <w:szCs w:val="20"/>
          <w:color w:val="auto"/>
        </w:rPr>
      </w:pPr>
    </w:p>
    <w:p>
      <w:pPr>
        <w:ind w:left="440" w:right="280" w:firstLine="419"/>
        <w:spacing w:after="0" w:line="277" w:lineRule="auto"/>
        <w:tabs>
          <w:tab w:leader="none" w:pos="1088" w:val="left"/>
        </w:tabs>
        <w:numPr>
          <w:ilvl w:val="0"/>
          <w:numId w:val="105"/>
        </w:numPr>
        <w:rPr>
          <w:rFonts w:ascii="Arial" w:cs="Arial" w:eastAsia="Arial" w:hAnsi="Arial"/>
          <w:sz w:val="18"/>
          <w:szCs w:val="18"/>
          <w:color w:val="auto"/>
        </w:rPr>
      </w:pPr>
      <w:r>
        <w:rPr>
          <w:rFonts w:ascii="Arial" w:cs="Arial" w:eastAsia="Arial" w:hAnsi="Arial"/>
          <w:sz w:val="18"/>
          <w:szCs w:val="18"/>
          <w:color w:val="auto"/>
        </w:rPr>
        <w:t>any other Event of Default provided with respect to Securities of that Series, which is specified in a Board Resolution, a supplemental indenture hereto or an Officer’s Certificate, in accordance with Section 2.2.18.</w:t>
      </w:r>
    </w:p>
    <w:p>
      <w:pPr>
        <w:spacing w:after="0" w:line="170" w:lineRule="exact"/>
        <w:rPr>
          <w:sz w:val="20"/>
          <w:szCs w:val="20"/>
          <w:color w:val="auto"/>
        </w:rPr>
      </w:pPr>
    </w:p>
    <w:p>
      <w:pPr>
        <w:ind w:right="200" w:firstLine="440"/>
        <w:spacing w:after="0" w:line="277" w:lineRule="auto"/>
        <w:rPr>
          <w:sz w:val="20"/>
          <w:szCs w:val="20"/>
          <w:color w:val="auto"/>
        </w:rPr>
      </w:pPr>
      <w:r>
        <w:rPr>
          <w:rFonts w:ascii="Arial" w:cs="Arial" w:eastAsia="Arial" w:hAnsi="Arial"/>
          <w:sz w:val="18"/>
          <w:szCs w:val="18"/>
          <w:color w:val="auto"/>
        </w:rPr>
        <w:t>The term “</w:t>
      </w:r>
      <w:r>
        <w:rPr>
          <w:rFonts w:ascii="Arial" w:cs="Arial" w:eastAsia="Arial" w:hAnsi="Arial"/>
          <w:sz w:val="18"/>
          <w:szCs w:val="18"/>
          <w:i w:val="1"/>
          <w:iCs w:val="1"/>
          <w:color w:val="auto"/>
        </w:rPr>
        <w:t>Bankruptcy Law</w:t>
      </w:r>
      <w:r>
        <w:rPr>
          <w:rFonts w:ascii="Arial" w:cs="Arial" w:eastAsia="Arial" w:hAnsi="Arial"/>
          <w:sz w:val="18"/>
          <w:szCs w:val="18"/>
          <w:color w:val="auto"/>
        </w:rPr>
        <w:t>” means title 11, U.S. Code or any similar Federal or State law for the relief of debtors. The term “</w:t>
      </w:r>
      <w:r>
        <w:rPr>
          <w:rFonts w:ascii="Arial" w:cs="Arial" w:eastAsia="Arial" w:hAnsi="Arial"/>
          <w:sz w:val="18"/>
          <w:szCs w:val="18"/>
          <w:i w:val="1"/>
          <w:iCs w:val="1"/>
          <w:color w:val="auto"/>
        </w:rPr>
        <w:t>Custodian</w:t>
      </w:r>
      <w:r>
        <w:rPr>
          <w:rFonts w:ascii="Arial" w:cs="Arial" w:eastAsia="Arial" w:hAnsi="Arial"/>
          <w:sz w:val="18"/>
          <w:szCs w:val="18"/>
          <w:color w:val="auto"/>
        </w:rPr>
        <w:t>” means any receiver, trustee, assignee, liquidator or similar official under any Bankruptcy Law.</w:t>
      </w:r>
    </w:p>
    <w:p>
      <w:pPr>
        <w:spacing w:after="0" w:line="170" w:lineRule="exact"/>
        <w:rPr>
          <w:sz w:val="20"/>
          <w:szCs w:val="20"/>
          <w:color w:val="auto"/>
        </w:rPr>
      </w:pPr>
    </w:p>
    <w:p>
      <w:pPr>
        <w:ind w:right="200" w:firstLine="440"/>
        <w:spacing w:after="0" w:line="263" w:lineRule="auto"/>
        <w:rPr>
          <w:sz w:val="20"/>
          <w:szCs w:val="20"/>
          <w:color w:val="auto"/>
        </w:rPr>
      </w:pPr>
      <w:r>
        <w:rPr>
          <w:rFonts w:ascii="Arial" w:cs="Arial" w:eastAsia="Arial" w:hAnsi="Arial"/>
          <w:sz w:val="18"/>
          <w:szCs w:val="18"/>
          <w:color w:val="auto"/>
        </w:rPr>
        <w:t>The Company will provide the Trustee written notice of any Default or Event of Default within 30 days of becoming aware of the occurrence of such Default or Event of Default, which notice will describe in reasonable detail the status of such Default or Event of Default and what action the Company is taking or proposes to take in respect thereof.</w:t>
      </w:r>
    </w:p>
    <w:p>
      <w:pPr>
        <w:spacing w:after="0" w:line="184" w:lineRule="exact"/>
        <w:rPr>
          <w:sz w:val="20"/>
          <w:szCs w:val="20"/>
          <w:color w:val="auto"/>
        </w:rPr>
      </w:pPr>
    </w:p>
    <w:p>
      <w:pPr>
        <w:ind w:left="440"/>
        <w:spacing w:after="0"/>
        <w:rPr>
          <w:sz w:val="20"/>
          <w:szCs w:val="20"/>
          <w:color w:val="auto"/>
        </w:rPr>
      </w:pPr>
      <w:r>
        <w:rPr>
          <w:rFonts w:ascii="Arial" w:cs="Arial" w:eastAsia="Arial" w:hAnsi="Arial"/>
          <w:sz w:val="18"/>
          <w:szCs w:val="18"/>
          <w:color w:val="auto"/>
        </w:rPr>
        <w:t xml:space="preserve">Section 6.2. </w:t>
      </w:r>
      <w:r>
        <w:rPr>
          <w:rFonts w:ascii="Arial" w:cs="Arial" w:eastAsia="Arial" w:hAnsi="Arial"/>
          <w:sz w:val="18"/>
          <w:szCs w:val="18"/>
          <w:u w:val="single" w:color="auto"/>
          <w:color w:val="auto"/>
        </w:rPr>
        <w:t>Acceleration of Maturity; Rescission and Annulment</w:t>
      </w:r>
      <w:r>
        <w:rPr>
          <w:rFonts w:ascii="Arial" w:cs="Arial" w:eastAsia="Arial" w:hAnsi="Arial"/>
          <w:sz w:val="18"/>
          <w:szCs w:val="18"/>
          <w:color w:val="auto"/>
        </w:rPr>
        <w:t>.</w:t>
      </w:r>
    </w:p>
    <w:p>
      <w:pPr>
        <w:spacing w:after="0" w:line="225" w:lineRule="exact"/>
        <w:rPr>
          <w:sz w:val="20"/>
          <w:szCs w:val="20"/>
          <w:color w:val="auto"/>
        </w:rPr>
      </w:pPr>
    </w:p>
    <w:p>
      <w:pPr>
        <w:ind w:firstLine="440"/>
        <w:spacing w:after="0" w:line="290" w:lineRule="auto"/>
        <w:rPr>
          <w:sz w:val="20"/>
          <w:szCs w:val="20"/>
          <w:color w:val="auto"/>
        </w:rPr>
      </w:pPr>
      <w:r>
        <w:rPr>
          <w:rFonts w:ascii="Arial" w:cs="Arial" w:eastAsia="Arial" w:hAnsi="Arial"/>
          <w:sz w:val="16"/>
          <w:szCs w:val="16"/>
          <w:color w:val="auto"/>
        </w:rPr>
        <w:t xml:space="preserve">If an Event of Default with respect to Securities of any Series at the time outstanding occurs and is continuing (other than an Event of Default referred to in Section 6.1(d) or (e)) then in every such case the Trustee or the Holders of not less than 25% in principal amount of the outstanding Securities of that Series may declare the principal amount (or, if any Securities of that Series are Discount Securities, such portion of the principal amount as may be specified in the terms of such Securities) of and accrued and unpaid interest, if any, on all of the Securities of that Series to be due and payable immediately, by a notice in writing to the Company (and to the Trustee if given by Holders), and upon any such declaration such principal amount (or specified amount) and accrued and unpaid interest, if any, shall become immediately due and payable. If an Event of Default specified in Section 6.1(d) or (e) shall occur, the principal amount (or specified amount) of and accrued and unpaid interest, if any, on all outstanding Securities shall </w:t>
      </w:r>
      <w:r>
        <w:rPr>
          <w:rFonts w:ascii="Arial" w:cs="Arial" w:eastAsia="Arial" w:hAnsi="Arial"/>
          <w:sz w:val="16"/>
          <w:szCs w:val="16"/>
          <w:i w:val="1"/>
          <w:iCs w:val="1"/>
          <w:color w:val="auto"/>
        </w:rPr>
        <w:t xml:space="preserve">ipso facto </w:t>
      </w:r>
      <w:r>
        <w:rPr>
          <w:rFonts w:ascii="Arial" w:cs="Arial" w:eastAsia="Arial" w:hAnsi="Arial"/>
          <w:sz w:val="16"/>
          <w:szCs w:val="16"/>
          <w:color w:val="auto"/>
        </w:rPr>
        <w:t>become and be immediately due and payable without any declaration or other act on the part of the Trustee or any Holder.</w:t>
      </w:r>
    </w:p>
    <w:p>
      <w:pPr>
        <w:spacing w:after="0" w:line="165" w:lineRule="exact"/>
        <w:rPr>
          <w:sz w:val="20"/>
          <w:szCs w:val="20"/>
          <w:color w:val="auto"/>
        </w:rPr>
      </w:pPr>
    </w:p>
    <w:p>
      <w:pPr>
        <w:ind w:right="60" w:firstLine="440"/>
        <w:spacing w:after="0" w:line="296" w:lineRule="auto"/>
        <w:rPr>
          <w:sz w:val="20"/>
          <w:szCs w:val="20"/>
          <w:color w:val="auto"/>
        </w:rPr>
      </w:pPr>
      <w:r>
        <w:rPr>
          <w:rFonts w:ascii="Arial" w:cs="Arial" w:eastAsia="Arial" w:hAnsi="Arial"/>
          <w:sz w:val="16"/>
          <w:szCs w:val="16"/>
          <w:color w:val="auto"/>
        </w:rPr>
        <w:t>At any time after such a declaration of acceleration with respect to any Series has been made and before a judgment or decree for payment of the money due has been obtained by the Trustee as hereinafter in this Article provided, the Holders of a majority in principal amount of the outstanding Securities of that Series, by written notice to the Company and the Trustee, may rescind and annul such declaration and its consequences if all Events of Default with respect to Securities of that Series, other than the non-payment of the principal and interest, if any, of Securities of that Series which have become due solely by such declaration of acceleration, have been cured or waived as provided in Section 6.13.</w:t>
      </w:r>
    </w:p>
    <w:p>
      <w:pPr>
        <w:spacing w:after="0" w:line="9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16</w:t>
      </w:r>
    </w:p>
    <w:p>
      <w:pPr>
        <w:sectPr>
          <w:pgSz w:w="11900" w:h="16838" w:orient="portrait"/>
          <w:cols w:equalWidth="0" w:num="1">
            <w:col w:w="11000"/>
          </w:cols>
          <w:pgMar w:left="440" w:top="274" w:right="459" w:bottom="1440" w:gutter="0" w:footer="0" w:header="0"/>
        </w:sectPr>
      </w:pPr>
    </w:p>
    <w:bookmarkStart w:id="134" w:name="page135"/>
    <w:bookmarkEnd w:id="134"/>
    <w:p>
      <w:pPr>
        <w:ind w:left="440"/>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179" name="Picture 1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9"/>
                    <pic:cNvPicPr>
                      <a:picLocks noChangeAspect="1" noChangeArrowheads="1"/>
                    </pic:cNvPicPr>
                  </pic:nvPicPr>
                  <pic:blipFill>
                    <a:blip r:embed="rId201">
                      <a:extLst>
                        <a:ext uri="{28A0092B-C50C-407E-A947-70E740481C1C}"/>
                      </a:extLst>
                    </a:blip>
                    <a:srcRect/>
                    <a:stretch>
                      <a:fillRect/>
                    </a:stretch>
                  </pic:blipFill>
                  <pic:spPr bwMode="auto">
                    <a:xfrm>
                      <a:off x="0" y="0"/>
                      <a:ext cx="7149465" cy="25400"/>
                    </a:xfrm>
                    <a:prstGeom prst="rect">
                      <a:avLst/>
                    </a:prstGeom>
                    <a:noFill/>
                  </pic:spPr>
                </pic:pic>
              </a:graphicData>
            </a:graphic>
          </wp:anchor>
        </w:drawing>
        <w:t>No such rescission shall affect any subsequent Default or impair any right consequent thereon.</w:t>
      </w:r>
    </w:p>
    <w:p>
      <w:pPr>
        <w:spacing w:after="0" w:line="225" w:lineRule="exact"/>
        <w:rPr>
          <w:sz w:val="20"/>
          <w:szCs w:val="20"/>
          <w:color w:val="auto"/>
        </w:rPr>
      </w:pPr>
    </w:p>
    <w:p>
      <w:pPr>
        <w:ind w:left="440"/>
        <w:spacing w:after="0"/>
        <w:rPr>
          <w:sz w:val="20"/>
          <w:szCs w:val="20"/>
          <w:color w:val="auto"/>
        </w:rPr>
      </w:pPr>
      <w:r>
        <w:rPr>
          <w:rFonts w:ascii="Arial" w:cs="Arial" w:eastAsia="Arial" w:hAnsi="Arial"/>
          <w:sz w:val="18"/>
          <w:szCs w:val="18"/>
          <w:color w:val="auto"/>
        </w:rPr>
        <w:t>Section 6.3. Collection of Indebtedness and Suits for Enforcement by Trustee.</w:t>
      </w:r>
    </w:p>
    <w:p>
      <w:pPr>
        <w:spacing w:after="0" w:line="225" w:lineRule="exact"/>
        <w:rPr>
          <w:sz w:val="20"/>
          <w:szCs w:val="20"/>
          <w:color w:val="auto"/>
        </w:rPr>
      </w:pPr>
    </w:p>
    <w:p>
      <w:pPr>
        <w:ind w:left="440"/>
        <w:spacing w:after="0"/>
        <w:rPr>
          <w:sz w:val="20"/>
          <w:szCs w:val="20"/>
          <w:color w:val="auto"/>
        </w:rPr>
      </w:pPr>
      <w:r>
        <w:rPr>
          <w:rFonts w:ascii="Arial" w:cs="Arial" w:eastAsia="Arial" w:hAnsi="Arial"/>
          <w:sz w:val="18"/>
          <w:szCs w:val="18"/>
          <w:color w:val="auto"/>
        </w:rPr>
        <w:t>The Company covenants that if</w:t>
      </w:r>
    </w:p>
    <w:p>
      <w:pPr>
        <w:spacing w:after="0" w:line="117" w:lineRule="exact"/>
        <w:rPr>
          <w:sz w:val="20"/>
          <w:szCs w:val="20"/>
          <w:color w:val="auto"/>
        </w:rPr>
      </w:pPr>
    </w:p>
    <w:p>
      <w:pPr>
        <w:ind w:left="440" w:right="200" w:firstLine="419"/>
        <w:spacing w:after="0" w:line="277" w:lineRule="auto"/>
        <w:tabs>
          <w:tab w:leader="none" w:pos="1108" w:val="left"/>
        </w:tabs>
        <w:numPr>
          <w:ilvl w:val="0"/>
          <w:numId w:val="106"/>
        </w:numPr>
        <w:rPr>
          <w:rFonts w:ascii="Arial" w:cs="Arial" w:eastAsia="Arial" w:hAnsi="Arial"/>
          <w:sz w:val="18"/>
          <w:szCs w:val="18"/>
          <w:color w:val="auto"/>
        </w:rPr>
      </w:pPr>
      <w:r>
        <w:rPr>
          <w:rFonts w:ascii="Arial" w:cs="Arial" w:eastAsia="Arial" w:hAnsi="Arial"/>
          <w:sz w:val="18"/>
          <w:szCs w:val="18"/>
          <w:color w:val="auto"/>
        </w:rPr>
        <w:t>default is made in the payment of any interest on any Security when such interest becomes due and payable and such default continues for a period of 30 days, or</w:t>
      </w:r>
    </w:p>
    <w:p>
      <w:pPr>
        <w:spacing w:after="0" w:line="62" w:lineRule="exact"/>
        <w:rPr>
          <w:rFonts w:ascii="Arial" w:cs="Arial" w:eastAsia="Arial" w:hAnsi="Arial"/>
          <w:sz w:val="18"/>
          <w:szCs w:val="18"/>
          <w:color w:val="auto"/>
        </w:rPr>
      </w:pPr>
    </w:p>
    <w:p>
      <w:pPr>
        <w:ind w:left="1120" w:hanging="261"/>
        <w:spacing w:after="0"/>
        <w:tabs>
          <w:tab w:leader="none" w:pos="1120" w:val="left"/>
        </w:tabs>
        <w:numPr>
          <w:ilvl w:val="0"/>
          <w:numId w:val="106"/>
        </w:numPr>
        <w:rPr>
          <w:rFonts w:ascii="Arial" w:cs="Arial" w:eastAsia="Arial" w:hAnsi="Arial"/>
          <w:sz w:val="18"/>
          <w:szCs w:val="18"/>
          <w:color w:val="auto"/>
        </w:rPr>
      </w:pPr>
      <w:r>
        <w:rPr>
          <w:rFonts w:ascii="Arial" w:cs="Arial" w:eastAsia="Arial" w:hAnsi="Arial"/>
          <w:sz w:val="18"/>
          <w:szCs w:val="18"/>
          <w:color w:val="auto"/>
        </w:rPr>
        <w:t>default is made in the payment of principal of any Security at the Maturity thereof, or</w:t>
      </w:r>
    </w:p>
    <w:p>
      <w:pPr>
        <w:spacing w:after="0" w:line="117" w:lineRule="exact"/>
        <w:rPr>
          <w:rFonts w:ascii="Arial" w:cs="Arial" w:eastAsia="Arial" w:hAnsi="Arial"/>
          <w:sz w:val="18"/>
          <w:szCs w:val="18"/>
          <w:color w:val="auto"/>
        </w:rPr>
      </w:pPr>
    </w:p>
    <w:p>
      <w:pPr>
        <w:ind w:left="1100" w:hanging="241"/>
        <w:spacing w:after="0"/>
        <w:tabs>
          <w:tab w:leader="none" w:pos="1100" w:val="left"/>
        </w:tabs>
        <w:numPr>
          <w:ilvl w:val="0"/>
          <w:numId w:val="106"/>
        </w:numPr>
        <w:rPr>
          <w:rFonts w:ascii="Arial" w:cs="Arial" w:eastAsia="Arial" w:hAnsi="Arial"/>
          <w:sz w:val="18"/>
          <w:szCs w:val="18"/>
          <w:color w:val="auto"/>
        </w:rPr>
      </w:pPr>
      <w:r>
        <w:rPr>
          <w:rFonts w:ascii="Arial" w:cs="Arial" w:eastAsia="Arial" w:hAnsi="Arial"/>
          <w:sz w:val="18"/>
          <w:szCs w:val="18"/>
          <w:color w:val="auto"/>
        </w:rPr>
        <w:t>default is made in the deposit of any sinking fund payment, if any, when and as due by the terms of a Security,</w:t>
      </w:r>
    </w:p>
    <w:p>
      <w:pPr>
        <w:spacing w:after="0" w:line="225" w:lineRule="exact"/>
        <w:rPr>
          <w:sz w:val="20"/>
          <w:szCs w:val="20"/>
          <w:color w:val="auto"/>
        </w:rPr>
      </w:pPr>
    </w:p>
    <w:p>
      <w:pPr>
        <w:spacing w:after="0" w:line="257" w:lineRule="auto"/>
        <w:rPr>
          <w:sz w:val="20"/>
          <w:szCs w:val="20"/>
          <w:color w:val="auto"/>
        </w:rPr>
      </w:pPr>
      <w:r>
        <w:rPr>
          <w:rFonts w:ascii="Arial" w:cs="Arial" w:eastAsia="Arial" w:hAnsi="Arial"/>
          <w:sz w:val="18"/>
          <w:szCs w:val="18"/>
          <w:i w:val="1"/>
          <w:iCs w:val="1"/>
          <w:color w:val="auto"/>
        </w:rPr>
        <w:t xml:space="preserve">then, </w:t>
      </w:r>
      <w:r>
        <w:rPr>
          <w:rFonts w:ascii="Arial" w:cs="Arial" w:eastAsia="Arial" w:hAnsi="Arial"/>
          <w:sz w:val="18"/>
          <w:szCs w:val="18"/>
          <w:color w:val="auto"/>
        </w:rPr>
        <w:t>the Company will, upon demand of the Trustee, pay to it, for the benefit of the Holders of such Securities, the whole amount then due and payable</w:t>
      </w:r>
      <w:r>
        <w:rPr>
          <w:rFonts w:ascii="Arial" w:cs="Arial" w:eastAsia="Arial" w:hAnsi="Arial"/>
          <w:sz w:val="18"/>
          <w:szCs w:val="18"/>
          <w:i w:val="1"/>
          <w:iCs w:val="1"/>
          <w:color w:val="auto"/>
        </w:rPr>
        <w:t xml:space="preserve"> </w:t>
      </w:r>
      <w:r>
        <w:rPr>
          <w:rFonts w:ascii="Arial" w:cs="Arial" w:eastAsia="Arial" w:hAnsi="Arial"/>
          <w:sz w:val="18"/>
          <w:szCs w:val="18"/>
          <w:color w:val="auto"/>
        </w:rPr>
        <w:t>on such Securities for principal and interest and, to the extent that payment of such interest shall be legally enforceable, interest on any overdue principal and any overdue interest at the rate or rates prescribed therefor in such Securities, and, in addition thereto, such further amount as shall be sufficient to cover the costs and expenses of collection, including the compensation, reasonable expenses, disbursements and advances of the Trustee, its agents and counsel.</w:t>
      </w:r>
    </w:p>
    <w:p>
      <w:pPr>
        <w:spacing w:after="0" w:line="188" w:lineRule="exact"/>
        <w:rPr>
          <w:sz w:val="20"/>
          <w:szCs w:val="20"/>
          <w:color w:val="auto"/>
        </w:rPr>
      </w:pPr>
    </w:p>
    <w:p>
      <w:pPr>
        <w:ind w:right="360" w:firstLine="440"/>
        <w:spacing w:after="0" w:line="301" w:lineRule="auto"/>
        <w:rPr>
          <w:sz w:val="20"/>
          <w:szCs w:val="20"/>
          <w:color w:val="auto"/>
        </w:rPr>
      </w:pPr>
      <w:r>
        <w:rPr>
          <w:rFonts w:ascii="Arial" w:cs="Arial" w:eastAsia="Arial" w:hAnsi="Arial"/>
          <w:sz w:val="16"/>
          <w:szCs w:val="16"/>
          <w:color w:val="auto"/>
        </w:rPr>
        <w:t>If the Company fails to pay such amounts forthwith upon such demand, the Trustee, in its own name and as trustee of an express trust, may institute a judicial proceeding for the collection of the sums so due and unpaid, may prosecute such proceeding to judgment or final decree and may enforce the same against the Company or any other obligor upon such Securities and collect the moneys adjudged or deemed to be payable in the manner provided by law out of the property of the Company or any other obligor upon such Securities, wherever situated.</w:t>
      </w:r>
    </w:p>
    <w:p>
      <w:pPr>
        <w:spacing w:after="0" w:line="157" w:lineRule="exact"/>
        <w:rPr>
          <w:sz w:val="20"/>
          <w:szCs w:val="20"/>
          <w:color w:val="auto"/>
        </w:rPr>
      </w:pPr>
    </w:p>
    <w:p>
      <w:pPr>
        <w:ind w:firstLine="440"/>
        <w:spacing w:after="0" w:line="259" w:lineRule="auto"/>
        <w:rPr>
          <w:sz w:val="20"/>
          <w:szCs w:val="20"/>
          <w:color w:val="auto"/>
        </w:rPr>
      </w:pPr>
      <w:r>
        <w:rPr>
          <w:rFonts w:ascii="Arial" w:cs="Arial" w:eastAsia="Arial" w:hAnsi="Arial"/>
          <w:sz w:val="18"/>
          <w:szCs w:val="18"/>
          <w:color w:val="auto"/>
        </w:rPr>
        <w:t>If an Event of Default with respect to any Securities of any Series occurs and is continuing, the Trustee may in its discretion proceed to protect and enforce its rights and the rights of the Holders of Securities of such Series by such appropriate judicial proceedings as the Trustee shall deem most effectual to protect and enforce any such rights, whether for the specific enforcement of any covenant or agreement in this Indenture or in aid of the exercise of any power granted herein, or to enforce any other proper remedy.</w:t>
      </w:r>
    </w:p>
    <w:p>
      <w:pPr>
        <w:spacing w:after="0" w:line="187" w:lineRule="exact"/>
        <w:rPr>
          <w:sz w:val="20"/>
          <w:szCs w:val="20"/>
          <w:color w:val="auto"/>
        </w:rPr>
      </w:pPr>
    </w:p>
    <w:p>
      <w:pPr>
        <w:ind w:left="440"/>
        <w:spacing w:after="0"/>
        <w:rPr>
          <w:sz w:val="20"/>
          <w:szCs w:val="20"/>
          <w:color w:val="auto"/>
        </w:rPr>
      </w:pPr>
      <w:r>
        <w:rPr>
          <w:rFonts w:ascii="Arial" w:cs="Arial" w:eastAsia="Arial" w:hAnsi="Arial"/>
          <w:sz w:val="18"/>
          <w:szCs w:val="18"/>
          <w:color w:val="auto"/>
        </w:rPr>
        <w:t xml:space="preserve">Section 6.4. </w:t>
      </w:r>
      <w:r>
        <w:rPr>
          <w:rFonts w:ascii="Arial" w:cs="Arial" w:eastAsia="Arial" w:hAnsi="Arial"/>
          <w:sz w:val="18"/>
          <w:szCs w:val="18"/>
          <w:u w:val="single" w:color="auto"/>
          <w:color w:val="auto"/>
        </w:rPr>
        <w:t>Trustee May File Proofs of Claim</w:t>
      </w:r>
      <w:r>
        <w:rPr>
          <w:rFonts w:ascii="Arial" w:cs="Arial" w:eastAsia="Arial" w:hAnsi="Arial"/>
          <w:sz w:val="18"/>
          <w:szCs w:val="18"/>
          <w:color w:val="auto"/>
        </w:rPr>
        <w:t>.</w:t>
      </w:r>
    </w:p>
    <w:p>
      <w:pPr>
        <w:spacing w:after="0" w:line="225" w:lineRule="exact"/>
        <w:rPr>
          <w:sz w:val="20"/>
          <w:szCs w:val="20"/>
          <w:color w:val="auto"/>
        </w:rPr>
      </w:pPr>
    </w:p>
    <w:p>
      <w:pPr>
        <w:ind w:right="200" w:firstLine="440"/>
        <w:spacing w:after="0" w:line="275" w:lineRule="auto"/>
        <w:rPr>
          <w:sz w:val="20"/>
          <w:szCs w:val="20"/>
          <w:color w:val="auto"/>
        </w:rPr>
      </w:pPr>
      <w:r>
        <w:rPr>
          <w:rFonts w:ascii="Arial" w:cs="Arial" w:eastAsia="Arial" w:hAnsi="Arial"/>
          <w:sz w:val="17"/>
          <w:szCs w:val="17"/>
          <w:color w:val="auto"/>
        </w:rPr>
        <w:t>In case of the pendency of any receivership, insolvency, liquidation, bankruptcy, reorganization, arrangement, adjustment, composition or other judicial proceeding relative to the Company or any other obligor upon the Securities or the property of the Company or of such other obligor or their creditors, the Trustee (irrespective of whether the principal of the Securities shall then be due and payable as therein expressed or by declaration or otherwise and irrespective of whether the Trustee shall have made any demand on the Company for the payment of overdue principal or interest) shall be entitled and empowered, by intervention in such proceeding or otherwise,</w:t>
      </w:r>
    </w:p>
    <w:p>
      <w:pPr>
        <w:spacing w:after="0" w:line="68" w:lineRule="exact"/>
        <w:rPr>
          <w:sz w:val="20"/>
          <w:szCs w:val="20"/>
          <w:color w:val="auto"/>
        </w:rPr>
      </w:pPr>
    </w:p>
    <w:p>
      <w:pPr>
        <w:ind w:left="440" w:right="100" w:firstLine="419"/>
        <w:spacing w:after="0" w:line="259" w:lineRule="auto"/>
        <w:tabs>
          <w:tab w:leader="none" w:pos="1108" w:val="left"/>
        </w:tabs>
        <w:numPr>
          <w:ilvl w:val="0"/>
          <w:numId w:val="107"/>
        </w:numPr>
        <w:rPr>
          <w:rFonts w:ascii="Arial" w:cs="Arial" w:eastAsia="Arial" w:hAnsi="Arial"/>
          <w:sz w:val="18"/>
          <w:szCs w:val="18"/>
          <w:color w:val="auto"/>
        </w:rPr>
      </w:pPr>
      <w:r>
        <w:rPr>
          <w:rFonts w:ascii="Arial" w:cs="Arial" w:eastAsia="Arial" w:hAnsi="Arial"/>
          <w:sz w:val="18"/>
          <w:szCs w:val="18"/>
          <w:color w:val="auto"/>
        </w:rPr>
        <w:t>to file and prove a claim for the whole amount of principal and interest owing and unpaid in respect of the Securities and to file such other papers or documents as may be necessary or advisable in order to have the claims of the Trustee (including any claim for the compensation, reasonable expenses, disbursements and advances of the Trustee, its agents and counsel) and of the Holders allowed in such judicial proceeding, and</w:t>
      </w:r>
    </w:p>
    <w:p>
      <w:pPr>
        <w:spacing w:after="0" w:line="78" w:lineRule="exact"/>
        <w:rPr>
          <w:rFonts w:ascii="Arial" w:cs="Arial" w:eastAsia="Arial" w:hAnsi="Arial"/>
          <w:sz w:val="18"/>
          <w:szCs w:val="18"/>
          <w:color w:val="auto"/>
        </w:rPr>
      </w:pPr>
    </w:p>
    <w:p>
      <w:pPr>
        <w:ind w:left="1120" w:hanging="261"/>
        <w:spacing w:after="0"/>
        <w:tabs>
          <w:tab w:leader="none" w:pos="1120" w:val="left"/>
        </w:tabs>
        <w:numPr>
          <w:ilvl w:val="0"/>
          <w:numId w:val="107"/>
        </w:numPr>
        <w:rPr>
          <w:rFonts w:ascii="Arial" w:cs="Arial" w:eastAsia="Arial" w:hAnsi="Arial"/>
          <w:sz w:val="18"/>
          <w:szCs w:val="18"/>
          <w:color w:val="auto"/>
        </w:rPr>
      </w:pPr>
      <w:r>
        <w:rPr>
          <w:rFonts w:ascii="Arial" w:cs="Arial" w:eastAsia="Arial" w:hAnsi="Arial"/>
          <w:sz w:val="18"/>
          <w:szCs w:val="18"/>
          <w:color w:val="auto"/>
        </w:rPr>
        <w:t>to collect and receive any moneys or other property payable or deliverable on any such claims and to distribute the same,</w:t>
      </w:r>
    </w:p>
    <w:p>
      <w:pPr>
        <w:spacing w:after="0" w:line="225" w:lineRule="exact"/>
        <w:rPr>
          <w:sz w:val="20"/>
          <w:szCs w:val="20"/>
          <w:color w:val="auto"/>
        </w:rPr>
      </w:pPr>
    </w:p>
    <w:p>
      <w:pPr>
        <w:ind w:right="180"/>
        <w:spacing w:after="0" w:line="259" w:lineRule="auto"/>
        <w:rPr>
          <w:sz w:val="20"/>
          <w:szCs w:val="20"/>
          <w:color w:val="auto"/>
        </w:rPr>
      </w:pPr>
      <w:r>
        <w:rPr>
          <w:rFonts w:ascii="Arial" w:cs="Arial" w:eastAsia="Arial" w:hAnsi="Arial"/>
          <w:sz w:val="18"/>
          <w:szCs w:val="18"/>
          <w:color w:val="auto"/>
        </w:rPr>
        <w:t>and any custodian, receiver, assignee, trustee, liquidator, sequestrator or other similar official in any such judicial proceeding is hereby authorized by each Holder to make such payments to the Trustee and, in the event that the Trustee shall consent to the making of such payments directly to the Holders, to pay to the Trustee any amount due it for the compensation, reasonable expenses, disbursements and advances of the Trustee, its agents and counsel, and any other amounts due the Trustee under Section 7.7.</w:t>
      </w:r>
    </w:p>
    <w:p>
      <w:pPr>
        <w:spacing w:after="0" w:line="11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17</w:t>
      </w:r>
    </w:p>
    <w:p>
      <w:pPr>
        <w:sectPr>
          <w:pgSz w:w="11900" w:h="16838" w:orient="portrait"/>
          <w:cols w:equalWidth="0" w:num="1">
            <w:col w:w="11000"/>
          </w:cols>
          <w:pgMar w:left="440" w:top="274" w:right="459" w:bottom="1440" w:gutter="0" w:footer="0" w:header="0"/>
        </w:sectPr>
      </w:pPr>
    </w:p>
    <w:bookmarkStart w:id="135" w:name="page136"/>
    <w:bookmarkEnd w:id="135"/>
    <w:p>
      <w:pPr>
        <w:jc w:val="both"/>
        <w:ind w:right="80" w:firstLine="440"/>
        <w:spacing w:after="0" w:line="263"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180" name="Picture 1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0"/>
                    <pic:cNvPicPr>
                      <a:picLocks noChangeAspect="1" noChangeArrowheads="1"/>
                    </pic:cNvPicPr>
                  </pic:nvPicPr>
                  <pic:blipFill>
                    <a:blip r:embed="rId202">
                      <a:extLst>
                        <a:ext uri="{28A0092B-C50C-407E-A947-70E740481C1C}"/>
                      </a:extLst>
                    </a:blip>
                    <a:srcRect/>
                    <a:stretch>
                      <a:fillRect/>
                    </a:stretch>
                  </pic:blipFill>
                  <pic:spPr bwMode="auto">
                    <a:xfrm>
                      <a:off x="0" y="0"/>
                      <a:ext cx="7149465" cy="25400"/>
                    </a:xfrm>
                    <a:prstGeom prst="rect">
                      <a:avLst/>
                    </a:prstGeom>
                    <a:noFill/>
                  </pic:spPr>
                </pic:pic>
              </a:graphicData>
            </a:graphic>
          </wp:anchor>
        </w:drawing>
        <w:t>Nothing herein contained shall be deemed to authorize the Trustee to authorize or consent to or accept or adopt on behalf of any Holder any plan of reorganization, arrangement, adjustment or composition affecting the Securities or the rights of any Holder thereof or to authorize the Trustee to vote in respect of the claim of any Holder in any such proceeding.</w:t>
      </w:r>
    </w:p>
    <w:p>
      <w:pPr>
        <w:spacing w:after="0" w:line="184" w:lineRule="exact"/>
        <w:rPr>
          <w:sz w:val="20"/>
          <w:szCs w:val="20"/>
          <w:color w:val="auto"/>
        </w:rPr>
      </w:pPr>
    </w:p>
    <w:p>
      <w:pPr>
        <w:ind w:left="440"/>
        <w:spacing w:after="0"/>
        <w:rPr>
          <w:sz w:val="20"/>
          <w:szCs w:val="20"/>
          <w:color w:val="auto"/>
        </w:rPr>
      </w:pPr>
      <w:r>
        <w:rPr>
          <w:rFonts w:ascii="Arial" w:cs="Arial" w:eastAsia="Arial" w:hAnsi="Arial"/>
          <w:sz w:val="18"/>
          <w:szCs w:val="18"/>
          <w:color w:val="auto"/>
        </w:rPr>
        <w:t xml:space="preserve">Section 6.5. </w:t>
      </w:r>
      <w:r>
        <w:rPr>
          <w:rFonts w:ascii="Arial" w:cs="Arial" w:eastAsia="Arial" w:hAnsi="Arial"/>
          <w:sz w:val="18"/>
          <w:szCs w:val="18"/>
          <w:u w:val="single" w:color="auto"/>
          <w:color w:val="auto"/>
        </w:rPr>
        <w:t>Trustee May Enforce Claims Without Possession of Securities</w:t>
      </w:r>
      <w:r>
        <w:rPr>
          <w:rFonts w:ascii="Arial" w:cs="Arial" w:eastAsia="Arial" w:hAnsi="Arial"/>
          <w:sz w:val="18"/>
          <w:szCs w:val="18"/>
          <w:color w:val="auto"/>
        </w:rPr>
        <w:t>.</w:t>
      </w:r>
    </w:p>
    <w:p>
      <w:pPr>
        <w:spacing w:after="0" w:line="225" w:lineRule="exact"/>
        <w:rPr>
          <w:sz w:val="20"/>
          <w:szCs w:val="20"/>
          <w:color w:val="auto"/>
        </w:rPr>
      </w:pPr>
    </w:p>
    <w:p>
      <w:pPr>
        <w:ind w:right="60" w:firstLine="440"/>
        <w:spacing w:after="0" w:line="257" w:lineRule="auto"/>
        <w:rPr>
          <w:sz w:val="20"/>
          <w:szCs w:val="20"/>
          <w:color w:val="auto"/>
        </w:rPr>
      </w:pPr>
      <w:r>
        <w:rPr>
          <w:rFonts w:ascii="Arial" w:cs="Arial" w:eastAsia="Arial" w:hAnsi="Arial"/>
          <w:sz w:val="18"/>
          <w:szCs w:val="18"/>
          <w:color w:val="auto"/>
        </w:rPr>
        <w:t>All rights of action and claims under this Indenture or the Securities may be prosecuted and enforced by the Trustee without the possession of any of the Securities or the production thereof in any proceeding relating thereto, and any such proceeding instituted by the Trustee shall be brought in its own name as trustee of an express trust, and any recovery of judgment shall, after provision for the payment of the compensation, reasonable expenses, disbursements and advances of the Trustee, its agents and counsel, be for the ratable benefit of the Holders of the Securities in respect of which such judgment has been recovered.</w:t>
      </w:r>
    </w:p>
    <w:p>
      <w:pPr>
        <w:spacing w:after="0" w:line="188" w:lineRule="exact"/>
        <w:rPr>
          <w:sz w:val="20"/>
          <w:szCs w:val="20"/>
          <w:color w:val="auto"/>
        </w:rPr>
      </w:pPr>
    </w:p>
    <w:p>
      <w:pPr>
        <w:ind w:left="440"/>
        <w:spacing w:after="0"/>
        <w:rPr>
          <w:sz w:val="20"/>
          <w:szCs w:val="20"/>
          <w:color w:val="auto"/>
        </w:rPr>
      </w:pPr>
      <w:r>
        <w:rPr>
          <w:rFonts w:ascii="Arial" w:cs="Arial" w:eastAsia="Arial" w:hAnsi="Arial"/>
          <w:sz w:val="18"/>
          <w:szCs w:val="18"/>
          <w:color w:val="auto"/>
        </w:rPr>
        <w:t xml:space="preserve">Section 6.6. </w:t>
      </w:r>
      <w:r>
        <w:rPr>
          <w:rFonts w:ascii="Arial" w:cs="Arial" w:eastAsia="Arial" w:hAnsi="Arial"/>
          <w:sz w:val="18"/>
          <w:szCs w:val="18"/>
          <w:u w:val="single" w:color="auto"/>
          <w:color w:val="auto"/>
        </w:rPr>
        <w:t>Application of Money Collected</w:t>
      </w:r>
      <w:r>
        <w:rPr>
          <w:rFonts w:ascii="Arial" w:cs="Arial" w:eastAsia="Arial" w:hAnsi="Arial"/>
          <w:sz w:val="18"/>
          <w:szCs w:val="18"/>
          <w:color w:val="auto"/>
        </w:rPr>
        <w:t>.</w:t>
      </w:r>
    </w:p>
    <w:p>
      <w:pPr>
        <w:spacing w:after="0" w:line="225" w:lineRule="exact"/>
        <w:rPr>
          <w:sz w:val="20"/>
          <w:szCs w:val="20"/>
          <w:color w:val="auto"/>
        </w:rPr>
      </w:pPr>
    </w:p>
    <w:p>
      <w:pPr>
        <w:ind w:right="20" w:firstLine="440"/>
        <w:spacing w:after="0" w:line="263" w:lineRule="auto"/>
        <w:rPr>
          <w:sz w:val="20"/>
          <w:szCs w:val="20"/>
          <w:color w:val="auto"/>
        </w:rPr>
      </w:pPr>
      <w:r>
        <w:rPr>
          <w:rFonts w:ascii="Arial" w:cs="Arial" w:eastAsia="Arial" w:hAnsi="Arial"/>
          <w:sz w:val="18"/>
          <w:szCs w:val="18"/>
          <w:color w:val="auto"/>
        </w:rPr>
        <w:t>Any money or property collected by the Trustee pursuant to this Article shall be applied in the following order, at the date or dates fixed by the Trustee and, in case of the distribution of such money or property on account of principal or interest, upon presentation of the Securities and the notation thereon of the payment if only partially paid and upon surrender thereof if fully paid:</w:t>
      </w:r>
    </w:p>
    <w:p>
      <w:pPr>
        <w:spacing w:after="0" w:line="184" w:lineRule="exact"/>
        <w:rPr>
          <w:sz w:val="20"/>
          <w:szCs w:val="20"/>
          <w:color w:val="auto"/>
        </w:rPr>
      </w:pPr>
    </w:p>
    <w:p>
      <w:pPr>
        <w:ind w:left="440"/>
        <w:spacing w:after="0"/>
        <w:rPr>
          <w:sz w:val="20"/>
          <w:szCs w:val="20"/>
          <w:color w:val="auto"/>
        </w:rPr>
      </w:pPr>
      <w:r>
        <w:rPr>
          <w:rFonts w:ascii="Arial" w:cs="Arial" w:eastAsia="Arial" w:hAnsi="Arial"/>
          <w:sz w:val="18"/>
          <w:szCs w:val="18"/>
          <w:color w:val="auto"/>
        </w:rPr>
        <w:t>First: To the payment of all amounts due the Trustee under Section 7.7; and</w:t>
      </w:r>
    </w:p>
    <w:p>
      <w:pPr>
        <w:spacing w:after="0" w:line="225" w:lineRule="exact"/>
        <w:rPr>
          <w:sz w:val="20"/>
          <w:szCs w:val="20"/>
          <w:color w:val="auto"/>
        </w:rPr>
      </w:pPr>
    </w:p>
    <w:p>
      <w:pPr>
        <w:jc w:val="both"/>
        <w:ind w:right="80" w:firstLine="440"/>
        <w:spacing w:after="0" w:line="263" w:lineRule="auto"/>
        <w:rPr>
          <w:sz w:val="20"/>
          <w:szCs w:val="20"/>
          <w:color w:val="auto"/>
        </w:rPr>
      </w:pPr>
      <w:r>
        <w:rPr>
          <w:rFonts w:ascii="Arial" w:cs="Arial" w:eastAsia="Arial" w:hAnsi="Arial"/>
          <w:sz w:val="18"/>
          <w:szCs w:val="18"/>
          <w:color w:val="auto"/>
        </w:rPr>
        <w:t>Second: To the payment of the amounts then due and unpaid for principal of and interest on the Securities in respect of which or for the benefit of which such money has been collected, ratably, without preference or priority of any kind, according to the amounts due and payable on such Securities for principal and interest, respectively; and</w:t>
      </w:r>
    </w:p>
    <w:p>
      <w:pPr>
        <w:spacing w:after="0" w:line="184" w:lineRule="exact"/>
        <w:rPr>
          <w:sz w:val="20"/>
          <w:szCs w:val="20"/>
          <w:color w:val="auto"/>
        </w:rPr>
      </w:pPr>
    </w:p>
    <w:p>
      <w:pPr>
        <w:ind w:left="440"/>
        <w:spacing w:after="0"/>
        <w:rPr>
          <w:sz w:val="20"/>
          <w:szCs w:val="20"/>
          <w:color w:val="auto"/>
        </w:rPr>
      </w:pPr>
      <w:r>
        <w:rPr>
          <w:rFonts w:ascii="Arial" w:cs="Arial" w:eastAsia="Arial" w:hAnsi="Arial"/>
          <w:sz w:val="18"/>
          <w:szCs w:val="18"/>
          <w:color w:val="auto"/>
        </w:rPr>
        <w:t>Third: To the Company.</w:t>
      </w:r>
    </w:p>
    <w:p>
      <w:pPr>
        <w:spacing w:after="0" w:line="225" w:lineRule="exact"/>
        <w:rPr>
          <w:sz w:val="20"/>
          <w:szCs w:val="20"/>
          <w:color w:val="auto"/>
        </w:rPr>
      </w:pPr>
    </w:p>
    <w:p>
      <w:pPr>
        <w:ind w:left="440"/>
        <w:spacing w:after="0"/>
        <w:rPr>
          <w:sz w:val="20"/>
          <w:szCs w:val="20"/>
          <w:color w:val="auto"/>
        </w:rPr>
      </w:pPr>
      <w:r>
        <w:rPr>
          <w:rFonts w:ascii="Arial" w:cs="Arial" w:eastAsia="Arial" w:hAnsi="Arial"/>
          <w:sz w:val="18"/>
          <w:szCs w:val="18"/>
          <w:color w:val="auto"/>
        </w:rPr>
        <w:t xml:space="preserve">Section 6.7. </w:t>
      </w:r>
      <w:r>
        <w:rPr>
          <w:rFonts w:ascii="Arial" w:cs="Arial" w:eastAsia="Arial" w:hAnsi="Arial"/>
          <w:sz w:val="18"/>
          <w:szCs w:val="18"/>
          <w:u w:val="single" w:color="auto"/>
          <w:color w:val="auto"/>
        </w:rPr>
        <w:t>Limitation on Suits</w:t>
      </w:r>
      <w:r>
        <w:rPr>
          <w:rFonts w:ascii="Arial" w:cs="Arial" w:eastAsia="Arial" w:hAnsi="Arial"/>
          <w:sz w:val="18"/>
          <w:szCs w:val="18"/>
          <w:color w:val="auto"/>
        </w:rPr>
        <w:t>.</w:t>
      </w:r>
    </w:p>
    <w:p>
      <w:pPr>
        <w:spacing w:after="0" w:line="225" w:lineRule="exact"/>
        <w:rPr>
          <w:sz w:val="20"/>
          <w:szCs w:val="20"/>
          <w:color w:val="auto"/>
        </w:rPr>
      </w:pPr>
    </w:p>
    <w:p>
      <w:pPr>
        <w:ind w:firstLine="440"/>
        <w:spacing w:after="0" w:line="277" w:lineRule="auto"/>
        <w:rPr>
          <w:sz w:val="20"/>
          <w:szCs w:val="20"/>
          <w:color w:val="auto"/>
        </w:rPr>
      </w:pPr>
      <w:r>
        <w:rPr>
          <w:rFonts w:ascii="Arial" w:cs="Arial" w:eastAsia="Arial" w:hAnsi="Arial"/>
          <w:sz w:val="18"/>
          <w:szCs w:val="18"/>
          <w:color w:val="auto"/>
        </w:rPr>
        <w:t>No Holder of any Security of any Series shall have any right to institute any proceeding, judicial or otherwise, with respect to this Indenture, or for the appointment of a receiver or trustee, or for any other remedy hereunder, unless</w:t>
      </w:r>
    </w:p>
    <w:p>
      <w:pPr>
        <w:spacing w:after="0" w:line="62" w:lineRule="exact"/>
        <w:rPr>
          <w:sz w:val="20"/>
          <w:szCs w:val="20"/>
          <w:color w:val="auto"/>
        </w:rPr>
      </w:pPr>
    </w:p>
    <w:p>
      <w:pPr>
        <w:ind w:left="1100" w:hanging="241"/>
        <w:spacing w:after="0"/>
        <w:tabs>
          <w:tab w:leader="none" w:pos="1100" w:val="left"/>
        </w:tabs>
        <w:numPr>
          <w:ilvl w:val="0"/>
          <w:numId w:val="108"/>
        </w:numPr>
        <w:rPr>
          <w:rFonts w:ascii="Arial" w:cs="Arial" w:eastAsia="Arial" w:hAnsi="Arial"/>
          <w:sz w:val="17"/>
          <w:szCs w:val="17"/>
          <w:color w:val="auto"/>
        </w:rPr>
      </w:pPr>
      <w:r>
        <w:rPr>
          <w:rFonts w:ascii="Arial" w:cs="Arial" w:eastAsia="Arial" w:hAnsi="Arial"/>
          <w:sz w:val="17"/>
          <w:szCs w:val="17"/>
          <w:color w:val="auto"/>
        </w:rPr>
        <w:t>such Holder has previously given written notice to the Trustee of a continuing Event of Default with respect to the Securities of that</w:t>
      </w:r>
    </w:p>
    <w:p>
      <w:pPr>
        <w:spacing w:after="0" w:line="34" w:lineRule="exact"/>
        <w:rPr>
          <w:rFonts w:ascii="Arial" w:cs="Arial" w:eastAsia="Arial" w:hAnsi="Arial"/>
          <w:sz w:val="17"/>
          <w:szCs w:val="17"/>
          <w:color w:val="auto"/>
        </w:rPr>
      </w:pPr>
    </w:p>
    <w:p>
      <w:pPr>
        <w:ind w:left="440"/>
        <w:spacing w:after="0"/>
        <w:rPr>
          <w:rFonts w:ascii="Arial" w:cs="Arial" w:eastAsia="Arial" w:hAnsi="Arial"/>
          <w:sz w:val="17"/>
          <w:szCs w:val="17"/>
          <w:color w:val="auto"/>
        </w:rPr>
      </w:pPr>
      <w:r>
        <w:rPr>
          <w:rFonts w:ascii="Arial" w:cs="Arial" w:eastAsia="Arial" w:hAnsi="Arial"/>
          <w:sz w:val="18"/>
          <w:szCs w:val="18"/>
          <w:color w:val="auto"/>
        </w:rPr>
        <w:t>Series;</w:t>
      </w:r>
    </w:p>
    <w:p>
      <w:pPr>
        <w:spacing w:after="0" w:line="102" w:lineRule="exact"/>
        <w:rPr>
          <w:rFonts w:ascii="Arial" w:cs="Arial" w:eastAsia="Arial" w:hAnsi="Arial"/>
          <w:sz w:val="17"/>
          <w:szCs w:val="17"/>
          <w:color w:val="auto"/>
        </w:rPr>
      </w:pPr>
    </w:p>
    <w:p>
      <w:pPr>
        <w:ind w:left="440" w:right="220" w:firstLine="419"/>
        <w:spacing w:after="0" w:line="277" w:lineRule="auto"/>
        <w:tabs>
          <w:tab w:leader="none" w:pos="1118" w:val="left"/>
        </w:tabs>
        <w:numPr>
          <w:ilvl w:val="0"/>
          <w:numId w:val="108"/>
        </w:numPr>
        <w:rPr>
          <w:rFonts w:ascii="Arial" w:cs="Arial" w:eastAsia="Arial" w:hAnsi="Arial"/>
          <w:sz w:val="18"/>
          <w:szCs w:val="18"/>
          <w:color w:val="auto"/>
        </w:rPr>
      </w:pPr>
      <w:r>
        <w:rPr>
          <w:rFonts w:ascii="Arial" w:cs="Arial" w:eastAsia="Arial" w:hAnsi="Arial"/>
          <w:sz w:val="18"/>
          <w:szCs w:val="18"/>
          <w:color w:val="auto"/>
        </w:rPr>
        <w:t>the Holders of not less than 25% in principal amount of the outstanding Securities of that Series shall have made written request to the Trustee to institute proceedings in respect of such Event of Default in its own name as Trustee hereunder;</w:t>
      </w:r>
    </w:p>
    <w:p>
      <w:pPr>
        <w:spacing w:after="0" w:line="62" w:lineRule="exact"/>
        <w:rPr>
          <w:rFonts w:ascii="Arial" w:cs="Arial" w:eastAsia="Arial" w:hAnsi="Arial"/>
          <w:sz w:val="18"/>
          <w:szCs w:val="18"/>
          <w:color w:val="auto"/>
        </w:rPr>
      </w:pPr>
    </w:p>
    <w:p>
      <w:pPr>
        <w:ind w:left="440" w:right="480" w:firstLine="419"/>
        <w:spacing w:after="0" w:line="277" w:lineRule="auto"/>
        <w:tabs>
          <w:tab w:leader="none" w:pos="1108" w:val="left"/>
        </w:tabs>
        <w:numPr>
          <w:ilvl w:val="0"/>
          <w:numId w:val="108"/>
        </w:numPr>
        <w:rPr>
          <w:rFonts w:ascii="Arial" w:cs="Arial" w:eastAsia="Arial" w:hAnsi="Arial"/>
          <w:sz w:val="18"/>
          <w:szCs w:val="18"/>
          <w:color w:val="auto"/>
        </w:rPr>
      </w:pPr>
      <w:r>
        <w:rPr>
          <w:rFonts w:ascii="Arial" w:cs="Arial" w:eastAsia="Arial" w:hAnsi="Arial"/>
          <w:sz w:val="18"/>
          <w:szCs w:val="18"/>
          <w:color w:val="auto"/>
        </w:rPr>
        <w:t>such Holder or Holders have offered to the Trustee indemnity or security satisfactory to the Trustee against the costs, expenses and liabilities which might be incurred by the Trustee in compliance with such request;</w:t>
      </w:r>
    </w:p>
    <w:p>
      <w:pPr>
        <w:spacing w:after="0" w:line="62" w:lineRule="exact"/>
        <w:rPr>
          <w:rFonts w:ascii="Arial" w:cs="Arial" w:eastAsia="Arial" w:hAnsi="Arial"/>
          <w:sz w:val="18"/>
          <w:szCs w:val="18"/>
          <w:color w:val="auto"/>
        </w:rPr>
      </w:pPr>
    </w:p>
    <w:p>
      <w:pPr>
        <w:ind w:left="1120" w:hanging="261"/>
        <w:spacing w:after="0"/>
        <w:tabs>
          <w:tab w:leader="none" w:pos="1120" w:val="left"/>
        </w:tabs>
        <w:numPr>
          <w:ilvl w:val="0"/>
          <w:numId w:val="108"/>
        </w:numPr>
        <w:rPr>
          <w:rFonts w:ascii="Arial" w:cs="Arial" w:eastAsia="Arial" w:hAnsi="Arial"/>
          <w:sz w:val="16"/>
          <w:szCs w:val="16"/>
          <w:color w:val="auto"/>
        </w:rPr>
      </w:pPr>
      <w:r>
        <w:rPr>
          <w:rFonts w:ascii="Arial" w:cs="Arial" w:eastAsia="Arial" w:hAnsi="Arial"/>
          <w:sz w:val="16"/>
          <w:szCs w:val="16"/>
          <w:color w:val="auto"/>
        </w:rPr>
        <w:t>the Trustee for 60 days after its receipt of such notice, request and offer of indemnity has failed to institute any such proceeding; and</w:t>
      </w:r>
    </w:p>
    <w:p>
      <w:pPr>
        <w:spacing w:after="0" w:line="140" w:lineRule="exact"/>
        <w:rPr>
          <w:rFonts w:ascii="Arial" w:cs="Arial" w:eastAsia="Arial" w:hAnsi="Arial"/>
          <w:sz w:val="16"/>
          <w:szCs w:val="16"/>
          <w:color w:val="auto"/>
        </w:rPr>
      </w:pPr>
    </w:p>
    <w:p>
      <w:pPr>
        <w:ind w:left="440" w:right="100" w:firstLine="419"/>
        <w:spacing w:after="0" w:line="277" w:lineRule="auto"/>
        <w:tabs>
          <w:tab w:leader="none" w:pos="1108" w:val="left"/>
        </w:tabs>
        <w:numPr>
          <w:ilvl w:val="0"/>
          <w:numId w:val="108"/>
        </w:numPr>
        <w:rPr>
          <w:rFonts w:ascii="Arial" w:cs="Arial" w:eastAsia="Arial" w:hAnsi="Arial"/>
          <w:sz w:val="18"/>
          <w:szCs w:val="18"/>
          <w:color w:val="auto"/>
        </w:rPr>
      </w:pPr>
      <w:r>
        <w:rPr>
          <w:rFonts w:ascii="Arial" w:cs="Arial" w:eastAsia="Arial" w:hAnsi="Arial"/>
          <w:sz w:val="18"/>
          <w:szCs w:val="18"/>
          <w:color w:val="auto"/>
        </w:rPr>
        <w:t>no direction inconsistent with such written request has been given to the Trustee during such 60-day period by the Holders of a majority in principal amount of the outstanding Securities of that Series;</w:t>
      </w:r>
    </w:p>
    <w:p>
      <w:pPr>
        <w:spacing w:after="0" w:line="10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18</w:t>
      </w:r>
    </w:p>
    <w:p>
      <w:pPr>
        <w:sectPr>
          <w:pgSz w:w="11900" w:h="16838" w:orient="portrait"/>
          <w:cols w:equalWidth="0" w:num="1">
            <w:col w:w="11000"/>
          </w:cols>
          <w:pgMar w:left="440" w:top="274" w:right="459" w:bottom="1440" w:gutter="0" w:footer="0" w:header="0"/>
        </w:sectPr>
      </w:pPr>
    </w:p>
    <w:bookmarkStart w:id="136" w:name="page137"/>
    <w:bookmarkEnd w:id="136"/>
    <w:p>
      <w:pPr>
        <w:ind w:right="120"/>
        <w:spacing w:after="0" w:line="301"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181" name="Picture 1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1"/>
                    <pic:cNvPicPr>
                      <a:picLocks noChangeAspect="1" noChangeArrowheads="1"/>
                    </pic:cNvPicPr>
                  </pic:nvPicPr>
                  <pic:blipFill>
                    <a:blip r:embed="rId203">
                      <a:extLst>
                        <a:ext uri="{28A0092B-C50C-407E-A947-70E740481C1C}"/>
                      </a:extLst>
                    </a:blip>
                    <a:srcRect/>
                    <a:stretch>
                      <a:fillRect/>
                    </a:stretch>
                  </pic:blipFill>
                  <pic:spPr bwMode="auto">
                    <a:xfrm>
                      <a:off x="0" y="0"/>
                      <a:ext cx="7149465" cy="25400"/>
                    </a:xfrm>
                    <a:prstGeom prst="rect">
                      <a:avLst/>
                    </a:prstGeom>
                    <a:noFill/>
                  </pic:spPr>
                </pic:pic>
              </a:graphicData>
            </a:graphic>
          </wp:anchor>
        </w:drawing>
        <w:t>it being understood, intended and expressly covenanted by the Holder of every Security with every other Holder and the Trustee that no one or more of such Holders shall have any right in any manner whatever by virtue of, or by availing of, any provision of this Indenture to affect, disturb or prejudice the rights of any other of such Holders, or to obtain or to seek to obtain priority or preference over any other of such Holders or to enforce any right under this Indenture, except in the manner herein provided and for the equal and ratable benefit of all such Holders of the applicable Series.</w:t>
      </w:r>
    </w:p>
    <w:p>
      <w:pPr>
        <w:spacing w:after="0" w:line="157" w:lineRule="exact"/>
        <w:rPr>
          <w:sz w:val="20"/>
          <w:szCs w:val="20"/>
          <w:color w:val="auto"/>
        </w:rPr>
      </w:pPr>
    </w:p>
    <w:p>
      <w:pPr>
        <w:ind w:left="440"/>
        <w:spacing w:after="0"/>
        <w:rPr>
          <w:sz w:val="20"/>
          <w:szCs w:val="20"/>
          <w:color w:val="auto"/>
        </w:rPr>
      </w:pPr>
      <w:r>
        <w:rPr>
          <w:rFonts w:ascii="Arial" w:cs="Arial" w:eastAsia="Arial" w:hAnsi="Arial"/>
          <w:sz w:val="18"/>
          <w:szCs w:val="18"/>
          <w:color w:val="auto"/>
        </w:rPr>
        <w:t xml:space="preserve">Section 6.8. </w:t>
      </w:r>
      <w:r>
        <w:rPr>
          <w:rFonts w:ascii="Arial" w:cs="Arial" w:eastAsia="Arial" w:hAnsi="Arial"/>
          <w:sz w:val="18"/>
          <w:szCs w:val="18"/>
          <w:u w:val="single" w:color="auto"/>
          <w:color w:val="auto"/>
        </w:rPr>
        <w:t>Unconditional Right of Holders to Receive Principal and Interest</w:t>
      </w:r>
      <w:r>
        <w:rPr>
          <w:rFonts w:ascii="Arial" w:cs="Arial" w:eastAsia="Arial" w:hAnsi="Arial"/>
          <w:sz w:val="18"/>
          <w:szCs w:val="18"/>
          <w:color w:val="auto"/>
        </w:rPr>
        <w:t>.</w:t>
      </w:r>
    </w:p>
    <w:p>
      <w:pPr>
        <w:spacing w:after="0" w:line="225" w:lineRule="exact"/>
        <w:rPr>
          <w:sz w:val="20"/>
          <w:szCs w:val="20"/>
          <w:color w:val="auto"/>
        </w:rPr>
      </w:pPr>
    </w:p>
    <w:p>
      <w:pPr>
        <w:ind w:right="80" w:firstLine="440"/>
        <w:spacing w:after="0" w:line="259" w:lineRule="auto"/>
        <w:rPr>
          <w:sz w:val="20"/>
          <w:szCs w:val="20"/>
          <w:color w:val="auto"/>
        </w:rPr>
      </w:pPr>
      <w:r>
        <w:rPr>
          <w:rFonts w:ascii="Arial" w:cs="Arial" w:eastAsia="Arial" w:hAnsi="Arial"/>
          <w:sz w:val="18"/>
          <w:szCs w:val="18"/>
          <w:color w:val="auto"/>
        </w:rPr>
        <w:t>Notwithstanding any other provision in this Indenture, the Holder of any Security shall have the right, which is absolute and unconditional, to receive payment of the principal of and interest, if any, on such Security on the Maturity of such Security, including the Stated Maturity expressed in such Security (or, in the case of redemption, on the redemption date) and to institute suit for the enforcement of any such payment, and such rights shall not be impaired without the consent of such Holder.</w:t>
      </w:r>
    </w:p>
    <w:p>
      <w:pPr>
        <w:spacing w:after="0" w:line="187" w:lineRule="exact"/>
        <w:rPr>
          <w:sz w:val="20"/>
          <w:szCs w:val="20"/>
          <w:color w:val="auto"/>
        </w:rPr>
      </w:pPr>
    </w:p>
    <w:p>
      <w:pPr>
        <w:ind w:left="440"/>
        <w:spacing w:after="0"/>
        <w:rPr>
          <w:sz w:val="20"/>
          <w:szCs w:val="20"/>
          <w:color w:val="auto"/>
        </w:rPr>
      </w:pPr>
      <w:r>
        <w:rPr>
          <w:rFonts w:ascii="Arial" w:cs="Arial" w:eastAsia="Arial" w:hAnsi="Arial"/>
          <w:sz w:val="18"/>
          <w:szCs w:val="18"/>
          <w:color w:val="auto"/>
        </w:rPr>
        <w:t xml:space="preserve">Section 6.9. </w:t>
      </w:r>
      <w:r>
        <w:rPr>
          <w:rFonts w:ascii="Arial" w:cs="Arial" w:eastAsia="Arial" w:hAnsi="Arial"/>
          <w:sz w:val="18"/>
          <w:szCs w:val="18"/>
          <w:u w:val="single" w:color="auto"/>
          <w:color w:val="auto"/>
        </w:rPr>
        <w:t>Restoration of Rights and Remedies</w:t>
      </w:r>
      <w:r>
        <w:rPr>
          <w:rFonts w:ascii="Arial" w:cs="Arial" w:eastAsia="Arial" w:hAnsi="Arial"/>
          <w:sz w:val="18"/>
          <w:szCs w:val="18"/>
          <w:color w:val="auto"/>
        </w:rPr>
        <w:t>.</w:t>
      </w:r>
    </w:p>
    <w:p>
      <w:pPr>
        <w:spacing w:after="0" w:line="225" w:lineRule="exact"/>
        <w:rPr>
          <w:sz w:val="20"/>
          <w:szCs w:val="20"/>
          <w:color w:val="auto"/>
        </w:rPr>
      </w:pPr>
    </w:p>
    <w:p>
      <w:pPr>
        <w:ind w:right="20" w:firstLine="440"/>
        <w:spacing w:after="0" w:line="301" w:lineRule="auto"/>
        <w:rPr>
          <w:sz w:val="20"/>
          <w:szCs w:val="20"/>
          <w:color w:val="auto"/>
        </w:rPr>
      </w:pPr>
      <w:r>
        <w:rPr>
          <w:rFonts w:ascii="Arial" w:cs="Arial" w:eastAsia="Arial" w:hAnsi="Arial"/>
          <w:sz w:val="16"/>
          <w:szCs w:val="16"/>
          <w:color w:val="auto"/>
        </w:rPr>
        <w:t>If the Trustee or any Holder has instituted any proceeding to enforce any right or remedy under this Indenture and such proceeding has been discontinued or abandoned for any reason, or has been determined adversely to the Trustee or to such Holder, then and in every such case, subject to any determination in such proceeding, the Company, the Trustee and the Holders shall be restored severally and respectively to their former positions hereunder and thereafter all rights and remedies of the Trustee and the Holders shall continue as though no such proceeding had been instituted.</w:t>
      </w:r>
    </w:p>
    <w:p>
      <w:pPr>
        <w:spacing w:after="0" w:line="157" w:lineRule="exact"/>
        <w:rPr>
          <w:sz w:val="20"/>
          <w:szCs w:val="20"/>
          <w:color w:val="auto"/>
        </w:rPr>
      </w:pPr>
    </w:p>
    <w:p>
      <w:pPr>
        <w:ind w:left="440"/>
        <w:spacing w:after="0"/>
        <w:rPr>
          <w:sz w:val="20"/>
          <w:szCs w:val="20"/>
          <w:color w:val="auto"/>
        </w:rPr>
      </w:pPr>
      <w:r>
        <w:rPr>
          <w:rFonts w:ascii="Arial" w:cs="Arial" w:eastAsia="Arial" w:hAnsi="Arial"/>
          <w:sz w:val="18"/>
          <w:szCs w:val="18"/>
          <w:color w:val="auto"/>
        </w:rPr>
        <w:t xml:space="preserve">Section 6.10. </w:t>
      </w:r>
      <w:r>
        <w:rPr>
          <w:rFonts w:ascii="Arial" w:cs="Arial" w:eastAsia="Arial" w:hAnsi="Arial"/>
          <w:sz w:val="18"/>
          <w:szCs w:val="18"/>
          <w:u w:val="single" w:color="auto"/>
          <w:color w:val="auto"/>
        </w:rPr>
        <w:t>Rights and Remedies Cumulative</w:t>
      </w:r>
      <w:r>
        <w:rPr>
          <w:rFonts w:ascii="Arial" w:cs="Arial" w:eastAsia="Arial" w:hAnsi="Arial"/>
          <w:sz w:val="18"/>
          <w:szCs w:val="18"/>
          <w:color w:val="auto"/>
        </w:rPr>
        <w:t>.</w:t>
      </w:r>
    </w:p>
    <w:p>
      <w:pPr>
        <w:spacing w:after="0" w:line="225" w:lineRule="exact"/>
        <w:rPr>
          <w:sz w:val="20"/>
          <w:szCs w:val="20"/>
          <w:color w:val="auto"/>
        </w:rPr>
      </w:pPr>
    </w:p>
    <w:p>
      <w:pPr>
        <w:ind w:firstLine="440"/>
        <w:spacing w:after="0" w:line="275" w:lineRule="auto"/>
        <w:rPr>
          <w:sz w:val="20"/>
          <w:szCs w:val="20"/>
          <w:color w:val="auto"/>
        </w:rPr>
      </w:pPr>
      <w:r>
        <w:rPr>
          <w:rFonts w:ascii="Arial" w:cs="Arial" w:eastAsia="Arial" w:hAnsi="Arial"/>
          <w:sz w:val="17"/>
          <w:szCs w:val="17"/>
          <w:color w:val="auto"/>
        </w:rPr>
        <w:t>Except as otherwise provided with respect to the replacement or payment of mutilated, destroyed, lost or stolen Securities in Section 2.8, no right or remedy herein conferred upon or reserved to the Trustee or to the Holders is intended to be exclusive of any other right or remedy, and every right and remedy shall, to the extent permitted by law, be cumulative and in addition to every other right and remedy given hereunder or now or hereafter existing at law or in equity or otherwise. The assertion or employment of any right or remedy hereunder, or otherwise, shall not, to the extent permitted by law, prevent the concurrent assertion or employment of any other appropriate right or remedy.</w:t>
      </w:r>
    </w:p>
    <w:p>
      <w:pPr>
        <w:spacing w:after="0" w:line="176" w:lineRule="exact"/>
        <w:rPr>
          <w:sz w:val="20"/>
          <w:szCs w:val="20"/>
          <w:color w:val="auto"/>
        </w:rPr>
      </w:pPr>
    </w:p>
    <w:p>
      <w:pPr>
        <w:ind w:left="440"/>
        <w:spacing w:after="0"/>
        <w:rPr>
          <w:sz w:val="20"/>
          <w:szCs w:val="20"/>
          <w:color w:val="auto"/>
        </w:rPr>
      </w:pPr>
      <w:r>
        <w:rPr>
          <w:rFonts w:ascii="Arial" w:cs="Arial" w:eastAsia="Arial" w:hAnsi="Arial"/>
          <w:sz w:val="18"/>
          <w:szCs w:val="18"/>
          <w:color w:val="auto"/>
        </w:rPr>
        <w:t xml:space="preserve">Section 6.11. </w:t>
      </w:r>
      <w:r>
        <w:rPr>
          <w:rFonts w:ascii="Arial" w:cs="Arial" w:eastAsia="Arial" w:hAnsi="Arial"/>
          <w:sz w:val="18"/>
          <w:szCs w:val="18"/>
          <w:u w:val="single" w:color="auto"/>
          <w:color w:val="auto"/>
        </w:rPr>
        <w:t>Delay or Omission Not Waiver</w:t>
      </w:r>
      <w:r>
        <w:rPr>
          <w:rFonts w:ascii="Arial" w:cs="Arial" w:eastAsia="Arial" w:hAnsi="Arial"/>
          <w:sz w:val="18"/>
          <w:szCs w:val="18"/>
          <w:color w:val="auto"/>
        </w:rPr>
        <w:t>.</w:t>
      </w:r>
    </w:p>
    <w:p>
      <w:pPr>
        <w:spacing w:after="0" w:line="225" w:lineRule="exact"/>
        <w:rPr>
          <w:sz w:val="20"/>
          <w:szCs w:val="20"/>
          <w:color w:val="auto"/>
        </w:rPr>
      </w:pPr>
    </w:p>
    <w:p>
      <w:pPr>
        <w:ind w:right="20" w:firstLine="440"/>
        <w:spacing w:after="0" w:line="259" w:lineRule="auto"/>
        <w:rPr>
          <w:sz w:val="20"/>
          <w:szCs w:val="20"/>
          <w:color w:val="auto"/>
        </w:rPr>
      </w:pPr>
      <w:r>
        <w:rPr>
          <w:rFonts w:ascii="Arial" w:cs="Arial" w:eastAsia="Arial" w:hAnsi="Arial"/>
          <w:sz w:val="18"/>
          <w:szCs w:val="18"/>
          <w:color w:val="auto"/>
        </w:rPr>
        <w:t>No delay or omission of the Trustee or of any Holder of any Securities to exercise any right or remedy accruing upon any Event of Default shall impair any such right or remedy or constitute a waiver of any such Event of Default or an acquiescence therein. Every right and remedy given by this Article or by law to the Trustee or to the Holders may be exercised from time to time, and as often as may be deemed expedient, by the Trustee or by the Holders, as the case may be.</w:t>
      </w:r>
    </w:p>
    <w:p>
      <w:pPr>
        <w:spacing w:after="0" w:line="187" w:lineRule="exact"/>
        <w:rPr>
          <w:sz w:val="20"/>
          <w:szCs w:val="20"/>
          <w:color w:val="auto"/>
        </w:rPr>
      </w:pPr>
    </w:p>
    <w:p>
      <w:pPr>
        <w:ind w:left="440"/>
        <w:spacing w:after="0"/>
        <w:rPr>
          <w:sz w:val="20"/>
          <w:szCs w:val="20"/>
          <w:color w:val="auto"/>
        </w:rPr>
      </w:pPr>
      <w:r>
        <w:rPr>
          <w:rFonts w:ascii="Arial" w:cs="Arial" w:eastAsia="Arial" w:hAnsi="Arial"/>
          <w:sz w:val="18"/>
          <w:szCs w:val="18"/>
          <w:color w:val="auto"/>
        </w:rPr>
        <w:t xml:space="preserve">Section 6.12. </w:t>
      </w:r>
      <w:r>
        <w:rPr>
          <w:rFonts w:ascii="Arial" w:cs="Arial" w:eastAsia="Arial" w:hAnsi="Arial"/>
          <w:sz w:val="18"/>
          <w:szCs w:val="18"/>
          <w:u w:val="single" w:color="auto"/>
          <w:color w:val="auto"/>
        </w:rPr>
        <w:t>Control by Holders</w:t>
      </w:r>
      <w:r>
        <w:rPr>
          <w:rFonts w:ascii="Arial" w:cs="Arial" w:eastAsia="Arial" w:hAnsi="Arial"/>
          <w:sz w:val="18"/>
          <w:szCs w:val="18"/>
          <w:color w:val="auto"/>
        </w:rPr>
        <w:t>.</w:t>
      </w:r>
    </w:p>
    <w:p>
      <w:pPr>
        <w:spacing w:after="0" w:line="225" w:lineRule="exact"/>
        <w:rPr>
          <w:sz w:val="20"/>
          <w:szCs w:val="20"/>
          <w:color w:val="auto"/>
        </w:rPr>
      </w:pPr>
    </w:p>
    <w:p>
      <w:pPr>
        <w:ind w:right="120" w:firstLine="440"/>
        <w:spacing w:after="0" w:line="263" w:lineRule="auto"/>
        <w:rPr>
          <w:sz w:val="20"/>
          <w:szCs w:val="20"/>
          <w:color w:val="auto"/>
        </w:rPr>
      </w:pPr>
      <w:r>
        <w:rPr>
          <w:rFonts w:ascii="Arial" w:cs="Arial" w:eastAsia="Arial" w:hAnsi="Arial"/>
          <w:sz w:val="18"/>
          <w:szCs w:val="18"/>
          <w:color w:val="auto"/>
        </w:rPr>
        <w:t>The Holders of a majority in principal amount of the outstanding Securities of any Series shall have the right to direct the time, method and place of conducting any proceeding for any remedy available to the Trustee, or exercising any trust or power conferred on the Trustee, with respect to the Securities of such Series, provided that</w:t>
      </w:r>
    </w:p>
    <w:p>
      <w:pPr>
        <w:spacing w:after="0" w:line="76" w:lineRule="exact"/>
        <w:rPr>
          <w:sz w:val="20"/>
          <w:szCs w:val="20"/>
          <w:color w:val="auto"/>
        </w:rPr>
      </w:pPr>
    </w:p>
    <w:p>
      <w:pPr>
        <w:ind w:left="1100" w:hanging="241"/>
        <w:spacing w:after="0"/>
        <w:tabs>
          <w:tab w:leader="none" w:pos="1100" w:val="left"/>
        </w:tabs>
        <w:numPr>
          <w:ilvl w:val="0"/>
          <w:numId w:val="109"/>
        </w:numPr>
        <w:rPr>
          <w:rFonts w:ascii="Arial" w:cs="Arial" w:eastAsia="Arial" w:hAnsi="Arial"/>
          <w:sz w:val="18"/>
          <w:szCs w:val="18"/>
          <w:color w:val="auto"/>
        </w:rPr>
      </w:pPr>
      <w:r>
        <w:rPr>
          <w:rFonts w:ascii="Arial" w:cs="Arial" w:eastAsia="Arial" w:hAnsi="Arial"/>
          <w:sz w:val="18"/>
          <w:szCs w:val="18"/>
          <w:color w:val="auto"/>
        </w:rPr>
        <w:t>such direction shall not be in conflict with any rule of law or with this Indenture,</w:t>
      </w:r>
    </w:p>
    <w:p>
      <w:pPr>
        <w:spacing w:after="0" w:line="117" w:lineRule="exact"/>
        <w:rPr>
          <w:rFonts w:ascii="Arial" w:cs="Arial" w:eastAsia="Arial" w:hAnsi="Arial"/>
          <w:sz w:val="18"/>
          <w:szCs w:val="18"/>
          <w:color w:val="auto"/>
        </w:rPr>
      </w:pPr>
    </w:p>
    <w:p>
      <w:pPr>
        <w:ind w:left="5420" w:right="1700" w:hanging="4561"/>
        <w:spacing w:after="0" w:line="449" w:lineRule="auto"/>
        <w:tabs>
          <w:tab w:leader="none" w:pos="1120" w:val="left"/>
        </w:tabs>
        <w:numPr>
          <w:ilvl w:val="0"/>
          <w:numId w:val="109"/>
        </w:numPr>
        <w:rPr>
          <w:rFonts w:ascii="Arial" w:cs="Arial" w:eastAsia="Arial" w:hAnsi="Arial"/>
          <w:sz w:val="18"/>
          <w:szCs w:val="18"/>
          <w:color w:val="auto"/>
        </w:rPr>
      </w:pPr>
      <w:r>
        <w:rPr>
          <w:rFonts w:ascii="Arial" w:cs="Arial" w:eastAsia="Arial" w:hAnsi="Arial"/>
          <w:sz w:val="18"/>
          <w:szCs w:val="18"/>
          <w:color w:val="auto"/>
        </w:rPr>
        <w:t>the Trustee may take any other action deemed proper by the Trustee which is not inconsistent with such direction, 19</w:t>
      </w:r>
    </w:p>
    <w:p>
      <w:pPr>
        <w:sectPr>
          <w:pgSz w:w="11900" w:h="16838" w:orient="portrait"/>
          <w:cols w:equalWidth="0" w:num="1">
            <w:col w:w="11000"/>
          </w:cols>
          <w:pgMar w:left="440" w:top="274" w:right="459" w:bottom="1440" w:gutter="0" w:footer="0" w:header="0"/>
        </w:sectPr>
      </w:pPr>
    </w:p>
    <w:bookmarkStart w:id="137" w:name="page138"/>
    <w:bookmarkEnd w:id="137"/>
    <w:p>
      <w:pPr>
        <w:ind w:left="440" w:firstLine="419"/>
        <w:spacing w:after="0" w:line="342" w:lineRule="auto"/>
        <w:tabs>
          <w:tab w:leader="none" w:pos="1108" w:val="left"/>
        </w:tabs>
        <w:numPr>
          <w:ilvl w:val="0"/>
          <w:numId w:val="110"/>
        </w:numPr>
        <w:rPr>
          <w:rFonts w:ascii="Arial" w:cs="Arial" w:eastAsia="Arial" w:hAnsi="Arial"/>
          <w:sz w:val="16"/>
          <w:szCs w:val="16"/>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182" name="Picture 1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2"/>
                    <pic:cNvPicPr>
                      <a:picLocks noChangeAspect="1" noChangeArrowheads="1"/>
                    </pic:cNvPicPr>
                  </pic:nvPicPr>
                  <pic:blipFill>
                    <a:blip r:embed="rId204">
                      <a:extLst>
                        <a:ext uri="{28A0092B-C50C-407E-A947-70E740481C1C}"/>
                      </a:extLst>
                    </a:blip>
                    <a:srcRect/>
                    <a:stretch>
                      <a:fillRect/>
                    </a:stretch>
                  </pic:blipFill>
                  <pic:spPr bwMode="auto">
                    <a:xfrm>
                      <a:off x="0" y="0"/>
                      <a:ext cx="7149465" cy="25400"/>
                    </a:xfrm>
                    <a:prstGeom prst="rect">
                      <a:avLst/>
                    </a:prstGeom>
                    <a:noFill/>
                  </pic:spPr>
                </pic:pic>
              </a:graphicData>
            </a:graphic>
          </wp:anchor>
        </w:drawing>
        <w:t>subject to the provisions of Section 7.1, the Trustee shall have the right to decline to follow any such direction if the Trustee in good faith shall, by a Responsible Officer of the Trustee, determine that the proceeding so directed would involve the Trustee in personal liability, and</w:t>
      </w:r>
    </w:p>
    <w:p>
      <w:pPr>
        <w:spacing w:after="0" w:line="15" w:lineRule="exact"/>
        <w:rPr>
          <w:rFonts w:ascii="Arial" w:cs="Arial" w:eastAsia="Arial" w:hAnsi="Arial"/>
          <w:sz w:val="16"/>
          <w:szCs w:val="16"/>
          <w:color w:val="auto"/>
        </w:rPr>
      </w:pPr>
    </w:p>
    <w:p>
      <w:pPr>
        <w:ind w:left="440" w:right="40" w:firstLine="419"/>
        <w:spacing w:after="0" w:line="277" w:lineRule="auto"/>
        <w:tabs>
          <w:tab w:leader="none" w:pos="1118" w:val="left"/>
        </w:tabs>
        <w:numPr>
          <w:ilvl w:val="0"/>
          <w:numId w:val="110"/>
        </w:numPr>
        <w:rPr>
          <w:rFonts w:ascii="Arial" w:cs="Arial" w:eastAsia="Arial" w:hAnsi="Arial"/>
          <w:sz w:val="18"/>
          <w:szCs w:val="18"/>
          <w:color w:val="auto"/>
        </w:rPr>
      </w:pPr>
      <w:r>
        <w:rPr>
          <w:rFonts w:ascii="Arial" w:cs="Arial" w:eastAsia="Arial" w:hAnsi="Arial"/>
          <w:sz w:val="18"/>
          <w:szCs w:val="18"/>
          <w:color w:val="auto"/>
        </w:rPr>
        <w:t>prior to taking any action as directed under this Section 6.12, the Trustee shall be entitled to indemnity satisfactory to it against the costs, expenses and liabilities which might be incurred by it in compliance with such request or direction.</w:t>
      </w:r>
    </w:p>
    <w:p>
      <w:pPr>
        <w:spacing w:after="0" w:line="170" w:lineRule="exact"/>
        <w:rPr>
          <w:sz w:val="20"/>
          <w:szCs w:val="20"/>
          <w:color w:val="auto"/>
        </w:rPr>
      </w:pPr>
    </w:p>
    <w:p>
      <w:pPr>
        <w:ind w:left="440"/>
        <w:spacing w:after="0"/>
        <w:rPr>
          <w:sz w:val="20"/>
          <w:szCs w:val="20"/>
          <w:color w:val="auto"/>
        </w:rPr>
      </w:pPr>
      <w:r>
        <w:rPr>
          <w:rFonts w:ascii="Arial" w:cs="Arial" w:eastAsia="Arial" w:hAnsi="Arial"/>
          <w:sz w:val="18"/>
          <w:szCs w:val="18"/>
          <w:color w:val="auto"/>
        </w:rPr>
        <w:t xml:space="preserve">Section 6.13. </w:t>
      </w:r>
      <w:r>
        <w:rPr>
          <w:rFonts w:ascii="Arial" w:cs="Arial" w:eastAsia="Arial" w:hAnsi="Arial"/>
          <w:sz w:val="18"/>
          <w:szCs w:val="18"/>
          <w:u w:val="single" w:color="auto"/>
          <w:color w:val="auto"/>
        </w:rPr>
        <w:t>Waiver of Past Defaults</w:t>
      </w:r>
      <w:r>
        <w:rPr>
          <w:rFonts w:ascii="Arial" w:cs="Arial" w:eastAsia="Arial" w:hAnsi="Arial"/>
          <w:sz w:val="18"/>
          <w:szCs w:val="18"/>
          <w:color w:val="auto"/>
        </w:rPr>
        <w:t>.</w:t>
      </w:r>
    </w:p>
    <w:p>
      <w:pPr>
        <w:spacing w:after="0" w:line="225" w:lineRule="exact"/>
        <w:rPr>
          <w:sz w:val="20"/>
          <w:szCs w:val="20"/>
          <w:color w:val="auto"/>
        </w:rPr>
      </w:pPr>
    </w:p>
    <w:p>
      <w:pPr>
        <w:ind w:firstLine="440"/>
        <w:spacing w:after="0" w:line="254" w:lineRule="auto"/>
        <w:rPr>
          <w:sz w:val="20"/>
          <w:szCs w:val="20"/>
          <w:color w:val="auto"/>
        </w:rPr>
      </w:pPr>
      <w:r>
        <w:rPr>
          <w:rFonts w:ascii="Arial" w:cs="Arial" w:eastAsia="Arial" w:hAnsi="Arial"/>
          <w:sz w:val="18"/>
          <w:szCs w:val="18"/>
          <w:color w:val="auto"/>
        </w:rPr>
        <w:t>The Holders of not less than a majority in principal amount of the outstanding Securities of any Series may on behalf of the Holders of all the Securities of such Series, by written notice to the Trustee and the Company, waive any past Default hereunder with respect to such Series and its consequences, except a Default in the payment of the principal of or interest on any Security of such Series (provided, however, that the Holders of a majority in principal amount of the outstanding Securities of any Series may rescind an acceleration and its consequences, including any related payment default that resulted from such acceleration). Upon any such waiver, such Default shall cease to exist, and any Event of Default arising therefrom shall be deemed to have been cured, for every purpose of this Indenture; but no such waiver shall extend to any subsequent or other Default or impair any right consequent thereon.</w:t>
      </w:r>
    </w:p>
    <w:p>
      <w:pPr>
        <w:spacing w:after="0" w:line="195" w:lineRule="exact"/>
        <w:rPr>
          <w:sz w:val="20"/>
          <w:szCs w:val="20"/>
          <w:color w:val="auto"/>
        </w:rPr>
      </w:pPr>
    </w:p>
    <w:p>
      <w:pPr>
        <w:ind w:left="440"/>
        <w:spacing w:after="0"/>
        <w:rPr>
          <w:sz w:val="20"/>
          <w:szCs w:val="20"/>
          <w:color w:val="auto"/>
        </w:rPr>
      </w:pPr>
      <w:r>
        <w:rPr>
          <w:rFonts w:ascii="Arial" w:cs="Arial" w:eastAsia="Arial" w:hAnsi="Arial"/>
          <w:sz w:val="18"/>
          <w:szCs w:val="18"/>
          <w:color w:val="auto"/>
        </w:rPr>
        <w:t xml:space="preserve">Section 6.14. </w:t>
      </w:r>
      <w:r>
        <w:rPr>
          <w:rFonts w:ascii="Arial" w:cs="Arial" w:eastAsia="Arial" w:hAnsi="Arial"/>
          <w:sz w:val="18"/>
          <w:szCs w:val="18"/>
          <w:u w:val="single" w:color="auto"/>
          <w:color w:val="auto"/>
        </w:rPr>
        <w:t>Undertaking for Costs</w:t>
      </w:r>
      <w:r>
        <w:rPr>
          <w:rFonts w:ascii="Arial" w:cs="Arial" w:eastAsia="Arial" w:hAnsi="Arial"/>
          <w:sz w:val="18"/>
          <w:szCs w:val="18"/>
          <w:color w:val="auto"/>
        </w:rPr>
        <w:t>.</w:t>
      </w:r>
    </w:p>
    <w:p>
      <w:pPr>
        <w:spacing w:after="0" w:line="225" w:lineRule="exact"/>
        <w:rPr>
          <w:sz w:val="20"/>
          <w:szCs w:val="20"/>
          <w:color w:val="auto"/>
        </w:rPr>
      </w:pPr>
    </w:p>
    <w:p>
      <w:pPr>
        <w:ind w:right="80" w:firstLine="440"/>
        <w:spacing w:after="0" w:line="270" w:lineRule="auto"/>
        <w:rPr>
          <w:sz w:val="20"/>
          <w:szCs w:val="20"/>
          <w:color w:val="auto"/>
        </w:rPr>
      </w:pPr>
      <w:r>
        <w:rPr>
          <w:rFonts w:ascii="Arial" w:cs="Arial" w:eastAsia="Arial" w:hAnsi="Arial"/>
          <w:sz w:val="17"/>
          <w:szCs w:val="17"/>
          <w:color w:val="auto"/>
        </w:rPr>
        <w:t>All parties to this Indenture agree, and each Holder of any Security by his acceptance thereof shall be deemed to have agreed, that any court may in its discretion require, in any suit for the enforcement of any right or remedy under this Indenture, or in any suit against the Trustee for any action taken, suffered or omitted by it as Trustee, the filing by any party litigant in such suit of an undertaking to pay the costs of such suit, and that such court may in its discretion assess reasonable costs, including reasonable attorneys’ fees, against any party litigant in such suit, having due regard to the merits and good faith of the claims or defenses made by such party litigant; but the provisions of this Section shall not apply to any suit instituted by the Company, to any suit instituted by the Trustee, to any suit instituted by any Holder, or group of Holders, holding in the aggregate more than 10% in principal amount of the outstanding Securities of any Series, or to any suit instituted by any Holder for the enforcement of the payment of the principal of or interest on any Security on or after the Maturity of such Security, including the Stated Maturity expressed in such Security (or, in the case of redemption, on the redemption date).</w:t>
      </w:r>
    </w:p>
    <w:p>
      <w:pPr>
        <w:spacing w:after="0" w:line="39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ARTICLE VII.</w:t>
      </w:r>
    </w:p>
    <w:p>
      <w:pPr>
        <w:spacing w:after="0" w:line="2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TRUSTEE</w:t>
      </w:r>
    </w:p>
    <w:p>
      <w:pPr>
        <w:spacing w:after="0" w:line="211" w:lineRule="exact"/>
        <w:rPr>
          <w:sz w:val="20"/>
          <w:szCs w:val="20"/>
          <w:color w:val="auto"/>
        </w:rPr>
      </w:pPr>
    </w:p>
    <w:p>
      <w:pPr>
        <w:ind w:left="440"/>
        <w:spacing w:after="0"/>
        <w:rPr>
          <w:sz w:val="20"/>
          <w:szCs w:val="20"/>
          <w:color w:val="auto"/>
        </w:rPr>
      </w:pPr>
      <w:r>
        <w:rPr>
          <w:rFonts w:ascii="Arial" w:cs="Arial" w:eastAsia="Arial" w:hAnsi="Arial"/>
          <w:sz w:val="18"/>
          <w:szCs w:val="18"/>
          <w:color w:val="auto"/>
        </w:rPr>
        <w:t xml:space="preserve">Section 7.1. </w:t>
      </w:r>
      <w:r>
        <w:rPr>
          <w:rFonts w:ascii="Arial" w:cs="Arial" w:eastAsia="Arial" w:hAnsi="Arial"/>
          <w:sz w:val="18"/>
          <w:szCs w:val="18"/>
          <w:u w:val="single" w:color="auto"/>
          <w:color w:val="auto"/>
        </w:rPr>
        <w:t>Duties of Trustee</w:t>
      </w:r>
      <w:r>
        <w:rPr>
          <w:rFonts w:ascii="Arial" w:cs="Arial" w:eastAsia="Arial" w:hAnsi="Arial"/>
          <w:sz w:val="18"/>
          <w:szCs w:val="18"/>
          <w:color w:val="auto"/>
        </w:rPr>
        <w:t>.</w:t>
      </w:r>
    </w:p>
    <w:p>
      <w:pPr>
        <w:spacing w:after="0" w:line="117" w:lineRule="exact"/>
        <w:rPr>
          <w:sz w:val="20"/>
          <w:szCs w:val="20"/>
          <w:color w:val="auto"/>
        </w:rPr>
      </w:pPr>
    </w:p>
    <w:p>
      <w:pPr>
        <w:ind w:left="440" w:right="180" w:firstLine="419"/>
        <w:spacing w:after="0" w:line="263" w:lineRule="auto"/>
        <w:tabs>
          <w:tab w:leader="none" w:pos="1108" w:val="left"/>
        </w:tabs>
        <w:numPr>
          <w:ilvl w:val="0"/>
          <w:numId w:val="111"/>
        </w:numPr>
        <w:rPr>
          <w:rFonts w:ascii="Arial" w:cs="Arial" w:eastAsia="Arial" w:hAnsi="Arial"/>
          <w:sz w:val="18"/>
          <w:szCs w:val="18"/>
          <w:color w:val="auto"/>
        </w:rPr>
      </w:pPr>
      <w:r>
        <w:rPr>
          <w:rFonts w:ascii="Arial" w:cs="Arial" w:eastAsia="Arial" w:hAnsi="Arial"/>
          <w:sz w:val="18"/>
          <w:szCs w:val="18"/>
          <w:color w:val="auto"/>
        </w:rPr>
        <w:t>If an Event of Default has occurred and is continuing, the Trustee shall exercise the rights and powers vested in it by this Indenture and use the same degree of care and skill in their exercise as a prudent person would exercise or use under the circumstances in the conduct of such person’s own affairs.</w:t>
      </w:r>
    </w:p>
    <w:p>
      <w:pPr>
        <w:spacing w:after="0" w:line="75" w:lineRule="exact"/>
        <w:rPr>
          <w:rFonts w:ascii="Arial" w:cs="Arial" w:eastAsia="Arial" w:hAnsi="Arial"/>
          <w:sz w:val="18"/>
          <w:szCs w:val="18"/>
          <w:color w:val="auto"/>
        </w:rPr>
      </w:pPr>
    </w:p>
    <w:p>
      <w:pPr>
        <w:ind w:left="1120" w:hanging="261"/>
        <w:spacing w:after="0"/>
        <w:tabs>
          <w:tab w:leader="none" w:pos="1120" w:val="left"/>
        </w:tabs>
        <w:numPr>
          <w:ilvl w:val="0"/>
          <w:numId w:val="111"/>
        </w:numPr>
        <w:rPr>
          <w:rFonts w:ascii="Arial" w:cs="Arial" w:eastAsia="Arial" w:hAnsi="Arial"/>
          <w:sz w:val="18"/>
          <w:szCs w:val="18"/>
          <w:color w:val="auto"/>
        </w:rPr>
      </w:pPr>
      <w:r>
        <w:rPr>
          <w:rFonts w:ascii="Arial" w:cs="Arial" w:eastAsia="Arial" w:hAnsi="Arial"/>
          <w:sz w:val="18"/>
          <w:szCs w:val="18"/>
          <w:color w:val="auto"/>
        </w:rPr>
        <w:t>Except during the continuance of an Event of Default:</w:t>
      </w:r>
    </w:p>
    <w:p>
      <w:pPr>
        <w:spacing w:after="0" w:line="117" w:lineRule="exact"/>
        <w:rPr>
          <w:rFonts w:ascii="Arial" w:cs="Arial" w:eastAsia="Arial" w:hAnsi="Arial"/>
          <w:sz w:val="18"/>
          <w:szCs w:val="18"/>
          <w:color w:val="auto"/>
        </w:rPr>
      </w:pPr>
    </w:p>
    <w:p>
      <w:pPr>
        <w:ind w:left="1600" w:hanging="212"/>
        <w:spacing w:after="0"/>
        <w:tabs>
          <w:tab w:leader="none" w:pos="1600" w:val="left"/>
        </w:tabs>
        <w:numPr>
          <w:ilvl w:val="1"/>
          <w:numId w:val="111"/>
        </w:numPr>
        <w:rPr>
          <w:rFonts w:ascii="Arial" w:cs="Arial" w:eastAsia="Arial" w:hAnsi="Arial"/>
          <w:sz w:val="18"/>
          <w:szCs w:val="18"/>
          <w:color w:val="auto"/>
        </w:rPr>
      </w:pPr>
      <w:r>
        <w:rPr>
          <w:rFonts w:ascii="Arial" w:cs="Arial" w:eastAsia="Arial" w:hAnsi="Arial"/>
          <w:sz w:val="18"/>
          <w:szCs w:val="18"/>
          <w:color w:val="auto"/>
        </w:rPr>
        <w:t>The Trustee need perform only those duties that are specifically set forth in this Indenture and no others.</w:t>
      </w:r>
    </w:p>
    <w:p>
      <w:pPr>
        <w:spacing w:after="0" w:line="117" w:lineRule="exact"/>
        <w:rPr>
          <w:rFonts w:ascii="Arial" w:cs="Arial" w:eastAsia="Arial" w:hAnsi="Arial"/>
          <w:sz w:val="18"/>
          <w:szCs w:val="18"/>
          <w:color w:val="auto"/>
        </w:rPr>
      </w:pPr>
    </w:p>
    <w:p>
      <w:pPr>
        <w:ind w:left="980" w:right="220" w:firstLine="408"/>
        <w:spacing w:after="0" w:line="275" w:lineRule="auto"/>
        <w:tabs>
          <w:tab w:leader="none" w:pos="1646" w:val="left"/>
        </w:tabs>
        <w:numPr>
          <w:ilvl w:val="1"/>
          <w:numId w:val="111"/>
        </w:numPr>
        <w:rPr>
          <w:rFonts w:ascii="Arial" w:cs="Arial" w:eastAsia="Arial" w:hAnsi="Arial"/>
          <w:sz w:val="17"/>
          <w:szCs w:val="17"/>
          <w:color w:val="auto"/>
        </w:rPr>
      </w:pPr>
      <w:r>
        <w:rPr>
          <w:rFonts w:ascii="Arial" w:cs="Arial" w:eastAsia="Arial" w:hAnsi="Arial"/>
          <w:sz w:val="17"/>
          <w:szCs w:val="17"/>
          <w:color w:val="auto"/>
        </w:rPr>
        <w:t xml:space="preserve">In the absence of bad faith on its part, the Trustee may conclusively rely, as to the truth of the statements and the correctness of the opinions expressed therein, upon Officer’s Certificates or Opinions of Counsel furnished to the Trustee and conforming to the requirements of this Indenture; </w:t>
      </w:r>
      <w:r>
        <w:rPr>
          <w:rFonts w:ascii="Arial" w:cs="Arial" w:eastAsia="Arial" w:hAnsi="Arial"/>
          <w:sz w:val="17"/>
          <w:szCs w:val="17"/>
          <w:u w:val="single" w:color="auto"/>
          <w:color w:val="auto"/>
        </w:rPr>
        <w:t>however</w:t>
      </w:r>
      <w:r>
        <w:rPr>
          <w:rFonts w:ascii="Arial" w:cs="Arial" w:eastAsia="Arial" w:hAnsi="Arial"/>
          <w:sz w:val="17"/>
          <w:szCs w:val="17"/>
          <w:color w:val="auto"/>
        </w:rPr>
        <w:t>, in the case of any such Officer’s Certificates or Opinions of Counsel which by any provisions hereof are specifically required to be furnished to the Trustee, the Trustee shall examine such Officer’s Certificates and Opinions of Counsel to determine whether or not they conform to the form requirements of this Indenture.</w:t>
      </w:r>
    </w:p>
    <w:p>
      <w:pPr>
        <w:spacing w:after="0" w:line="10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20</w:t>
      </w:r>
    </w:p>
    <w:p>
      <w:pPr>
        <w:sectPr>
          <w:pgSz w:w="11900" w:h="16838" w:orient="portrait"/>
          <w:cols w:equalWidth="0" w:num="1">
            <w:col w:w="11000"/>
          </w:cols>
          <w:pgMar w:left="440" w:top="274" w:right="459" w:bottom="1440" w:gutter="0" w:footer="0" w:header="0"/>
        </w:sectPr>
      </w:pPr>
    </w:p>
    <w:bookmarkStart w:id="138" w:name="page139"/>
    <w:bookmarkEnd w:id="138"/>
    <w:p>
      <w:pPr>
        <w:ind w:right="80" w:firstLine="419"/>
        <w:spacing w:after="0" w:line="277" w:lineRule="auto"/>
        <w:tabs>
          <w:tab w:leader="none" w:pos="668" w:val="left"/>
        </w:tabs>
        <w:numPr>
          <w:ilvl w:val="0"/>
          <w:numId w:val="112"/>
        </w:numPr>
        <w:rPr>
          <w:rFonts w:ascii="Arial" w:cs="Arial" w:eastAsia="Arial" w:hAnsi="Arial"/>
          <w:sz w:val="18"/>
          <w:szCs w:val="18"/>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183" name="Picture 1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3"/>
                    <pic:cNvPicPr>
                      <a:picLocks noChangeAspect="1" noChangeArrowheads="1"/>
                    </pic:cNvPicPr>
                  </pic:nvPicPr>
                  <pic:blipFill>
                    <a:blip r:embed="rId205">
                      <a:extLst>
                        <a:ext uri="{28A0092B-C50C-407E-A947-70E740481C1C}"/>
                      </a:extLst>
                    </a:blip>
                    <a:srcRect/>
                    <a:stretch>
                      <a:fillRect/>
                    </a:stretch>
                  </pic:blipFill>
                  <pic:spPr bwMode="auto">
                    <a:xfrm>
                      <a:off x="0" y="0"/>
                      <a:ext cx="7149465" cy="25400"/>
                    </a:xfrm>
                    <a:prstGeom prst="rect">
                      <a:avLst/>
                    </a:prstGeom>
                    <a:noFill/>
                  </pic:spPr>
                </pic:pic>
              </a:graphicData>
            </a:graphic>
          </wp:anchor>
        </w:drawing>
        <w:t>The Trustee may not be relieved from liability for its own negligent action, its own negligent failure to act or its own willful misconduct, except that:</w:t>
      </w:r>
    </w:p>
    <w:p>
      <w:pPr>
        <w:spacing w:after="0" w:line="62" w:lineRule="exact"/>
        <w:rPr>
          <w:rFonts w:ascii="Arial" w:cs="Arial" w:eastAsia="Arial" w:hAnsi="Arial"/>
          <w:sz w:val="18"/>
          <w:szCs w:val="18"/>
          <w:color w:val="auto"/>
        </w:rPr>
      </w:pPr>
    </w:p>
    <w:p>
      <w:pPr>
        <w:ind w:left="1160" w:hanging="212"/>
        <w:spacing w:after="0"/>
        <w:tabs>
          <w:tab w:leader="none" w:pos="1160" w:val="left"/>
        </w:tabs>
        <w:numPr>
          <w:ilvl w:val="1"/>
          <w:numId w:val="112"/>
        </w:numPr>
        <w:rPr>
          <w:rFonts w:ascii="Arial" w:cs="Arial" w:eastAsia="Arial" w:hAnsi="Arial"/>
          <w:sz w:val="18"/>
          <w:szCs w:val="18"/>
          <w:color w:val="auto"/>
        </w:rPr>
      </w:pPr>
      <w:r>
        <w:rPr>
          <w:rFonts w:ascii="Arial" w:cs="Arial" w:eastAsia="Arial" w:hAnsi="Arial"/>
          <w:sz w:val="18"/>
          <w:szCs w:val="18"/>
          <w:color w:val="auto"/>
        </w:rPr>
        <w:t>This paragraph does not limit the effect of paragraph (b) of this Section.</w:t>
      </w:r>
    </w:p>
    <w:p>
      <w:pPr>
        <w:spacing w:after="0" w:line="117" w:lineRule="exact"/>
        <w:rPr>
          <w:rFonts w:ascii="Arial" w:cs="Arial" w:eastAsia="Arial" w:hAnsi="Arial"/>
          <w:sz w:val="18"/>
          <w:szCs w:val="18"/>
          <w:color w:val="auto"/>
        </w:rPr>
      </w:pPr>
    </w:p>
    <w:p>
      <w:pPr>
        <w:ind w:left="540" w:right="120" w:firstLine="408"/>
        <w:spacing w:after="0" w:line="277" w:lineRule="auto"/>
        <w:tabs>
          <w:tab w:leader="none" w:pos="1206" w:val="left"/>
        </w:tabs>
        <w:numPr>
          <w:ilvl w:val="1"/>
          <w:numId w:val="112"/>
        </w:numPr>
        <w:rPr>
          <w:rFonts w:ascii="Arial" w:cs="Arial" w:eastAsia="Arial" w:hAnsi="Arial"/>
          <w:sz w:val="18"/>
          <w:szCs w:val="18"/>
          <w:color w:val="auto"/>
        </w:rPr>
      </w:pPr>
      <w:r>
        <w:rPr>
          <w:rFonts w:ascii="Arial" w:cs="Arial" w:eastAsia="Arial" w:hAnsi="Arial"/>
          <w:sz w:val="18"/>
          <w:szCs w:val="18"/>
          <w:color w:val="auto"/>
        </w:rPr>
        <w:t>The Trustee shall not be liable for any error of judgment made in good faith by a Responsible Officer, unless it is proved that the Trustee was negligent in ascertaining the pertinent facts.</w:t>
      </w:r>
    </w:p>
    <w:p>
      <w:pPr>
        <w:spacing w:after="0" w:line="62" w:lineRule="exact"/>
        <w:rPr>
          <w:rFonts w:ascii="Arial" w:cs="Arial" w:eastAsia="Arial" w:hAnsi="Arial"/>
          <w:sz w:val="18"/>
          <w:szCs w:val="18"/>
          <w:color w:val="auto"/>
        </w:rPr>
      </w:pPr>
    </w:p>
    <w:p>
      <w:pPr>
        <w:ind w:left="540" w:right="60" w:firstLine="408"/>
        <w:spacing w:after="0" w:line="286" w:lineRule="auto"/>
        <w:tabs>
          <w:tab w:leader="none" w:pos="1256" w:val="left"/>
        </w:tabs>
        <w:numPr>
          <w:ilvl w:val="1"/>
          <w:numId w:val="112"/>
        </w:numPr>
        <w:rPr>
          <w:rFonts w:ascii="Arial" w:cs="Arial" w:eastAsia="Arial" w:hAnsi="Arial"/>
          <w:sz w:val="16"/>
          <w:szCs w:val="16"/>
          <w:color w:val="auto"/>
        </w:rPr>
      </w:pPr>
      <w:r>
        <w:rPr>
          <w:rFonts w:ascii="Arial" w:cs="Arial" w:eastAsia="Arial" w:hAnsi="Arial"/>
          <w:sz w:val="16"/>
          <w:szCs w:val="16"/>
          <w:color w:val="auto"/>
        </w:rPr>
        <w:t>The Trustee shall not be liable with respect to any action taken, suffered or omitted to be taken by it with respect to Securities of any Series in good faith in accordance with the direction of the Holders of a majority in principal amount of the outstanding Securities of such Series relating to the time, method and place of conducting any proceeding for any remedy available to the Trustee, or exercising any trust or power conferred upon the Trustee, under this Indenture with respect to the Securities of such Series in accordance with</w:t>
      </w:r>
    </w:p>
    <w:p>
      <w:pPr>
        <w:spacing w:after="0" w:line="1" w:lineRule="exact"/>
        <w:rPr>
          <w:rFonts w:ascii="Arial" w:cs="Arial" w:eastAsia="Arial" w:hAnsi="Arial"/>
          <w:sz w:val="16"/>
          <w:szCs w:val="16"/>
          <w:color w:val="auto"/>
        </w:rPr>
      </w:pPr>
    </w:p>
    <w:p>
      <w:pPr>
        <w:ind w:left="540"/>
        <w:spacing w:after="0"/>
        <w:rPr>
          <w:rFonts w:ascii="Arial" w:cs="Arial" w:eastAsia="Arial" w:hAnsi="Arial"/>
          <w:sz w:val="16"/>
          <w:szCs w:val="16"/>
          <w:color w:val="auto"/>
        </w:rPr>
      </w:pPr>
      <w:r>
        <w:rPr>
          <w:rFonts w:ascii="Arial" w:cs="Arial" w:eastAsia="Arial" w:hAnsi="Arial"/>
          <w:sz w:val="18"/>
          <w:szCs w:val="18"/>
          <w:color w:val="auto"/>
        </w:rPr>
        <w:t>Section 6.12.</w:t>
      </w:r>
    </w:p>
    <w:p>
      <w:pPr>
        <w:spacing w:after="0" w:line="102" w:lineRule="exact"/>
        <w:rPr>
          <w:rFonts w:ascii="Arial" w:cs="Arial" w:eastAsia="Arial" w:hAnsi="Arial"/>
          <w:sz w:val="16"/>
          <w:szCs w:val="16"/>
          <w:color w:val="auto"/>
        </w:rPr>
      </w:pPr>
    </w:p>
    <w:p>
      <w:pPr>
        <w:ind w:left="680" w:hanging="261"/>
        <w:spacing w:after="0"/>
        <w:tabs>
          <w:tab w:leader="none" w:pos="680" w:val="left"/>
        </w:tabs>
        <w:numPr>
          <w:ilvl w:val="0"/>
          <w:numId w:val="112"/>
        </w:numPr>
        <w:rPr>
          <w:rFonts w:ascii="Arial" w:cs="Arial" w:eastAsia="Arial" w:hAnsi="Arial"/>
          <w:sz w:val="18"/>
          <w:szCs w:val="18"/>
          <w:color w:val="auto"/>
        </w:rPr>
      </w:pPr>
      <w:r>
        <w:rPr>
          <w:rFonts w:ascii="Arial" w:cs="Arial" w:eastAsia="Arial" w:hAnsi="Arial"/>
          <w:sz w:val="18"/>
          <w:szCs w:val="18"/>
          <w:color w:val="auto"/>
        </w:rPr>
        <w:t>Every provision of this Indenture that in any way relates to the Trustee is subject to paragraph (a), (b) and (c) of this Section.</w:t>
      </w:r>
    </w:p>
    <w:p>
      <w:pPr>
        <w:spacing w:after="0" w:line="117" w:lineRule="exact"/>
        <w:rPr>
          <w:rFonts w:ascii="Arial" w:cs="Arial" w:eastAsia="Arial" w:hAnsi="Arial"/>
          <w:sz w:val="18"/>
          <w:szCs w:val="18"/>
          <w:color w:val="auto"/>
        </w:rPr>
      </w:pPr>
    </w:p>
    <w:p>
      <w:pPr>
        <w:ind w:firstLine="419"/>
        <w:spacing w:after="0" w:line="277" w:lineRule="auto"/>
        <w:tabs>
          <w:tab w:leader="none" w:pos="668" w:val="left"/>
        </w:tabs>
        <w:numPr>
          <w:ilvl w:val="0"/>
          <w:numId w:val="112"/>
        </w:numPr>
        <w:rPr>
          <w:rFonts w:ascii="Arial" w:cs="Arial" w:eastAsia="Arial" w:hAnsi="Arial"/>
          <w:sz w:val="18"/>
          <w:szCs w:val="18"/>
          <w:color w:val="auto"/>
        </w:rPr>
      </w:pPr>
      <w:r>
        <w:rPr>
          <w:rFonts w:ascii="Arial" w:cs="Arial" w:eastAsia="Arial" w:hAnsi="Arial"/>
          <w:sz w:val="18"/>
          <w:szCs w:val="18"/>
          <w:color w:val="auto"/>
        </w:rPr>
        <w:t>The Trustee may refuse to perform any duty or exercise any right or power unless it receives indemnity satisfactory to it against the costs, expenses and liabilities which might be incurred by it in performing such duty or exercising such right or power.</w:t>
      </w:r>
    </w:p>
    <w:p>
      <w:pPr>
        <w:spacing w:after="0" w:line="62" w:lineRule="exact"/>
        <w:rPr>
          <w:rFonts w:ascii="Arial" w:cs="Arial" w:eastAsia="Arial" w:hAnsi="Arial"/>
          <w:sz w:val="18"/>
          <w:szCs w:val="18"/>
          <w:color w:val="auto"/>
        </w:rPr>
      </w:pPr>
    </w:p>
    <w:p>
      <w:pPr>
        <w:ind w:right="340" w:firstLine="419"/>
        <w:spacing w:after="0" w:line="277" w:lineRule="auto"/>
        <w:tabs>
          <w:tab w:leader="none" w:pos="648" w:val="left"/>
        </w:tabs>
        <w:numPr>
          <w:ilvl w:val="0"/>
          <w:numId w:val="112"/>
        </w:numPr>
        <w:rPr>
          <w:rFonts w:ascii="Arial" w:cs="Arial" w:eastAsia="Arial" w:hAnsi="Arial"/>
          <w:sz w:val="18"/>
          <w:szCs w:val="18"/>
          <w:color w:val="auto"/>
        </w:rPr>
      </w:pPr>
      <w:r>
        <w:rPr>
          <w:rFonts w:ascii="Arial" w:cs="Arial" w:eastAsia="Arial" w:hAnsi="Arial"/>
          <w:sz w:val="18"/>
          <w:szCs w:val="18"/>
          <w:color w:val="auto"/>
        </w:rPr>
        <w:t>The Trustee shall not be liable for interest on any money received by it except as the Trustee may agree in writing with the Company. Money held in trust by the Trustee need not be segregated from other funds except to the extent required by law.</w:t>
      </w:r>
    </w:p>
    <w:p>
      <w:pPr>
        <w:spacing w:after="0" w:line="62" w:lineRule="exact"/>
        <w:rPr>
          <w:rFonts w:ascii="Arial" w:cs="Arial" w:eastAsia="Arial" w:hAnsi="Arial"/>
          <w:sz w:val="18"/>
          <w:szCs w:val="18"/>
          <w:color w:val="auto"/>
        </w:rPr>
      </w:pPr>
    </w:p>
    <w:p>
      <w:pPr>
        <w:ind w:right="80" w:firstLine="419"/>
        <w:spacing w:after="0" w:line="263" w:lineRule="auto"/>
        <w:tabs>
          <w:tab w:leader="none" w:pos="678" w:val="left"/>
        </w:tabs>
        <w:numPr>
          <w:ilvl w:val="0"/>
          <w:numId w:val="112"/>
        </w:numPr>
        <w:rPr>
          <w:rFonts w:ascii="Arial" w:cs="Arial" w:eastAsia="Arial" w:hAnsi="Arial"/>
          <w:sz w:val="18"/>
          <w:szCs w:val="18"/>
          <w:color w:val="auto"/>
        </w:rPr>
      </w:pPr>
      <w:r>
        <w:rPr>
          <w:rFonts w:ascii="Arial" w:cs="Arial" w:eastAsia="Arial" w:hAnsi="Arial"/>
          <w:sz w:val="18"/>
          <w:szCs w:val="18"/>
          <w:color w:val="auto"/>
        </w:rPr>
        <w:t>No provision of this Indenture shall require the Trustee to risk its own funds or otherwise incur any financial liability in the performance of any of its duties, or in the exercise of any of its rights or powers, if adequate indemnity against such risk is not assured to the Trustee in its satisfaction.</w:t>
      </w:r>
    </w:p>
    <w:p>
      <w:pPr>
        <w:spacing w:after="0" w:line="75" w:lineRule="exact"/>
        <w:rPr>
          <w:rFonts w:ascii="Arial" w:cs="Arial" w:eastAsia="Arial" w:hAnsi="Arial"/>
          <w:sz w:val="18"/>
          <w:szCs w:val="18"/>
          <w:color w:val="auto"/>
        </w:rPr>
      </w:pPr>
    </w:p>
    <w:p>
      <w:pPr>
        <w:ind w:right="560" w:firstLine="419"/>
        <w:spacing w:after="0" w:line="277" w:lineRule="auto"/>
        <w:tabs>
          <w:tab w:leader="none" w:pos="678" w:val="left"/>
        </w:tabs>
        <w:numPr>
          <w:ilvl w:val="0"/>
          <w:numId w:val="112"/>
        </w:numPr>
        <w:rPr>
          <w:rFonts w:ascii="Arial" w:cs="Arial" w:eastAsia="Arial" w:hAnsi="Arial"/>
          <w:sz w:val="18"/>
          <w:szCs w:val="18"/>
          <w:color w:val="auto"/>
        </w:rPr>
      </w:pPr>
      <w:r>
        <w:rPr>
          <w:rFonts w:ascii="Arial" w:cs="Arial" w:eastAsia="Arial" w:hAnsi="Arial"/>
          <w:sz w:val="18"/>
          <w:szCs w:val="18"/>
          <w:color w:val="auto"/>
        </w:rPr>
        <w:t>The Paying Agent, the Registrar and any authenticating agent shall be entitled to the protections and immunities as are set forth in paragraphs (e), (f) and (g) of this Section and in Section 7.2, each with respect to the Trustee.</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color w:val="auto"/>
        </w:rPr>
        <w:t xml:space="preserve">Section 7.2. </w:t>
      </w:r>
      <w:r>
        <w:rPr>
          <w:rFonts w:ascii="Arial" w:cs="Arial" w:eastAsia="Arial" w:hAnsi="Arial"/>
          <w:sz w:val="18"/>
          <w:szCs w:val="18"/>
          <w:u w:val="single" w:color="auto"/>
          <w:color w:val="auto"/>
        </w:rPr>
        <w:t>Rights of Trustee</w:t>
      </w:r>
      <w:r>
        <w:rPr>
          <w:rFonts w:ascii="Arial" w:cs="Arial" w:eastAsia="Arial" w:hAnsi="Arial"/>
          <w:sz w:val="18"/>
          <w:szCs w:val="18"/>
          <w:color w:val="auto"/>
        </w:rPr>
        <w:t>.</w:t>
      </w:r>
    </w:p>
    <w:p>
      <w:pPr>
        <w:spacing w:after="0" w:line="117" w:lineRule="exact"/>
        <w:rPr>
          <w:sz w:val="20"/>
          <w:szCs w:val="20"/>
          <w:color w:val="auto"/>
        </w:rPr>
      </w:pPr>
    </w:p>
    <w:p>
      <w:pPr>
        <w:ind w:right="140" w:firstLine="419"/>
        <w:spacing w:after="0" w:line="263" w:lineRule="auto"/>
        <w:tabs>
          <w:tab w:leader="none" w:pos="668" w:val="left"/>
        </w:tabs>
        <w:numPr>
          <w:ilvl w:val="0"/>
          <w:numId w:val="113"/>
        </w:numPr>
        <w:rPr>
          <w:rFonts w:ascii="Arial" w:cs="Arial" w:eastAsia="Arial" w:hAnsi="Arial"/>
          <w:sz w:val="18"/>
          <w:szCs w:val="18"/>
          <w:color w:val="auto"/>
        </w:rPr>
      </w:pPr>
      <w:r>
        <w:rPr>
          <w:rFonts w:ascii="Arial" w:cs="Arial" w:eastAsia="Arial" w:hAnsi="Arial"/>
          <w:sz w:val="18"/>
          <w:szCs w:val="18"/>
          <w:color w:val="auto"/>
        </w:rPr>
        <w:t>The Trustee may rely on and shall be protected in acting or refraining from acting upon any document (whether in its original or facsimile form) believed by it to be genuine and to have been signed or presented by the proper person. The Trustee need not investigate any fact or matter stated in the document.</w:t>
      </w:r>
    </w:p>
    <w:p>
      <w:pPr>
        <w:spacing w:after="0" w:line="75" w:lineRule="exact"/>
        <w:rPr>
          <w:rFonts w:ascii="Arial" w:cs="Arial" w:eastAsia="Arial" w:hAnsi="Arial"/>
          <w:sz w:val="18"/>
          <w:szCs w:val="18"/>
          <w:color w:val="auto"/>
        </w:rPr>
      </w:pPr>
    </w:p>
    <w:p>
      <w:pPr>
        <w:ind w:right="400" w:firstLine="419"/>
        <w:spacing w:after="0" w:line="342" w:lineRule="auto"/>
        <w:tabs>
          <w:tab w:leader="none" w:pos="678" w:val="left"/>
        </w:tabs>
        <w:numPr>
          <w:ilvl w:val="0"/>
          <w:numId w:val="113"/>
        </w:numPr>
        <w:rPr>
          <w:rFonts w:ascii="Arial" w:cs="Arial" w:eastAsia="Arial" w:hAnsi="Arial"/>
          <w:sz w:val="16"/>
          <w:szCs w:val="16"/>
          <w:color w:val="auto"/>
        </w:rPr>
      </w:pPr>
      <w:r>
        <w:rPr>
          <w:rFonts w:ascii="Arial" w:cs="Arial" w:eastAsia="Arial" w:hAnsi="Arial"/>
          <w:sz w:val="16"/>
          <w:szCs w:val="16"/>
          <w:color w:val="auto"/>
        </w:rPr>
        <w:t>Before the Trustee acts or refrains from acting, it may require an Officer’s Certificate or an Opinion of Counsel or both. The Trustee shall not be liable for any action it takes or omits to take in good faith in reliance on such Officer’s Certificate or Opinion of Counsel.</w:t>
      </w:r>
    </w:p>
    <w:p>
      <w:pPr>
        <w:spacing w:after="0" w:line="15" w:lineRule="exact"/>
        <w:rPr>
          <w:rFonts w:ascii="Arial" w:cs="Arial" w:eastAsia="Arial" w:hAnsi="Arial"/>
          <w:sz w:val="16"/>
          <w:szCs w:val="16"/>
          <w:color w:val="auto"/>
        </w:rPr>
      </w:pPr>
    </w:p>
    <w:p>
      <w:pPr>
        <w:ind w:right="140" w:firstLine="419"/>
        <w:spacing w:after="0" w:line="342" w:lineRule="auto"/>
        <w:tabs>
          <w:tab w:leader="none" w:pos="668" w:val="left"/>
        </w:tabs>
        <w:numPr>
          <w:ilvl w:val="0"/>
          <w:numId w:val="113"/>
        </w:numPr>
        <w:rPr>
          <w:rFonts w:ascii="Arial" w:cs="Arial" w:eastAsia="Arial" w:hAnsi="Arial"/>
          <w:sz w:val="16"/>
          <w:szCs w:val="16"/>
          <w:color w:val="auto"/>
        </w:rPr>
      </w:pPr>
      <w:r>
        <w:rPr>
          <w:rFonts w:ascii="Arial" w:cs="Arial" w:eastAsia="Arial" w:hAnsi="Arial"/>
          <w:sz w:val="16"/>
          <w:szCs w:val="16"/>
          <w:color w:val="auto"/>
        </w:rPr>
        <w:t>The Trustee may act through agents and shall not be responsible for the misconduct or negligence of any agent appointed with due care. No Depositary shall be deemed an agent of the Trustee and the Trustee shall not be responsible for any act or omission by any Depositary.</w:t>
      </w:r>
    </w:p>
    <w:p>
      <w:pPr>
        <w:spacing w:after="0" w:line="15" w:lineRule="exact"/>
        <w:rPr>
          <w:rFonts w:ascii="Arial" w:cs="Arial" w:eastAsia="Arial" w:hAnsi="Arial"/>
          <w:sz w:val="16"/>
          <w:szCs w:val="16"/>
          <w:color w:val="auto"/>
        </w:rPr>
      </w:pPr>
    </w:p>
    <w:p>
      <w:pPr>
        <w:ind w:right="160" w:firstLine="419"/>
        <w:spacing w:after="0" w:line="277" w:lineRule="auto"/>
        <w:tabs>
          <w:tab w:leader="none" w:pos="678" w:val="left"/>
        </w:tabs>
        <w:numPr>
          <w:ilvl w:val="0"/>
          <w:numId w:val="113"/>
        </w:numPr>
        <w:rPr>
          <w:rFonts w:ascii="Arial" w:cs="Arial" w:eastAsia="Arial" w:hAnsi="Arial"/>
          <w:sz w:val="18"/>
          <w:szCs w:val="18"/>
          <w:color w:val="auto"/>
        </w:rPr>
      </w:pPr>
      <w:r>
        <w:rPr>
          <w:rFonts w:ascii="Arial" w:cs="Arial" w:eastAsia="Arial" w:hAnsi="Arial"/>
          <w:sz w:val="18"/>
          <w:szCs w:val="18"/>
          <w:color w:val="auto"/>
        </w:rPr>
        <w:t>The Trustee shall not be liable for any action it takes or omits to take in good faith which it believes to be authorized or within its rights or powers, provided that the Trustee’s conduct does not constitute willful misconduct or negligence.</w:t>
      </w:r>
    </w:p>
    <w:p>
      <w:pPr>
        <w:spacing w:after="0" w:line="103" w:lineRule="exact"/>
        <w:rPr>
          <w:sz w:val="20"/>
          <w:szCs w:val="20"/>
          <w:color w:val="auto"/>
        </w:rPr>
      </w:pPr>
    </w:p>
    <w:p>
      <w:pPr>
        <w:jc w:val="center"/>
        <w:ind w:right="440"/>
        <w:spacing w:after="0"/>
        <w:rPr>
          <w:sz w:val="20"/>
          <w:szCs w:val="20"/>
          <w:color w:val="auto"/>
        </w:rPr>
      </w:pPr>
      <w:r>
        <w:rPr>
          <w:rFonts w:ascii="Arial" w:cs="Arial" w:eastAsia="Arial" w:hAnsi="Arial"/>
          <w:sz w:val="18"/>
          <w:szCs w:val="18"/>
          <w:color w:val="auto"/>
        </w:rPr>
        <w:t>21</w:t>
      </w:r>
    </w:p>
    <w:p>
      <w:pPr>
        <w:sectPr>
          <w:pgSz w:w="11900" w:h="16838" w:orient="portrait"/>
          <w:cols w:equalWidth="0" w:num="1">
            <w:col w:w="10580"/>
          </w:cols>
          <w:pgMar w:left="880" w:top="274" w:right="439" w:bottom="1440" w:gutter="0" w:footer="0" w:header="0"/>
        </w:sectPr>
      </w:pPr>
    </w:p>
    <w:bookmarkStart w:id="139" w:name="page140"/>
    <w:bookmarkEnd w:id="139"/>
    <w:p>
      <w:pPr>
        <w:ind w:left="440" w:right="20" w:firstLine="419"/>
        <w:spacing w:after="0" w:line="263" w:lineRule="auto"/>
        <w:tabs>
          <w:tab w:leader="none" w:pos="1108" w:val="left"/>
        </w:tabs>
        <w:numPr>
          <w:ilvl w:val="0"/>
          <w:numId w:val="114"/>
        </w:numPr>
        <w:rPr>
          <w:rFonts w:ascii="Arial" w:cs="Arial" w:eastAsia="Arial" w:hAnsi="Arial"/>
          <w:sz w:val="18"/>
          <w:szCs w:val="18"/>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184" name="Picture 1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4"/>
                    <pic:cNvPicPr>
                      <a:picLocks noChangeAspect="1" noChangeArrowheads="1"/>
                    </pic:cNvPicPr>
                  </pic:nvPicPr>
                  <pic:blipFill>
                    <a:blip r:embed="rId206">
                      <a:extLst>
                        <a:ext uri="{28A0092B-C50C-407E-A947-70E740481C1C}"/>
                      </a:extLst>
                    </a:blip>
                    <a:srcRect/>
                    <a:stretch>
                      <a:fillRect/>
                    </a:stretch>
                  </pic:blipFill>
                  <pic:spPr bwMode="auto">
                    <a:xfrm>
                      <a:off x="0" y="0"/>
                      <a:ext cx="7149465" cy="25400"/>
                    </a:xfrm>
                    <a:prstGeom prst="rect">
                      <a:avLst/>
                    </a:prstGeom>
                    <a:noFill/>
                  </pic:spPr>
                </pic:pic>
              </a:graphicData>
            </a:graphic>
          </wp:anchor>
        </w:drawing>
        <w:t>The Trustee may consult with counsel and the advice of such counsel or any Opinion of Counsel shall be full and complete authorization and protection in respect of any action taken, suffered or omitted by it hereunder without willful misconduct or negligence, and in reliance thereon.</w:t>
      </w:r>
    </w:p>
    <w:p>
      <w:pPr>
        <w:spacing w:after="0" w:line="75" w:lineRule="exact"/>
        <w:rPr>
          <w:rFonts w:ascii="Arial" w:cs="Arial" w:eastAsia="Arial" w:hAnsi="Arial"/>
          <w:sz w:val="18"/>
          <w:szCs w:val="18"/>
          <w:color w:val="auto"/>
        </w:rPr>
      </w:pPr>
    </w:p>
    <w:p>
      <w:pPr>
        <w:ind w:left="440" w:firstLine="419"/>
        <w:spacing w:after="0" w:line="263" w:lineRule="auto"/>
        <w:tabs>
          <w:tab w:leader="none" w:pos="1088" w:val="left"/>
        </w:tabs>
        <w:numPr>
          <w:ilvl w:val="0"/>
          <w:numId w:val="114"/>
        </w:numPr>
        <w:rPr>
          <w:rFonts w:ascii="Arial" w:cs="Arial" w:eastAsia="Arial" w:hAnsi="Arial"/>
          <w:sz w:val="18"/>
          <w:szCs w:val="18"/>
          <w:color w:val="auto"/>
        </w:rPr>
      </w:pPr>
      <w:r>
        <w:rPr>
          <w:rFonts w:ascii="Arial" w:cs="Arial" w:eastAsia="Arial" w:hAnsi="Arial"/>
          <w:sz w:val="18"/>
          <w:szCs w:val="18"/>
          <w:color w:val="auto"/>
        </w:rPr>
        <w:t>The Trustee shall be under no obligation to exercise any of the rights or powers vested in it by this Indenture at the request or direction of any of the Holders of Securities unless such Holders shall have offered to the Trustee security or indemnity satisfactory to it against the costs, expenses and liabilities which might be incurred by it in compliance with such request or direction.</w:t>
      </w:r>
    </w:p>
    <w:p>
      <w:pPr>
        <w:spacing w:after="0" w:line="75" w:lineRule="exact"/>
        <w:rPr>
          <w:rFonts w:ascii="Arial" w:cs="Arial" w:eastAsia="Arial" w:hAnsi="Arial"/>
          <w:sz w:val="18"/>
          <w:szCs w:val="18"/>
          <w:color w:val="auto"/>
        </w:rPr>
      </w:pPr>
    </w:p>
    <w:p>
      <w:pPr>
        <w:ind w:left="440" w:right="440" w:firstLine="419"/>
        <w:spacing w:after="0" w:line="311" w:lineRule="auto"/>
        <w:tabs>
          <w:tab w:leader="none" w:pos="1118" w:val="left"/>
        </w:tabs>
        <w:numPr>
          <w:ilvl w:val="0"/>
          <w:numId w:val="114"/>
        </w:numPr>
        <w:rPr>
          <w:rFonts w:ascii="Arial" w:cs="Arial" w:eastAsia="Arial" w:hAnsi="Arial"/>
          <w:sz w:val="16"/>
          <w:szCs w:val="16"/>
          <w:color w:val="auto"/>
        </w:rPr>
      </w:pPr>
      <w:r>
        <w:rPr>
          <w:rFonts w:ascii="Arial" w:cs="Arial" w:eastAsia="Arial" w:hAnsi="Arial"/>
          <w:sz w:val="16"/>
          <w:szCs w:val="16"/>
          <w:color w:val="auto"/>
        </w:rPr>
        <w:t>The Trustee shall not be bound to make any investigation into the facts or matters stated in any resolution, certificate, statement, instrument, opinion, report, notice, request, direction, consent, order, bond, debenture, note, other evidence of indebtedness or other paper or document, but the Trustee, in its discretion, may make such further inquiry or investigation into such facts or matters as it may see fit.</w:t>
      </w:r>
    </w:p>
    <w:p>
      <w:pPr>
        <w:spacing w:after="0" w:line="40" w:lineRule="exact"/>
        <w:rPr>
          <w:rFonts w:ascii="Arial" w:cs="Arial" w:eastAsia="Arial" w:hAnsi="Arial"/>
          <w:sz w:val="16"/>
          <w:szCs w:val="16"/>
          <w:color w:val="auto"/>
        </w:rPr>
      </w:pPr>
    </w:p>
    <w:p>
      <w:pPr>
        <w:ind w:left="440" w:right="40" w:firstLine="419"/>
        <w:spacing w:after="0" w:line="286" w:lineRule="auto"/>
        <w:tabs>
          <w:tab w:leader="none" w:pos="1118" w:val="left"/>
        </w:tabs>
        <w:numPr>
          <w:ilvl w:val="0"/>
          <w:numId w:val="114"/>
        </w:numPr>
        <w:rPr>
          <w:rFonts w:ascii="Arial" w:cs="Arial" w:eastAsia="Arial" w:hAnsi="Arial"/>
          <w:sz w:val="17"/>
          <w:szCs w:val="17"/>
          <w:color w:val="auto"/>
        </w:rPr>
      </w:pPr>
      <w:r>
        <w:rPr>
          <w:rFonts w:ascii="Arial" w:cs="Arial" w:eastAsia="Arial" w:hAnsi="Arial"/>
          <w:sz w:val="17"/>
          <w:szCs w:val="17"/>
          <w:color w:val="auto"/>
        </w:rPr>
        <w:t>The Trustee shall not be deemed to have notice of any Default or Event of Default unless a Responsible Officer of the Trustee has actual knowledge thereof or unless written notice of any event which is in fact such a default is received by the Trustee at the Corporate Trust Office of the Trustee, and such notice references the Securities generally or the Securities of a particular Series and this Indenture.</w:t>
      </w:r>
    </w:p>
    <w:p>
      <w:pPr>
        <w:spacing w:after="0" w:line="57" w:lineRule="exact"/>
        <w:rPr>
          <w:rFonts w:ascii="Arial" w:cs="Arial" w:eastAsia="Arial" w:hAnsi="Arial"/>
          <w:sz w:val="17"/>
          <w:szCs w:val="17"/>
          <w:color w:val="auto"/>
        </w:rPr>
      </w:pPr>
    </w:p>
    <w:p>
      <w:pPr>
        <w:ind w:left="440" w:right="60" w:firstLine="419"/>
        <w:spacing w:after="0" w:line="308" w:lineRule="auto"/>
        <w:tabs>
          <w:tab w:leader="none" w:pos="1078" w:val="left"/>
        </w:tabs>
        <w:numPr>
          <w:ilvl w:val="0"/>
          <w:numId w:val="114"/>
        </w:numPr>
        <w:rPr>
          <w:rFonts w:ascii="Arial" w:cs="Arial" w:eastAsia="Arial" w:hAnsi="Arial"/>
          <w:sz w:val="17"/>
          <w:szCs w:val="17"/>
          <w:color w:val="auto"/>
        </w:rPr>
      </w:pPr>
      <w:r>
        <w:rPr>
          <w:rFonts w:ascii="Arial" w:cs="Arial" w:eastAsia="Arial" w:hAnsi="Arial"/>
          <w:sz w:val="17"/>
          <w:szCs w:val="17"/>
          <w:color w:val="auto"/>
        </w:rPr>
        <w:t>In no event shall the Trustee be liable to any person for special, punitive, indirect, consequential or incidental loss or damage of any kind whatsoever (including but not limited to lost profits), even if the Trustee has been advised of the likelihood of such loss or damage.</w:t>
      </w:r>
    </w:p>
    <w:p>
      <w:pPr>
        <w:spacing w:after="0" w:line="38" w:lineRule="exact"/>
        <w:rPr>
          <w:rFonts w:ascii="Arial" w:cs="Arial" w:eastAsia="Arial" w:hAnsi="Arial"/>
          <w:sz w:val="17"/>
          <w:szCs w:val="17"/>
          <w:color w:val="auto"/>
        </w:rPr>
      </w:pPr>
    </w:p>
    <w:p>
      <w:pPr>
        <w:ind w:left="1080" w:hanging="221"/>
        <w:spacing w:after="0"/>
        <w:tabs>
          <w:tab w:leader="none" w:pos="1080" w:val="left"/>
        </w:tabs>
        <w:numPr>
          <w:ilvl w:val="0"/>
          <w:numId w:val="114"/>
        </w:numPr>
        <w:rPr>
          <w:rFonts w:ascii="Arial" w:cs="Arial" w:eastAsia="Arial" w:hAnsi="Arial"/>
          <w:sz w:val="16"/>
          <w:szCs w:val="16"/>
          <w:color w:val="auto"/>
        </w:rPr>
      </w:pPr>
      <w:r>
        <w:rPr>
          <w:rFonts w:ascii="Arial" w:cs="Arial" w:eastAsia="Arial" w:hAnsi="Arial"/>
          <w:sz w:val="16"/>
          <w:szCs w:val="16"/>
          <w:color w:val="auto"/>
        </w:rPr>
        <w:t>The permissive right of the Trustee to take the actions permitted by this Indenture shall not be construed as an obligation or duty to do so.</w:t>
      </w:r>
    </w:p>
    <w:p>
      <w:pPr>
        <w:spacing w:after="0" w:line="248" w:lineRule="exact"/>
        <w:rPr>
          <w:sz w:val="20"/>
          <w:szCs w:val="20"/>
          <w:color w:val="auto"/>
        </w:rPr>
      </w:pPr>
    </w:p>
    <w:p>
      <w:pPr>
        <w:ind w:left="440"/>
        <w:spacing w:after="0"/>
        <w:rPr>
          <w:sz w:val="20"/>
          <w:szCs w:val="20"/>
          <w:color w:val="auto"/>
        </w:rPr>
      </w:pPr>
      <w:r>
        <w:rPr>
          <w:rFonts w:ascii="Arial" w:cs="Arial" w:eastAsia="Arial" w:hAnsi="Arial"/>
          <w:sz w:val="18"/>
          <w:szCs w:val="18"/>
          <w:color w:val="auto"/>
        </w:rPr>
        <w:t xml:space="preserve">Section 7.3. </w:t>
      </w:r>
      <w:r>
        <w:rPr>
          <w:rFonts w:ascii="Arial" w:cs="Arial" w:eastAsia="Arial" w:hAnsi="Arial"/>
          <w:sz w:val="18"/>
          <w:szCs w:val="18"/>
          <w:u w:val="single" w:color="auto"/>
          <w:color w:val="auto"/>
        </w:rPr>
        <w:t>Individual Rights of Trustee</w:t>
      </w:r>
      <w:r>
        <w:rPr>
          <w:rFonts w:ascii="Arial" w:cs="Arial" w:eastAsia="Arial" w:hAnsi="Arial"/>
          <w:sz w:val="18"/>
          <w:szCs w:val="18"/>
          <w:color w:val="auto"/>
        </w:rPr>
        <w:t>.</w:t>
      </w:r>
    </w:p>
    <w:p>
      <w:pPr>
        <w:spacing w:after="0" w:line="225" w:lineRule="exact"/>
        <w:rPr>
          <w:sz w:val="20"/>
          <w:szCs w:val="20"/>
          <w:color w:val="auto"/>
        </w:rPr>
      </w:pPr>
    </w:p>
    <w:p>
      <w:pPr>
        <w:jc w:val="both"/>
        <w:ind w:right="160" w:firstLine="440"/>
        <w:spacing w:after="0" w:line="263" w:lineRule="auto"/>
        <w:rPr>
          <w:sz w:val="20"/>
          <w:szCs w:val="20"/>
          <w:color w:val="auto"/>
        </w:rPr>
      </w:pPr>
      <w:r>
        <w:rPr>
          <w:rFonts w:ascii="Arial" w:cs="Arial" w:eastAsia="Arial" w:hAnsi="Arial"/>
          <w:sz w:val="18"/>
          <w:szCs w:val="18"/>
          <w:color w:val="auto"/>
        </w:rPr>
        <w:t>The Trustee in its individual or any other capacity may become the owner or pledgee of Securities and may otherwise deal with the Company or an Affiliate of the Company with the same rights it would have if it were not Trustee. Any Agent may do the same with like rights. The Trustee is also subject to Sections 7.10 and 7.11.</w:t>
      </w:r>
    </w:p>
    <w:p>
      <w:pPr>
        <w:spacing w:after="0" w:line="184" w:lineRule="exact"/>
        <w:rPr>
          <w:sz w:val="20"/>
          <w:szCs w:val="20"/>
          <w:color w:val="auto"/>
        </w:rPr>
      </w:pPr>
    </w:p>
    <w:p>
      <w:pPr>
        <w:ind w:left="440"/>
        <w:spacing w:after="0"/>
        <w:rPr>
          <w:sz w:val="20"/>
          <w:szCs w:val="20"/>
          <w:color w:val="auto"/>
        </w:rPr>
      </w:pPr>
      <w:r>
        <w:rPr>
          <w:rFonts w:ascii="Arial" w:cs="Arial" w:eastAsia="Arial" w:hAnsi="Arial"/>
          <w:sz w:val="18"/>
          <w:szCs w:val="18"/>
          <w:color w:val="auto"/>
        </w:rPr>
        <w:t xml:space="preserve">Section 7.4. </w:t>
      </w:r>
      <w:r>
        <w:rPr>
          <w:rFonts w:ascii="Arial" w:cs="Arial" w:eastAsia="Arial" w:hAnsi="Arial"/>
          <w:sz w:val="18"/>
          <w:szCs w:val="18"/>
          <w:u w:val="single" w:color="auto"/>
          <w:color w:val="auto"/>
        </w:rPr>
        <w:t>Trustee’s Disclaimer</w:t>
      </w:r>
      <w:r>
        <w:rPr>
          <w:rFonts w:ascii="Arial" w:cs="Arial" w:eastAsia="Arial" w:hAnsi="Arial"/>
          <w:sz w:val="18"/>
          <w:szCs w:val="18"/>
          <w:color w:val="auto"/>
        </w:rPr>
        <w:t>.</w:t>
      </w:r>
    </w:p>
    <w:p>
      <w:pPr>
        <w:spacing w:after="0" w:line="225" w:lineRule="exact"/>
        <w:rPr>
          <w:sz w:val="20"/>
          <w:szCs w:val="20"/>
          <w:color w:val="auto"/>
        </w:rPr>
      </w:pPr>
    </w:p>
    <w:p>
      <w:pPr>
        <w:ind w:right="500" w:firstLine="440"/>
        <w:spacing w:after="0" w:line="342" w:lineRule="auto"/>
        <w:rPr>
          <w:sz w:val="20"/>
          <w:szCs w:val="20"/>
          <w:color w:val="auto"/>
        </w:rPr>
      </w:pPr>
      <w:r>
        <w:rPr>
          <w:rFonts w:ascii="Arial" w:cs="Arial" w:eastAsia="Arial" w:hAnsi="Arial"/>
          <w:sz w:val="16"/>
          <w:szCs w:val="16"/>
          <w:color w:val="auto"/>
        </w:rPr>
        <w:t>The Trustee makes no representation as to the validity or adequacy of this Indenture or the Securities, it shall not be accountable for the Company’s use of the proceeds from the Securities, and it shall not be responsible for any statement in the Securities other than its authentication.</w:t>
      </w:r>
    </w:p>
    <w:p>
      <w:pPr>
        <w:spacing w:after="0" w:line="124" w:lineRule="exact"/>
        <w:rPr>
          <w:sz w:val="20"/>
          <w:szCs w:val="20"/>
          <w:color w:val="auto"/>
        </w:rPr>
      </w:pPr>
    </w:p>
    <w:p>
      <w:pPr>
        <w:ind w:left="440"/>
        <w:spacing w:after="0"/>
        <w:rPr>
          <w:sz w:val="20"/>
          <w:szCs w:val="20"/>
          <w:color w:val="auto"/>
        </w:rPr>
      </w:pPr>
      <w:r>
        <w:rPr>
          <w:rFonts w:ascii="Arial" w:cs="Arial" w:eastAsia="Arial" w:hAnsi="Arial"/>
          <w:sz w:val="18"/>
          <w:szCs w:val="18"/>
          <w:color w:val="auto"/>
        </w:rPr>
        <w:t xml:space="preserve">Section 7.5. </w:t>
      </w:r>
      <w:r>
        <w:rPr>
          <w:rFonts w:ascii="Arial" w:cs="Arial" w:eastAsia="Arial" w:hAnsi="Arial"/>
          <w:sz w:val="18"/>
          <w:szCs w:val="18"/>
          <w:u w:val="single" w:color="auto"/>
          <w:color w:val="auto"/>
        </w:rPr>
        <w:t>Notice of Defaults</w:t>
      </w:r>
      <w:r>
        <w:rPr>
          <w:rFonts w:ascii="Arial" w:cs="Arial" w:eastAsia="Arial" w:hAnsi="Arial"/>
          <w:sz w:val="18"/>
          <w:szCs w:val="18"/>
          <w:color w:val="auto"/>
        </w:rPr>
        <w:t>.</w:t>
      </w:r>
    </w:p>
    <w:p>
      <w:pPr>
        <w:spacing w:after="0" w:line="225" w:lineRule="exact"/>
        <w:rPr>
          <w:sz w:val="20"/>
          <w:szCs w:val="20"/>
          <w:color w:val="auto"/>
        </w:rPr>
      </w:pPr>
    </w:p>
    <w:p>
      <w:pPr>
        <w:ind w:right="40" w:firstLine="440"/>
        <w:spacing w:after="0" w:line="255" w:lineRule="auto"/>
        <w:rPr>
          <w:sz w:val="20"/>
          <w:szCs w:val="20"/>
          <w:color w:val="auto"/>
        </w:rPr>
      </w:pPr>
      <w:r>
        <w:rPr>
          <w:rFonts w:ascii="Arial" w:cs="Arial" w:eastAsia="Arial" w:hAnsi="Arial"/>
          <w:sz w:val="18"/>
          <w:szCs w:val="18"/>
          <w:color w:val="auto"/>
        </w:rPr>
        <w:t>If a Default or Event of Default occurs and is continuing with respect to the Securities of any Series and if it is known to a Responsible Officer of the Trustee, the Trustee shall send to each Securityholder of the Securities of that Series notice of a Default or Event of Default within 90 days after it occurs or, if later, after a Responsible Officer of the Trustee has knowledge of such Default or Event of Default. Except in the case of a Default or Event of Default in payment of principal of or interest on any Security of any Series, the Trustee may withhold the notice if and so long as its corporate trust committee or a committee of its Responsible Officers in good faith determines that withholding the notice is in the interests of Securityholders of that Series.</w:t>
      </w:r>
    </w:p>
    <w:p>
      <w:pPr>
        <w:spacing w:after="0" w:line="192" w:lineRule="exact"/>
        <w:rPr>
          <w:sz w:val="20"/>
          <w:szCs w:val="20"/>
          <w:color w:val="auto"/>
        </w:rPr>
      </w:pPr>
    </w:p>
    <w:p>
      <w:pPr>
        <w:ind w:left="440"/>
        <w:spacing w:after="0"/>
        <w:rPr>
          <w:sz w:val="20"/>
          <w:szCs w:val="20"/>
          <w:color w:val="auto"/>
        </w:rPr>
      </w:pPr>
      <w:r>
        <w:rPr>
          <w:rFonts w:ascii="Arial" w:cs="Arial" w:eastAsia="Arial" w:hAnsi="Arial"/>
          <w:sz w:val="18"/>
          <w:szCs w:val="18"/>
          <w:color w:val="auto"/>
        </w:rPr>
        <w:t xml:space="preserve">Section 7.6. </w:t>
      </w:r>
      <w:r>
        <w:rPr>
          <w:rFonts w:ascii="Arial" w:cs="Arial" w:eastAsia="Arial" w:hAnsi="Arial"/>
          <w:sz w:val="18"/>
          <w:szCs w:val="18"/>
          <w:u w:val="single" w:color="auto"/>
          <w:color w:val="auto"/>
        </w:rPr>
        <w:t>Reports by Trustee to Holders</w:t>
      </w:r>
      <w:r>
        <w:rPr>
          <w:rFonts w:ascii="Arial" w:cs="Arial" w:eastAsia="Arial" w:hAnsi="Arial"/>
          <w:sz w:val="18"/>
          <w:szCs w:val="18"/>
          <w:color w:val="auto"/>
        </w:rPr>
        <w:t>.</w:t>
      </w:r>
    </w:p>
    <w:p>
      <w:pPr>
        <w:spacing w:after="0" w:line="225" w:lineRule="exact"/>
        <w:rPr>
          <w:sz w:val="20"/>
          <w:szCs w:val="20"/>
          <w:color w:val="auto"/>
        </w:rPr>
      </w:pPr>
    </w:p>
    <w:p>
      <w:pPr>
        <w:jc w:val="both"/>
        <w:ind w:right="280" w:firstLine="440"/>
        <w:spacing w:after="0" w:line="263" w:lineRule="auto"/>
        <w:rPr>
          <w:sz w:val="20"/>
          <w:szCs w:val="20"/>
          <w:color w:val="auto"/>
        </w:rPr>
      </w:pPr>
      <w:r>
        <w:rPr>
          <w:rFonts w:ascii="Arial" w:cs="Arial" w:eastAsia="Arial" w:hAnsi="Arial"/>
          <w:sz w:val="18"/>
          <w:szCs w:val="18"/>
          <w:color w:val="auto"/>
        </w:rPr>
        <w:t>Within 60 days after each anniversary of the date of this Indenture, the Trustee shall transmit by mail to all Securityholders, as their names and addresses appear on the register kept by the Registrar, a brief report dated as of such anniversary date, in accordance with, and to the extent required under, TIA § 313.</w:t>
      </w:r>
    </w:p>
    <w:p>
      <w:pPr>
        <w:spacing w:after="0" w:line="116"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22</w:t>
      </w:r>
    </w:p>
    <w:p>
      <w:pPr>
        <w:sectPr>
          <w:pgSz w:w="11900" w:h="16838" w:orient="portrait"/>
          <w:cols w:equalWidth="0" w:num="1">
            <w:col w:w="10980"/>
          </w:cols>
          <w:pgMar w:left="440" w:top="274" w:right="479" w:bottom="1440" w:gutter="0" w:footer="0" w:header="0"/>
        </w:sectPr>
      </w:pPr>
    </w:p>
    <w:bookmarkStart w:id="140" w:name="page141"/>
    <w:bookmarkEnd w:id="140"/>
    <w:p>
      <w:pPr>
        <w:ind w:right="80" w:firstLine="440"/>
        <w:spacing w:after="0" w:line="263"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185" name="Picture 1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5"/>
                    <pic:cNvPicPr>
                      <a:picLocks noChangeAspect="1" noChangeArrowheads="1"/>
                    </pic:cNvPicPr>
                  </pic:nvPicPr>
                  <pic:blipFill>
                    <a:blip r:embed="rId207">
                      <a:extLst>
                        <a:ext uri="{28A0092B-C50C-407E-A947-70E740481C1C}"/>
                      </a:extLst>
                    </a:blip>
                    <a:srcRect/>
                    <a:stretch>
                      <a:fillRect/>
                    </a:stretch>
                  </pic:blipFill>
                  <pic:spPr bwMode="auto">
                    <a:xfrm>
                      <a:off x="0" y="0"/>
                      <a:ext cx="7149465" cy="25400"/>
                    </a:xfrm>
                    <a:prstGeom prst="rect">
                      <a:avLst/>
                    </a:prstGeom>
                    <a:noFill/>
                  </pic:spPr>
                </pic:pic>
              </a:graphicData>
            </a:graphic>
          </wp:anchor>
        </w:drawing>
        <w:t>A copy of each report at the time of its mailing to Securityholders of any Series shall be filed with the SEC and each national securities exchange on which the Securities of that Series are listed. The Company shall promptly notify the Trustee in writing when Securities of any Series are listed on any national securities exchange.</w:t>
      </w:r>
    </w:p>
    <w:p>
      <w:pPr>
        <w:spacing w:after="0" w:line="184" w:lineRule="exact"/>
        <w:rPr>
          <w:sz w:val="20"/>
          <w:szCs w:val="20"/>
          <w:color w:val="auto"/>
        </w:rPr>
      </w:pPr>
    </w:p>
    <w:p>
      <w:pPr>
        <w:ind w:left="440"/>
        <w:spacing w:after="0"/>
        <w:rPr>
          <w:sz w:val="20"/>
          <w:szCs w:val="20"/>
          <w:color w:val="auto"/>
        </w:rPr>
      </w:pPr>
      <w:r>
        <w:rPr>
          <w:rFonts w:ascii="Arial" w:cs="Arial" w:eastAsia="Arial" w:hAnsi="Arial"/>
          <w:sz w:val="18"/>
          <w:szCs w:val="18"/>
          <w:color w:val="auto"/>
        </w:rPr>
        <w:t xml:space="preserve">Section 7.7. </w:t>
      </w:r>
      <w:r>
        <w:rPr>
          <w:rFonts w:ascii="Arial" w:cs="Arial" w:eastAsia="Arial" w:hAnsi="Arial"/>
          <w:sz w:val="18"/>
          <w:szCs w:val="18"/>
          <w:u w:val="single" w:color="auto"/>
          <w:color w:val="auto"/>
        </w:rPr>
        <w:t>Compensation and Indemnity</w:t>
      </w:r>
      <w:r>
        <w:rPr>
          <w:rFonts w:ascii="Arial" w:cs="Arial" w:eastAsia="Arial" w:hAnsi="Arial"/>
          <w:sz w:val="18"/>
          <w:szCs w:val="18"/>
          <w:color w:val="auto"/>
        </w:rPr>
        <w:t>.</w:t>
      </w:r>
    </w:p>
    <w:p>
      <w:pPr>
        <w:spacing w:after="0" w:line="225" w:lineRule="exact"/>
        <w:rPr>
          <w:sz w:val="20"/>
          <w:szCs w:val="20"/>
          <w:color w:val="auto"/>
        </w:rPr>
      </w:pPr>
    </w:p>
    <w:p>
      <w:pPr>
        <w:ind w:right="80" w:firstLine="440"/>
        <w:spacing w:after="0" w:line="259" w:lineRule="auto"/>
        <w:rPr>
          <w:sz w:val="20"/>
          <w:szCs w:val="20"/>
          <w:color w:val="auto"/>
        </w:rPr>
      </w:pPr>
      <w:r>
        <w:rPr>
          <w:rFonts w:ascii="Arial" w:cs="Arial" w:eastAsia="Arial" w:hAnsi="Arial"/>
          <w:sz w:val="18"/>
          <w:szCs w:val="18"/>
          <w:color w:val="auto"/>
        </w:rPr>
        <w:t>The Company shall pay to the Trustee from time to time compensation for its services as the Company and the Trustee shall from time to time agree upon in writing. The Trustee’s compensation shall not be limited by any law on compensation of a trustee of an express trust. The Company shall reimburse the Trustee upon request for all reasonable out of pocket expenses incurred by it. Such expenses shall include the reasonable compensation and expenses of the Trustee’s agents and counsel.</w:t>
      </w:r>
    </w:p>
    <w:p>
      <w:pPr>
        <w:spacing w:after="0" w:line="187" w:lineRule="exact"/>
        <w:rPr>
          <w:sz w:val="20"/>
          <w:szCs w:val="20"/>
          <w:color w:val="auto"/>
        </w:rPr>
      </w:pPr>
    </w:p>
    <w:p>
      <w:pPr>
        <w:ind w:right="100" w:firstLine="440"/>
        <w:spacing w:after="0" w:line="271" w:lineRule="auto"/>
        <w:rPr>
          <w:sz w:val="20"/>
          <w:szCs w:val="20"/>
          <w:color w:val="auto"/>
        </w:rPr>
      </w:pPr>
      <w:r>
        <w:rPr>
          <w:rFonts w:ascii="Arial" w:cs="Arial" w:eastAsia="Arial" w:hAnsi="Arial"/>
          <w:sz w:val="17"/>
          <w:szCs w:val="17"/>
          <w:color w:val="auto"/>
        </w:rPr>
        <w:t>The Company shall indemnify each of the Trustee and any predecessor Trustee (including for the cost of defending itself) against any cost, expense or liability, including taxes (other than taxes based upon, measured by or determined by the income of the Trustee) incurred by it except as set forth in the next paragraph in the performance of its duties under this Indenture as Trustee or Agent. The Trustee shall notify the Company promptly of any claim for which it may seek indemnity. Failure by the Trustee to so notify the Company shall not relieve the Company of its obligations hereunder, unless and to the extent that the Company is materially prejudiced thereby. The Company shall defend the claim and the Trustee shall cooperate in the defense. The Trustee may have one separate counsel and the Company shall pay the reasonable fees and expenses of such counsel. The Company need not pay for any settlement made without its consent, which consent will not be unreasonably withheld. This indemnification shall apply to officers, directors, employees, shareholders and agents of the Trustee.</w:t>
      </w:r>
    </w:p>
    <w:p>
      <w:pPr>
        <w:spacing w:after="0" w:line="178" w:lineRule="exact"/>
        <w:rPr>
          <w:sz w:val="20"/>
          <w:szCs w:val="20"/>
          <w:color w:val="auto"/>
        </w:rPr>
      </w:pPr>
    </w:p>
    <w:p>
      <w:pPr>
        <w:ind w:right="540" w:firstLine="440"/>
        <w:spacing w:after="0" w:line="277" w:lineRule="auto"/>
        <w:rPr>
          <w:sz w:val="20"/>
          <w:szCs w:val="20"/>
          <w:color w:val="auto"/>
        </w:rPr>
      </w:pPr>
      <w:r>
        <w:rPr>
          <w:rFonts w:ascii="Arial" w:cs="Arial" w:eastAsia="Arial" w:hAnsi="Arial"/>
          <w:sz w:val="18"/>
          <w:szCs w:val="18"/>
          <w:color w:val="auto"/>
        </w:rPr>
        <w:t>The Company need not reimburse any expense or indemnify against any loss or liability incurred by the Trustee or by any officer, director, employee, shareholder or agent of the Trustee through willful misconduct or negligence.</w:t>
      </w:r>
    </w:p>
    <w:p>
      <w:pPr>
        <w:spacing w:after="0" w:line="170" w:lineRule="exact"/>
        <w:rPr>
          <w:sz w:val="20"/>
          <w:szCs w:val="20"/>
          <w:color w:val="auto"/>
        </w:rPr>
      </w:pPr>
    </w:p>
    <w:p>
      <w:pPr>
        <w:ind w:right="260" w:firstLine="440"/>
        <w:spacing w:after="0" w:line="342" w:lineRule="auto"/>
        <w:rPr>
          <w:sz w:val="20"/>
          <w:szCs w:val="20"/>
          <w:color w:val="auto"/>
        </w:rPr>
      </w:pPr>
      <w:r>
        <w:rPr>
          <w:rFonts w:ascii="Arial" w:cs="Arial" w:eastAsia="Arial" w:hAnsi="Arial"/>
          <w:sz w:val="16"/>
          <w:szCs w:val="16"/>
          <w:color w:val="auto"/>
        </w:rPr>
        <w:t>To secure the Company’s payment obligations in this Section, the Trustee shall have a lien prior to the Securities of any Series on all money or property held or collected by the Trustee, except that held in trust to pay principal of and interest on particular Securities of that Series.</w:t>
      </w:r>
    </w:p>
    <w:p>
      <w:pPr>
        <w:spacing w:after="0" w:line="124" w:lineRule="exact"/>
        <w:rPr>
          <w:sz w:val="20"/>
          <w:szCs w:val="20"/>
          <w:color w:val="auto"/>
        </w:rPr>
      </w:pPr>
    </w:p>
    <w:p>
      <w:pPr>
        <w:ind w:right="380" w:firstLine="440"/>
        <w:spacing w:after="0" w:line="277" w:lineRule="auto"/>
        <w:rPr>
          <w:sz w:val="20"/>
          <w:szCs w:val="20"/>
          <w:color w:val="auto"/>
        </w:rPr>
      </w:pPr>
      <w:r>
        <w:rPr>
          <w:rFonts w:ascii="Arial" w:cs="Arial" w:eastAsia="Arial" w:hAnsi="Arial"/>
          <w:sz w:val="18"/>
          <w:szCs w:val="18"/>
          <w:color w:val="auto"/>
        </w:rPr>
        <w:t>When the Trustee incurs expenses or renders services after an Event of Default specified in Section 6.1(d) or (e) occurs, the expenses and the compensation for the services are intended to constitute expenses of administration under any Bankruptcy Law.</w:t>
      </w:r>
    </w:p>
    <w:p>
      <w:pPr>
        <w:spacing w:after="0" w:line="170" w:lineRule="exact"/>
        <w:rPr>
          <w:sz w:val="20"/>
          <w:szCs w:val="20"/>
          <w:color w:val="auto"/>
        </w:rPr>
      </w:pPr>
    </w:p>
    <w:p>
      <w:pPr>
        <w:ind w:left="440"/>
        <w:spacing w:after="0"/>
        <w:rPr>
          <w:sz w:val="20"/>
          <w:szCs w:val="20"/>
          <w:color w:val="auto"/>
        </w:rPr>
      </w:pPr>
      <w:r>
        <w:rPr>
          <w:rFonts w:ascii="Arial" w:cs="Arial" w:eastAsia="Arial" w:hAnsi="Arial"/>
          <w:sz w:val="18"/>
          <w:szCs w:val="18"/>
          <w:color w:val="auto"/>
        </w:rPr>
        <w:t>The provisions of this Section shall survive the termination of this Indenture.</w:t>
      </w:r>
    </w:p>
    <w:p>
      <w:pPr>
        <w:spacing w:after="0" w:line="225" w:lineRule="exact"/>
        <w:rPr>
          <w:sz w:val="20"/>
          <w:szCs w:val="20"/>
          <w:color w:val="auto"/>
        </w:rPr>
      </w:pPr>
    </w:p>
    <w:p>
      <w:pPr>
        <w:ind w:left="440"/>
        <w:spacing w:after="0"/>
        <w:rPr>
          <w:sz w:val="20"/>
          <w:szCs w:val="20"/>
          <w:color w:val="auto"/>
        </w:rPr>
      </w:pPr>
      <w:r>
        <w:rPr>
          <w:rFonts w:ascii="Arial" w:cs="Arial" w:eastAsia="Arial" w:hAnsi="Arial"/>
          <w:sz w:val="18"/>
          <w:szCs w:val="18"/>
          <w:color w:val="auto"/>
        </w:rPr>
        <w:t xml:space="preserve">Section 7.8. </w:t>
      </w:r>
      <w:r>
        <w:rPr>
          <w:rFonts w:ascii="Arial" w:cs="Arial" w:eastAsia="Arial" w:hAnsi="Arial"/>
          <w:sz w:val="18"/>
          <w:szCs w:val="18"/>
          <w:u w:val="single" w:color="auto"/>
          <w:color w:val="auto"/>
        </w:rPr>
        <w:t>Replacement of Trustee</w:t>
      </w:r>
      <w:r>
        <w:rPr>
          <w:rFonts w:ascii="Arial" w:cs="Arial" w:eastAsia="Arial" w:hAnsi="Arial"/>
          <w:sz w:val="18"/>
          <w:szCs w:val="18"/>
          <w:color w:val="auto"/>
        </w:rPr>
        <w:t>.</w:t>
      </w:r>
    </w:p>
    <w:p>
      <w:pPr>
        <w:spacing w:after="0" w:line="225" w:lineRule="exact"/>
        <w:rPr>
          <w:sz w:val="20"/>
          <w:szCs w:val="20"/>
          <w:color w:val="auto"/>
        </w:rPr>
      </w:pPr>
    </w:p>
    <w:p>
      <w:pPr>
        <w:ind w:right="680" w:firstLine="440"/>
        <w:spacing w:after="0" w:line="277" w:lineRule="auto"/>
        <w:rPr>
          <w:sz w:val="20"/>
          <w:szCs w:val="20"/>
          <w:color w:val="auto"/>
        </w:rPr>
      </w:pPr>
      <w:r>
        <w:rPr>
          <w:rFonts w:ascii="Arial" w:cs="Arial" w:eastAsia="Arial" w:hAnsi="Arial"/>
          <w:sz w:val="18"/>
          <w:szCs w:val="18"/>
          <w:color w:val="auto"/>
        </w:rPr>
        <w:t>A resignation or removal of the Trustee and appointment of a successor Trustee shall become effective only upon the successor Trustee’s acceptance of appointment as provided in this Section.</w:t>
      </w:r>
    </w:p>
    <w:p>
      <w:pPr>
        <w:spacing w:after="0" w:line="170" w:lineRule="exact"/>
        <w:rPr>
          <w:sz w:val="20"/>
          <w:szCs w:val="20"/>
          <w:color w:val="auto"/>
        </w:rPr>
      </w:pPr>
    </w:p>
    <w:p>
      <w:pPr>
        <w:jc w:val="both"/>
        <w:ind w:right="160" w:firstLine="440"/>
        <w:spacing w:after="0" w:line="311" w:lineRule="auto"/>
        <w:rPr>
          <w:sz w:val="20"/>
          <w:szCs w:val="20"/>
          <w:color w:val="auto"/>
        </w:rPr>
      </w:pPr>
      <w:r>
        <w:rPr>
          <w:rFonts w:ascii="Arial" w:cs="Arial" w:eastAsia="Arial" w:hAnsi="Arial"/>
          <w:sz w:val="16"/>
          <w:szCs w:val="16"/>
          <w:color w:val="auto"/>
        </w:rPr>
        <w:t>The Trustee may resign with respect to the Securities of one or more Series by so notifying the Company at least 30 days prior to the date of the proposed resignation. The Holders of a majority in principal amount of the Securities of any Series may remove the Trustee with respect to that Series by so notifying the Trustee and the Company. The Company may remove the Trustee with respect to Securities of one or more Series if:</w:t>
      </w:r>
    </w:p>
    <w:p>
      <w:pPr>
        <w:spacing w:after="0" w:line="41" w:lineRule="exact"/>
        <w:rPr>
          <w:sz w:val="20"/>
          <w:szCs w:val="20"/>
          <w:color w:val="auto"/>
        </w:rPr>
      </w:pPr>
    </w:p>
    <w:p>
      <w:pPr>
        <w:ind w:left="1100" w:hanging="241"/>
        <w:spacing w:after="0"/>
        <w:tabs>
          <w:tab w:leader="none" w:pos="1100" w:val="left"/>
        </w:tabs>
        <w:numPr>
          <w:ilvl w:val="0"/>
          <w:numId w:val="115"/>
        </w:numPr>
        <w:rPr>
          <w:rFonts w:ascii="Arial" w:cs="Arial" w:eastAsia="Arial" w:hAnsi="Arial"/>
          <w:sz w:val="18"/>
          <w:szCs w:val="18"/>
          <w:color w:val="auto"/>
        </w:rPr>
      </w:pPr>
      <w:r>
        <w:rPr>
          <w:rFonts w:ascii="Arial" w:cs="Arial" w:eastAsia="Arial" w:hAnsi="Arial"/>
          <w:sz w:val="18"/>
          <w:szCs w:val="18"/>
          <w:color w:val="auto"/>
        </w:rPr>
        <w:t>the Trustee fails to comply with Section 7.10;</w:t>
      </w:r>
    </w:p>
    <w:p>
      <w:pPr>
        <w:spacing w:after="0" w:line="117" w:lineRule="exact"/>
        <w:rPr>
          <w:rFonts w:ascii="Arial" w:cs="Arial" w:eastAsia="Arial" w:hAnsi="Arial"/>
          <w:sz w:val="18"/>
          <w:szCs w:val="18"/>
          <w:color w:val="auto"/>
        </w:rPr>
      </w:pPr>
    </w:p>
    <w:p>
      <w:pPr>
        <w:ind w:left="1120" w:hanging="261"/>
        <w:spacing w:after="0"/>
        <w:tabs>
          <w:tab w:leader="none" w:pos="1120" w:val="left"/>
        </w:tabs>
        <w:numPr>
          <w:ilvl w:val="0"/>
          <w:numId w:val="115"/>
        </w:numPr>
        <w:rPr>
          <w:rFonts w:ascii="Arial" w:cs="Arial" w:eastAsia="Arial" w:hAnsi="Arial"/>
          <w:sz w:val="16"/>
          <w:szCs w:val="16"/>
          <w:color w:val="auto"/>
        </w:rPr>
      </w:pPr>
      <w:r>
        <w:rPr>
          <w:rFonts w:ascii="Arial" w:cs="Arial" w:eastAsia="Arial" w:hAnsi="Arial"/>
          <w:sz w:val="16"/>
          <w:szCs w:val="16"/>
          <w:color w:val="auto"/>
        </w:rPr>
        <w:t>the Trustee is adjudged a bankrupt or an insolvent or an order for relief is entered with respect to the Trustee under any Bankruptcy Law;</w:t>
      </w:r>
    </w:p>
    <w:p>
      <w:pPr>
        <w:spacing w:after="0" w:line="140" w:lineRule="exact"/>
        <w:rPr>
          <w:rFonts w:ascii="Arial" w:cs="Arial" w:eastAsia="Arial" w:hAnsi="Arial"/>
          <w:sz w:val="16"/>
          <w:szCs w:val="16"/>
          <w:color w:val="auto"/>
        </w:rPr>
      </w:pPr>
    </w:p>
    <w:p>
      <w:pPr>
        <w:ind w:left="1100" w:hanging="241"/>
        <w:spacing w:after="0"/>
        <w:tabs>
          <w:tab w:leader="none" w:pos="1100" w:val="left"/>
        </w:tabs>
        <w:numPr>
          <w:ilvl w:val="0"/>
          <w:numId w:val="115"/>
        </w:numPr>
        <w:rPr>
          <w:rFonts w:ascii="Arial" w:cs="Arial" w:eastAsia="Arial" w:hAnsi="Arial"/>
          <w:sz w:val="18"/>
          <w:szCs w:val="18"/>
          <w:color w:val="auto"/>
        </w:rPr>
      </w:pPr>
      <w:r>
        <w:rPr>
          <w:rFonts w:ascii="Arial" w:cs="Arial" w:eastAsia="Arial" w:hAnsi="Arial"/>
          <w:sz w:val="18"/>
          <w:szCs w:val="18"/>
          <w:color w:val="auto"/>
        </w:rPr>
        <w:t>a Custodian or public officer takes charge of the Trustee or its property; or</w:t>
      </w:r>
    </w:p>
    <w:p>
      <w:pPr>
        <w:spacing w:after="0" w:line="117" w:lineRule="exact"/>
        <w:rPr>
          <w:rFonts w:ascii="Arial" w:cs="Arial" w:eastAsia="Arial" w:hAnsi="Arial"/>
          <w:sz w:val="18"/>
          <w:szCs w:val="18"/>
          <w:color w:val="auto"/>
        </w:rPr>
      </w:pPr>
    </w:p>
    <w:p>
      <w:pPr>
        <w:ind w:left="1120" w:hanging="261"/>
        <w:spacing w:after="0"/>
        <w:tabs>
          <w:tab w:leader="none" w:pos="1120" w:val="left"/>
        </w:tabs>
        <w:numPr>
          <w:ilvl w:val="0"/>
          <w:numId w:val="115"/>
        </w:numPr>
        <w:rPr>
          <w:rFonts w:ascii="Arial" w:cs="Arial" w:eastAsia="Arial" w:hAnsi="Arial"/>
          <w:sz w:val="18"/>
          <w:szCs w:val="18"/>
          <w:color w:val="auto"/>
        </w:rPr>
      </w:pPr>
      <w:r>
        <w:rPr>
          <w:rFonts w:ascii="Arial" w:cs="Arial" w:eastAsia="Arial" w:hAnsi="Arial"/>
          <w:sz w:val="18"/>
          <w:szCs w:val="18"/>
          <w:color w:val="auto"/>
        </w:rPr>
        <w:t>the Trustee becomes incapable of acting.</w:t>
      </w:r>
    </w:p>
    <w:p>
      <w:pPr>
        <w:spacing w:after="0" w:line="158"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23</w:t>
      </w:r>
    </w:p>
    <w:p>
      <w:pPr>
        <w:sectPr>
          <w:pgSz w:w="11900" w:h="16838" w:orient="portrait"/>
          <w:cols w:equalWidth="0" w:num="1">
            <w:col w:w="10960"/>
          </w:cols>
          <w:pgMar w:left="440" w:top="274" w:right="499" w:bottom="1440" w:gutter="0" w:footer="0" w:header="0"/>
        </w:sectPr>
      </w:pPr>
    </w:p>
    <w:bookmarkStart w:id="141" w:name="page142"/>
    <w:bookmarkEnd w:id="141"/>
    <w:p>
      <w:pPr>
        <w:ind w:right="20" w:firstLine="440"/>
        <w:spacing w:after="0" w:line="263"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186" name="Picture 1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6"/>
                    <pic:cNvPicPr>
                      <a:picLocks noChangeAspect="1" noChangeArrowheads="1"/>
                    </pic:cNvPicPr>
                  </pic:nvPicPr>
                  <pic:blipFill>
                    <a:blip r:embed="rId208">
                      <a:extLst>
                        <a:ext uri="{28A0092B-C50C-407E-A947-70E740481C1C}"/>
                      </a:extLst>
                    </a:blip>
                    <a:srcRect/>
                    <a:stretch>
                      <a:fillRect/>
                    </a:stretch>
                  </pic:blipFill>
                  <pic:spPr bwMode="auto">
                    <a:xfrm>
                      <a:off x="0" y="0"/>
                      <a:ext cx="7149465" cy="25400"/>
                    </a:xfrm>
                    <a:prstGeom prst="rect">
                      <a:avLst/>
                    </a:prstGeom>
                    <a:noFill/>
                  </pic:spPr>
                </pic:pic>
              </a:graphicData>
            </a:graphic>
          </wp:anchor>
        </w:drawing>
        <w:t>If the Trustee resigns or is removed or if a vacancy exists in the office of Trustee for any reason, the Company shall promptly appoint a successor Trustee. Within one year after the successor Trustee takes office, the Holders of a majority in principal amount of the then outstanding Securities may appoint a successor Trustee to replace the successor Trustee appointed by the Company.</w:t>
      </w:r>
    </w:p>
    <w:p>
      <w:pPr>
        <w:spacing w:after="0" w:line="184" w:lineRule="exact"/>
        <w:rPr>
          <w:sz w:val="20"/>
          <w:szCs w:val="20"/>
          <w:color w:val="auto"/>
        </w:rPr>
      </w:pPr>
    </w:p>
    <w:p>
      <w:pPr>
        <w:jc w:val="both"/>
        <w:ind w:firstLine="440"/>
        <w:spacing w:after="0" w:line="263" w:lineRule="auto"/>
        <w:rPr>
          <w:sz w:val="20"/>
          <w:szCs w:val="20"/>
          <w:color w:val="auto"/>
        </w:rPr>
      </w:pPr>
      <w:r>
        <w:rPr>
          <w:rFonts w:ascii="Arial" w:cs="Arial" w:eastAsia="Arial" w:hAnsi="Arial"/>
          <w:sz w:val="18"/>
          <w:szCs w:val="18"/>
          <w:color w:val="auto"/>
        </w:rPr>
        <w:t>If a successor Trustee with respect to the Securities of any one or more Series does not take office within 60 days after the retiring Trustee resigns or is removed, the retiring Trustee, the Company or the Holders of at least a majority in principal amount of the Securities of the applicable Series may petition any court of competent jurisdiction for the appointment of a successor Trustee.</w:t>
      </w:r>
    </w:p>
    <w:p>
      <w:pPr>
        <w:spacing w:after="0" w:line="184" w:lineRule="exact"/>
        <w:rPr>
          <w:sz w:val="20"/>
          <w:szCs w:val="20"/>
          <w:color w:val="auto"/>
        </w:rPr>
      </w:pPr>
    </w:p>
    <w:p>
      <w:pPr>
        <w:ind w:left="440"/>
        <w:spacing w:after="0"/>
        <w:rPr>
          <w:sz w:val="20"/>
          <w:szCs w:val="20"/>
          <w:color w:val="auto"/>
        </w:rPr>
      </w:pPr>
      <w:r>
        <w:rPr>
          <w:rFonts w:ascii="Arial" w:cs="Arial" w:eastAsia="Arial" w:hAnsi="Arial"/>
          <w:sz w:val="16"/>
          <w:szCs w:val="16"/>
          <w:color w:val="auto"/>
        </w:rPr>
        <w:t>A successor Trustee shall deliver a written acceptance of its appointment to the retiring Trustee and to the Company. Immediately after that, the</w:t>
      </w:r>
    </w:p>
    <w:p>
      <w:pPr>
        <w:spacing w:after="0" w:line="46" w:lineRule="exact"/>
        <w:rPr>
          <w:sz w:val="20"/>
          <w:szCs w:val="20"/>
          <w:color w:val="auto"/>
        </w:rPr>
      </w:pPr>
    </w:p>
    <w:p>
      <w:pPr>
        <w:spacing w:after="0"/>
        <w:rPr>
          <w:sz w:val="20"/>
          <w:szCs w:val="20"/>
          <w:color w:val="auto"/>
        </w:rPr>
      </w:pPr>
      <w:r>
        <w:rPr>
          <w:rFonts w:ascii="Arial" w:cs="Arial" w:eastAsia="Arial" w:hAnsi="Arial"/>
          <w:sz w:val="16"/>
          <w:szCs w:val="16"/>
          <w:color w:val="auto"/>
        </w:rPr>
        <w:t>retiring Trustee shall transfer all property held by it as Trustee to the successor Trustee subject to the lien provided for in Section 7.7, the resignation or</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removal of the retiring Trustee shall become effective, and the successor Trustee shall have all the rights, powers and duties of the Trustee with respect</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to each Series of Securities for which it is acting as Trustee under this Indenture. A successor Trustee shall mail a notice of its succession to each</w:t>
      </w:r>
    </w:p>
    <w:p>
      <w:pPr>
        <w:spacing w:after="0" w:line="32" w:lineRule="exact"/>
        <w:rPr>
          <w:sz w:val="20"/>
          <w:szCs w:val="20"/>
          <w:color w:val="auto"/>
        </w:rPr>
      </w:pPr>
    </w:p>
    <w:p>
      <w:pPr>
        <w:spacing w:after="0"/>
        <w:rPr>
          <w:sz w:val="20"/>
          <w:szCs w:val="20"/>
          <w:color w:val="auto"/>
        </w:rPr>
      </w:pPr>
      <w:r>
        <w:rPr>
          <w:rFonts w:ascii="Arial" w:cs="Arial" w:eastAsia="Arial" w:hAnsi="Arial"/>
          <w:sz w:val="17"/>
          <w:szCs w:val="17"/>
          <w:color w:val="auto"/>
        </w:rPr>
        <w:t>Securityholder of each such Series. Notwithstanding replacement of the Trustee pursuant to this Section 7.8, the Company’s obligations under</w:t>
      </w:r>
    </w:p>
    <w:p>
      <w:pPr>
        <w:spacing w:after="0" w:line="21" w:lineRule="exact"/>
        <w:rPr>
          <w:sz w:val="20"/>
          <w:szCs w:val="20"/>
          <w:color w:val="auto"/>
        </w:rPr>
      </w:pPr>
    </w:p>
    <w:p>
      <w:pPr>
        <w:spacing w:after="0"/>
        <w:rPr>
          <w:sz w:val="20"/>
          <w:szCs w:val="20"/>
          <w:color w:val="auto"/>
        </w:rPr>
      </w:pPr>
      <w:r>
        <w:rPr>
          <w:rFonts w:ascii="Arial" w:cs="Arial" w:eastAsia="Arial" w:hAnsi="Arial"/>
          <w:sz w:val="16"/>
          <w:szCs w:val="16"/>
          <w:color w:val="auto"/>
        </w:rPr>
        <w:t>Section 7.7 hereof shall continue for the benefit of the retiring Trustee with respect to expenses and liabilities incurred by it for actions taken or omitted</w:t>
      </w:r>
    </w:p>
    <w:p>
      <w:pPr>
        <w:spacing w:after="0" w:line="32" w:lineRule="exact"/>
        <w:rPr>
          <w:sz w:val="20"/>
          <w:szCs w:val="20"/>
          <w:color w:val="auto"/>
        </w:rPr>
      </w:pPr>
    </w:p>
    <w:p>
      <w:pPr>
        <w:spacing w:after="0"/>
        <w:rPr>
          <w:sz w:val="20"/>
          <w:szCs w:val="20"/>
          <w:color w:val="auto"/>
        </w:rPr>
      </w:pPr>
      <w:r>
        <w:rPr>
          <w:rFonts w:ascii="Arial" w:cs="Arial" w:eastAsia="Arial" w:hAnsi="Arial"/>
          <w:sz w:val="18"/>
          <w:szCs w:val="18"/>
          <w:color w:val="auto"/>
        </w:rPr>
        <w:t>to be taken in accordance with its rights, powers and duties under this Indenture prior to such replacement.</w:t>
      </w:r>
    </w:p>
    <w:p>
      <w:pPr>
        <w:spacing w:after="0" w:line="211" w:lineRule="exact"/>
        <w:rPr>
          <w:sz w:val="20"/>
          <w:szCs w:val="20"/>
          <w:color w:val="auto"/>
        </w:rPr>
      </w:pPr>
    </w:p>
    <w:p>
      <w:pPr>
        <w:ind w:left="440"/>
        <w:spacing w:after="0"/>
        <w:rPr>
          <w:sz w:val="20"/>
          <w:szCs w:val="20"/>
          <w:color w:val="auto"/>
        </w:rPr>
      </w:pPr>
      <w:r>
        <w:rPr>
          <w:rFonts w:ascii="Arial" w:cs="Arial" w:eastAsia="Arial" w:hAnsi="Arial"/>
          <w:sz w:val="18"/>
          <w:szCs w:val="18"/>
          <w:color w:val="auto"/>
        </w:rPr>
        <w:t xml:space="preserve">Section 7.9. </w:t>
      </w:r>
      <w:r>
        <w:rPr>
          <w:rFonts w:ascii="Arial" w:cs="Arial" w:eastAsia="Arial" w:hAnsi="Arial"/>
          <w:sz w:val="18"/>
          <w:szCs w:val="18"/>
          <w:u w:val="single" w:color="auto"/>
          <w:color w:val="auto"/>
        </w:rPr>
        <w:t>Successor Trustee by Merger, Etc</w:t>
      </w:r>
      <w:r>
        <w:rPr>
          <w:rFonts w:ascii="Arial" w:cs="Arial" w:eastAsia="Arial" w:hAnsi="Arial"/>
          <w:sz w:val="18"/>
          <w:szCs w:val="18"/>
          <w:color w:val="auto"/>
        </w:rPr>
        <w:t>.</w:t>
      </w:r>
    </w:p>
    <w:p>
      <w:pPr>
        <w:spacing w:after="0" w:line="225" w:lineRule="exact"/>
        <w:rPr>
          <w:sz w:val="20"/>
          <w:szCs w:val="20"/>
          <w:color w:val="auto"/>
        </w:rPr>
      </w:pPr>
    </w:p>
    <w:p>
      <w:pPr>
        <w:ind w:right="40" w:firstLine="440"/>
        <w:spacing w:after="0" w:line="277" w:lineRule="auto"/>
        <w:rPr>
          <w:sz w:val="20"/>
          <w:szCs w:val="20"/>
          <w:color w:val="auto"/>
        </w:rPr>
      </w:pPr>
      <w:r>
        <w:rPr>
          <w:rFonts w:ascii="Arial" w:cs="Arial" w:eastAsia="Arial" w:hAnsi="Arial"/>
          <w:sz w:val="18"/>
          <w:szCs w:val="18"/>
          <w:color w:val="auto"/>
        </w:rPr>
        <w:t>If the Trustee consolidates with, merges or converts into, or transfers all or substantially all of its corporate trust business to, another corporation, the successor corporation without any further act shall be the successor Trustee, subject to Section 7.10.</w:t>
      </w:r>
    </w:p>
    <w:p>
      <w:pPr>
        <w:spacing w:after="0" w:line="170" w:lineRule="exact"/>
        <w:rPr>
          <w:sz w:val="20"/>
          <w:szCs w:val="20"/>
          <w:color w:val="auto"/>
        </w:rPr>
      </w:pPr>
    </w:p>
    <w:p>
      <w:pPr>
        <w:ind w:left="440"/>
        <w:spacing w:after="0"/>
        <w:rPr>
          <w:sz w:val="20"/>
          <w:szCs w:val="20"/>
          <w:color w:val="auto"/>
        </w:rPr>
      </w:pPr>
      <w:r>
        <w:rPr>
          <w:rFonts w:ascii="Arial" w:cs="Arial" w:eastAsia="Arial" w:hAnsi="Arial"/>
          <w:sz w:val="18"/>
          <w:szCs w:val="18"/>
          <w:color w:val="auto"/>
        </w:rPr>
        <w:t xml:space="preserve">Section 7.10. </w:t>
      </w:r>
      <w:r>
        <w:rPr>
          <w:rFonts w:ascii="Arial" w:cs="Arial" w:eastAsia="Arial" w:hAnsi="Arial"/>
          <w:sz w:val="18"/>
          <w:szCs w:val="18"/>
          <w:u w:val="single" w:color="auto"/>
          <w:color w:val="auto"/>
        </w:rPr>
        <w:t>Eligibility; Disqualification</w:t>
      </w:r>
      <w:r>
        <w:rPr>
          <w:rFonts w:ascii="Arial" w:cs="Arial" w:eastAsia="Arial" w:hAnsi="Arial"/>
          <w:sz w:val="18"/>
          <w:szCs w:val="18"/>
          <w:color w:val="auto"/>
        </w:rPr>
        <w:t>.</w:t>
      </w:r>
    </w:p>
    <w:p>
      <w:pPr>
        <w:spacing w:after="0" w:line="225" w:lineRule="exact"/>
        <w:rPr>
          <w:sz w:val="20"/>
          <w:szCs w:val="20"/>
          <w:color w:val="auto"/>
        </w:rPr>
      </w:pPr>
    </w:p>
    <w:p>
      <w:pPr>
        <w:ind w:right="80" w:firstLine="440"/>
        <w:spacing w:after="0" w:line="263" w:lineRule="auto"/>
        <w:rPr>
          <w:sz w:val="20"/>
          <w:szCs w:val="20"/>
          <w:color w:val="auto"/>
        </w:rPr>
      </w:pPr>
      <w:r>
        <w:rPr>
          <w:rFonts w:ascii="Arial" w:cs="Arial" w:eastAsia="Arial" w:hAnsi="Arial"/>
          <w:sz w:val="18"/>
          <w:szCs w:val="18"/>
          <w:color w:val="auto"/>
        </w:rPr>
        <w:t>This Indenture shall always have a Trustee who satisfies the requirements of TIA § 310(a)(1), (2) and (5). The Trustee shall always have a combined capital and surplus of at least $25,000,000 as set forth in its most recent published annual report of condition. The Trustee shall comply with TIA § 310(b).</w:t>
      </w:r>
    </w:p>
    <w:p>
      <w:pPr>
        <w:spacing w:after="0" w:line="184" w:lineRule="exact"/>
        <w:rPr>
          <w:sz w:val="20"/>
          <w:szCs w:val="20"/>
          <w:color w:val="auto"/>
        </w:rPr>
      </w:pPr>
    </w:p>
    <w:p>
      <w:pPr>
        <w:ind w:left="440"/>
        <w:spacing w:after="0"/>
        <w:rPr>
          <w:sz w:val="20"/>
          <w:szCs w:val="20"/>
          <w:color w:val="auto"/>
        </w:rPr>
      </w:pPr>
      <w:r>
        <w:rPr>
          <w:rFonts w:ascii="Arial" w:cs="Arial" w:eastAsia="Arial" w:hAnsi="Arial"/>
          <w:sz w:val="18"/>
          <w:szCs w:val="18"/>
          <w:color w:val="auto"/>
        </w:rPr>
        <w:t xml:space="preserve">Section 7.11. </w:t>
      </w:r>
      <w:r>
        <w:rPr>
          <w:rFonts w:ascii="Arial" w:cs="Arial" w:eastAsia="Arial" w:hAnsi="Arial"/>
          <w:sz w:val="18"/>
          <w:szCs w:val="18"/>
          <w:u w:val="single" w:color="auto"/>
          <w:color w:val="auto"/>
        </w:rPr>
        <w:t>Preferential Collection of Claims Against Company</w:t>
      </w:r>
      <w:r>
        <w:rPr>
          <w:rFonts w:ascii="Arial" w:cs="Arial" w:eastAsia="Arial" w:hAnsi="Arial"/>
          <w:sz w:val="18"/>
          <w:szCs w:val="18"/>
          <w:color w:val="auto"/>
        </w:rPr>
        <w:t>.</w:t>
      </w:r>
    </w:p>
    <w:p>
      <w:pPr>
        <w:spacing w:after="0" w:line="225" w:lineRule="exact"/>
        <w:rPr>
          <w:sz w:val="20"/>
          <w:szCs w:val="20"/>
          <w:color w:val="auto"/>
        </w:rPr>
      </w:pPr>
    </w:p>
    <w:p>
      <w:pPr>
        <w:ind w:right="160" w:firstLine="440"/>
        <w:spacing w:after="0" w:line="277" w:lineRule="auto"/>
        <w:rPr>
          <w:sz w:val="20"/>
          <w:szCs w:val="20"/>
          <w:color w:val="auto"/>
        </w:rPr>
      </w:pPr>
      <w:r>
        <w:rPr>
          <w:rFonts w:ascii="Arial" w:cs="Arial" w:eastAsia="Arial" w:hAnsi="Arial"/>
          <w:sz w:val="18"/>
          <w:szCs w:val="18"/>
          <w:color w:val="auto"/>
        </w:rPr>
        <w:t>The Trustee is subject to TIA § 311(a), excluding any creditor relationship listed in TIA § 311(b). A Trustee who has resigned or been removed shall be subject to TIA § 311(a) to the extent indicated.</w:t>
      </w:r>
    </w:p>
    <w:p>
      <w:pPr>
        <w:spacing w:after="0" w:line="386"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ARTICLE VIII.</w:t>
      </w:r>
    </w:p>
    <w:p>
      <w:pPr>
        <w:spacing w:after="0" w:line="23"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SATISFACTION AND DISCHARGE; DEFEASANCE</w:t>
      </w:r>
    </w:p>
    <w:p>
      <w:pPr>
        <w:spacing w:after="0" w:line="211" w:lineRule="exact"/>
        <w:rPr>
          <w:sz w:val="20"/>
          <w:szCs w:val="20"/>
          <w:color w:val="auto"/>
        </w:rPr>
      </w:pPr>
    </w:p>
    <w:p>
      <w:pPr>
        <w:ind w:left="440"/>
        <w:spacing w:after="0"/>
        <w:rPr>
          <w:sz w:val="20"/>
          <w:szCs w:val="20"/>
          <w:color w:val="auto"/>
        </w:rPr>
      </w:pPr>
      <w:r>
        <w:rPr>
          <w:rFonts w:ascii="Arial" w:cs="Arial" w:eastAsia="Arial" w:hAnsi="Arial"/>
          <w:sz w:val="18"/>
          <w:szCs w:val="18"/>
          <w:color w:val="auto"/>
        </w:rPr>
        <w:t xml:space="preserve">Section 8.1. </w:t>
      </w:r>
      <w:r>
        <w:rPr>
          <w:rFonts w:ascii="Arial" w:cs="Arial" w:eastAsia="Arial" w:hAnsi="Arial"/>
          <w:sz w:val="18"/>
          <w:szCs w:val="18"/>
          <w:u w:val="single" w:color="auto"/>
          <w:color w:val="auto"/>
        </w:rPr>
        <w:t>Satisfaction and Discharge of Indenture</w:t>
      </w:r>
      <w:r>
        <w:rPr>
          <w:rFonts w:ascii="Arial" w:cs="Arial" w:eastAsia="Arial" w:hAnsi="Arial"/>
          <w:sz w:val="18"/>
          <w:szCs w:val="18"/>
          <w:color w:val="auto"/>
        </w:rPr>
        <w:t>.</w:t>
      </w:r>
    </w:p>
    <w:p>
      <w:pPr>
        <w:spacing w:after="0" w:line="225" w:lineRule="exact"/>
        <w:rPr>
          <w:sz w:val="20"/>
          <w:szCs w:val="20"/>
          <w:color w:val="auto"/>
        </w:rPr>
      </w:pPr>
    </w:p>
    <w:p>
      <w:pPr>
        <w:ind w:right="80" w:firstLine="440"/>
        <w:spacing w:after="0" w:line="263" w:lineRule="auto"/>
        <w:rPr>
          <w:sz w:val="20"/>
          <w:szCs w:val="20"/>
          <w:color w:val="auto"/>
        </w:rPr>
      </w:pPr>
      <w:r>
        <w:rPr>
          <w:rFonts w:ascii="Arial" w:cs="Arial" w:eastAsia="Arial" w:hAnsi="Arial"/>
          <w:sz w:val="18"/>
          <w:szCs w:val="18"/>
          <w:color w:val="auto"/>
        </w:rPr>
        <w:t>This Indenture shall upon Company Order be discharged with respect to the Securities of any Series and cease to be of further effect as to all Securities of such Series (except as hereinafter provided in this Section 8.1), and the Trustee, at the expense of the Company, shall execute instruments acknowledging satisfaction and discharge of this Indenture, when</w:t>
      </w:r>
    </w:p>
    <w:p>
      <w:pPr>
        <w:spacing w:after="0" w:line="76" w:lineRule="exact"/>
        <w:rPr>
          <w:sz w:val="20"/>
          <w:szCs w:val="20"/>
          <w:color w:val="auto"/>
        </w:rPr>
      </w:pPr>
    </w:p>
    <w:p>
      <w:pPr>
        <w:ind w:left="1100" w:hanging="241"/>
        <w:spacing w:after="0"/>
        <w:tabs>
          <w:tab w:leader="none" w:pos="1100" w:val="left"/>
        </w:tabs>
        <w:numPr>
          <w:ilvl w:val="0"/>
          <w:numId w:val="116"/>
        </w:numPr>
        <w:rPr>
          <w:rFonts w:ascii="Arial" w:cs="Arial" w:eastAsia="Arial" w:hAnsi="Arial"/>
          <w:sz w:val="18"/>
          <w:szCs w:val="18"/>
          <w:color w:val="auto"/>
        </w:rPr>
      </w:pPr>
      <w:r>
        <w:rPr>
          <w:rFonts w:ascii="Arial" w:cs="Arial" w:eastAsia="Arial" w:hAnsi="Arial"/>
          <w:sz w:val="18"/>
          <w:szCs w:val="18"/>
          <w:color w:val="auto"/>
        </w:rPr>
        <w:t>either</w:t>
      </w:r>
    </w:p>
    <w:p>
      <w:pPr>
        <w:spacing w:after="0" w:line="117" w:lineRule="exact"/>
        <w:rPr>
          <w:rFonts w:ascii="Arial" w:cs="Arial" w:eastAsia="Arial" w:hAnsi="Arial"/>
          <w:sz w:val="18"/>
          <w:szCs w:val="18"/>
          <w:color w:val="auto"/>
        </w:rPr>
      </w:pPr>
    </w:p>
    <w:p>
      <w:pPr>
        <w:ind w:left="980" w:right="40" w:firstLine="408"/>
        <w:spacing w:after="0" w:line="277" w:lineRule="auto"/>
        <w:tabs>
          <w:tab w:leader="none" w:pos="1596" w:val="left"/>
        </w:tabs>
        <w:numPr>
          <w:ilvl w:val="1"/>
          <w:numId w:val="116"/>
        </w:numPr>
        <w:rPr>
          <w:rFonts w:ascii="Arial" w:cs="Arial" w:eastAsia="Arial" w:hAnsi="Arial"/>
          <w:sz w:val="18"/>
          <w:szCs w:val="18"/>
          <w:color w:val="auto"/>
        </w:rPr>
      </w:pPr>
      <w:r>
        <w:rPr>
          <w:rFonts w:ascii="Arial" w:cs="Arial" w:eastAsia="Arial" w:hAnsi="Arial"/>
          <w:sz w:val="18"/>
          <w:szCs w:val="18"/>
          <w:color w:val="auto"/>
        </w:rPr>
        <w:t>all Securities of such Series theretofore authenticated and delivered (other than Securities that have been destroyed, lost or stolen and that have been replaced or paid) have been delivered to the Trustee for cancellation; or</w:t>
      </w:r>
    </w:p>
    <w:p>
      <w:pPr>
        <w:spacing w:after="0" w:line="62" w:lineRule="exact"/>
        <w:rPr>
          <w:rFonts w:ascii="Arial" w:cs="Arial" w:eastAsia="Arial" w:hAnsi="Arial"/>
          <w:sz w:val="18"/>
          <w:szCs w:val="18"/>
          <w:color w:val="auto"/>
        </w:rPr>
      </w:pPr>
    </w:p>
    <w:p>
      <w:pPr>
        <w:ind w:left="1660" w:hanging="272"/>
        <w:spacing w:after="0"/>
        <w:tabs>
          <w:tab w:leader="none" w:pos="1660" w:val="left"/>
        </w:tabs>
        <w:numPr>
          <w:ilvl w:val="1"/>
          <w:numId w:val="116"/>
        </w:numPr>
        <w:rPr>
          <w:rFonts w:ascii="Arial" w:cs="Arial" w:eastAsia="Arial" w:hAnsi="Arial"/>
          <w:sz w:val="18"/>
          <w:szCs w:val="18"/>
          <w:color w:val="auto"/>
        </w:rPr>
      </w:pPr>
      <w:r>
        <w:rPr>
          <w:rFonts w:ascii="Arial" w:cs="Arial" w:eastAsia="Arial" w:hAnsi="Arial"/>
          <w:sz w:val="18"/>
          <w:szCs w:val="18"/>
          <w:color w:val="auto"/>
        </w:rPr>
        <w:t>all such Securities of such Series not theretofore delivered to the Trustee for cancellation</w:t>
      </w:r>
    </w:p>
    <w:p>
      <w:pPr>
        <w:spacing w:after="0" w:line="158"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24</w:t>
      </w:r>
    </w:p>
    <w:p>
      <w:pPr>
        <w:sectPr>
          <w:pgSz w:w="11900" w:h="16838" w:orient="portrait"/>
          <w:cols w:equalWidth="0" w:num="1">
            <w:col w:w="10920"/>
          </w:cols>
          <w:pgMar w:left="440" w:top="274" w:right="539" w:bottom="1440" w:gutter="0" w:footer="0" w:header="0"/>
        </w:sectPr>
      </w:pPr>
    </w:p>
    <w:bookmarkStart w:id="142" w:name="page143"/>
    <w:bookmarkEnd w:id="142"/>
    <w:p>
      <w:pPr>
        <w:ind w:left="1640" w:hanging="252"/>
        <w:spacing w:after="0"/>
        <w:tabs>
          <w:tab w:leader="none" w:pos="1640" w:val="left"/>
        </w:tabs>
        <w:numPr>
          <w:ilvl w:val="0"/>
          <w:numId w:val="117"/>
        </w:numPr>
        <w:rPr>
          <w:rFonts w:ascii="Arial" w:cs="Arial" w:eastAsia="Arial" w:hAnsi="Arial"/>
          <w:sz w:val="18"/>
          <w:szCs w:val="18"/>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187" name="Picture 1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7"/>
                    <pic:cNvPicPr>
                      <a:picLocks noChangeAspect="1" noChangeArrowheads="1"/>
                    </pic:cNvPicPr>
                  </pic:nvPicPr>
                  <pic:blipFill>
                    <a:blip r:embed="rId209">
                      <a:extLst>
                        <a:ext uri="{28A0092B-C50C-407E-A947-70E740481C1C}"/>
                      </a:extLst>
                    </a:blip>
                    <a:srcRect/>
                    <a:stretch>
                      <a:fillRect/>
                    </a:stretch>
                  </pic:blipFill>
                  <pic:spPr bwMode="auto">
                    <a:xfrm>
                      <a:off x="0" y="0"/>
                      <a:ext cx="7149465" cy="25400"/>
                    </a:xfrm>
                    <a:prstGeom prst="rect">
                      <a:avLst/>
                    </a:prstGeom>
                    <a:noFill/>
                  </pic:spPr>
                </pic:pic>
              </a:graphicData>
            </a:graphic>
          </wp:anchor>
        </w:drawing>
        <w:t>have become due and payable by reason of sending a notice of redemption or otherwise, or</w:t>
      </w:r>
    </w:p>
    <w:p>
      <w:pPr>
        <w:spacing w:after="0" w:line="117" w:lineRule="exact"/>
        <w:rPr>
          <w:rFonts w:ascii="Arial" w:cs="Arial" w:eastAsia="Arial" w:hAnsi="Arial"/>
          <w:sz w:val="18"/>
          <w:szCs w:val="18"/>
          <w:color w:val="auto"/>
        </w:rPr>
      </w:pPr>
    </w:p>
    <w:p>
      <w:pPr>
        <w:ind w:left="1640" w:hanging="252"/>
        <w:spacing w:after="0"/>
        <w:tabs>
          <w:tab w:leader="none" w:pos="1640" w:val="left"/>
        </w:tabs>
        <w:numPr>
          <w:ilvl w:val="0"/>
          <w:numId w:val="117"/>
        </w:numPr>
        <w:rPr>
          <w:rFonts w:ascii="Arial" w:cs="Arial" w:eastAsia="Arial" w:hAnsi="Arial"/>
          <w:sz w:val="18"/>
          <w:szCs w:val="18"/>
          <w:color w:val="auto"/>
        </w:rPr>
      </w:pPr>
      <w:r>
        <w:rPr>
          <w:rFonts w:ascii="Arial" w:cs="Arial" w:eastAsia="Arial" w:hAnsi="Arial"/>
          <w:sz w:val="18"/>
          <w:szCs w:val="18"/>
          <w:color w:val="auto"/>
        </w:rPr>
        <w:t>will become due and payable at their Stated Maturity within one year, or</w:t>
      </w:r>
    </w:p>
    <w:p>
      <w:pPr>
        <w:spacing w:after="0" w:line="117" w:lineRule="exact"/>
        <w:rPr>
          <w:rFonts w:ascii="Arial" w:cs="Arial" w:eastAsia="Arial" w:hAnsi="Arial"/>
          <w:sz w:val="18"/>
          <w:szCs w:val="18"/>
          <w:color w:val="auto"/>
        </w:rPr>
      </w:pPr>
    </w:p>
    <w:p>
      <w:pPr>
        <w:ind w:left="980" w:right="60" w:firstLine="408"/>
        <w:spacing w:after="0" w:line="277" w:lineRule="auto"/>
        <w:tabs>
          <w:tab w:leader="none" w:pos="1636" w:val="left"/>
        </w:tabs>
        <w:numPr>
          <w:ilvl w:val="0"/>
          <w:numId w:val="117"/>
        </w:numPr>
        <w:rPr>
          <w:rFonts w:ascii="Arial" w:cs="Arial" w:eastAsia="Arial" w:hAnsi="Arial"/>
          <w:sz w:val="18"/>
          <w:szCs w:val="18"/>
          <w:color w:val="auto"/>
        </w:rPr>
      </w:pPr>
      <w:r>
        <w:rPr>
          <w:rFonts w:ascii="Arial" w:cs="Arial" w:eastAsia="Arial" w:hAnsi="Arial"/>
          <w:sz w:val="18"/>
          <w:szCs w:val="18"/>
          <w:color w:val="auto"/>
        </w:rPr>
        <w:t>have been called for redemption or are to be called for redemption within one year under arrangements satisfactory to the Trustee for the giving of notice of redemption by the Trustee in the name, and at the expense, of the Company, or</w:t>
      </w:r>
    </w:p>
    <w:p>
      <w:pPr>
        <w:spacing w:after="0" w:line="62" w:lineRule="exact"/>
        <w:rPr>
          <w:rFonts w:ascii="Arial" w:cs="Arial" w:eastAsia="Arial" w:hAnsi="Arial"/>
          <w:sz w:val="18"/>
          <w:szCs w:val="18"/>
          <w:color w:val="auto"/>
        </w:rPr>
      </w:pPr>
    </w:p>
    <w:p>
      <w:pPr>
        <w:ind w:left="1640" w:hanging="252"/>
        <w:spacing w:after="0"/>
        <w:tabs>
          <w:tab w:leader="none" w:pos="1640" w:val="left"/>
        </w:tabs>
        <w:numPr>
          <w:ilvl w:val="0"/>
          <w:numId w:val="117"/>
        </w:numPr>
        <w:rPr>
          <w:rFonts w:ascii="Arial" w:cs="Arial" w:eastAsia="Arial" w:hAnsi="Arial"/>
          <w:sz w:val="18"/>
          <w:szCs w:val="18"/>
          <w:color w:val="auto"/>
        </w:rPr>
      </w:pPr>
      <w:r>
        <w:rPr>
          <w:rFonts w:ascii="Arial" w:cs="Arial" w:eastAsia="Arial" w:hAnsi="Arial"/>
          <w:sz w:val="18"/>
          <w:szCs w:val="18"/>
          <w:color w:val="auto"/>
        </w:rPr>
        <w:t>are deemed paid and discharged pursuant to Section 8.3, as applicable;</w:t>
      </w:r>
    </w:p>
    <w:p>
      <w:pPr>
        <w:spacing w:after="0" w:line="225" w:lineRule="exact"/>
        <w:rPr>
          <w:sz w:val="20"/>
          <w:szCs w:val="20"/>
          <w:color w:val="auto"/>
        </w:rPr>
      </w:pPr>
    </w:p>
    <w:p>
      <w:pPr>
        <w:ind w:right="60"/>
        <w:spacing w:after="0" w:line="259" w:lineRule="auto"/>
        <w:rPr>
          <w:sz w:val="20"/>
          <w:szCs w:val="20"/>
          <w:color w:val="auto"/>
        </w:rPr>
      </w:pPr>
      <w:r>
        <w:rPr>
          <w:rFonts w:ascii="Arial" w:cs="Arial" w:eastAsia="Arial" w:hAnsi="Arial"/>
          <w:sz w:val="18"/>
          <w:szCs w:val="18"/>
          <w:color w:val="auto"/>
        </w:rPr>
        <w:t>and the Company, in the case of (1), (2) or (3) above, shall have irrevocably deposited or caused to be deposited with the Trustee as trust funds in trust an amount of money or U.S. Government Obligations, which amount shall be sufficient for the purpose of paying and discharging each installment of principal (including mandatory sinking fund or analogous payments) of and interest on all the Securities of such Series on the dates such installments of principal or interest are due;</w:t>
      </w:r>
    </w:p>
    <w:p>
      <w:pPr>
        <w:spacing w:after="0" w:line="79" w:lineRule="exact"/>
        <w:rPr>
          <w:sz w:val="20"/>
          <w:szCs w:val="20"/>
          <w:color w:val="auto"/>
        </w:rPr>
      </w:pPr>
    </w:p>
    <w:p>
      <w:pPr>
        <w:ind w:left="1120" w:hanging="261"/>
        <w:spacing w:after="0"/>
        <w:tabs>
          <w:tab w:leader="none" w:pos="1120" w:val="left"/>
        </w:tabs>
        <w:numPr>
          <w:ilvl w:val="0"/>
          <w:numId w:val="118"/>
        </w:numPr>
        <w:rPr>
          <w:rFonts w:ascii="Arial" w:cs="Arial" w:eastAsia="Arial" w:hAnsi="Arial"/>
          <w:sz w:val="18"/>
          <w:szCs w:val="18"/>
          <w:color w:val="auto"/>
        </w:rPr>
      </w:pPr>
      <w:r>
        <w:rPr>
          <w:rFonts w:ascii="Arial" w:cs="Arial" w:eastAsia="Arial" w:hAnsi="Arial"/>
          <w:sz w:val="18"/>
          <w:szCs w:val="18"/>
          <w:color w:val="auto"/>
        </w:rPr>
        <w:t>the Company has paid or caused to be paid all other sums payable hereunder by the Company; and</w:t>
      </w:r>
    </w:p>
    <w:p>
      <w:pPr>
        <w:spacing w:after="0" w:line="117" w:lineRule="exact"/>
        <w:rPr>
          <w:rFonts w:ascii="Arial" w:cs="Arial" w:eastAsia="Arial" w:hAnsi="Arial"/>
          <w:sz w:val="18"/>
          <w:szCs w:val="18"/>
          <w:color w:val="auto"/>
        </w:rPr>
      </w:pPr>
    </w:p>
    <w:p>
      <w:pPr>
        <w:ind w:left="440" w:right="460" w:firstLine="419"/>
        <w:spacing w:after="0" w:line="308" w:lineRule="auto"/>
        <w:tabs>
          <w:tab w:leader="none" w:pos="1108" w:val="left"/>
        </w:tabs>
        <w:numPr>
          <w:ilvl w:val="0"/>
          <w:numId w:val="118"/>
        </w:numPr>
        <w:rPr>
          <w:rFonts w:ascii="Arial" w:cs="Arial" w:eastAsia="Arial" w:hAnsi="Arial"/>
          <w:sz w:val="17"/>
          <w:szCs w:val="17"/>
          <w:color w:val="auto"/>
        </w:rPr>
      </w:pPr>
      <w:r>
        <w:rPr>
          <w:rFonts w:ascii="Arial" w:cs="Arial" w:eastAsia="Arial" w:hAnsi="Arial"/>
          <w:sz w:val="17"/>
          <w:szCs w:val="17"/>
          <w:color w:val="auto"/>
        </w:rPr>
        <w:t>the Company shall have delivered to the Trustee an Officer’s Certificate and an Opinion of Counsel, each stating that all conditions precedent provided for relating to the satisfaction and discharge contemplated by this Section have been complied with.</w:t>
      </w:r>
    </w:p>
    <w:p>
      <w:pPr>
        <w:spacing w:after="0" w:line="146" w:lineRule="exact"/>
        <w:rPr>
          <w:sz w:val="20"/>
          <w:szCs w:val="20"/>
          <w:color w:val="auto"/>
        </w:rPr>
      </w:pPr>
    </w:p>
    <w:p>
      <w:pPr>
        <w:ind w:right="180" w:firstLine="440"/>
        <w:spacing w:after="0" w:line="342" w:lineRule="auto"/>
        <w:rPr>
          <w:sz w:val="20"/>
          <w:szCs w:val="20"/>
          <w:color w:val="auto"/>
        </w:rPr>
      </w:pPr>
      <w:r>
        <w:rPr>
          <w:rFonts w:ascii="Arial" w:cs="Arial" w:eastAsia="Arial" w:hAnsi="Arial"/>
          <w:sz w:val="16"/>
          <w:szCs w:val="16"/>
          <w:color w:val="auto"/>
        </w:rPr>
        <w:t>Notwithstanding the satisfaction and discharge of this Indenture, the obligations of the Company to the Trustee under Section 7.7, and, if money shall have been deposited with the Trustee pursuant to clause (a) of this Section, the provisions of Sections 2.4, 2.7, 2.8, 8.2 and 8.5 shall survive.</w:t>
      </w:r>
    </w:p>
    <w:p>
      <w:pPr>
        <w:spacing w:after="0" w:line="124" w:lineRule="exact"/>
        <w:rPr>
          <w:sz w:val="20"/>
          <w:szCs w:val="20"/>
          <w:color w:val="auto"/>
        </w:rPr>
      </w:pPr>
    </w:p>
    <w:p>
      <w:pPr>
        <w:ind w:left="440"/>
        <w:spacing w:after="0"/>
        <w:rPr>
          <w:sz w:val="20"/>
          <w:szCs w:val="20"/>
          <w:color w:val="auto"/>
        </w:rPr>
      </w:pPr>
      <w:r>
        <w:rPr>
          <w:rFonts w:ascii="Arial" w:cs="Arial" w:eastAsia="Arial" w:hAnsi="Arial"/>
          <w:sz w:val="18"/>
          <w:szCs w:val="18"/>
          <w:color w:val="auto"/>
        </w:rPr>
        <w:t xml:space="preserve">Section 8.2. </w:t>
      </w:r>
      <w:r>
        <w:rPr>
          <w:rFonts w:ascii="Arial" w:cs="Arial" w:eastAsia="Arial" w:hAnsi="Arial"/>
          <w:sz w:val="18"/>
          <w:szCs w:val="18"/>
          <w:u w:val="single" w:color="auto"/>
          <w:color w:val="auto"/>
        </w:rPr>
        <w:t>Application of Trust Funds; Indemnification</w:t>
      </w:r>
      <w:r>
        <w:rPr>
          <w:rFonts w:ascii="Arial" w:cs="Arial" w:eastAsia="Arial" w:hAnsi="Arial"/>
          <w:sz w:val="18"/>
          <w:szCs w:val="18"/>
          <w:color w:val="auto"/>
        </w:rPr>
        <w:t>.</w:t>
      </w:r>
    </w:p>
    <w:p>
      <w:pPr>
        <w:spacing w:after="0" w:line="117" w:lineRule="exact"/>
        <w:rPr>
          <w:sz w:val="20"/>
          <w:szCs w:val="20"/>
          <w:color w:val="auto"/>
        </w:rPr>
      </w:pPr>
    </w:p>
    <w:p>
      <w:pPr>
        <w:ind w:left="440" w:right="40" w:firstLine="419"/>
        <w:spacing w:after="0" w:line="254" w:lineRule="auto"/>
        <w:tabs>
          <w:tab w:leader="none" w:pos="1108" w:val="left"/>
        </w:tabs>
        <w:numPr>
          <w:ilvl w:val="0"/>
          <w:numId w:val="119"/>
        </w:numPr>
        <w:rPr>
          <w:rFonts w:ascii="Arial" w:cs="Arial" w:eastAsia="Arial" w:hAnsi="Arial"/>
          <w:sz w:val="18"/>
          <w:szCs w:val="18"/>
          <w:color w:val="auto"/>
        </w:rPr>
      </w:pPr>
      <w:r>
        <w:rPr>
          <w:rFonts w:ascii="Arial" w:cs="Arial" w:eastAsia="Arial" w:hAnsi="Arial"/>
          <w:sz w:val="18"/>
          <w:szCs w:val="18"/>
          <w:color w:val="auto"/>
        </w:rPr>
        <w:t>Subject to the provisions of Section 8.5, all money and U.S. Government Obligations or Foreign Government Obligations deposited with the Trustee pursuant to Section 8.1, 8.3 or 8.4 and all money received by the Trustee in respect of U.S. Government Obligations or Foreign Government Obligations deposited with the Trustee pursuant to Section 8.1, 8.3 or 8.4, shall be held in trust and applied by it, in accordance with the provisions of the Securities and this Indenture, to the payment, either directly or through any Paying Agent (including the Company acting as its own Paying Agent) as the Trustee may determine, to the persons entitled thereto, of the principal and interest for whose payment such money has been deposited with or received by the Trustee or to make mandatory sinking fund payments or analogous payments as contemplated by Sections 8.1, 8.3 or 8.4.</w:t>
      </w:r>
    </w:p>
    <w:p>
      <w:pPr>
        <w:spacing w:after="0" w:line="86" w:lineRule="exact"/>
        <w:rPr>
          <w:rFonts w:ascii="Arial" w:cs="Arial" w:eastAsia="Arial" w:hAnsi="Arial"/>
          <w:sz w:val="18"/>
          <w:szCs w:val="18"/>
          <w:color w:val="auto"/>
        </w:rPr>
      </w:pPr>
    </w:p>
    <w:p>
      <w:pPr>
        <w:ind w:left="440" w:firstLine="419"/>
        <w:spacing w:after="0" w:line="263" w:lineRule="auto"/>
        <w:tabs>
          <w:tab w:leader="none" w:pos="1118" w:val="left"/>
        </w:tabs>
        <w:numPr>
          <w:ilvl w:val="0"/>
          <w:numId w:val="119"/>
        </w:numPr>
        <w:rPr>
          <w:rFonts w:ascii="Arial" w:cs="Arial" w:eastAsia="Arial" w:hAnsi="Arial"/>
          <w:sz w:val="18"/>
          <w:szCs w:val="18"/>
          <w:color w:val="auto"/>
        </w:rPr>
      </w:pPr>
      <w:r>
        <w:rPr>
          <w:rFonts w:ascii="Arial" w:cs="Arial" w:eastAsia="Arial" w:hAnsi="Arial"/>
          <w:sz w:val="18"/>
          <w:szCs w:val="18"/>
          <w:color w:val="auto"/>
        </w:rPr>
        <w:t>The Company shall pay and shall indemnify the Trustee against any tax, fee or other charge imposed on or assessed against U.S. Government Obligations or Foreign Government Obligations deposited pursuant to Sections 8.1, 8.3 or 8.4 or the interest and principal received in respect of such obligations other than any payable by or on behalf of Holders.</w:t>
      </w:r>
    </w:p>
    <w:p>
      <w:pPr>
        <w:spacing w:after="0" w:line="75" w:lineRule="exact"/>
        <w:rPr>
          <w:rFonts w:ascii="Arial" w:cs="Arial" w:eastAsia="Arial" w:hAnsi="Arial"/>
          <w:sz w:val="18"/>
          <w:szCs w:val="18"/>
          <w:color w:val="auto"/>
        </w:rPr>
      </w:pPr>
    </w:p>
    <w:p>
      <w:pPr>
        <w:ind w:left="440" w:right="40" w:firstLine="419"/>
        <w:spacing w:after="0" w:line="273" w:lineRule="auto"/>
        <w:tabs>
          <w:tab w:leader="none" w:pos="1108" w:val="left"/>
        </w:tabs>
        <w:numPr>
          <w:ilvl w:val="0"/>
          <w:numId w:val="119"/>
        </w:numPr>
        <w:rPr>
          <w:rFonts w:ascii="Arial" w:cs="Arial" w:eastAsia="Arial" w:hAnsi="Arial"/>
          <w:sz w:val="17"/>
          <w:szCs w:val="17"/>
          <w:color w:val="auto"/>
        </w:rPr>
      </w:pPr>
      <w:r>
        <w:rPr>
          <w:rFonts w:ascii="Arial" w:cs="Arial" w:eastAsia="Arial" w:hAnsi="Arial"/>
          <w:sz w:val="17"/>
          <w:szCs w:val="17"/>
          <w:color w:val="auto"/>
        </w:rPr>
        <w:t>The Trustee shall deliver or pay to the Company from time to time upon Company Order any U.S. Government Obligations or Foreign Government Obligations or money held by it as provided in Sections 8.3 or 8.4 which, in the opinion of a nationally recognized firm of independent certified public accountants or investment bank expressed in a written certification thereof delivered to the Trustee, are then in excess of the amount thereof which then would have been required to be deposited for the purpose for which such U.S. Government Obligations or Foreign Government Obligations or money were deposited or received. This provision shall not authorize the sale by the Trustee of any U.S. Government Obligations or Foreign Government Obligations held under this Indenture.</w:t>
      </w:r>
    </w:p>
    <w:p>
      <w:pPr>
        <w:spacing w:after="0" w:line="178" w:lineRule="exact"/>
        <w:rPr>
          <w:sz w:val="20"/>
          <w:szCs w:val="20"/>
          <w:color w:val="auto"/>
        </w:rPr>
      </w:pPr>
    </w:p>
    <w:p>
      <w:pPr>
        <w:ind w:left="440"/>
        <w:spacing w:after="0"/>
        <w:rPr>
          <w:sz w:val="20"/>
          <w:szCs w:val="20"/>
          <w:color w:val="auto"/>
        </w:rPr>
      </w:pPr>
      <w:r>
        <w:rPr>
          <w:rFonts w:ascii="Arial" w:cs="Arial" w:eastAsia="Arial" w:hAnsi="Arial"/>
          <w:sz w:val="18"/>
          <w:szCs w:val="18"/>
          <w:color w:val="auto"/>
        </w:rPr>
        <w:t xml:space="preserve">Section 8.3. </w:t>
      </w:r>
      <w:r>
        <w:rPr>
          <w:rFonts w:ascii="Arial" w:cs="Arial" w:eastAsia="Arial" w:hAnsi="Arial"/>
          <w:sz w:val="18"/>
          <w:szCs w:val="18"/>
          <w:u w:val="single" w:color="auto"/>
          <w:color w:val="auto"/>
        </w:rPr>
        <w:t>Legal Defeasance of Securities of any Series</w:t>
      </w:r>
      <w:r>
        <w:rPr>
          <w:rFonts w:ascii="Arial" w:cs="Arial" w:eastAsia="Arial" w:hAnsi="Arial"/>
          <w:sz w:val="18"/>
          <w:szCs w:val="18"/>
          <w:color w:val="auto"/>
        </w:rPr>
        <w:t>.</w:t>
      </w:r>
    </w:p>
    <w:p>
      <w:pPr>
        <w:spacing w:after="0" w:line="15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25</w:t>
      </w:r>
    </w:p>
    <w:p>
      <w:pPr>
        <w:sectPr>
          <w:pgSz w:w="11900" w:h="16838" w:orient="portrait"/>
          <w:cols w:equalWidth="0" w:num="1">
            <w:col w:w="11000"/>
          </w:cols>
          <w:pgMar w:left="440" w:top="274" w:right="459" w:bottom="1440" w:gutter="0" w:footer="0" w:header="0"/>
        </w:sectPr>
      </w:pPr>
    </w:p>
    <w:bookmarkStart w:id="143" w:name="page144"/>
    <w:bookmarkEnd w:id="143"/>
    <w:p>
      <w:pPr>
        <w:ind w:firstLine="440"/>
        <w:spacing w:after="0" w:line="301"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188" name="Picture 1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8"/>
                    <pic:cNvPicPr>
                      <a:picLocks noChangeAspect="1" noChangeArrowheads="1"/>
                    </pic:cNvPicPr>
                  </pic:nvPicPr>
                  <pic:blipFill>
                    <a:blip r:embed="rId210">
                      <a:extLst>
                        <a:ext uri="{28A0092B-C50C-407E-A947-70E740481C1C}"/>
                      </a:extLst>
                    </a:blip>
                    <a:srcRect/>
                    <a:stretch>
                      <a:fillRect/>
                    </a:stretch>
                  </pic:blipFill>
                  <pic:spPr bwMode="auto">
                    <a:xfrm>
                      <a:off x="0" y="0"/>
                      <a:ext cx="7149465" cy="25400"/>
                    </a:xfrm>
                    <a:prstGeom prst="rect">
                      <a:avLst/>
                    </a:prstGeom>
                    <a:noFill/>
                  </pic:spPr>
                </pic:pic>
              </a:graphicData>
            </a:graphic>
          </wp:anchor>
        </w:drawing>
        <w:t>Unless this Section 8.3 is otherwise specified, pursuant to Section 2.2, to be inapplicable to Securities of any Series, the Company shall be deemed to have paid and discharged the entire indebtedness on all the outstanding Securities of any Series on the 91st day after the date of the deposit referred to in subparagraph (d) hereof, and the provisions of this Indenture, as it relates to such outstanding Securities of such Series, shall no longer be in effect (and the Trustee, at the expense of the Company, shall, upon receipt of a Company Order, execute instruments acknowledging the same), except as to:</w:t>
      </w:r>
    </w:p>
    <w:p>
      <w:pPr>
        <w:spacing w:after="0" w:line="49" w:lineRule="exact"/>
        <w:rPr>
          <w:sz w:val="20"/>
          <w:szCs w:val="20"/>
          <w:color w:val="auto"/>
        </w:rPr>
      </w:pPr>
    </w:p>
    <w:p>
      <w:pPr>
        <w:ind w:left="440" w:right="60" w:firstLine="419"/>
        <w:spacing w:after="0" w:line="301" w:lineRule="auto"/>
        <w:tabs>
          <w:tab w:leader="none" w:pos="1108" w:val="left"/>
        </w:tabs>
        <w:numPr>
          <w:ilvl w:val="0"/>
          <w:numId w:val="120"/>
        </w:numPr>
        <w:rPr>
          <w:rFonts w:ascii="Arial" w:cs="Arial" w:eastAsia="Arial" w:hAnsi="Arial"/>
          <w:sz w:val="16"/>
          <w:szCs w:val="16"/>
          <w:color w:val="auto"/>
        </w:rPr>
      </w:pPr>
      <w:r>
        <w:rPr>
          <w:rFonts w:ascii="Arial" w:cs="Arial" w:eastAsia="Arial" w:hAnsi="Arial"/>
          <w:sz w:val="16"/>
          <w:szCs w:val="16"/>
          <w:color w:val="auto"/>
        </w:rPr>
        <w:t>the rights of Holders of Securities of such Series to receive, from the trust funds described in subparagraph (d) hereof, (i) payment of the principal of and each installment of principal of and interest on the outstanding Securities of such Series on the Maturity of such principal or installment of principal or interest and (ii) the benefit of any mandatory sinking fund payments applicable to the Securities of such Series on the day on which such payments are due and payable in accordance with the terms of this Indenture and the Securities of such Series;</w:t>
      </w:r>
    </w:p>
    <w:p>
      <w:pPr>
        <w:spacing w:after="0" w:line="49" w:lineRule="exact"/>
        <w:rPr>
          <w:rFonts w:ascii="Arial" w:cs="Arial" w:eastAsia="Arial" w:hAnsi="Arial"/>
          <w:sz w:val="16"/>
          <w:szCs w:val="16"/>
          <w:color w:val="auto"/>
        </w:rPr>
      </w:pPr>
    </w:p>
    <w:p>
      <w:pPr>
        <w:ind w:left="1120" w:hanging="261"/>
        <w:spacing w:after="0"/>
        <w:tabs>
          <w:tab w:leader="none" w:pos="1120" w:val="left"/>
        </w:tabs>
        <w:numPr>
          <w:ilvl w:val="0"/>
          <w:numId w:val="120"/>
        </w:numPr>
        <w:rPr>
          <w:rFonts w:ascii="Arial" w:cs="Arial" w:eastAsia="Arial" w:hAnsi="Arial"/>
          <w:sz w:val="18"/>
          <w:szCs w:val="18"/>
          <w:color w:val="auto"/>
        </w:rPr>
      </w:pPr>
      <w:r>
        <w:rPr>
          <w:rFonts w:ascii="Arial" w:cs="Arial" w:eastAsia="Arial" w:hAnsi="Arial"/>
          <w:sz w:val="18"/>
          <w:szCs w:val="18"/>
          <w:color w:val="auto"/>
        </w:rPr>
        <w:t>the provisions of Sections 2.4, 2.5, 2.7, 2.8, 7.7, 8.2, 8.3, 8.5 and 8.6; and</w:t>
      </w:r>
    </w:p>
    <w:p>
      <w:pPr>
        <w:spacing w:after="0" w:line="117" w:lineRule="exact"/>
        <w:rPr>
          <w:rFonts w:ascii="Arial" w:cs="Arial" w:eastAsia="Arial" w:hAnsi="Arial"/>
          <w:sz w:val="18"/>
          <w:szCs w:val="18"/>
          <w:color w:val="auto"/>
        </w:rPr>
      </w:pPr>
    </w:p>
    <w:p>
      <w:pPr>
        <w:ind w:left="1100" w:hanging="241"/>
        <w:spacing w:after="0"/>
        <w:tabs>
          <w:tab w:leader="none" w:pos="1100" w:val="left"/>
        </w:tabs>
        <w:numPr>
          <w:ilvl w:val="0"/>
          <w:numId w:val="120"/>
        </w:numPr>
        <w:rPr>
          <w:rFonts w:ascii="Arial" w:cs="Arial" w:eastAsia="Arial" w:hAnsi="Arial"/>
          <w:sz w:val="18"/>
          <w:szCs w:val="18"/>
          <w:color w:val="auto"/>
        </w:rPr>
      </w:pPr>
      <w:r>
        <w:rPr>
          <w:rFonts w:ascii="Arial" w:cs="Arial" w:eastAsia="Arial" w:hAnsi="Arial"/>
          <w:sz w:val="18"/>
          <w:szCs w:val="18"/>
          <w:color w:val="auto"/>
        </w:rPr>
        <w:t>the rights, powers, trusts and immunities of the Trustee hereunder and the Company’s obligations in connection therewith;</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provided that, the following conditions shall have been satisfied:</w:t>
      </w:r>
    </w:p>
    <w:p>
      <w:pPr>
        <w:spacing w:after="0" w:line="117" w:lineRule="exact"/>
        <w:rPr>
          <w:sz w:val="20"/>
          <w:szCs w:val="20"/>
          <w:color w:val="auto"/>
        </w:rPr>
      </w:pPr>
    </w:p>
    <w:p>
      <w:pPr>
        <w:ind w:left="440" w:right="40" w:firstLine="419"/>
        <w:spacing w:after="0" w:line="289" w:lineRule="auto"/>
        <w:tabs>
          <w:tab w:leader="none" w:pos="1118" w:val="left"/>
        </w:tabs>
        <w:numPr>
          <w:ilvl w:val="0"/>
          <w:numId w:val="121"/>
        </w:numPr>
        <w:rPr>
          <w:rFonts w:ascii="Arial" w:cs="Arial" w:eastAsia="Arial" w:hAnsi="Arial"/>
          <w:sz w:val="16"/>
          <w:szCs w:val="16"/>
          <w:color w:val="auto"/>
        </w:rPr>
      </w:pPr>
      <w:r>
        <w:rPr>
          <w:rFonts w:ascii="Arial" w:cs="Arial" w:eastAsia="Arial" w:hAnsi="Arial"/>
          <w:sz w:val="16"/>
          <w:szCs w:val="16"/>
          <w:color w:val="auto"/>
        </w:rPr>
        <w:t>the Company shall have irrevocably deposited or caused to be deposited (except as provided in Section 8.2(c)) with the Trustee as trust funds specifically pledged as security for and dedicated solely to the benefit of the Holders of such Securities (i) in the case of Securities of such Series denominated in Dollars, cash in Dollars and/or U.S. Government Obligations, or (ii) in the case of Securities of such Series denominated in a Foreign Currency (other than a composite currency), money and/or Foreign Government Obligations, which through the payment of interest and principal in respect thereof in accordance with their terms, will provide (and without reinvestment and assuming no tax liability will be imposed on such Trustee), not later than one day before the due date of any payment of money, an amount in cash, sufficient, in the opinion of a nationally recognized firm of independent public accountants or investment bank expressed in a written certification thereof delivered to the Trustee, to pay and discharge each installment of principal of and interest, on and any mandatory sinking fund payments in respect of all the Securities of such Series on the dates such installments of principal or interest and such sinking fund payments are due;</w:t>
      </w:r>
    </w:p>
    <w:p>
      <w:pPr>
        <w:spacing w:after="0" w:line="58" w:lineRule="exact"/>
        <w:rPr>
          <w:rFonts w:ascii="Arial" w:cs="Arial" w:eastAsia="Arial" w:hAnsi="Arial"/>
          <w:sz w:val="16"/>
          <w:szCs w:val="16"/>
          <w:color w:val="auto"/>
        </w:rPr>
      </w:pPr>
    </w:p>
    <w:p>
      <w:pPr>
        <w:ind w:left="440" w:right="140" w:firstLine="419"/>
        <w:spacing w:after="0" w:line="277" w:lineRule="auto"/>
        <w:tabs>
          <w:tab w:leader="none" w:pos="1108" w:val="left"/>
        </w:tabs>
        <w:numPr>
          <w:ilvl w:val="0"/>
          <w:numId w:val="121"/>
        </w:numPr>
        <w:rPr>
          <w:rFonts w:ascii="Arial" w:cs="Arial" w:eastAsia="Arial" w:hAnsi="Arial"/>
          <w:sz w:val="18"/>
          <w:szCs w:val="18"/>
          <w:color w:val="auto"/>
        </w:rPr>
      </w:pPr>
      <w:r>
        <w:rPr>
          <w:rFonts w:ascii="Arial" w:cs="Arial" w:eastAsia="Arial" w:hAnsi="Arial"/>
          <w:sz w:val="18"/>
          <w:szCs w:val="18"/>
          <w:color w:val="auto"/>
        </w:rPr>
        <w:t>such deposit will not result in a breach or violation of, or constitute a default under, this Indenture or any other agreement or instrument to which the Company is a party or by which it is bound;</w:t>
      </w:r>
    </w:p>
    <w:p>
      <w:pPr>
        <w:spacing w:after="0" w:line="62" w:lineRule="exact"/>
        <w:rPr>
          <w:rFonts w:ascii="Arial" w:cs="Arial" w:eastAsia="Arial" w:hAnsi="Arial"/>
          <w:sz w:val="18"/>
          <w:szCs w:val="18"/>
          <w:color w:val="auto"/>
        </w:rPr>
      </w:pPr>
    </w:p>
    <w:p>
      <w:pPr>
        <w:ind w:left="440" w:right="360" w:firstLine="419"/>
        <w:spacing w:after="0" w:line="277" w:lineRule="auto"/>
        <w:tabs>
          <w:tab w:leader="none" w:pos="1088" w:val="left"/>
        </w:tabs>
        <w:numPr>
          <w:ilvl w:val="0"/>
          <w:numId w:val="121"/>
        </w:numPr>
        <w:rPr>
          <w:rFonts w:ascii="Arial" w:cs="Arial" w:eastAsia="Arial" w:hAnsi="Arial"/>
          <w:sz w:val="18"/>
          <w:szCs w:val="18"/>
          <w:color w:val="auto"/>
        </w:rPr>
      </w:pPr>
      <w:r>
        <w:rPr>
          <w:rFonts w:ascii="Arial" w:cs="Arial" w:eastAsia="Arial" w:hAnsi="Arial"/>
          <w:sz w:val="18"/>
          <w:szCs w:val="18"/>
          <w:color w:val="auto"/>
        </w:rPr>
        <w:t>no Default or Event of Default with respect to the Securities of such Series shall have occurred and be continuing on the date of such deposit or during the period ending on the 91st day after such date;</w:t>
      </w:r>
    </w:p>
    <w:p>
      <w:pPr>
        <w:spacing w:after="0" w:line="62" w:lineRule="exact"/>
        <w:rPr>
          <w:rFonts w:ascii="Arial" w:cs="Arial" w:eastAsia="Arial" w:hAnsi="Arial"/>
          <w:sz w:val="18"/>
          <w:szCs w:val="18"/>
          <w:color w:val="auto"/>
        </w:rPr>
      </w:pPr>
    </w:p>
    <w:p>
      <w:pPr>
        <w:ind w:left="440" w:firstLine="419"/>
        <w:spacing w:after="0" w:line="273" w:lineRule="auto"/>
        <w:tabs>
          <w:tab w:leader="none" w:pos="1118" w:val="left"/>
        </w:tabs>
        <w:numPr>
          <w:ilvl w:val="0"/>
          <w:numId w:val="121"/>
        </w:numPr>
        <w:rPr>
          <w:rFonts w:ascii="Arial" w:cs="Arial" w:eastAsia="Arial" w:hAnsi="Arial"/>
          <w:sz w:val="17"/>
          <w:szCs w:val="17"/>
          <w:color w:val="auto"/>
        </w:rPr>
      </w:pPr>
      <w:r>
        <w:rPr>
          <w:rFonts w:ascii="Arial" w:cs="Arial" w:eastAsia="Arial" w:hAnsi="Arial"/>
          <w:sz w:val="17"/>
          <w:szCs w:val="17"/>
          <w:color w:val="auto"/>
        </w:rPr>
        <w:t>the Company shall have delivered to the Trustee an Officer’s Certificate and an Opinion of Counsel to the effect that (i) the Company has received from, or there has been published by, the Internal Revenue Service a ruling, or (ii) since the date of execution of this Indenture, there has been a change in the applicable Federal income tax law, in either case to the effect that, and based thereon such Opinion of Counsel shall confirm that, the Holders of the Securities of such Series will not recognize income, gain or loss for Federal income tax purposes as a result of such deposit, defeasance and discharge and will be subject to Federal income tax on the same amount and in the same manner and at the same times as would have been the case if such deposit, defeasance and discharge had not occurred;</w:t>
      </w:r>
    </w:p>
    <w:p>
      <w:pPr>
        <w:spacing w:after="0" w:line="69" w:lineRule="exact"/>
        <w:rPr>
          <w:rFonts w:ascii="Arial" w:cs="Arial" w:eastAsia="Arial" w:hAnsi="Arial"/>
          <w:sz w:val="17"/>
          <w:szCs w:val="17"/>
          <w:color w:val="auto"/>
        </w:rPr>
      </w:pPr>
    </w:p>
    <w:p>
      <w:pPr>
        <w:ind w:left="440" w:right="140" w:firstLine="419"/>
        <w:spacing w:after="0" w:line="277" w:lineRule="auto"/>
        <w:tabs>
          <w:tab w:leader="none" w:pos="1118" w:val="left"/>
        </w:tabs>
        <w:numPr>
          <w:ilvl w:val="0"/>
          <w:numId w:val="121"/>
        </w:numPr>
        <w:rPr>
          <w:rFonts w:ascii="Arial" w:cs="Arial" w:eastAsia="Arial" w:hAnsi="Arial"/>
          <w:sz w:val="18"/>
          <w:szCs w:val="18"/>
          <w:color w:val="auto"/>
        </w:rPr>
      </w:pPr>
      <w:r>
        <w:rPr>
          <w:rFonts w:ascii="Arial" w:cs="Arial" w:eastAsia="Arial" w:hAnsi="Arial"/>
          <w:sz w:val="18"/>
          <w:szCs w:val="18"/>
          <w:color w:val="auto"/>
        </w:rPr>
        <w:t>the Company shall have delivered to the Trustee an Officer’s Certificate stating that the deposit was not made by the Company with the intent of defeating, hindering, delaying or defrauding any other creditors of the Company; and</w:t>
      </w:r>
    </w:p>
    <w:p>
      <w:pPr>
        <w:spacing w:after="0" w:line="62" w:lineRule="exact"/>
        <w:rPr>
          <w:rFonts w:ascii="Arial" w:cs="Arial" w:eastAsia="Arial" w:hAnsi="Arial"/>
          <w:sz w:val="18"/>
          <w:szCs w:val="18"/>
          <w:color w:val="auto"/>
        </w:rPr>
      </w:pPr>
    </w:p>
    <w:p>
      <w:pPr>
        <w:ind w:left="440" w:right="480" w:firstLine="419"/>
        <w:spacing w:after="0" w:line="277" w:lineRule="auto"/>
        <w:tabs>
          <w:tab w:leader="none" w:pos="1078" w:val="left"/>
        </w:tabs>
        <w:numPr>
          <w:ilvl w:val="0"/>
          <w:numId w:val="121"/>
        </w:numPr>
        <w:rPr>
          <w:rFonts w:ascii="Arial" w:cs="Arial" w:eastAsia="Arial" w:hAnsi="Arial"/>
          <w:sz w:val="18"/>
          <w:szCs w:val="18"/>
          <w:color w:val="auto"/>
        </w:rPr>
      </w:pPr>
      <w:r>
        <w:rPr>
          <w:rFonts w:ascii="Arial" w:cs="Arial" w:eastAsia="Arial" w:hAnsi="Arial"/>
          <w:sz w:val="18"/>
          <w:szCs w:val="18"/>
          <w:color w:val="auto"/>
        </w:rPr>
        <w:t>the Company shall have delivered to the Trustee an Officer’s Certificate and an Opinion of Counsel, each stating that all conditions precedent provided for relating to the defeasance contemplated by this Section have been complied with.</w:t>
      </w:r>
    </w:p>
    <w:p>
      <w:pPr>
        <w:spacing w:after="0" w:line="10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26</w:t>
      </w:r>
    </w:p>
    <w:p>
      <w:pPr>
        <w:sectPr>
          <w:pgSz w:w="11900" w:h="16838" w:orient="portrait"/>
          <w:cols w:equalWidth="0" w:num="1">
            <w:col w:w="11000"/>
          </w:cols>
          <w:pgMar w:left="440" w:top="274" w:right="459" w:bottom="1440" w:gutter="0" w:footer="0" w:header="0"/>
        </w:sectPr>
      </w:pPr>
    </w:p>
    <w:bookmarkStart w:id="144" w:name="page145"/>
    <w:bookmarkEnd w:id="144"/>
    <w:p>
      <w:pPr>
        <w:ind w:left="440"/>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189" name="Picture 1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9"/>
                    <pic:cNvPicPr>
                      <a:picLocks noChangeAspect="1" noChangeArrowheads="1"/>
                    </pic:cNvPicPr>
                  </pic:nvPicPr>
                  <pic:blipFill>
                    <a:blip r:embed="rId211">
                      <a:extLst>
                        <a:ext uri="{28A0092B-C50C-407E-A947-70E740481C1C}"/>
                      </a:extLst>
                    </a:blip>
                    <a:srcRect/>
                    <a:stretch>
                      <a:fillRect/>
                    </a:stretch>
                  </pic:blipFill>
                  <pic:spPr bwMode="auto">
                    <a:xfrm>
                      <a:off x="0" y="0"/>
                      <a:ext cx="7149465" cy="25400"/>
                    </a:xfrm>
                    <a:prstGeom prst="rect">
                      <a:avLst/>
                    </a:prstGeom>
                    <a:noFill/>
                  </pic:spPr>
                </pic:pic>
              </a:graphicData>
            </a:graphic>
          </wp:anchor>
        </w:drawing>
        <w:t xml:space="preserve">Section 8.4. </w:t>
      </w:r>
      <w:r>
        <w:rPr>
          <w:rFonts w:ascii="Arial" w:cs="Arial" w:eastAsia="Arial" w:hAnsi="Arial"/>
          <w:sz w:val="18"/>
          <w:szCs w:val="18"/>
          <w:u w:val="single" w:color="auto"/>
          <w:color w:val="auto"/>
        </w:rPr>
        <w:t>Covenant Defeasance</w:t>
      </w:r>
      <w:r>
        <w:rPr>
          <w:rFonts w:ascii="Arial" w:cs="Arial" w:eastAsia="Arial" w:hAnsi="Arial"/>
          <w:sz w:val="18"/>
          <w:szCs w:val="18"/>
          <w:color w:val="auto"/>
        </w:rPr>
        <w:t>.</w:t>
      </w:r>
    </w:p>
    <w:p>
      <w:pPr>
        <w:spacing w:after="0" w:line="225" w:lineRule="exact"/>
        <w:rPr>
          <w:sz w:val="20"/>
          <w:szCs w:val="20"/>
          <w:color w:val="auto"/>
        </w:rPr>
      </w:pPr>
    </w:p>
    <w:p>
      <w:pPr>
        <w:ind w:firstLine="440"/>
        <w:spacing w:after="0" w:line="271" w:lineRule="auto"/>
        <w:rPr>
          <w:sz w:val="20"/>
          <w:szCs w:val="20"/>
          <w:color w:val="auto"/>
        </w:rPr>
      </w:pPr>
      <w:r>
        <w:rPr>
          <w:rFonts w:ascii="Arial" w:cs="Arial" w:eastAsia="Arial" w:hAnsi="Arial"/>
          <w:sz w:val="17"/>
          <w:szCs w:val="17"/>
          <w:color w:val="auto"/>
        </w:rPr>
        <w:t>Unless this Section 8.4 is otherwise specified pursuant to Section 2.2 to be inapplicable to Securities of any Series, the Company may omit to comply with respect to the Securities of any Series with any term, provision or condition set forth under Sections 4.2, 4.3, 4.4 and 5.1 and, unless otherwise specified therein, any additional covenants specified in a supplemental indenture for such Series of Securities or a Board Resolution or an Officer’s Certificate delivered pursuant to Section 2.2 (and the failure to comply with any such covenants shall not constitute a Default or Event of Default with respect to such Series under Section 6.1) and the occurrence of any event specified in a supplemental indenture for such Series of Securities or a Board Resolution or an Officer’s Certificate delivered pursuant to Section 2.2 and designated as an Event of Default shall not constitute a Default or Event of Default hereunder, with respect to the Securities of such Series, but, except as specified above, the remainder of this Indenture and such Securities will be unaffected thereby; provided that the following conditions shall have been satisfied:</w:t>
      </w:r>
    </w:p>
    <w:p>
      <w:pPr>
        <w:spacing w:after="0" w:line="70" w:lineRule="exact"/>
        <w:rPr>
          <w:sz w:val="20"/>
          <w:szCs w:val="20"/>
          <w:color w:val="auto"/>
        </w:rPr>
      </w:pPr>
    </w:p>
    <w:p>
      <w:pPr>
        <w:ind w:left="440" w:right="20" w:firstLine="419"/>
        <w:spacing w:after="0" w:line="269" w:lineRule="auto"/>
        <w:tabs>
          <w:tab w:leader="none" w:pos="1108" w:val="left"/>
        </w:tabs>
        <w:numPr>
          <w:ilvl w:val="0"/>
          <w:numId w:val="122"/>
        </w:numPr>
        <w:rPr>
          <w:rFonts w:ascii="Arial" w:cs="Arial" w:eastAsia="Arial" w:hAnsi="Arial"/>
          <w:sz w:val="17"/>
          <w:szCs w:val="17"/>
          <w:color w:val="auto"/>
        </w:rPr>
      </w:pPr>
      <w:r>
        <w:rPr>
          <w:rFonts w:ascii="Arial" w:cs="Arial" w:eastAsia="Arial" w:hAnsi="Arial"/>
          <w:sz w:val="17"/>
          <w:szCs w:val="17"/>
          <w:color w:val="auto"/>
        </w:rPr>
        <w:t>with reference to this Section 8.4, the Company has irrevocably deposited or caused to be irrevocably deposited (except as provided in Section 8.2(c)) with the Trustee as trust funds in trust for the purpose of making the following payments specifically pledged as security for, and dedicated solely to, the benefit of the Holders of such Securities (i) in the case of Securities of such Series denominated in Dollars, cash in Dollars and/or U.S. Government Obligations, or (ii) in the case of Securities of such Series denominated in a Foreign Currency (other than a composite currency), money and/or Foreign Government Obligations, which through the payment of interest and principal in respect thereof in accordance with their terms, will provide (and without reinvestment and assuming no tax liability will be imposed on such Trustee), not later than one day before the due date of any payment of money, an amount in cash, sufficient, in the opinion of a nationally recognized firm of independent certified public accountants or investment bank expressed in a written certification thereof delivered to the Trustee, to pay and discharge each installment of principal (including mandatory sinking fund or analogous payments) of and interest on all the Securities of such Series on the dates such installments of principal or interest are due;</w:t>
      </w:r>
    </w:p>
    <w:p>
      <w:pPr>
        <w:spacing w:after="0" w:line="77" w:lineRule="exact"/>
        <w:rPr>
          <w:rFonts w:ascii="Arial" w:cs="Arial" w:eastAsia="Arial" w:hAnsi="Arial"/>
          <w:sz w:val="17"/>
          <w:szCs w:val="17"/>
          <w:color w:val="auto"/>
        </w:rPr>
      </w:pPr>
    </w:p>
    <w:p>
      <w:pPr>
        <w:ind w:left="440" w:right="140" w:firstLine="419"/>
        <w:spacing w:after="0" w:line="277" w:lineRule="auto"/>
        <w:tabs>
          <w:tab w:leader="none" w:pos="1118" w:val="left"/>
        </w:tabs>
        <w:numPr>
          <w:ilvl w:val="0"/>
          <w:numId w:val="122"/>
        </w:numPr>
        <w:rPr>
          <w:rFonts w:ascii="Arial" w:cs="Arial" w:eastAsia="Arial" w:hAnsi="Arial"/>
          <w:sz w:val="18"/>
          <w:szCs w:val="18"/>
          <w:color w:val="auto"/>
        </w:rPr>
      </w:pPr>
      <w:r>
        <w:rPr>
          <w:rFonts w:ascii="Arial" w:cs="Arial" w:eastAsia="Arial" w:hAnsi="Arial"/>
          <w:sz w:val="18"/>
          <w:szCs w:val="18"/>
          <w:color w:val="auto"/>
        </w:rPr>
        <w:t>such deposit will not result in a breach or violation of, or constitute a default under, this Indenture or any other agreement or instrument to which the Company is a party or by which it is bound;</w:t>
      </w:r>
    </w:p>
    <w:p>
      <w:pPr>
        <w:spacing w:after="0" w:line="62" w:lineRule="exact"/>
        <w:rPr>
          <w:rFonts w:ascii="Arial" w:cs="Arial" w:eastAsia="Arial" w:hAnsi="Arial"/>
          <w:sz w:val="18"/>
          <w:szCs w:val="18"/>
          <w:color w:val="auto"/>
        </w:rPr>
      </w:pPr>
    </w:p>
    <w:p>
      <w:pPr>
        <w:ind w:left="1100" w:hanging="241"/>
        <w:spacing w:after="0"/>
        <w:tabs>
          <w:tab w:leader="none" w:pos="1100" w:val="left"/>
        </w:tabs>
        <w:numPr>
          <w:ilvl w:val="0"/>
          <w:numId w:val="122"/>
        </w:numPr>
        <w:rPr>
          <w:rFonts w:ascii="Arial" w:cs="Arial" w:eastAsia="Arial" w:hAnsi="Arial"/>
          <w:sz w:val="16"/>
          <w:szCs w:val="16"/>
          <w:color w:val="auto"/>
        </w:rPr>
      </w:pPr>
      <w:r>
        <w:rPr>
          <w:rFonts w:ascii="Arial" w:cs="Arial" w:eastAsia="Arial" w:hAnsi="Arial"/>
          <w:sz w:val="16"/>
          <w:szCs w:val="16"/>
          <w:color w:val="auto"/>
        </w:rPr>
        <w:t>no Default or Event of Default with respect to the Securities of such Series shall have occurred and be continuing on the date of such</w:t>
      </w:r>
    </w:p>
    <w:p>
      <w:pPr>
        <w:spacing w:after="0" w:line="46" w:lineRule="exact"/>
        <w:rPr>
          <w:rFonts w:ascii="Arial" w:cs="Arial" w:eastAsia="Arial" w:hAnsi="Arial"/>
          <w:sz w:val="16"/>
          <w:szCs w:val="16"/>
          <w:color w:val="auto"/>
        </w:rPr>
      </w:pPr>
    </w:p>
    <w:p>
      <w:pPr>
        <w:ind w:left="440"/>
        <w:spacing w:after="0"/>
        <w:rPr>
          <w:rFonts w:ascii="Arial" w:cs="Arial" w:eastAsia="Arial" w:hAnsi="Arial"/>
          <w:sz w:val="16"/>
          <w:szCs w:val="16"/>
          <w:color w:val="auto"/>
        </w:rPr>
      </w:pPr>
      <w:r>
        <w:rPr>
          <w:rFonts w:ascii="Arial" w:cs="Arial" w:eastAsia="Arial" w:hAnsi="Arial"/>
          <w:sz w:val="18"/>
          <w:szCs w:val="18"/>
          <w:color w:val="auto"/>
        </w:rPr>
        <w:t>deposit;</w:t>
      </w:r>
    </w:p>
    <w:p>
      <w:pPr>
        <w:spacing w:after="0" w:line="102" w:lineRule="exact"/>
        <w:rPr>
          <w:rFonts w:ascii="Arial" w:cs="Arial" w:eastAsia="Arial" w:hAnsi="Arial"/>
          <w:sz w:val="16"/>
          <w:szCs w:val="16"/>
          <w:color w:val="auto"/>
        </w:rPr>
      </w:pPr>
    </w:p>
    <w:p>
      <w:pPr>
        <w:ind w:left="440" w:right="160" w:firstLine="419"/>
        <w:spacing w:after="0" w:line="259" w:lineRule="auto"/>
        <w:tabs>
          <w:tab w:leader="none" w:pos="1118" w:val="left"/>
        </w:tabs>
        <w:numPr>
          <w:ilvl w:val="0"/>
          <w:numId w:val="122"/>
        </w:numPr>
        <w:rPr>
          <w:rFonts w:ascii="Arial" w:cs="Arial" w:eastAsia="Arial" w:hAnsi="Arial"/>
          <w:sz w:val="18"/>
          <w:szCs w:val="18"/>
          <w:color w:val="auto"/>
        </w:rPr>
      </w:pPr>
      <w:r>
        <w:rPr>
          <w:rFonts w:ascii="Arial" w:cs="Arial" w:eastAsia="Arial" w:hAnsi="Arial"/>
          <w:sz w:val="18"/>
          <w:szCs w:val="18"/>
          <w:color w:val="auto"/>
        </w:rPr>
        <w:t>the Company shall have delivered to the Trustee an Officers’ Certificate and an Opinion of Counsel to the effect that the Holders of the Securities of such Series will not recognize income, gain or loss for Federal income tax purposes as a result of such deposit and covenant defeasance and will be subject to Federal income tax on the same amount and in the same manner and at the same times as would have been the case if such deposit and covenant defeasance had not occurred;</w:t>
      </w:r>
    </w:p>
    <w:p>
      <w:pPr>
        <w:spacing w:after="0" w:line="78" w:lineRule="exact"/>
        <w:rPr>
          <w:rFonts w:ascii="Arial" w:cs="Arial" w:eastAsia="Arial" w:hAnsi="Arial"/>
          <w:sz w:val="18"/>
          <w:szCs w:val="18"/>
          <w:color w:val="auto"/>
        </w:rPr>
      </w:pPr>
    </w:p>
    <w:p>
      <w:pPr>
        <w:ind w:left="440" w:right="400" w:firstLine="419"/>
        <w:spacing w:after="0" w:line="277" w:lineRule="auto"/>
        <w:tabs>
          <w:tab w:leader="none" w:pos="1108" w:val="left"/>
        </w:tabs>
        <w:numPr>
          <w:ilvl w:val="0"/>
          <w:numId w:val="122"/>
        </w:numPr>
        <w:rPr>
          <w:rFonts w:ascii="Arial" w:cs="Arial" w:eastAsia="Arial" w:hAnsi="Arial"/>
          <w:sz w:val="18"/>
          <w:szCs w:val="18"/>
          <w:color w:val="auto"/>
        </w:rPr>
      </w:pPr>
      <w:r>
        <w:rPr>
          <w:rFonts w:ascii="Arial" w:cs="Arial" w:eastAsia="Arial" w:hAnsi="Arial"/>
          <w:sz w:val="18"/>
          <w:szCs w:val="18"/>
          <w:color w:val="auto"/>
        </w:rPr>
        <w:t>The Company shall have delivered to the Trustee an Officer’s Certificate stating the deposit was not made by the Company with the intent of defeating, hindering, delaying or defrauding any other creditors of the Company; and</w:t>
      </w:r>
    </w:p>
    <w:p>
      <w:pPr>
        <w:spacing w:after="0" w:line="62" w:lineRule="exact"/>
        <w:rPr>
          <w:rFonts w:ascii="Arial" w:cs="Arial" w:eastAsia="Arial" w:hAnsi="Arial"/>
          <w:sz w:val="18"/>
          <w:szCs w:val="18"/>
          <w:color w:val="auto"/>
        </w:rPr>
      </w:pPr>
    </w:p>
    <w:p>
      <w:pPr>
        <w:ind w:left="440" w:right="420" w:firstLine="419"/>
        <w:spacing w:after="0" w:line="308" w:lineRule="auto"/>
        <w:tabs>
          <w:tab w:leader="none" w:pos="1088" w:val="left"/>
        </w:tabs>
        <w:numPr>
          <w:ilvl w:val="0"/>
          <w:numId w:val="122"/>
        </w:numPr>
        <w:rPr>
          <w:rFonts w:ascii="Arial" w:cs="Arial" w:eastAsia="Arial" w:hAnsi="Arial"/>
          <w:sz w:val="17"/>
          <w:szCs w:val="17"/>
          <w:color w:val="auto"/>
        </w:rPr>
      </w:pPr>
      <w:r>
        <w:rPr>
          <w:rFonts w:ascii="Arial" w:cs="Arial" w:eastAsia="Arial" w:hAnsi="Arial"/>
          <w:sz w:val="17"/>
          <w:szCs w:val="17"/>
          <w:color w:val="auto"/>
        </w:rPr>
        <w:t>The Company shall have delivered to the Trustee an Officer’s Certificate and an Opinion of Counsel, each stating that all conditions precedent herein provided for relating to the covenant defeasance contemplated by this Section have been complied with.</w:t>
      </w:r>
    </w:p>
    <w:p>
      <w:pPr>
        <w:spacing w:after="0" w:line="146" w:lineRule="exact"/>
        <w:rPr>
          <w:sz w:val="20"/>
          <w:szCs w:val="20"/>
          <w:color w:val="auto"/>
        </w:rPr>
      </w:pPr>
    </w:p>
    <w:p>
      <w:pPr>
        <w:ind w:left="440"/>
        <w:spacing w:after="0"/>
        <w:rPr>
          <w:sz w:val="20"/>
          <w:szCs w:val="20"/>
          <w:color w:val="auto"/>
        </w:rPr>
      </w:pPr>
      <w:r>
        <w:rPr>
          <w:rFonts w:ascii="Arial" w:cs="Arial" w:eastAsia="Arial" w:hAnsi="Arial"/>
          <w:sz w:val="18"/>
          <w:szCs w:val="18"/>
          <w:color w:val="auto"/>
        </w:rPr>
        <w:t xml:space="preserve">Section 8.5. </w:t>
      </w:r>
      <w:r>
        <w:rPr>
          <w:rFonts w:ascii="Arial" w:cs="Arial" w:eastAsia="Arial" w:hAnsi="Arial"/>
          <w:sz w:val="18"/>
          <w:szCs w:val="18"/>
          <w:u w:val="single" w:color="auto"/>
          <w:color w:val="auto"/>
        </w:rPr>
        <w:t>Repayment to Company</w:t>
      </w:r>
      <w:r>
        <w:rPr>
          <w:rFonts w:ascii="Arial" w:cs="Arial" w:eastAsia="Arial" w:hAnsi="Arial"/>
          <w:sz w:val="18"/>
          <w:szCs w:val="18"/>
          <w:color w:val="auto"/>
        </w:rPr>
        <w:t>.</w:t>
      </w:r>
    </w:p>
    <w:p>
      <w:pPr>
        <w:spacing w:after="0" w:line="225" w:lineRule="exact"/>
        <w:rPr>
          <w:sz w:val="20"/>
          <w:szCs w:val="20"/>
          <w:color w:val="auto"/>
        </w:rPr>
      </w:pPr>
    </w:p>
    <w:p>
      <w:pPr>
        <w:ind w:right="120" w:firstLine="440"/>
        <w:spacing w:after="0" w:line="286" w:lineRule="auto"/>
        <w:rPr>
          <w:sz w:val="20"/>
          <w:szCs w:val="20"/>
          <w:color w:val="auto"/>
        </w:rPr>
      </w:pPr>
      <w:r>
        <w:rPr>
          <w:rFonts w:ascii="Arial" w:cs="Arial" w:eastAsia="Arial" w:hAnsi="Arial"/>
          <w:sz w:val="17"/>
          <w:szCs w:val="17"/>
          <w:color w:val="auto"/>
        </w:rPr>
        <w:t>Subject to applicable abandoned property law, the Trustee and the Paying Agent shall pay to the Company upon request any money held by them for the payment of principal and interest that remains unclaimed for two years. After that, Securityholders entitled to the money must look to the Company for payment as general creditors unless an applicable abandoned property law designates another person.</w:t>
      </w:r>
    </w:p>
    <w:p>
      <w:pPr>
        <w:spacing w:after="0" w:line="9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27</w:t>
      </w:r>
    </w:p>
    <w:p>
      <w:pPr>
        <w:sectPr>
          <w:pgSz w:w="11900" w:h="16838" w:orient="portrait"/>
          <w:cols w:equalWidth="0" w:num="1">
            <w:col w:w="11000"/>
          </w:cols>
          <w:pgMar w:left="440" w:top="274" w:right="459" w:bottom="1440" w:gutter="0" w:footer="0" w:header="0"/>
        </w:sectPr>
      </w:pPr>
    </w:p>
    <w:bookmarkStart w:id="145" w:name="page146"/>
    <w:bookmarkEnd w:id="145"/>
    <w:p>
      <w:pPr>
        <w:ind w:left="440"/>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190" name="Picture 1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0"/>
                    <pic:cNvPicPr>
                      <a:picLocks noChangeAspect="1" noChangeArrowheads="1"/>
                    </pic:cNvPicPr>
                  </pic:nvPicPr>
                  <pic:blipFill>
                    <a:blip r:embed="rId212">
                      <a:extLst>
                        <a:ext uri="{28A0092B-C50C-407E-A947-70E740481C1C}"/>
                      </a:extLst>
                    </a:blip>
                    <a:srcRect/>
                    <a:stretch>
                      <a:fillRect/>
                    </a:stretch>
                  </pic:blipFill>
                  <pic:spPr bwMode="auto">
                    <a:xfrm>
                      <a:off x="0" y="0"/>
                      <a:ext cx="7149465" cy="25400"/>
                    </a:xfrm>
                    <a:prstGeom prst="rect">
                      <a:avLst/>
                    </a:prstGeom>
                    <a:noFill/>
                  </pic:spPr>
                </pic:pic>
              </a:graphicData>
            </a:graphic>
          </wp:anchor>
        </w:drawing>
        <w:t xml:space="preserve">Section 8.6. </w:t>
      </w:r>
      <w:r>
        <w:rPr>
          <w:rFonts w:ascii="Arial" w:cs="Arial" w:eastAsia="Arial" w:hAnsi="Arial"/>
          <w:sz w:val="18"/>
          <w:szCs w:val="18"/>
          <w:u w:val="single" w:color="auto"/>
          <w:color w:val="auto"/>
        </w:rPr>
        <w:t>Reinstatement</w:t>
      </w:r>
      <w:r>
        <w:rPr>
          <w:rFonts w:ascii="Arial" w:cs="Arial" w:eastAsia="Arial" w:hAnsi="Arial"/>
          <w:sz w:val="18"/>
          <w:szCs w:val="18"/>
          <w:color w:val="auto"/>
        </w:rPr>
        <w:t>.</w:t>
      </w:r>
    </w:p>
    <w:p>
      <w:pPr>
        <w:spacing w:after="0" w:line="225" w:lineRule="exact"/>
        <w:rPr>
          <w:sz w:val="20"/>
          <w:szCs w:val="20"/>
          <w:color w:val="auto"/>
        </w:rPr>
      </w:pPr>
    </w:p>
    <w:p>
      <w:pPr>
        <w:ind w:right="60" w:firstLine="440"/>
        <w:spacing w:after="0" w:line="271" w:lineRule="auto"/>
        <w:rPr>
          <w:sz w:val="20"/>
          <w:szCs w:val="20"/>
          <w:color w:val="auto"/>
        </w:rPr>
      </w:pPr>
      <w:r>
        <w:rPr>
          <w:rFonts w:ascii="Arial" w:cs="Arial" w:eastAsia="Arial" w:hAnsi="Arial"/>
          <w:sz w:val="17"/>
          <w:szCs w:val="17"/>
          <w:color w:val="auto"/>
        </w:rPr>
        <w:t xml:space="preserve">If the Trustee or the Paying Agent is unable to apply any money deposited with respect to Securities of any Series in accordance with Section 8.1 by reason of any legal proceeding or by reason of any order or judgment of any court or governmental authority enjoining, restraining or otherwise prohibiting such application, the obligations of the Company under this Indenture with respect to the Securities of such Series and under the Securities of such Series shall be revived and reinstated as though no deposit had occurred pursuant to Section 8.1 until such time as the Trustee or the Paying Agent is permitted to apply all such money in accordance with Section 8.1; </w:t>
      </w:r>
      <w:r>
        <w:rPr>
          <w:rFonts w:ascii="Arial" w:cs="Arial" w:eastAsia="Arial" w:hAnsi="Arial"/>
          <w:sz w:val="17"/>
          <w:szCs w:val="17"/>
          <w:u w:val="single" w:color="auto"/>
          <w:color w:val="auto"/>
        </w:rPr>
        <w:t>provided</w:t>
      </w:r>
      <w:r>
        <w:rPr>
          <w:rFonts w:ascii="Arial" w:cs="Arial" w:eastAsia="Arial" w:hAnsi="Arial"/>
          <w:sz w:val="17"/>
          <w:szCs w:val="17"/>
          <w:color w:val="auto"/>
        </w:rPr>
        <w:t xml:space="preserve">, </w:t>
      </w:r>
      <w:r>
        <w:rPr>
          <w:rFonts w:ascii="Arial" w:cs="Arial" w:eastAsia="Arial" w:hAnsi="Arial"/>
          <w:sz w:val="17"/>
          <w:szCs w:val="17"/>
          <w:u w:val="single" w:color="auto"/>
          <w:color w:val="auto"/>
        </w:rPr>
        <w:t>however</w:t>
      </w:r>
      <w:r>
        <w:rPr>
          <w:rFonts w:ascii="Arial" w:cs="Arial" w:eastAsia="Arial" w:hAnsi="Arial"/>
          <w:sz w:val="17"/>
          <w:szCs w:val="17"/>
          <w:color w:val="auto"/>
        </w:rPr>
        <w:t>, that if the Company has made any payment of principal of or interest on or any Additional Amounts with respect to any Securities because of the reinstatement of its obligations, the Company shall be subrogated to the rights of the Holders of such Securities to receive such payment from the money or U.S. Government Obligations held by the Trustee or Paying Agent after payment in full to the Holders.</w:t>
      </w:r>
    </w:p>
    <w:p>
      <w:pPr>
        <w:spacing w:after="0" w:line="178"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ARTICLE IX.</w:t>
      </w:r>
    </w:p>
    <w:p>
      <w:pPr>
        <w:spacing w:after="0" w:line="23"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AMENDMENTS AND WAIVERS</w:t>
      </w:r>
    </w:p>
    <w:p>
      <w:pPr>
        <w:spacing w:after="0" w:line="211" w:lineRule="exact"/>
        <w:rPr>
          <w:sz w:val="20"/>
          <w:szCs w:val="20"/>
          <w:color w:val="auto"/>
        </w:rPr>
      </w:pPr>
    </w:p>
    <w:p>
      <w:pPr>
        <w:ind w:left="440"/>
        <w:spacing w:after="0"/>
        <w:rPr>
          <w:sz w:val="20"/>
          <w:szCs w:val="20"/>
          <w:color w:val="auto"/>
        </w:rPr>
      </w:pPr>
      <w:r>
        <w:rPr>
          <w:rFonts w:ascii="Arial" w:cs="Arial" w:eastAsia="Arial" w:hAnsi="Arial"/>
          <w:sz w:val="18"/>
          <w:szCs w:val="18"/>
          <w:color w:val="auto"/>
        </w:rPr>
        <w:t xml:space="preserve">Section 9.1. </w:t>
      </w:r>
      <w:r>
        <w:rPr>
          <w:rFonts w:ascii="Arial" w:cs="Arial" w:eastAsia="Arial" w:hAnsi="Arial"/>
          <w:sz w:val="18"/>
          <w:szCs w:val="18"/>
          <w:u w:val="single" w:color="auto"/>
          <w:color w:val="auto"/>
        </w:rPr>
        <w:t>Without Consent of Holders</w:t>
      </w:r>
      <w:r>
        <w:rPr>
          <w:rFonts w:ascii="Arial" w:cs="Arial" w:eastAsia="Arial" w:hAnsi="Arial"/>
          <w:sz w:val="18"/>
          <w:szCs w:val="18"/>
          <w:color w:val="auto"/>
        </w:rPr>
        <w:t>.</w:t>
      </w:r>
    </w:p>
    <w:p>
      <w:pPr>
        <w:spacing w:after="0" w:line="225" w:lineRule="exact"/>
        <w:rPr>
          <w:sz w:val="20"/>
          <w:szCs w:val="20"/>
          <w:color w:val="auto"/>
        </w:rPr>
      </w:pPr>
    </w:p>
    <w:p>
      <w:pPr>
        <w:ind w:left="440"/>
        <w:spacing w:after="0"/>
        <w:rPr>
          <w:sz w:val="20"/>
          <w:szCs w:val="20"/>
          <w:color w:val="auto"/>
        </w:rPr>
      </w:pPr>
      <w:r>
        <w:rPr>
          <w:rFonts w:ascii="Arial" w:cs="Arial" w:eastAsia="Arial" w:hAnsi="Arial"/>
          <w:sz w:val="17"/>
          <w:szCs w:val="17"/>
          <w:color w:val="auto"/>
        </w:rPr>
        <w:t>The Company and the Trustee may amend or supplement this Indenture or the Securities of one or more Series without the consent of any</w:t>
      </w:r>
    </w:p>
    <w:p>
      <w:pPr>
        <w:spacing w:after="0" w:line="35" w:lineRule="exact"/>
        <w:rPr>
          <w:sz w:val="20"/>
          <w:szCs w:val="20"/>
          <w:color w:val="auto"/>
        </w:rPr>
      </w:pPr>
    </w:p>
    <w:p>
      <w:pPr>
        <w:spacing w:after="0"/>
        <w:rPr>
          <w:sz w:val="20"/>
          <w:szCs w:val="20"/>
          <w:color w:val="auto"/>
        </w:rPr>
      </w:pPr>
      <w:r>
        <w:rPr>
          <w:rFonts w:ascii="Arial" w:cs="Arial" w:eastAsia="Arial" w:hAnsi="Arial"/>
          <w:sz w:val="18"/>
          <w:szCs w:val="18"/>
          <w:color w:val="auto"/>
        </w:rPr>
        <w:t>Securityholder:</w:t>
      </w:r>
    </w:p>
    <w:p>
      <w:pPr>
        <w:spacing w:after="0" w:line="103" w:lineRule="exact"/>
        <w:rPr>
          <w:sz w:val="20"/>
          <w:szCs w:val="20"/>
          <w:color w:val="auto"/>
        </w:rPr>
      </w:pPr>
    </w:p>
    <w:p>
      <w:pPr>
        <w:ind w:left="1100" w:hanging="241"/>
        <w:spacing w:after="0"/>
        <w:tabs>
          <w:tab w:leader="none" w:pos="1100" w:val="left"/>
        </w:tabs>
        <w:numPr>
          <w:ilvl w:val="0"/>
          <w:numId w:val="123"/>
        </w:numPr>
        <w:rPr>
          <w:rFonts w:ascii="Arial" w:cs="Arial" w:eastAsia="Arial" w:hAnsi="Arial"/>
          <w:sz w:val="18"/>
          <w:szCs w:val="18"/>
          <w:color w:val="auto"/>
        </w:rPr>
      </w:pPr>
      <w:r>
        <w:rPr>
          <w:rFonts w:ascii="Arial" w:cs="Arial" w:eastAsia="Arial" w:hAnsi="Arial"/>
          <w:sz w:val="18"/>
          <w:szCs w:val="18"/>
          <w:color w:val="auto"/>
        </w:rPr>
        <w:t>to cure any ambiguity, defect or inconsistency;</w:t>
      </w:r>
    </w:p>
    <w:p>
      <w:pPr>
        <w:spacing w:after="0" w:line="117" w:lineRule="exact"/>
        <w:rPr>
          <w:rFonts w:ascii="Arial" w:cs="Arial" w:eastAsia="Arial" w:hAnsi="Arial"/>
          <w:sz w:val="18"/>
          <w:szCs w:val="18"/>
          <w:color w:val="auto"/>
        </w:rPr>
      </w:pPr>
    </w:p>
    <w:p>
      <w:pPr>
        <w:ind w:left="1120" w:hanging="261"/>
        <w:spacing w:after="0"/>
        <w:tabs>
          <w:tab w:leader="none" w:pos="1120" w:val="left"/>
        </w:tabs>
        <w:numPr>
          <w:ilvl w:val="0"/>
          <w:numId w:val="123"/>
        </w:numPr>
        <w:rPr>
          <w:rFonts w:ascii="Arial" w:cs="Arial" w:eastAsia="Arial" w:hAnsi="Arial"/>
          <w:sz w:val="18"/>
          <w:szCs w:val="18"/>
          <w:color w:val="auto"/>
        </w:rPr>
      </w:pPr>
      <w:r>
        <w:rPr>
          <w:rFonts w:ascii="Arial" w:cs="Arial" w:eastAsia="Arial" w:hAnsi="Arial"/>
          <w:sz w:val="18"/>
          <w:szCs w:val="18"/>
          <w:color w:val="auto"/>
        </w:rPr>
        <w:t>to comply with Article V;</w:t>
      </w:r>
    </w:p>
    <w:p>
      <w:pPr>
        <w:spacing w:after="0" w:line="117" w:lineRule="exact"/>
        <w:rPr>
          <w:rFonts w:ascii="Arial" w:cs="Arial" w:eastAsia="Arial" w:hAnsi="Arial"/>
          <w:sz w:val="18"/>
          <w:szCs w:val="18"/>
          <w:color w:val="auto"/>
        </w:rPr>
      </w:pPr>
    </w:p>
    <w:p>
      <w:pPr>
        <w:ind w:left="1100" w:hanging="241"/>
        <w:spacing w:after="0"/>
        <w:tabs>
          <w:tab w:leader="none" w:pos="1100" w:val="left"/>
        </w:tabs>
        <w:numPr>
          <w:ilvl w:val="0"/>
          <w:numId w:val="123"/>
        </w:numPr>
        <w:rPr>
          <w:rFonts w:ascii="Arial" w:cs="Arial" w:eastAsia="Arial" w:hAnsi="Arial"/>
          <w:sz w:val="18"/>
          <w:szCs w:val="18"/>
          <w:color w:val="auto"/>
        </w:rPr>
      </w:pPr>
      <w:r>
        <w:rPr>
          <w:rFonts w:ascii="Arial" w:cs="Arial" w:eastAsia="Arial" w:hAnsi="Arial"/>
          <w:sz w:val="18"/>
          <w:szCs w:val="18"/>
          <w:color w:val="auto"/>
        </w:rPr>
        <w:t>to provide for uncertificated Securities in addition to or in place of certificated Securities;</w:t>
      </w:r>
    </w:p>
    <w:p>
      <w:pPr>
        <w:spacing w:after="0" w:line="117" w:lineRule="exact"/>
        <w:rPr>
          <w:rFonts w:ascii="Arial" w:cs="Arial" w:eastAsia="Arial" w:hAnsi="Arial"/>
          <w:sz w:val="18"/>
          <w:szCs w:val="18"/>
          <w:color w:val="auto"/>
        </w:rPr>
      </w:pPr>
    </w:p>
    <w:p>
      <w:pPr>
        <w:ind w:left="1120" w:hanging="261"/>
        <w:spacing w:after="0"/>
        <w:tabs>
          <w:tab w:leader="none" w:pos="1120" w:val="left"/>
        </w:tabs>
        <w:numPr>
          <w:ilvl w:val="0"/>
          <w:numId w:val="123"/>
        </w:numPr>
        <w:rPr>
          <w:rFonts w:ascii="Arial" w:cs="Arial" w:eastAsia="Arial" w:hAnsi="Arial"/>
          <w:sz w:val="18"/>
          <w:szCs w:val="18"/>
          <w:color w:val="auto"/>
        </w:rPr>
      </w:pPr>
      <w:r>
        <w:rPr>
          <w:rFonts w:ascii="Arial" w:cs="Arial" w:eastAsia="Arial" w:hAnsi="Arial"/>
          <w:sz w:val="18"/>
          <w:szCs w:val="18"/>
          <w:color w:val="auto"/>
        </w:rPr>
        <w:t>to add guarantees with respect to Securities of any Series or secure Securities of any Series;</w:t>
      </w:r>
    </w:p>
    <w:p>
      <w:pPr>
        <w:spacing w:after="0" w:line="117" w:lineRule="exact"/>
        <w:rPr>
          <w:rFonts w:ascii="Arial" w:cs="Arial" w:eastAsia="Arial" w:hAnsi="Arial"/>
          <w:sz w:val="18"/>
          <w:szCs w:val="18"/>
          <w:color w:val="auto"/>
        </w:rPr>
      </w:pPr>
    </w:p>
    <w:p>
      <w:pPr>
        <w:ind w:left="1100" w:hanging="241"/>
        <w:spacing w:after="0"/>
        <w:tabs>
          <w:tab w:leader="none" w:pos="1100" w:val="left"/>
        </w:tabs>
        <w:numPr>
          <w:ilvl w:val="0"/>
          <w:numId w:val="123"/>
        </w:numPr>
        <w:rPr>
          <w:rFonts w:ascii="Arial" w:cs="Arial" w:eastAsia="Arial" w:hAnsi="Arial"/>
          <w:sz w:val="18"/>
          <w:szCs w:val="18"/>
          <w:color w:val="auto"/>
        </w:rPr>
      </w:pPr>
      <w:r>
        <w:rPr>
          <w:rFonts w:ascii="Arial" w:cs="Arial" w:eastAsia="Arial" w:hAnsi="Arial"/>
          <w:sz w:val="18"/>
          <w:szCs w:val="18"/>
          <w:color w:val="auto"/>
        </w:rPr>
        <w:t>to surrender any of the Company’s rights or powers under this Indenture;</w:t>
      </w:r>
    </w:p>
    <w:p>
      <w:pPr>
        <w:spacing w:after="0" w:line="117" w:lineRule="exact"/>
        <w:rPr>
          <w:rFonts w:ascii="Arial" w:cs="Arial" w:eastAsia="Arial" w:hAnsi="Arial"/>
          <w:sz w:val="18"/>
          <w:szCs w:val="18"/>
          <w:color w:val="auto"/>
        </w:rPr>
      </w:pPr>
    </w:p>
    <w:p>
      <w:pPr>
        <w:ind w:left="1080" w:hanging="221"/>
        <w:spacing w:after="0"/>
        <w:tabs>
          <w:tab w:leader="none" w:pos="1080" w:val="left"/>
        </w:tabs>
        <w:numPr>
          <w:ilvl w:val="0"/>
          <w:numId w:val="123"/>
        </w:numPr>
        <w:rPr>
          <w:rFonts w:ascii="Arial" w:cs="Arial" w:eastAsia="Arial" w:hAnsi="Arial"/>
          <w:sz w:val="18"/>
          <w:szCs w:val="18"/>
          <w:color w:val="auto"/>
        </w:rPr>
      </w:pPr>
      <w:r>
        <w:rPr>
          <w:rFonts w:ascii="Arial" w:cs="Arial" w:eastAsia="Arial" w:hAnsi="Arial"/>
          <w:sz w:val="18"/>
          <w:szCs w:val="18"/>
          <w:color w:val="auto"/>
        </w:rPr>
        <w:t>to add covenants or events of default for the benefit of the holders of Securities of any Series;</w:t>
      </w:r>
    </w:p>
    <w:p>
      <w:pPr>
        <w:spacing w:after="0" w:line="117" w:lineRule="exact"/>
        <w:rPr>
          <w:rFonts w:ascii="Arial" w:cs="Arial" w:eastAsia="Arial" w:hAnsi="Arial"/>
          <w:sz w:val="18"/>
          <w:szCs w:val="18"/>
          <w:color w:val="auto"/>
        </w:rPr>
      </w:pPr>
    </w:p>
    <w:p>
      <w:pPr>
        <w:ind w:left="1120" w:hanging="261"/>
        <w:spacing w:after="0"/>
        <w:tabs>
          <w:tab w:leader="none" w:pos="1120" w:val="left"/>
        </w:tabs>
        <w:numPr>
          <w:ilvl w:val="0"/>
          <w:numId w:val="123"/>
        </w:numPr>
        <w:rPr>
          <w:rFonts w:ascii="Arial" w:cs="Arial" w:eastAsia="Arial" w:hAnsi="Arial"/>
          <w:sz w:val="18"/>
          <w:szCs w:val="18"/>
          <w:color w:val="auto"/>
        </w:rPr>
      </w:pPr>
      <w:r>
        <w:rPr>
          <w:rFonts w:ascii="Arial" w:cs="Arial" w:eastAsia="Arial" w:hAnsi="Arial"/>
          <w:sz w:val="18"/>
          <w:szCs w:val="18"/>
          <w:color w:val="auto"/>
        </w:rPr>
        <w:t>to comply with the applicable procedures of the applicable depositary;</w:t>
      </w:r>
    </w:p>
    <w:p>
      <w:pPr>
        <w:spacing w:after="0" w:line="117" w:lineRule="exact"/>
        <w:rPr>
          <w:rFonts w:ascii="Arial" w:cs="Arial" w:eastAsia="Arial" w:hAnsi="Arial"/>
          <w:sz w:val="18"/>
          <w:szCs w:val="18"/>
          <w:color w:val="auto"/>
        </w:rPr>
      </w:pPr>
    </w:p>
    <w:p>
      <w:pPr>
        <w:ind w:left="1120" w:hanging="261"/>
        <w:spacing w:after="0"/>
        <w:tabs>
          <w:tab w:leader="none" w:pos="1120" w:val="left"/>
        </w:tabs>
        <w:numPr>
          <w:ilvl w:val="0"/>
          <w:numId w:val="123"/>
        </w:numPr>
        <w:rPr>
          <w:rFonts w:ascii="Arial" w:cs="Arial" w:eastAsia="Arial" w:hAnsi="Arial"/>
          <w:sz w:val="18"/>
          <w:szCs w:val="18"/>
          <w:color w:val="auto"/>
        </w:rPr>
      </w:pPr>
      <w:r>
        <w:rPr>
          <w:rFonts w:ascii="Arial" w:cs="Arial" w:eastAsia="Arial" w:hAnsi="Arial"/>
          <w:sz w:val="18"/>
          <w:szCs w:val="18"/>
          <w:color w:val="auto"/>
        </w:rPr>
        <w:t>to make any change that does not adversely affect the rights of any Securityholder;</w:t>
      </w:r>
    </w:p>
    <w:p>
      <w:pPr>
        <w:spacing w:after="0" w:line="117" w:lineRule="exact"/>
        <w:rPr>
          <w:rFonts w:ascii="Arial" w:cs="Arial" w:eastAsia="Arial" w:hAnsi="Arial"/>
          <w:sz w:val="18"/>
          <w:szCs w:val="18"/>
          <w:color w:val="auto"/>
        </w:rPr>
      </w:pPr>
    </w:p>
    <w:p>
      <w:pPr>
        <w:ind w:left="1080" w:hanging="221"/>
        <w:spacing w:after="0"/>
        <w:tabs>
          <w:tab w:leader="none" w:pos="1080" w:val="left"/>
        </w:tabs>
        <w:numPr>
          <w:ilvl w:val="0"/>
          <w:numId w:val="123"/>
        </w:numPr>
        <w:rPr>
          <w:rFonts w:ascii="Arial" w:cs="Arial" w:eastAsia="Arial" w:hAnsi="Arial"/>
          <w:sz w:val="16"/>
          <w:szCs w:val="16"/>
          <w:color w:val="auto"/>
        </w:rPr>
      </w:pPr>
      <w:r>
        <w:rPr>
          <w:rFonts w:ascii="Arial" w:cs="Arial" w:eastAsia="Arial" w:hAnsi="Arial"/>
          <w:sz w:val="16"/>
          <w:szCs w:val="16"/>
          <w:color w:val="auto"/>
        </w:rPr>
        <w:t>to provide for the issuance of and establish the form and terms and conditions of Securities of any Series as permitted by this Indenture;</w:t>
      </w:r>
    </w:p>
    <w:p>
      <w:pPr>
        <w:spacing w:after="0" w:line="140" w:lineRule="exact"/>
        <w:rPr>
          <w:rFonts w:ascii="Arial" w:cs="Arial" w:eastAsia="Arial" w:hAnsi="Arial"/>
          <w:sz w:val="16"/>
          <w:szCs w:val="16"/>
          <w:color w:val="auto"/>
        </w:rPr>
      </w:pPr>
    </w:p>
    <w:p>
      <w:pPr>
        <w:ind w:left="440" w:firstLine="419"/>
        <w:spacing w:after="0" w:line="263" w:lineRule="auto"/>
        <w:tabs>
          <w:tab w:leader="none" w:pos="1078" w:val="left"/>
        </w:tabs>
        <w:numPr>
          <w:ilvl w:val="0"/>
          <w:numId w:val="123"/>
        </w:numPr>
        <w:rPr>
          <w:rFonts w:ascii="Arial" w:cs="Arial" w:eastAsia="Arial" w:hAnsi="Arial"/>
          <w:sz w:val="18"/>
          <w:szCs w:val="18"/>
          <w:color w:val="auto"/>
        </w:rPr>
      </w:pPr>
      <w:r>
        <w:rPr>
          <w:rFonts w:ascii="Arial" w:cs="Arial" w:eastAsia="Arial" w:hAnsi="Arial"/>
          <w:sz w:val="18"/>
          <w:szCs w:val="18"/>
          <w:color w:val="auto"/>
        </w:rPr>
        <w:t>to evidence and provide for the acceptance of appointment hereunder by a successor Trustee with respect to the Securities of one or more Series and to add to or change any of the provisions of this Indenture as shall be necessary to provide for or facilitate the administration of the trusts hereunder by more than one Trustee; or</w:t>
      </w:r>
    </w:p>
    <w:p>
      <w:pPr>
        <w:spacing w:after="0" w:line="75" w:lineRule="exact"/>
        <w:rPr>
          <w:rFonts w:ascii="Arial" w:cs="Arial" w:eastAsia="Arial" w:hAnsi="Arial"/>
          <w:sz w:val="18"/>
          <w:szCs w:val="18"/>
          <w:color w:val="auto"/>
        </w:rPr>
      </w:pPr>
    </w:p>
    <w:p>
      <w:pPr>
        <w:ind w:left="1120" w:hanging="261"/>
        <w:spacing w:after="0"/>
        <w:tabs>
          <w:tab w:leader="none" w:pos="1120" w:val="left"/>
        </w:tabs>
        <w:numPr>
          <w:ilvl w:val="0"/>
          <w:numId w:val="123"/>
        </w:numPr>
        <w:rPr>
          <w:rFonts w:ascii="Arial" w:cs="Arial" w:eastAsia="Arial" w:hAnsi="Arial"/>
          <w:sz w:val="18"/>
          <w:szCs w:val="18"/>
          <w:color w:val="auto"/>
        </w:rPr>
      </w:pPr>
      <w:r>
        <w:rPr>
          <w:rFonts w:ascii="Arial" w:cs="Arial" w:eastAsia="Arial" w:hAnsi="Arial"/>
          <w:sz w:val="18"/>
          <w:szCs w:val="18"/>
          <w:color w:val="auto"/>
        </w:rPr>
        <w:t>to comply with requirements of the SEC in order to effect or maintain the qualification of this Indenture under the TIA.</w:t>
      </w:r>
    </w:p>
    <w:p>
      <w:pPr>
        <w:spacing w:after="0" w:line="225" w:lineRule="exact"/>
        <w:rPr>
          <w:sz w:val="20"/>
          <w:szCs w:val="20"/>
          <w:color w:val="auto"/>
        </w:rPr>
      </w:pPr>
    </w:p>
    <w:p>
      <w:pPr>
        <w:ind w:left="440"/>
        <w:spacing w:after="0"/>
        <w:rPr>
          <w:sz w:val="20"/>
          <w:szCs w:val="20"/>
          <w:color w:val="auto"/>
        </w:rPr>
      </w:pPr>
      <w:r>
        <w:rPr>
          <w:rFonts w:ascii="Arial" w:cs="Arial" w:eastAsia="Arial" w:hAnsi="Arial"/>
          <w:sz w:val="18"/>
          <w:szCs w:val="18"/>
          <w:color w:val="auto"/>
        </w:rPr>
        <w:t xml:space="preserve">Section 9.2. </w:t>
      </w:r>
      <w:r>
        <w:rPr>
          <w:rFonts w:ascii="Arial" w:cs="Arial" w:eastAsia="Arial" w:hAnsi="Arial"/>
          <w:sz w:val="18"/>
          <w:szCs w:val="18"/>
          <w:u w:val="single" w:color="auto"/>
          <w:color w:val="auto"/>
        </w:rPr>
        <w:t>With Consent of Holders</w:t>
      </w:r>
      <w:r>
        <w:rPr>
          <w:rFonts w:ascii="Arial" w:cs="Arial" w:eastAsia="Arial" w:hAnsi="Arial"/>
          <w:sz w:val="18"/>
          <w:szCs w:val="18"/>
          <w:color w:val="auto"/>
        </w:rPr>
        <w:t>.</w:t>
      </w:r>
    </w:p>
    <w:p>
      <w:pPr>
        <w:spacing w:after="0" w:line="225" w:lineRule="exact"/>
        <w:rPr>
          <w:sz w:val="20"/>
          <w:szCs w:val="20"/>
          <w:color w:val="auto"/>
        </w:rPr>
      </w:pPr>
    </w:p>
    <w:p>
      <w:pPr>
        <w:jc w:val="both"/>
        <w:ind w:right="160" w:firstLine="440"/>
        <w:spacing w:after="0" w:line="301" w:lineRule="auto"/>
        <w:rPr>
          <w:sz w:val="20"/>
          <w:szCs w:val="20"/>
          <w:color w:val="auto"/>
        </w:rPr>
      </w:pPr>
      <w:r>
        <w:rPr>
          <w:rFonts w:ascii="Arial" w:cs="Arial" w:eastAsia="Arial" w:hAnsi="Arial"/>
          <w:sz w:val="16"/>
          <w:szCs w:val="16"/>
          <w:color w:val="auto"/>
        </w:rPr>
        <w:t>The Company and the Trustee may enter into a supplemental indenture with the written consent of the Holders of at least a majority in principal amount of the outstanding Securities of each Series affected by such supplemental indenture (including consents obtained in connection with a tender offer or exchange offer for the Securities of such Series), for the purpose of adding any provisions to or changing in any manner or eliminating any of the provisions of this Indenture or of any supplemental indenture or of modifying in any manner the rights of the</w:t>
      </w:r>
    </w:p>
    <w:p>
      <w:pPr>
        <w:spacing w:after="0" w:line="90"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28</w:t>
      </w:r>
    </w:p>
    <w:p>
      <w:pPr>
        <w:sectPr>
          <w:pgSz w:w="11900" w:h="16838" w:orient="portrait"/>
          <w:cols w:equalWidth="0" w:num="1">
            <w:col w:w="10960"/>
          </w:cols>
          <w:pgMar w:left="440" w:top="274" w:right="499" w:bottom="1440" w:gutter="0" w:footer="0" w:header="0"/>
        </w:sectPr>
      </w:pPr>
    </w:p>
    <w:bookmarkStart w:id="146" w:name="page147"/>
    <w:bookmarkEnd w:id="146"/>
    <w:p>
      <w:pPr>
        <w:ind w:right="280"/>
        <w:spacing w:after="0" w:line="311"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191" name="Picture 1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1"/>
                    <pic:cNvPicPr>
                      <a:picLocks noChangeAspect="1" noChangeArrowheads="1"/>
                    </pic:cNvPicPr>
                  </pic:nvPicPr>
                  <pic:blipFill>
                    <a:blip r:embed="rId213">
                      <a:extLst>
                        <a:ext uri="{28A0092B-C50C-407E-A947-70E740481C1C}"/>
                      </a:extLst>
                    </a:blip>
                    <a:srcRect/>
                    <a:stretch>
                      <a:fillRect/>
                    </a:stretch>
                  </pic:blipFill>
                  <pic:spPr bwMode="auto">
                    <a:xfrm>
                      <a:off x="0" y="0"/>
                      <a:ext cx="7149465" cy="25400"/>
                    </a:xfrm>
                    <a:prstGeom prst="rect">
                      <a:avLst/>
                    </a:prstGeom>
                    <a:noFill/>
                  </pic:spPr>
                </pic:pic>
              </a:graphicData>
            </a:graphic>
          </wp:anchor>
        </w:drawing>
        <w:t>Securityholders of each such Series. Except as provided in Section 6.13, the Holders of at least a majority in principal amount of the outstanding Securities of any Series by notice to the Trustee (including consents obtained in connection with a tender offer or exchange offer for the Securities of such Series) may waive compliance by the Company with any provision of this Indenture or the Securities with respect to such Series.</w:t>
      </w:r>
    </w:p>
    <w:p>
      <w:pPr>
        <w:spacing w:after="0" w:line="149" w:lineRule="exact"/>
        <w:rPr>
          <w:sz w:val="20"/>
          <w:szCs w:val="20"/>
          <w:color w:val="auto"/>
        </w:rPr>
      </w:pPr>
    </w:p>
    <w:p>
      <w:pPr>
        <w:ind w:right="120" w:firstLine="440"/>
        <w:spacing w:after="0" w:line="257" w:lineRule="auto"/>
        <w:rPr>
          <w:sz w:val="20"/>
          <w:szCs w:val="20"/>
          <w:color w:val="auto"/>
        </w:rPr>
      </w:pPr>
      <w:r>
        <w:rPr>
          <w:rFonts w:ascii="Arial" w:cs="Arial" w:eastAsia="Arial" w:hAnsi="Arial"/>
          <w:sz w:val="18"/>
          <w:szCs w:val="18"/>
          <w:color w:val="auto"/>
        </w:rPr>
        <w:t>It shall not be necessary for the consent of the Holders of Securities under this Section 9.2 to approve the particular form of any proposed supplemental indenture or waiver, but it shall be sufficient if such consent approves the substance thereof. After a supplemental indenture or waiver under this section becomes effective, the Company shall send to the Holders of Securities affected thereby, a notice briefly describing the supplemental indenture or waiver. Any failure by the Company to send such notice, or any defect therein, shall not, however, in any way impair or affect the validity of any such supplemental indenture or waiver.</w:t>
      </w:r>
    </w:p>
    <w:p>
      <w:pPr>
        <w:spacing w:after="0" w:line="188" w:lineRule="exact"/>
        <w:rPr>
          <w:sz w:val="20"/>
          <w:szCs w:val="20"/>
          <w:color w:val="auto"/>
        </w:rPr>
      </w:pPr>
    </w:p>
    <w:p>
      <w:pPr>
        <w:ind w:left="440"/>
        <w:spacing w:after="0"/>
        <w:rPr>
          <w:sz w:val="20"/>
          <w:szCs w:val="20"/>
          <w:color w:val="auto"/>
        </w:rPr>
      </w:pPr>
      <w:r>
        <w:rPr>
          <w:rFonts w:ascii="Arial" w:cs="Arial" w:eastAsia="Arial" w:hAnsi="Arial"/>
          <w:sz w:val="18"/>
          <w:szCs w:val="18"/>
          <w:color w:val="auto"/>
        </w:rPr>
        <w:t xml:space="preserve">Section 9.3. </w:t>
      </w:r>
      <w:r>
        <w:rPr>
          <w:rFonts w:ascii="Arial" w:cs="Arial" w:eastAsia="Arial" w:hAnsi="Arial"/>
          <w:sz w:val="18"/>
          <w:szCs w:val="18"/>
          <w:u w:val="single" w:color="auto"/>
          <w:color w:val="auto"/>
        </w:rPr>
        <w:t>Limitations</w:t>
      </w:r>
      <w:r>
        <w:rPr>
          <w:rFonts w:ascii="Arial" w:cs="Arial" w:eastAsia="Arial" w:hAnsi="Arial"/>
          <w:sz w:val="18"/>
          <w:szCs w:val="18"/>
          <w:color w:val="auto"/>
        </w:rPr>
        <w:t>.</w:t>
      </w:r>
    </w:p>
    <w:p>
      <w:pPr>
        <w:spacing w:after="0" w:line="225" w:lineRule="exact"/>
        <w:rPr>
          <w:sz w:val="20"/>
          <w:szCs w:val="20"/>
          <w:color w:val="auto"/>
        </w:rPr>
      </w:pPr>
    </w:p>
    <w:p>
      <w:pPr>
        <w:ind w:left="440"/>
        <w:spacing w:after="0"/>
        <w:rPr>
          <w:sz w:val="20"/>
          <w:szCs w:val="20"/>
          <w:color w:val="auto"/>
        </w:rPr>
      </w:pPr>
      <w:r>
        <w:rPr>
          <w:rFonts w:ascii="Arial" w:cs="Arial" w:eastAsia="Arial" w:hAnsi="Arial"/>
          <w:sz w:val="18"/>
          <w:szCs w:val="18"/>
          <w:color w:val="auto"/>
        </w:rPr>
        <w:t>Without the consent of each Securityholder affected, an amendment or waiver may not:</w:t>
      </w:r>
    </w:p>
    <w:p>
      <w:pPr>
        <w:spacing w:after="0" w:line="117" w:lineRule="exact"/>
        <w:rPr>
          <w:sz w:val="20"/>
          <w:szCs w:val="20"/>
          <w:color w:val="auto"/>
        </w:rPr>
      </w:pPr>
    </w:p>
    <w:p>
      <w:pPr>
        <w:ind w:left="1100" w:hanging="241"/>
        <w:spacing w:after="0"/>
        <w:tabs>
          <w:tab w:leader="none" w:pos="1100" w:val="left"/>
        </w:tabs>
        <w:numPr>
          <w:ilvl w:val="0"/>
          <w:numId w:val="124"/>
        </w:numPr>
        <w:rPr>
          <w:rFonts w:ascii="Arial" w:cs="Arial" w:eastAsia="Arial" w:hAnsi="Arial"/>
          <w:sz w:val="18"/>
          <w:szCs w:val="18"/>
          <w:color w:val="auto"/>
        </w:rPr>
      </w:pPr>
      <w:r>
        <w:rPr>
          <w:rFonts w:ascii="Arial" w:cs="Arial" w:eastAsia="Arial" w:hAnsi="Arial"/>
          <w:sz w:val="18"/>
          <w:szCs w:val="18"/>
          <w:color w:val="auto"/>
        </w:rPr>
        <w:t>reduce the principal amount of Securities whose Holders must consent to an amendment, supplement or waiver;</w:t>
      </w:r>
    </w:p>
    <w:p>
      <w:pPr>
        <w:spacing w:after="0" w:line="117" w:lineRule="exact"/>
        <w:rPr>
          <w:rFonts w:ascii="Arial" w:cs="Arial" w:eastAsia="Arial" w:hAnsi="Arial"/>
          <w:sz w:val="18"/>
          <w:szCs w:val="18"/>
          <w:color w:val="auto"/>
        </w:rPr>
      </w:pPr>
    </w:p>
    <w:p>
      <w:pPr>
        <w:ind w:left="1120" w:hanging="261"/>
        <w:spacing w:after="0"/>
        <w:tabs>
          <w:tab w:leader="none" w:pos="1120" w:val="left"/>
        </w:tabs>
        <w:numPr>
          <w:ilvl w:val="0"/>
          <w:numId w:val="124"/>
        </w:numPr>
        <w:rPr>
          <w:rFonts w:ascii="Arial" w:cs="Arial" w:eastAsia="Arial" w:hAnsi="Arial"/>
          <w:sz w:val="18"/>
          <w:szCs w:val="18"/>
          <w:color w:val="auto"/>
        </w:rPr>
      </w:pPr>
      <w:r>
        <w:rPr>
          <w:rFonts w:ascii="Arial" w:cs="Arial" w:eastAsia="Arial" w:hAnsi="Arial"/>
          <w:sz w:val="18"/>
          <w:szCs w:val="18"/>
          <w:color w:val="auto"/>
        </w:rPr>
        <w:t>reduce the rate of or extend the time for payment of interest (including default interest) on any Security;</w:t>
      </w:r>
    </w:p>
    <w:p>
      <w:pPr>
        <w:spacing w:after="0" w:line="117" w:lineRule="exact"/>
        <w:rPr>
          <w:rFonts w:ascii="Arial" w:cs="Arial" w:eastAsia="Arial" w:hAnsi="Arial"/>
          <w:sz w:val="18"/>
          <w:szCs w:val="18"/>
          <w:color w:val="auto"/>
        </w:rPr>
      </w:pPr>
    </w:p>
    <w:p>
      <w:pPr>
        <w:ind w:left="440" w:firstLine="419"/>
        <w:spacing w:after="0" w:line="277" w:lineRule="auto"/>
        <w:tabs>
          <w:tab w:leader="none" w:pos="1108" w:val="left"/>
        </w:tabs>
        <w:numPr>
          <w:ilvl w:val="0"/>
          <w:numId w:val="124"/>
        </w:numPr>
        <w:rPr>
          <w:rFonts w:ascii="Arial" w:cs="Arial" w:eastAsia="Arial" w:hAnsi="Arial"/>
          <w:sz w:val="18"/>
          <w:szCs w:val="18"/>
          <w:color w:val="auto"/>
        </w:rPr>
      </w:pPr>
      <w:r>
        <w:rPr>
          <w:rFonts w:ascii="Arial" w:cs="Arial" w:eastAsia="Arial" w:hAnsi="Arial"/>
          <w:sz w:val="18"/>
          <w:szCs w:val="18"/>
          <w:color w:val="auto"/>
        </w:rPr>
        <w:t>reduce the principal or change the Stated Maturity of any Security or reduce the amount of, or postpone the date fixed for, the payment of any sinking fund or analogous obligation;</w:t>
      </w:r>
    </w:p>
    <w:p>
      <w:pPr>
        <w:spacing w:after="0" w:line="62" w:lineRule="exact"/>
        <w:rPr>
          <w:rFonts w:ascii="Arial" w:cs="Arial" w:eastAsia="Arial" w:hAnsi="Arial"/>
          <w:sz w:val="18"/>
          <w:szCs w:val="18"/>
          <w:color w:val="auto"/>
        </w:rPr>
      </w:pPr>
    </w:p>
    <w:p>
      <w:pPr>
        <w:ind w:left="1120" w:hanging="261"/>
        <w:spacing w:after="0"/>
        <w:tabs>
          <w:tab w:leader="none" w:pos="1120" w:val="left"/>
        </w:tabs>
        <w:numPr>
          <w:ilvl w:val="0"/>
          <w:numId w:val="124"/>
        </w:numPr>
        <w:rPr>
          <w:rFonts w:ascii="Arial" w:cs="Arial" w:eastAsia="Arial" w:hAnsi="Arial"/>
          <w:sz w:val="18"/>
          <w:szCs w:val="18"/>
          <w:color w:val="auto"/>
        </w:rPr>
      </w:pPr>
      <w:r>
        <w:rPr>
          <w:rFonts w:ascii="Arial" w:cs="Arial" w:eastAsia="Arial" w:hAnsi="Arial"/>
          <w:sz w:val="18"/>
          <w:szCs w:val="18"/>
          <w:color w:val="auto"/>
        </w:rPr>
        <w:t>reduce the principal amount of Discount Securities payable upon acceleration of the maturity thereof;</w:t>
      </w:r>
    </w:p>
    <w:p>
      <w:pPr>
        <w:spacing w:after="0" w:line="117" w:lineRule="exact"/>
        <w:rPr>
          <w:rFonts w:ascii="Arial" w:cs="Arial" w:eastAsia="Arial" w:hAnsi="Arial"/>
          <w:sz w:val="18"/>
          <w:szCs w:val="18"/>
          <w:color w:val="auto"/>
        </w:rPr>
      </w:pPr>
    </w:p>
    <w:p>
      <w:pPr>
        <w:ind w:left="440" w:right="260" w:firstLine="419"/>
        <w:spacing w:after="0" w:line="263" w:lineRule="auto"/>
        <w:tabs>
          <w:tab w:leader="none" w:pos="1108" w:val="left"/>
        </w:tabs>
        <w:numPr>
          <w:ilvl w:val="0"/>
          <w:numId w:val="124"/>
        </w:numPr>
        <w:rPr>
          <w:rFonts w:ascii="Arial" w:cs="Arial" w:eastAsia="Arial" w:hAnsi="Arial"/>
          <w:sz w:val="18"/>
          <w:szCs w:val="18"/>
          <w:color w:val="auto"/>
        </w:rPr>
      </w:pPr>
      <w:r>
        <w:rPr>
          <w:rFonts w:ascii="Arial" w:cs="Arial" w:eastAsia="Arial" w:hAnsi="Arial"/>
          <w:sz w:val="18"/>
          <w:szCs w:val="18"/>
          <w:color w:val="auto"/>
        </w:rPr>
        <w:t>waive a Default or Event of Default in the payment of the principal of or interest, if any, on any Security (except a rescission of acceleration of the Securities of any Series by the Holders of at least a majority in principal amount of the outstanding Securities of such Series and a waiver of the payment default that resulted from such acceleration);</w:t>
      </w:r>
    </w:p>
    <w:p>
      <w:pPr>
        <w:spacing w:after="0" w:line="75" w:lineRule="exact"/>
        <w:rPr>
          <w:rFonts w:ascii="Arial" w:cs="Arial" w:eastAsia="Arial" w:hAnsi="Arial"/>
          <w:sz w:val="18"/>
          <w:szCs w:val="18"/>
          <w:color w:val="auto"/>
        </w:rPr>
      </w:pPr>
    </w:p>
    <w:p>
      <w:pPr>
        <w:ind w:left="1080" w:hanging="221"/>
        <w:spacing w:after="0"/>
        <w:tabs>
          <w:tab w:leader="none" w:pos="1080" w:val="left"/>
        </w:tabs>
        <w:numPr>
          <w:ilvl w:val="0"/>
          <w:numId w:val="124"/>
        </w:numPr>
        <w:rPr>
          <w:rFonts w:ascii="Arial" w:cs="Arial" w:eastAsia="Arial" w:hAnsi="Arial"/>
          <w:sz w:val="18"/>
          <w:szCs w:val="18"/>
          <w:color w:val="auto"/>
        </w:rPr>
      </w:pPr>
      <w:r>
        <w:rPr>
          <w:rFonts w:ascii="Arial" w:cs="Arial" w:eastAsia="Arial" w:hAnsi="Arial"/>
          <w:sz w:val="18"/>
          <w:szCs w:val="18"/>
          <w:color w:val="auto"/>
        </w:rPr>
        <w:t>make the principal of or interest, if any, on any Security payable in any currency other than that stated in the Security;</w:t>
      </w:r>
    </w:p>
    <w:p>
      <w:pPr>
        <w:spacing w:after="0" w:line="117" w:lineRule="exact"/>
        <w:rPr>
          <w:rFonts w:ascii="Arial" w:cs="Arial" w:eastAsia="Arial" w:hAnsi="Arial"/>
          <w:sz w:val="18"/>
          <w:szCs w:val="18"/>
          <w:color w:val="auto"/>
        </w:rPr>
      </w:pPr>
    </w:p>
    <w:p>
      <w:pPr>
        <w:ind w:left="1120" w:hanging="261"/>
        <w:spacing w:after="0"/>
        <w:tabs>
          <w:tab w:leader="none" w:pos="1120" w:val="left"/>
        </w:tabs>
        <w:numPr>
          <w:ilvl w:val="0"/>
          <w:numId w:val="124"/>
        </w:numPr>
        <w:rPr>
          <w:rFonts w:ascii="Arial" w:cs="Arial" w:eastAsia="Arial" w:hAnsi="Arial"/>
          <w:sz w:val="18"/>
          <w:szCs w:val="18"/>
          <w:color w:val="auto"/>
        </w:rPr>
      </w:pPr>
      <w:r>
        <w:rPr>
          <w:rFonts w:ascii="Arial" w:cs="Arial" w:eastAsia="Arial" w:hAnsi="Arial"/>
          <w:sz w:val="18"/>
          <w:szCs w:val="18"/>
          <w:color w:val="auto"/>
        </w:rPr>
        <w:t>make any change in Sections 6.8, 6.13 or 9.3 (this sentence); or</w:t>
      </w:r>
    </w:p>
    <w:p>
      <w:pPr>
        <w:spacing w:after="0" w:line="117" w:lineRule="exact"/>
        <w:rPr>
          <w:rFonts w:ascii="Arial" w:cs="Arial" w:eastAsia="Arial" w:hAnsi="Arial"/>
          <w:sz w:val="18"/>
          <w:szCs w:val="18"/>
          <w:color w:val="auto"/>
        </w:rPr>
      </w:pPr>
    </w:p>
    <w:p>
      <w:pPr>
        <w:ind w:left="1120" w:hanging="261"/>
        <w:spacing w:after="0"/>
        <w:tabs>
          <w:tab w:leader="none" w:pos="1120" w:val="left"/>
        </w:tabs>
        <w:numPr>
          <w:ilvl w:val="0"/>
          <w:numId w:val="124"/>
        </w:numPr>
        <w:rPr>
          <w:rFonts w:ascii="Arial" w:cs="Arial" w:eastAsia="Arial" w:hAnsi="Arial"/>
          <w:sz w:val="18"/>
          <w:szCs w:val="18"/>
          <w:color w:val="auto"/>
        </w:rPr>
      </w:pPr>
      <w:r>
        <w:rPr>
          <w:rFonts w:ascii="Arial" w:cs="Arial" w:eastAsia="Arial" w:hAnsi="Arial"/>
          <w:sz w:val="18"/>
          <w:szCs w:val="18"/>
          <w:color w:val="auto"/>
        </w:rPr>
        <w:t>waive a redemption payment with respect to any Security, provided that such redemption is made at the Company’s option.</w:t>
      </w:r>
    </w:p>
    <w:p>
      <w:pPr>
        <w:spacing w:after="0" w:line="225" w:lineRule="exact"/>
        <w:rPr>
          <w:sz w:val="20"/>
          <w:szCs w:val="20"/>
          <w:color w:val="auto"/>
        </w:rPr>
      </w:pPr>
    </w:p>
    <w:p>
      <w:pPr>
        <w:ind w:left="440"/>
        <w:spacing w:after="0"/>
        <w:rPr>
          <w:sz w:val="20"/>
          <w:szCs w:val="20"/>
          <w:color w:val="auto"/>
        </w:rPr>
      </w:pPr>
      <w:r>
        <w:rPr>
          <w:rFonts w:ascii="Arial" w:cs="Arial" w:eastAsia="Arial" w:hAnsi="Arial"/>
          <w:sz w:val="18"/>
          <w:szCs w:val="18"/>
          <w:color w:val="auto"/>
        </w:rPr>
        <w:t xml:space="preserve">Section 9.4. </w:t>
      </w:r>
      <w:r>
        <w:rPr>
          <w:rFonts w:ascii="Arial" w:cs="Arial" w:eastAsia="Arial" w:hAnsi="Arial"/>
          <w:sz w:val="18"/>
          <w:szCs w:val="18"/>
          <w:u w:val="single" w:color="auto"/>
          <w:color w:val="auto"/>
        </w:rPr>
        <w:t>Compliance with Trust Indenture Act</w:t>
      </w:r>
      <w:r>
        <w:rPr>
          <w:rFonts w:ascii="Arial" w:cs="Arial" w:eastAsia="Arial" w:hAnsi="Arial"/>
          <w:sz w:val="18"/>
          <w:szCs w:val="18"/>
          <w:color w:val="auto"/>
        </w:rPr>
        <w:t>.</w:t>
      </w:r>
    </w:p>
    <w:p>
      <w:pPr>
        <w:spacing w:after="0" w:line="225" w:lineRule="exact"/>
        <w:rPr>
          <w:sz w:val="20"/>
          <w:szCs w:val="20"/>
          <w:color w:val="auto"/>
        </w:rPr>
      </w:pPr>
    </w:p>
    <w:p>
      <w:pPr>
        <w:ind w:right="80" w:firstLine="440"/>
        <w:spacing w:after="0" w:line="277" w:lineRule="auto"/>
        <w:rPr>
          <w:sz w:val="20"/>
          <w:szCs w:val="20"/>
          <w:color w:val="auto"/>
        </w:rPr>
      </w:pPr>
      <w:r>
        <w:rPr>
          <w:rFonts w:ascii="Arial" w:cs="Arial" w:eastAsia="Arial" w:hAnsi="Arial"/>
          <w:sz w:val="18"/>
          <w:szCs w:val="18"/>
          <w:color w:val="auto"/>
        </w:rPr>
        <w:t>Every amendment to this Indenture or the Securities of one or more Series shall be set forth in a supplemental indenture hereto that complies with the TIA as then in effect.</w:t>
      </w:r>
    </w:p>
    <w:p>
      <w:pPr>
        <w:spacing w:after="0" w:line="170" w:lineRule="exact"/>
        <w:rPr>
          <w:sz w:val="20"/>
          <w:szCs w:val="20"/>
          <w:color w:val="auto"/>
        </w:rPr>
      </w:pPr>
    </w:p>
    <w:p>
      <w:pPr>
        <w:ind w:left="440"/>
        <w:spacing w:after="0"/>
        <w:rPr>
          <w:sz w:val="20"/>
          <w:szCs w:val="20"/>
          <w:color w:val="auto"/>
        </w:rPr>
      </w:pPr>
      <w:r>
        <w:rPr>
          <w:rFonts w:ascii="Arial" w:cs="Arial" w:eastAsia="Arial" w:hAnsi="Arial"/>
          <w:sz w:val="18"/>
          <w:szCs w:val="18"/>
          <w:color w:val="auto"/>
        </w:rPr>
        <w:t xml:space="preserve">Section 9.5. </w:t>
      </w:r>
      <w:r>
        <w:rPr>
          <w:rFonts w:ascii="Arial" w:cs="Arial" w:eastAsia="Arial" w:hAnsi="Arial"/>
          <w:sz w:val="18"/>
          <w:szCs w:val="18"/>
          <w:u w:val="single" w:color="auto"/>
          <w:color w:val="auto"/>
        </w:rPr>
        <w:t>Revocation and Effect of Consents</w:t>
      </w:r>
      <w:r>
        <w:rPr>
          <w:rFonts w:ascii="Arial" w:cs="Arial" w:eastAsia="Arial" w:hAnsi="Arial"/>
          <w:sz w:val="18"/>
          <w:szCs w:val="18"/>
          <w:color w:val="auto"/>
        </w:rPr>
        <w:t>.</w:t>
      </w:r>
    </w:p>
    <w:p>
      <w:pPr>
        <w:spacing w:after="0" w:line="225" w:lineRule="exact"/>
        <w:rPr>
          <w:sz w:val="20"/>
          <w:szCs w:val="20"/>
          <w:color w:val="auto"/>
        </w:rPr>
      </w:pPr>
    </w:p>
    <w:p>
      <w:pPr>
        <w:ind w:firstLine="440"/>
        <w:spacing w:after="0" w:line="257" w:lineRule="auto"/>
        <w:rPr>
          <w:sz w:val="20"/>
          <w:szCs w:val="20"/>
          <w:color w:val="auto"/>
        </w:rPr>
      </w:pPr>
      <w:r>
        <w:rPr>
          <w:rFonts w:ascii="Arial" w:cs="Arial" w:eastAsia="Arial" w:hAnsi="Arial"/>
          <w:sz w:val="18"/>
          <w:szCs w:val="18"/>
          <w:color w:val="auto"/>
        </w:rPr>
        <w:t>Until an amendment is set forth in a supplemental indenture or a waiver becomes effective, a consent to it by a Holder of a Security is a continuing consent by the Holder and every subsequent Holder of a Security or portion of a Security that evidences the same debt as the consenting Holder’s Security, even if notation of the consent is not made on any Security. However, any such Holder or subsequent Holder may revoke the consent as to his Security or portion of a Security if the Trustee receives the notice of revocation before the date of the supplemental indenture or the date the waiver becomes effective.</w:t>
      </w:r>
    </w:p>
    <w:p>
      <w:pPr>
        <w:spacing w:after="0" w:line="12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29</w:t>
      </w:r>
    </w:p>
    <w:p>
      <w:pPr>
        <w:sectPr>
          <w:pgSz w:w="11900" w:h="16838" w:orient="portrait"/>
          <w:cols w:equalWidth="0" w:num="1">
            <w:col w:w="11000"/>
          </w:cols>
          <w:pgMar w:left="440" w:top="274" w:right="459" w:bottom="1440" w:gutter="0" w:footer="0" w:header="0"/>
        </w:sectPr>
      </w:pPr>
    </w:p>
    <w:bookmarkStart w:id="147" w:name="page148"/>
    <w:bookmarkEnd w:id="147"/>
    <w:p>
      <w:pPr>
        <w:ind w:right="160" w:firstLine="440"/>
        <w:spacing w:after="0" w:line="311"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192" name="Picture 1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2"/>
                    <pic:cNvPicPr>
                      <a:picLocks noChangeAspect="1" noChangeArrowheads="1"/>
                    </pic:cNvPicPr>
                  </pic:nvPicPr>
                  <pic:blipFill>
                    <a:blip r:embed="rId214">
                      <a:extLst>
                        <a:ext uri="{28A0092B-C50C-407E-A947-70E740481C1C}"/>
                      </a:extLst>
                    </a:blip>
                    <a:srcRect/>
                    <a:stretch>
                      <a:fillRect/>
                    </a:stretch>
                  </pic:blipFill>
                  <pic:spPr bwMode="auto">
                    <a:xfrm>
                      <a:off x="0" y="0"/>
                      <a:ext cx="7149465" cy="25400"/>
                    </a:xfrm>
                    <a:prstGeom prst="rect">
                      <a:avLst/>
                    </a:prstGeom>
                    <a:noFill/>
                  </pic:spPr>
                </pic:pic>
              </a:graphicData>
            </a:graphic>
          </wp:anchor>
        </w:drawing>
        <w:t>Any amendment or waiver once effective shall bind every Securityholder of each Series affected by such amendment or waiver unless it is of the type described in any of clauses (a) through (h) of Section 9.3. In that case, the amendment or waiver shall bind each Holder of a Security who has consented to it and every subsequent Holder of a Security or portion of a Security that evidences the same debt as the consenting Holder’s Security.</w:t>
      </w:r>
    </w:p>
    <w:p>
      <w:pPr>
        <w:spacing w:after="0" w:line="149" w:lineRule="exact"/>
        <w:rPr>
          <w:sz w:val="20"/>
          <w:szCs w:val="20"/>
          <w:color w:val="auto"/>
        </w:rPr>
      </w:pPr>
    </w:p>
    <w:p>
      <w:pPr>
        <w:ind w:right="100" w:firstLine="440"/>
        <w:spacing w:after="0" w:line="296" w:lineRule="auto"/>
        <w:rPr>
          <w:sz w:val="20"/>
          <w:szCs w:val="20"/>
          <w:color w:val="auto"/>
        </w:rPr>
      </w:pPr>
      <w:r>
        <w:rPr>
          <w:rFonts w:ascii="Arial" w:cs="Arial" w:eastAsia="Arial" w:hAnsi="Arial"/>
          <w:sz w:val="16"/>
          <w:szCs w:val="16"/>
          <w:color w:val="auto"/>
        </w:rPr>
        <w:t>The Company may, but shall not be obligated to, fix a record date for the purpose of determining the Holders entitled to give their consent or take any other action described above or required or permitted to be taken pursuant to this Indenture. If a record date is fixed, then notwithstanding the second immediately preceding paragraph, those Persons who were Holders at such record date (or their duly designated proxies), and only those persons, shall be entitled to give such consent or to revoke any consent previously given or take any such action, whether or not such Persons continue to be Holders after such record date. No such consent shall be valid or effective for more than 120 days after such record date.</w:t>
      </w:r>
    </w:p>
    <w:p>
      <w:pPr>
        <w:spacing w:after="0" w:line="161" w:lineRule="exact"/>
        <w:rPr>
          <w:sz w:val="20"/>
          <w:szCs w:val="20"/>
          <w:color w:val="auto"/>
        </w:rPr>
      </w:pPr>
    </w:p>
    <w:p>
      <w:pPr>
        <w:ind w:left="440"/>
        <w:spacing w:after="0"/>
        <w:rPr>
          <w:sz w:val="20"/>
          <w:szCs w:val="20"/>
          <w:color w:val="auto"/>
        </w:rPr>
      </w:pPr>
      <w:r>
        <w:rPr>
          <w:rFonts w:ascii="Arial" w:cs="Arial" w:eastAsia="Arial" w:hAnsi="Arial"/>
          <w:sz w:val="18"/>
          <w:szCs w:val="18"/>
          <w:color w:val="auto"/>
        </w:rPr>
        <w:t xml:space="preserve">Section 9.6. </w:t>
      </w:r>
      <w:r>
        <w:rPr>
          <w:rFonts w:ascii="Arial" w:cs="Arial" w:eastAsia="Arial" w:hAnsi="Arial"/>
          <w:sz w:val="18"/>
          <w:szCs w:val="18"/>
          <w:u w:val="single" w:color="auto"/>
          <w:color w:val="auto"/>
        </w:rPr>
        <w:t>Notation on or Exchange of Securities</w:t>
      </w:r>
      <w:r>
        <w:rPr>
          <w:rFonts w:ascii="Arial" w:cs="Arial" w:eastAsia="Arial" w:hAnsi="Arial"/>
          <w:sz w:val="18"/>
          <w:szCs w:val="18"/>
          <w:color w:val="auto"/>
        </w:rPr>
        <w:t>.</w:t>
      </w:r>
    </w:p>
    <w:p>
      <w:pPr>
        <w:spacing w:after="0" w:line="225" w:lineRule="exact"/>
        <w:rPr>
          <w:sz w:val="20"/>
          <w:szCs w:val="20"/>
          <w:color w:val="auto"/>
        </w:rPr>
      </w:pPr>
    </w:p>
    <w:p>
      <w:pPr>
        <w:ind w:right="180" w:firstLine="440"/>
        <w:spacing w:after="0" w:line="263" w:lineRule="auto"/>
        <w:rPr>
          <w:sz w:val="20"/>
          <w:szCs w:val="20"/>
          <w:color w:val="auto"/>
        </w:rPr>
      </w:pPr>
      <w:r>
        <w:rPr>
          <w:rFonts w:ascii="Arial" w:cs="Arial" w:eastAsia="Arial" w:hAnsi="Arial"/>
          <w:sz w:val="18"/>
          <w:szCs w:val="18"/>
          <w:color w:val="auto"/>
        </w:rPr>
        <w:t>The Company or the Trustee may place an appropriate notation about an amendment or waiver on any Security of any Series thereafter authenticated. The Company in exchange for Securities of that Series may issue and the Trustee shall authenticate upon receipt of a Company Order in accordance with Section 2.3 new Securities of that Series that reflect the amendment or waiver.</w:t>
      </w:r>
    </w:p>
    <w:p>
      <w:pPr>
        <w:spacing w:after="0" w:line="184" w:lineRule="exact"/>
        <w:rPr>
          <w:sz w:val="20"/>
          <w:szCs w:val="20"/>
          <w:color w:val="auto"/>
        </w:rPr>
      </w:pPr>
    </w:p>
    <w:p>
      <w:pPr>
        <w:ind w:left="440"/>
        <w:spacing w:after="0"/>
        <w:rPr>
          <w:sz w:val="20"/>
          <w:szCs w:val="20"/>
          <w:color w:val="auto"/>
        </w:rPr>
      </w:pPr>
      <w:r>
        <w:rPr>
          <w:rFonts w:ascii="Arial" w:cs="Arial" w:eastAsia="Arial" w:hAnsi="Arial"/>
          <w:sz w:val="18"/>
          <w:szCs w:val="18"/>
          <w:color w:val="auto"/>
        </w:rPr>
        <w:t xml:space="preserve">Section 9.7. </w:t>
      </w:r>
      <w:r>
        <w:rPr>
          <w:rFonts w:ascii="Arial" w:cs="Arial" w:eastAsia="Arial" w:hAnsi="Arial"/>
          <w:sz w:val="18"/>
          <w:szCs w:val="18"/>
          <w:u w:val="single" w:color="auto"/>
          <w:color w:val="auto"/>
        </w:rPr>
        <w:t>Trustee Protected</w:t>
      </w:r>
      <w:r>
        <w:rPr>
          <w:rFonts w:ascii="Arial" w:cs="Arial" w:eastAsia="Arial" w:hAnsi="Arial"/>
          <w:sz w:val="18"/>
          <w:szCs w:val="18"/>
          <w:color w:val="auto"/>
        </w:rPr>
        <w:t>.</w:t>
      </w:r>
    </w:p>
    <w:p>
      <w:pPr>
        <w:spacing w:after="0" w:line="225" w:lineRule="exact"/>
        <w:rPr>
          <w:sz w:val="20"/>
          <w:szCs w:val="20"/>
          <w:color w:val="auto"/>
        </w:rPr>
      </w:pPr>
    </w:p>
    <w:p>
      <w:pPr>
        <w:ind w:right="40" w:firstLine="440"/>
        <w:spacing w:after="0" w:line="257" w:lineRule="auto"/>
        <w:rPr>
          <w:sz w:val="20"/>
          <w:szCs w:val="20"/>
          <w:color w:val="auto"/>
        </w:rPr>
      </w:pPr>
      <w:r>
        <w:rPr>
          <w:rFonts w:ascii="Arial" w:cs="Arial" w:eastAsia="Arial" w:hAnsi="Arial"/>
          <w:sz w:val="18"/>
          <w:szCs w:val="18"/>
          <w:color w:val="auto"/>
        </w:rPr>
        <w:t>In executing, or accepting the additional trusts created by, any supplemental indenture permitted by this Article or the modifications thereby of the trusts created by this Indenture, the Trustee shall be entitled to receive, and (subject to Section 7.1) shall be fully protected in relying upon, an Officer’s Certificate or an Opinion of Counsel or both complying with Section 10.4. The Trustee shall sign all supplemental indentures upon delivery of such an Officer’s Certificate or Opinion of Counsel or both, except that the Trustee need not sign any supplemental indenture that adversely affects its rights, duties, liabilities or immunities under this Indenture.</w:t>
      </w:r>
    </w:p>
    <w:p>
      <w:pPr>
        <w:spacing w:after="0" w:line="200" w:lineRule="exact"/>
        <w:rPr>
          <w:sz w:val="20"/>
          <w:szCs w:val="20"/>
          <w:color w:val="auto"/>
        </w:rPr>
      </w:pPr>
    </w:p>
    <w:p>
      <w:pPr>
        <w:spacing w:after="0" w:line="20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ARTICLE X.</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MISCELLANEOUS</w:t>
      </w:r>
    </w:p>
    <w:p>
      <w:pPr>
        <w:spacing w:after="0" w:line="211" w:lineRule="exact"/>
        <w:rPr>
          <w:sz w:val="20"/>
          <w:szCs w:val="20"/>
          <w:color w:val="auto"/>
        </w:rPr>
      </w:pPr>
    </w:p>
    <w:p>
      <w:pPr>
        <w:ind w:left="440"/>
        <w:spacing w:after="0"/>
        <w:rPr>
          <w:sz w:val="20"/>
          <w:szCs w:val="20"/>
          <w:color w:val="auto"/>
        </w:rPr>
      </w:pPr>
      <w:r>
        <w:rPr>
          <w:rFonts w:ascii="Arial" w:cs="Arial" w:eastAsia="Arial" w:hAnsi="Arial"/>
          <w:sz w:val="18"/>
          <w:szCs w:val="18"/>
          <w:color w:val="auto"/>
        </w:rPr>
        <w:t xml:space="preserve">Section 10.1. </w:t>
      </w:r>
      <w:r>
        <w:rPr>
          <w:rFonts w:ascii="Arial" w:cs="Arial" w:eastAsia="Arial" w:hAnsi="Arial"/>
          <w:sz w:val="18"/>
          <w:szCs w:val="18"/>
          <w:u w:val="single" w:color="auto"/>
          <w:color w:val="auto"/>
        </w:rPr>
        <w:t>Trust Indenture Act Controls</w:t>
      </w:r>
      <w:r>
        <w:rPr>
          <w:rFonts w:ascii="Arial" w:cs="Arial" w:eastAsia="Arial" w:hAnsi="Arial"/>
          <w:sz w:val="18"/>
          <w:szCs w:val="18"/>
          <w:color w:val="auto"/>
        </w:rPr>
        <w:t>.</w:t>
      </w:r>
    </w:p>
    <w:p>
      <w:pPr>
        <w:spacing w:after="0" w:line="225" w:lineRule="exact"/>
        <w:rPr>
          <w:sz w:val="20"/>
          <w:szCs w:val="20"/>
          <w:color w:val="auto"/>
        </w:rPr>
      </w:pPr>
    </w:p>
    <w:p>
      <w:pPr>
        <w:ind w:right="80" w:firstLine="440"/>
        <w:spacing w:after="0" w:line="277" w:lineRule="auto"/>
        <w:rPr>
          <w:sz w:val="20"/>
          <w:szCs w:val="20"/>
          <w:color w:val="auto"/>
        </w:rPr>
      </w:pPr>
      <w:r>
        <w:rPr>
          <w:rFonts w:ascii="Arial" w:cs="Arial" w:eastAsia="Arial" w:hAnsi="Arial"/>
          <w:sz w:val="18"/>
          <w:szCs w:val="18"/>
          <w:color w:val="auto"/>
        </w:rPr>
        <w:t>If any provision of this Indenture limits, qualifies, or conflicts with another provision which is required or deemed to be included in this Indenture by the TIA, such required or deemed provision shall control.</w:t>
      </w:r>
    </w:p>
    <w:p>
      <w:pPr>
        <w:spacing w:after="0" w:line="170" w:lineRule="exact"/>
        <w:rPr>
          <w:sz w:val="20"/>
          <w:szCs w:val="20"/>
          <w:color w:val="auto"/>
        </w:rPr>
      </w:pPr>
    </w:p>
    <w:p>
      <w:pPr>
        <w:ind w:left="440"/>
        <w:spacing w:after="0"/>
        <w:rPr>
          <w:sz w:val="20"/>
          <w:szCs w:val="20"/>
          <w:color w:val="auto"/>
        </w:rPr>
      </w:pPr>
      <w:r>
        <w:rPr>
          <w:rFonts w:ascii="Arial" w:cs="Arial" w:eastAsia="Arial" w:hAnsi="Arial"/>
          <w:sz w:val="18"/>
          <w:szCs w:val="18"/>
          <w:color w:val="auto"/>
        </w:rPr>
        <w:t xml:space="preserve">Section 10.2. </w:t>
      </w:r>
      <w:r>
        <w:rPr>
          <w:rFonts w:ascii="Arial" w:cs="Arial" w:eastAsia="Arial" w:hAnsi="Arial"/>
          <w:sz w:val="18"/>
          <w:szCs w:val="18"/>
          <w:u w:val="single" w:color="auto"/>
          <w:color w:val="auto"/>
        </w:rPr>
        <w:t>Notices</w:t>
      </w:r>
      <w:r>
        <w:rPr>
          <w:rFonts w:ascii="Arial" w:cs="Arial" w:eastAsia="Arial" w:hAnsi="Arial"/>
          <w:sz w:val="18"/>
          <w:szCs w:val="18"/>
          <w:color w:val="auto"/>
        </w:rPr>
        <w:t>.</w:t>
      </w:r>
    </w:p>
    <w:p>
      <w:pPr>
        <w:spacing w:after="0" w:line="225" w:lineRule="exact"/>
        <w:rPr>
          <w:sz w:val="20"/>
          <w:szCs w:val="20"/>
          <w:color w:val="auto"/>
        </w:rPr>
      </w:pPr>
    </w:p>
    <w:p>
      <w:pPr>
        <w:ind w:firstLine="440"/>
        <w:spacing w:after="0" w:line="263" w:lineRule="auto"/>
        <w:rPr>
          <w:sz w:val="20"/>
          <w:szCs w:val="20"/>
          <w:color w:val="auto"/>
        </w:rPr>
      </w:pPr>
      <w:r>
        <w:rPr>
          <w:rFonts w:ascii="Arial" w:cs="Arial" w:eastAsia="Arial" w:hAnsi="Arial"/>
          <w:sz w:val="18"/>
          <w:szCs w:val="18"/>
          <w:color w:val="auto"/>
        </w:rPr>
        <w:t>Any notice or communication by the Company or the Trustee to the other, or by a Holder to the Company or the Trustee, is duly given if in writing and delivered in person or mailed by first-class mail (registered or certified, return receipt requested), facsimile transmission, email or overnight air courier guaranteeing next day delivery, to the others’ address:</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color w:val="auto"/>
        </w:rPr>
        <w:t>if to the Company:</w:t>
      </w:r>
    </w:p>
    <w:p>
      <w:pPr>
        <w:spacing w:after="0" w:line="117" w:lineRule="exact"/>
        <w:rPr>
          <w:sz w:val="20"/>
          <w:szCs w:val="20"/>
          <w:color w:val="auto"/>
        </w:rPr>
      </w:pPr>
    </w:p>
    <w:p>
      <w:pPr>
        <w:ind w:left="3200"/>
        <w:spacing w:after="0"/>
        <w:rPr>
          <w:sz w:val="20"/>
          <w:szCs w:val="20"/>
          <w:color w:val="auto"/>
        </w:rPr>
      </w:pPr>
      <w:r>
        <w:rPr>
          <w:rFonts w:ascii="Arial" w:cs="Arial" w:eastAsia="Arial" w:hAnsi="Arial"/>
          <w:sz w:val="18"/>
          <w:szCs w:val="18"/>
          <w:color w:val="auto"/>
        </w:rPr>
        <w:t>Larimar Therapeutics, Inc.</w:t>
      </w:r>
    </w:p>
    <w:p>
      <w:pPr>
        <w:spacing w:after="0" w:line="23" w:lineRule="exact"/>
        <w:rPr>
          <w:sz w:val="20"/>
          <w:szCs w:val="20"/>
          <w:color w:val="auto"/>
        </w:rPr>
      </w:pPr>
    </w:p>
    <w:p>
      <w:pPr>
        <w:ind w:left="3200"/>
        <w:spacing w:after="0"/>
        <w:rPr>
          <w:sz w:val="20"/>
          <w:szCs w:val="20"/>
          <w:color w:val="auto"/>
        </w:rPr>
      </w:pPr>
      <w:r>
        <w:rPr>
          <w:rFonts w:ascii="Arial" w:cs="Arial" w:eastAsia="Arial" w:hAnsi="Arial"/>
          <w:sz w:val="18"/>
          <w:szCs w:val="18"/>
          <w:color w:val="auto"/>
        </w:rPr>
        <w:t>Three Bala Plaza East, Suite 506</w:t>
      </w:r>
    </w:p>
    <w:p>
      <w:pPr>
        <w:spacing w:after="0" w:line="9" w:lineRule="exact"/>
        <w:rPr>
          <w:sz w:val="20"/>
          <w:szCs w:val="20"/>
          <w:color w:val="auto"/>
        </w:rPr>
      </w:pPr>
    </w:p>
    <w:p>
      <w:pPr>
        <w:ind w:left="3200"/>
        <w:spacing w:after="0"/>
        <w:rPr>
          <w:sz w:val="20"/>
          <w:szCs w:val="20"/>
          <w:color w:val="auto"/>
        </w:rPr>
      </w:pPr>
      <w:r>
        <w:rPr>
          <w:rFonts w:ascii="Arial" w:cs="Arial" w:eastAsia="Arial" w:hAnsi="Arial"/>
          <w:sz w:val="18"/>
          <w:szCs w:val="18"/>
          <w:color w:val="auto"/>
        </w:rPr>
        <w:t>Bala Cynwyd, PA 19004</w:t>
      </w:r>
    </w:p>
    <w:p>
      <w:pPr>
        <w:spacing w:after="0" w:line="9" w:lineRule="exact"/>
        <w:rPr>
          <w:sz w:val="20"/>
          <w:szCs w:val="20"/>
          <w:color w:val="auto"/>
        </w:rPr>
      </w:pPr>
    </w:p>
    <w:p>
      <w:pPr>
        <w:ind w:left="3200"/>
        <w:spacing w:after="0"/>
        <w:rPr>
          <w:sz w:val="20"/>
          <w:szCs w:val="20"/>
          <w:color w:val="auto"/>
        </w:rPr>
      </w:pPr>
      <w:r>
        <w:rPr>
          <w:rFonts w:ascii="Arial" w:cs="Arial" w:eastAsia="Arial" w:hAnsi="Arial"/>
          <w:sz w:val="18"/>
          <w:szCs w:val="18"/>
          <w:color w:val="auto"/>
        </w:rPr>
        <w:t>Attention: Chief Executive Officer</w:t>
      </w:r>
    </w:p>
    <w:p>
      <w:pPr>
        <w:spacing w:after="0" w:line="9" w:lineRule="exact"/>
        <w:rPr>
          <w:sz w:val="20"/>
          <w:szCs w:val="20"/>
          <w:color w:val="auto"/>
        </w:rPr>
      </w:pPr>
    </w:p>
    <w:p>
      <w:pPr>
        <w:ind w:left="3200"/>
        <w:spacing w:after="0"/>
        <w:rPr>
          <w:sz w:val="20"/>
          <w:szCs w:val="20"/>
          <w:color w:val="auto"/>
        </w:rPr>
      </w:pPr>
      <w:r>
        <w:rPr>
          <w:rFonts w:ascii="Arial" w:cs="Arial" w:eastAsia="Arial" w:hAnsi="Arial"/>
          <w:sz w:val="18"/>
          <w:szCs w:val="18"/>
          <w:color w:val="auto"/>
        </w:rPr>
        <w:t>Telephone: (844) 511-9056</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with a copy to:</w:t>
      </w:r>
    </w:p>
    <w:p>
      <w:pPr>
        <w:spacing w:after="0" w:line="117" w:lineRule="exact"/>
        <w:rPr>
          <w:sz w:val="20"/>
          <w:szCs w:val="20"/>
          <w:color w:val="auto"/>
        </w:rPr>
      </w:pPr>
    </w:p>
    <w:p>
      <w:pPr>
        <w:ind w:left="3200"/>
        <w:spacing w:after="0"/>
        <w:rPr>
          <w:sz w:val="20"/>
          <w:szCs w:val="20"/>
          <w:color w:val="auto"/>
        </w:rPr>
      </w:pPr>
      <w:r>
        <w:rPr>
          <w:rFonts w:ascii="Arial" w:cs="Arial" w:eastAsia="Arial" w:hAnsi="Arial"/>
          <w:sz w:val="18"/>
          <w:szCs w:val="18"/>
          <w:color w:val="auto"/>
        </w:rPr>
        <w:t>Troutman Pepper Hamilton Sanders LLP</w:t>
      </w:r>
    </w:p>
    <w:p>
      <w:pPr>
        <w:spacing w:after="0" w:line="23" w:lineRule="exact"/>
        <w:rPr>
          <w:sz w:val="20"/>
          <w:szCs w:val="20"/>
          <w:color w:val="auto"/>
        </w:rPr>
      </w:pPr>
    </w:p>
    <w:p>
      <w:pPr>
        <w:ind w:left="3200"/>
        <w:spacing w:after="0"/>
        <w:rPr>
          <w:sz w:val="20"/>
          <w:szCs w:val="20"/>
          <w:color w:val="auto"/>
        </w:rPr>
      </w:pPr>
      <w:r>
        <w:rPr>
          <w:rFonts w:ascii="Arial" w:cs="Arial" w:eastAsia="Arial" w:hAnsi="Arial"/>
          <w:sz w:val="18"/>
          <w:szCs w:val="18"/>
          <w:color w:val="auto"/>
        </w:rPr>
        <w:t>3000 Two Logan Square</w:t>
      </w:r>
    </w:p>
    <w:p>
      <w:pPr>
        <w:spacing w:after="0" w:line="14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30</w:t>
      </w:r>
    </w:p>
    <w:p>
      <w:pPr>
        <w:sectPr>
          <w:pgSz w:w="11900" w:h="16838" w:orient="portrait"/>
          <w:cols w:equalWidth="0" w:num="1">
            <w:col w:w="11020"/>
          </w:cols>
          <w:pgMar w:left="440" w:top="274" w:right="439" w:bottom="1440" w:gutter="0" w:footer="0" w:header="0"/>
        </w:sectPr>
      </w:pPr>
    </w:p>
    <w:bookmarkStart w:id="148" w:name="page149"/>
    <w:bookmarkEnd w:id="148"/>
    <w:p>
      <w:pPr>
        <w:ind w:left="3200"/>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193" name="Picture 1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3"/>
                    <pic:cNvPicPr>
                      <a:picLocks noChangeAspect="1" noChangeArrowheads="1"/>
                    </pic:cNvPicPr>
                  </pic:nvPicPr>
                  <pic:blipFill>
                    <a:blip r:embed="rId215">
                      <a:extLst>
                        <a:ext uri="{28A0092B-C50C-407E-A947-70E740481C1C}"/>
                      </a:extLst>
                    </a:blip>
                    <a:srcRect/>
                    <a:stretch>
                      <a:fillRect/>
                    </a:stretch>
                  </pic:blipFill>
                  <pic:spPr bwMode="auto">
                    <a:xfrm>
                      <a:off x="0" y="0"/>
                      <a:ext cx="7149465" cy="25400"/>
                    </a:xfrm>
                    <a:prstGeom prst="rect">
                      <a:avLst/>
                    </a:prstGeom>
                    <a:noFill/>
                  </pic:spPr>
                </pic:pic>
              </a:graphicData>
            </a:graphic>
          </wp:anchor>
        </w:drawing>
        <w:t>Philadelphia, Pennsylvania 19103</w:t>
      </w:r>
    </w:p>
    <w:p>
      <w:pPr>
        <w:spacing w:after="0" w:line="23" w:lineRule="exact"/>
        <w:rPr>
          <w:sz w:val="20"/>
          <w:szCs w:val="20"/>
          <w:color w:val="auto"/>
        </w:rPr>
      </w:pPr>
    </w:p>
    <w:p>
      <w:pPr>
        <w:ind w:left="3200"/>
        <w:spacing w:after="0"/>
        <w:rPr>
          <w:sz w:val="20"/>
          <w:szCs w:val="20"/>
          <w:color w:val="auto"/>
        </w:rPr>
      </w:pPr>
      <w:r>
        <w:rPr>
          <w:rFonts w:ascii="Arial" w:cs="Arial" w:eastAsia="Arial" w:hAnsi="Arial"/>
          <w:sz w:val="18"/>
          <w:szCs w:val="18"/>
          <w:color w:val="auto"/>
        </w:rPr>
        <w:t>Attention: Rachael Bushey</w:t>
      </w:r>
    </w:p>
    <w:p>
      <w:pPr>
        <w:spacing w:after="0" w:line="9" w:lineRule="exact"/>
        <w:rPr>
          <w:sz w:val="20"/>
          <w:szCs w:val="20"/>
          <w:color w:val="auto"/>
        </w:rPr>
      </w:pPr>
    </w:p>
    <w:p>
      <w:pPr>
        <w:ind w:left="3200"/>
        <w:spacing w:after="0"/>
        <w:rPr>
          <w:sz w:val="20"/>
          <w:szCs w:val="20"/>
          <w:color w:val="auto"/>
        </w:rPr>
      </w:pPr>
      <w:r>
        <w:rPr>
          <w:rFonts w:ascii="Arial" w:cs="Arial" w:eastAsia="Arial" w:hAnsi="Arial"/>
          <w:sz w:val="18"/>
          <w:szCs w:val="18"/>
          <w:color w:val="auto"/>
        </w:rPr>
        <w:t>Telephone: (215) 981-4331</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if to the Trustee:</w:t>
      </w:r>
    </w:p>
    <w:p>
      <w:pPr>
        <w:spacing w:after="0" w:line="117" w:lineRule="exact"/>
        <w:rPr>
          <w:sz w:val="20"/>
          <w:szCs w:val="20"/>
          <w:color w:val="auto"/>
        </w:rPr>
      </w:pPr>
    </w:p>
    <w:p>
      <w:pPr>
        <w:ind w:left="3200"/>
        <w:spacing w:after="0"/>
        <w:rPr>
          <w:sz w:val="20"/>
          <w:szCs w:val="20"/>
          <w:color w:val="auto"/>
        </w:rPr>
      </w:pPr>
      <w:r>
        <w:rPr>
          <w:rFonts w:ascii="Arial" w:cs="Arial" w:eastAsia="Arial" w:hAnsi="Arial"/>
          <w:sz w:val="18"/>
          <w:szCs w:val="18"/>
          <w:color w:val="auto"/>
        </w:rPr>
        <w:t>[●]</w:t>
      </w:r>
    </w:p>
    <w:p>
      <w:pPr>
        <w:spacing w:after="0" w:line="23" w:lineRule="exact"/>
        <w:rPr>
          <w:sz w:val="20"/>
          <w:szCs w:val="20"/>
          <w:color w:val="auto"/>
        </w:rPr>
      </w:pPr>
    </w:p>
    <w:p>
      <w:pPr>
        <w:ind w:left="3200"/>
        <w:spacing w:after="0"/>
        <w:rPr>
          <w:sz w:val="20"/>
          <w:szCs w:val="20"/>
          <w:color w:val="auto"/>
        </w:rPr>
      </w:pPr>
      <w:r>
        <w:rPr>
          <w:rFonts w:ascii="Arial" w:cs="Arial" w:eastAsia="Arial" w:hAnsi="Arial"/>
          <w:sz w:val="18"/>
          <w:szCs w:val="18"/>
          <w:color w:val="auto"/>
        </w:rPr>
        <w:t>Attention: [●]</w:t>
      </w:r>
    </w:p>
    <w:p>
      <w:pPr>
        <w:spacing w:after="0" w:line="9" w:lineRule="exact"/>
        <w:rPr>
          <w:sz w:val="20"/>
          <w:szCs w:val="20"/>
          <w:color w:val="auto"/>
        </w:rPr>
      </w:pPr>
    </w:p>
    <w:p>
      <w:pPr>
        <w:ind w:left="3200"/>
        <w:spacing w:after="0"/>
        <w:rPr>
          <w:sz w:val="20"/>
          <w:szCs w:val="20"/>
          <w:color w:val="auto"/>
        </w:rPr>
      </w:pPr>
      <w:r>
        <w:rPr>
          <w:rFonts w:ascii="Arial" w:cs="Arial" w:eastAsia="Arial" w:hAnsi="Arial"/>
          <w:sz w:val="18"/>
          <w:szCs w:val="18"/>
          <w:color w:val="auto"/>
        </w:rPr>
        <w:t>Telephone: [●]</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with a copy to:</w:t>
      </w:r>
    </w:p>
    <w:p>
      <w:pPr>
        <w:spacing w:after="0" w:line="117" w:lineRule="exact"/>
        <w:rPr>
          <w:sz w:val="20"/>
          <w:szCs w:val="20"/>
          <w:color w:val="auto"/>
        </w:rPr>
      </w:pPr>
    </w:p>
    <w:p>
      <w:pPr>
        <w:ind w:left="3200"/>
        <w:spacing w:after="0"/>
        <w:rPr>
          <w:sz w:val="20"/>
          <w:szCs w:val="20"/>
          <w:color w:val="auto"/>
        </w:rPr>
      </w:pPr>
      <w:r>
        <w:rPr>
          <w:rFonts w:ascii="Arial" w:cs="Arial" w:eastAsia="Arial" w:hAnsi="Arial"/>
          <w:sz w:val="18"/>
          <w:szCs w:val="18"/>
          <w:color w:val="auto"/>
        </w:rPr>
        <w:t>[●]</w:t>
      </w:r>
    </w:p>
    <w:p>
      <w:pPr>
        <w:spacing w:after="0" w:line="23" w:lineRule="exact"/>
        <w:rPr>
          <w:sz w:val="20"/>
          <w:szCs w:val="20"/>
          <w:color w:val="auto"/>
        </w:rPr>
      </w:pPr>
    </w:p>
    <w:p>
      <w:pPr>
        <w:ind w:left="3200"/>
        <w:spacing w:after="0"/>
        <w:rPr>
          <w:sz w:val="20"/>
          <w:szCs w:val="20"/>
          <w:color w:val="auto"/>
        </w:rPr>
      </w:pPr>
      <w:r>
        <w:rPr>
          <w:rFonts w:ascii="Arial" w:cs="Arial" w:eastAsia="Arial" w:hAnsi="Arial"/>
          <w:sz w:val="18"/>
          <w:szCs w:val="18"/>
          <w:color w:val="auto"/>
        </w:rPr>
        <w:t>Attention: [●]</w:t>
      </w:r>
    </w:p>
    <w:p>
      <w:pPr>
        <w:spacing w:after="0" w:line="9" w:lineRule="exact"/>
        <w:rPr>
          <w:sz w:val="20"/>
          <w:szCs w:val="20"/>
          <w:color w:val="auto"/>
        </w:rPr>
      </w:pPr>
    </w:p>
    <w:p>
      <w:pPr>
        <w:ind w:left="3200"/>
        <w:spacing w:after="0"/>
        <w:rPr>
          <w:sz w:val="20"/>
          <w:szCs w:val="20"/>
          <w:color w:val="auto"/>
        </w:rPr>
      </w:pPr>
      <w:r>
        <w:rPr>
          <w:rFonts w:ascii="Arial" w:cs="Arial" w:eastAsia="Arial" w:hAnsi="Arial"/>
          <w:sz w:val="18"/>
          <w:szCs w:val="18"/>
          <w:color w:val="auto"/>
        </w:rPr>
        <w:t>Telephone: [●]</w:t>
      </w:r>
    </w:p>
    <w:p>
      <w:pPr>
        <w:spacing w:after="0" w:line="211" w:lineRule="exact"/>
        <w:rPr>
          <w:sz w:val="20"/>
          <w:szCs w:val="20"/>
          <w:color w:val="auto"/>
        </w:rPr>
      </w:pPr>
    </w:p>
    <w:p>
      <w:pPr>
        <w:ind w:left="440"/>
        <w:spacing w:after="0"/>
        <w:rPr>
          <w:sz w:val="20"/>
          <w:szCs w:val="20"/>
          <w:color w:val="auto"/>
        </w:rPr>
      </w:pPr>
      <w:r>
        <w:rPr>
          <w:rFonts w:ascii="Arial" w:cs="Arial" w:eastAsia="Arial" w:hAnsi="Arial"/>
          <w:sz w:val="16"/>
          <w:szCs w:val="16"/>
          <w:color w:val="auto"/>
        </w:rPr>
        <w:t>The Company or the Trustee by notice to the other may designate additional or different addresses for subsequent notices or communications.</w:t>
      </w:r>
    </w:p>
    <w:p>
      <w:pPr>
        <w:spacing w:after="0" w:line="248" w:lineRule="exact"/>
        <w:rPr>
          <w:sz w:val="20"/>
          <w:szCs w:val="20"/>
          <w:color w:val="auto"/>
        </w:rPr>
      </w:pPr>
    </w:p>
    <w:p>
      <w:pPr>
        <w:jc w:val="both"/>
        <w:ind w:right="160" w:firstLine="440"/>
        <w:spacing w:after="0" w:line="286" w:lineRule="auto"/>
        <w:rPr>
          <w:sz w:val="20"/>
          <w:szCs w:val="20"/>
          <w:color w:val="auto"/>
        </w:rPr>
      </w:pPr>
      <w:r>
        <w:rPr>
          <w:rFonts w:ascii="Arial" w:cs="Arial" w:eastAsia="Arial" w:hAnsi="Arial"/>
          <w:sz w:val="17"/>
          <w:szCs w:val="17"/>
          <w:color w:val="auto"/>
        </w:rPr>
        <w:t>Any notice or communication to a Securityholder shall be sent electronically or by first-class mail to his, her or its address shown on the register kept by the Registrar, in accordance with the procedures of the Depositary. Failure to send a notice or communication to a Securityholder of any Series or any defect in it shall not affect its sufficiency with respect to other Securityholders of that or any other Series.</w:t>
      </w:r>
    </w:p>
    <w:p>
      <w:pPr>
        <w:spacing w:after="0" w:line="165" w:lineRule="exact"/>
        <w:rPr>
          <w:sz w:val="20"/>
          <w:szCs w:val="20"/>
          <w:color w:val="auto"/>
        </w:rPr>
      </w:pPr>
    </w:p>
    <w:p>
      <w:pPr>
        <w:ind w:right="300" w:firstLine="440"/>
        <w:spacing w:after="0" w:line="277" w:lineRule="auto"/>
        <w:rPr>
          <w:sz w:val="20"/>
          <w:szCs w:val="20"/>
          <w:color w:val="auto"/>
        </w:rPr>
      </w:pPr>
      <w:r>
        <w:rPr>
          <w:rFonts w:ascii="Arial" w:cs="Arial" w:eastAsia="Arial" w:hAnsi="Arial"/>
          <w:sz w:val="18"/>
          <w:szCs w:val="18"/>
          <w:color w:val="auto"/>
        </w:rPr>
        <w:t>If a notice or communication is sent or published in the manner provided above, within the time prescribed, it is duly given, whether or not the Securityholder receives it.</w:t>
      </w:r>
    </w:p>
    <w:p>
      <w:pPr>
        <w:spacing w:after="0" w:line="170" w:lineRule="exact"/>
        <w:rPr>
          <w:sz w:val="20"/>
          <w:szCs w:val="20"/>
          <w:color w:val="auto"/>
        </w:rPr>
      </w:pPr>
    </w:p>
    <w:p>
      <w:pPr>
        <w:ind w:left="440"/>
        <w:spacing w:after="0"/>
        <w:rPr>
          <w:sz w:val="20"/>
          <w:szCs w:val="20"/>
          <w:color w:val="auto"/>
        </w:rPr>
      </w:pPr>
      <w:r>
        <w:rPr>
          <w:rFonts w:ascii="Arial" w:cs="Arial" w:eastAsia="Arial" w:hAnsi="Arial"/>
          <w:sz w:val="17"/>
          <w:szCs w:val="17"/>
          <w:color w:val="auto"/>
        </w:rPr>
        <w:t>If the Company sends a notice or communication to Securityholders, it shall send a copy to the Trustee and each Agent at the same time.</w:t>
      </w:r>
    </w:p>
    <w:p>
      <w:pPr>
        <w:spacing w:after="0" w:line="237" w:lineRule="exact"/>
        <w:rPr>
          <w:sz w:val="20"/>
          <w:szCs w:val="20"/>
          <w:color w:val="auto"/>
        </w:rPr>
      </w:pPr>
    </w:p>
    <w:p>
      <w:pPr>
        <w:jc w:val="both"/>
        <w:ind w:right="460" w:firstLine="440"/>
        <w:spacing w:after="0" w:line="263" w:lineRule="auto"/>
        <w:rPr>
          <w:sz w:val="20"/>
          <w:szCs w:val="20"/>
          <w:color w:val="auto"/>
        </w:rPr>
      </w:pPr>
      <w:r>
        <w:rPr>
          <w:rFonts w:ascii="Arial" w:cs="Arial" w:eastAsia="Arial" w:hAnsi="Arial"/>
          <w:sz w:val="18"/>
          <w:szCs w:val="18"/>
          <w:color w:val="auto"/>
        </w:rPr>
        <w:t>Notwithstanding any other provision of this Indenture or any Security, where this Indenture or any Security provides for notice of any event (including any notice of redemption) to a Holder of a Global Security (whether by mail or otherwise), such notice shall be sufficiently given to the Depositary for such Security (or its designee) pursuant to the customary procedures of such Depositary.</w:t>
      </w:r>
    </w:p>
    <w:p>
      <w:pPr>
        <w:spacing w:after="0" w:line="184" w:lineRule="exact"/>
        <w:rPr>
          <w:sz w:val="20"/>
          <w:szCs w:val="20"/>
          <w:color w:val="auto"/>
        </w:rPr>
      </w:pPr>
    </w:p>
    <w:p>
      <w:pPr>
        <w:ind w:left="440"/>
        <w:spacing w:after="0"/>
        <w:rPr>
          <w:sz w:val="20"/>
          <w:szCs w:val="20"/>
          <w:color w:val="auto"/>
        </w:rPr>
      </w:pPr>
      <w:r>
        <w:rPr>
          <w:rFonts w:ascii="Arial" w:cs="Arial" w:eastAsia="Arial" w:hAnsi="Arial"/>
          <w:sz w:val="18"/>
          <w:szCs w:val="18"/>
          <w:color w:val="auto"/>
        </w:rPr>
        <w:t xml:space="preserve">Section 10.3. </w:t>
      </w:r>
      <w:r>
        <w:rPr>
          <w:rFonts w:ascii="Arial" w:cs="Arial" w:eastAsia="Arial" w:hAnsi="Arial"/>
          <w:sz w:val="18"/>
          <w:szCs w:val="18"/>
          <w:u w:val="single" w:color="auto"/>
          <w:color w:val="auto"/>
        </w:rPr>
        <w:t>Communication by Holders with Other Holders</w:t>
      </w:r>
      <w:r>
        <w:rPr>
          <w:rFonts w:ascii="Arial" w:cs="Arial" w:eastAsia="Arial" w:hAnsi="Arial"/>
          <w:sz w:val="18"/>
          <w:szCs w:val="18"/>
          <w:color w:val="auto"/>
        </w:rPr>
        <w:t>.</w:t>
      </w:r>
    </w:p>
    <w:p>
      <w:pPr>
        <w:spacing w:after="0" w:line="225" w:lineRule="exact"/>
        <w:rPr>
          <w:sz w:val="20"/>
          <w:szCs w:val="20"/>
          <w:color w:val="auto"/>
        </w:rPr>
      </w:pPr>
    </w:p>
    <w:p>
      <w:pPr>
        <w:ind w:right="280" w:firstLine="440"/>
        <w:spacing w:after="0" w:line="263" w:lineRule="auto"/>
        <w:rPr>
          <w:sz w:val="20"/>
          <w:szCs w:val="20"/>
          <w:color w:val="auto"/>
        </w:rPr>
      </w:pPr>
      <w:r>
        <w:rPr>
          <w:rFonts w:ascii="Arial" w:cs="Arial" w:eastAsia="Arial" w:hAnsi="Arial"/>
          <w:sz w:val="18"/>
          <w:szCs w:val="18"/>
          <w:color w:val="auto"/>
        </w:rPr>
        <w:t>Securityholders of any Series may communicate pursuant to TIA § 312(b) with other Securityholders of that Series or any other Series with respect to their rights under this Indenture or the Securities of that Series or all Series. The Company, the Trustee, the Registrar and anyone else shall have the protection of TIA § 312(c).</w:t>
      </w:r>
    </w:p>
    <w:p>
      <w:pPr>
        <w:spacing w:after="0" w:line="184" w:lineRule="exact"/>
        <w:rPr>
          <w:sz w:val="20"/>
          <w:szCs w:val="20"/>
          <w:color w:val="auto"/>
        </w:rPr>
      </w:pPr>
    </w:p>
    <w:p>
      <w:pPr>
        <w:ind w:left="440"/>
        <w:spacing w:after="0"/>
        <w:rPr>
          <w:sz w:val="20"/>
          <w:szCs w:val="20"/>
          <w:color w:val="auto"/>
        </w:rPr>
      </w:pPr>
      <w:r>
        <w:rPr>
          <w:rFonts w:ascii="Arial" w:cs="Arial" w:eastAsia="Arial" w:hAnsi="Arial"/>
          <w:sz w:val="18"/>
          <w:szCs w:val="18"/>
          <w:color w:val="auto"/>
        </w:rPr>
        <w:t xml:space="preserve">Section 10.4. </w:t>
      </w:r>
      <w:r>
        <w:rPr>
          <w:rFonts w:ascii="Arial" w:cs="Arial" w:eastAsia="Arial" w:hAnsi="Arial"/>
          <w:sz w:val="18"/>
          <w:szCs w:val="18"/>
          <w:u w:val="single" w:color="auto"/>
          <w:color w:val="auto"/>
        </w:rPr>
        <w:t>Certificate and Opinion as to Conditions Precedent</w:t>
      </w:r>
      <w:r>
        <w:rPr>
          <w:rFonts w:ascii="Arial" w:cs="Arial" w:eastAsia="Arial" w:hAnsi="Arial"/>
          <w:sz w:val="18"/>
          <w:szCs w:val="18"/>
          <w:color w:val="auto"/>
        </w:rPr>
        <w:t>.</w:t>
      </w:r>
    </w:p>
    <w:p>
      <w:pPr>
        <w:spacing w:after="0" w:line="225" w:lineRule="exact"/>
        <w:rPr>
          <w:sz w:val="20"/>
          <w:szCs w:val="20"/>
          <w:color w:val="auto"/>
        </w:rPr>
      </w:pPr>
    </w:p>
    <w:p>
      <w:pPr>
        <w:ind w:left="440"/>
        <w:spacing w:after="0"/>
        <w:rPr>
          <w:sz w:val="20"/>
          <w:szCs w:val="20"/>
          <w:color w:val="auto"/>
        </w:rPr>
      </w:pPr>
      <w:r>
        <w:rPr>
          <w:rFonts w:ascii="Arial" w:cs="Arial" w:eastAsia="Arial" w:hAnsi="Arial"/>
          <w:sz w:val="16"/>
          <w:szCs w:val="16"/>
          <w:color w:val="auto"/>
        </w:rPr>
        <w:t>Upon any request or application by the Company to the Trustee to take any action under this Indenture, the Company shall furnish to the Trustee:</w:t>
      </w:r>
    </w:p>
    <w:p>
      <w:pPr>
        <w:spacing w:after="0" w:line="140" w:lineRule="exact"/>
        <w:rPr>
          <w:sz w:val="20"/>
          <w:szCs w:val="20"/>
          <w:color w:val="auto"/>
        </w:rPr>
      </w:pPr>
    </w:p>
    <w:p>
      <w:pPr>
        <w:ind w:left="440" w:firstLine="419"/>
        <w:spacing w:after="0" w:line="277" w:lineRule="auto"/>
        <w:tabs>
          <w:tab w:leader="none" w:pos="1108" w:val="left"/>
        </w:tabs>
        <w:numPr>
          <w:ilvl w:val="0"/>
          <w:numId w:val="125"/>
        </w:numPr>
        <w:rPr>
          <w:rFonts w:ascii="Arial" w:cs="Arial" w:eastAsia="Arial" w:hAnsi="Arial"/>
          <w:sz w:val="18"/>
          <w:szCs w:val="18"/>
          <w:color w:val="auto"/>
        </w:rPr>
      </w:pPr>
      <w:r>
        <w:rPr>
          <w:rFonts w:ascii="Arial" w:cs="Arial" w:eastAsia="Arial" w:hAnsi="Arial"/>
          <w:sz w:val="18"/>
          <w:szCs w:val="18"/>
          <w:color w:val="auto"/>
        </w:rPr>
        <w:t>an Officer’s Certificate stating that, in the opinion of the signers, all conditions precedent, if any, provided for in this Indenture relating to the proposed action have been complied with; and</w:t>
      </w:r>
    </w:p>
    <w:p>
      <w:pPr>
        <w:spacing w:after="0" w:line="62" w:lineRule="exact"/>
        <w:rPr>
          <w:rFonts w:ascii="Arial" w:cs="Arial" w:eastAsia="Arial" w:hAnsi="Arial"/>
          <w:sz w:val="18"/>
          <w:szCs w:val="18"/>
          <w:color w:val="auto"/>
        </w:rPr>
      </w:pPr>
    </w:p>
    <w:p>
      <w:pPr>
        <w:ind w:left="1120" w:hanging="261"/>
        <w:spacing w:after="0"/>
        <w:tabs>
          <w:tab w:leader="none" w:pos="1120" w:val="left"/>
        </w:tabs>
        <w:numPr>
          <w:ilvl w:val="0"/>
          <w:numId w:val="125"/>
        </w:numPr>
        <w:rPr>
          <w:rFonts w:ascii="Arial" w:cs="Arial" w:eastAsia="Arial" w:hAnsi="Arial"/>
          <w:sz w:val="18"/>
          <w:szCs w:val="18"/>
          <w:color w:val="auto"/>
        </w:rPr>
      </w:pPr>
      <w:r>
        <w:rPr>
          <w:rFonts w:ascii="Arial" w:cs="Arial" w:eastAsia="Arial" w:hAnsi="Arial"/>
          <w:sz w:val="18"/>
          <w:szCs w:val="18"/>
          <w:color w:val="auto"/>
        </w:rPr>
        <w:t>an Opinion of Counsel stating that, in the opinion of such counsel, all such conditions precedent have been complied with.</w:t>
      </w:r>
    </w:p>
    <w:p>
      <w:pPr>
        <w:spacing w:after="0" w:line="225" w:lineRule="exact"/>
        <w:rPr>
          <w:sz w:val="20"/>
          <w:szCs w:val="20"/>
          <w:color w:val="auto"/>
        </w:rPr>
      </w:pPr>
    </w:p>
    <w:p>
      <w:pPr>
        <w:ind w:left="440"/>
        <w:spacing w:after="0"/>
        <w:rPr>
          <w:sz w:val="20"/>
          <w:szCs w:val="20"/>
          <w:color w:val="auto"/>
        </w:rPr>
      </w:pPr>
      <w:r>
        <w:rPr>
          <w:rFonts w:ascii="Arial" w:cs="Arial" w:eastAsia="Arial" w:hAnsi="Arial"/>
          <w:sz w:val="18"/>
          <w:szCs w:val="18"/>
          <w:color w:val="auto"/>
        </w:rPr>
        <w:t xml:space="preserve">Section 10.5. </w:t>
      </w:r>
      <w:r>
        <w:rPr>
          <w:rFonts w:ascii="Arial" w:cs="Arial" w:eastAsia="Arial" w:hAnsi="Arial"/>
          <w:sz w:val="18"/>
          <w:szCs w:val="18"/>
          <w:u w:val="single" w:color="auto"/>
          <w:color w:val="auto"/>
        </w:rPr>
        <w:t>Statements Required in Certificate or Opinion</w:t>
      </w:r>
      <w:r>
        <w:rPr>
          <w:rFonts w:ascii="Arial" w:cs="Arial" w:eastAsia="Arial" w:hAnsi="Arial"/>
          <w:sz w:val="18"/>
          <w:szCs w:val="18"/>
          <w:color w:val="auto"/>
        </w:rPr>
        <w:t>.</w:t>
      </w:r>
    </w:p>
    <w:p>
      <w:pPr>
        <w:spacing w:after="0" w:line="15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31</w:t>
      </w:r>
    </w:p>
    <w:p>
      <w:pPr>
        <w:sectPr>
          <w:pgSz w:w="11900" w:h="16838" w:orient="portrait"/>
          <w:cols w:equalWidth="0" w:num="1">
            <w:col w:w="11000"/>
          </w:cols>
          <w:pgMar w:left="440" w:top="274" w:right="459" w:bottom="1440" w:gutter="0" w:footer="0" w:header="0"/>
        </w:sectPr>
      </w:pPr>
    </w:p>
    <w:bookmarkStart w:id="149" w:name="page150"/>
    <w:bookmarkEnd w:id="149"/>
    <w:p>
      <w:pPr>
        <w:ind w:firstLine="440"/>
        <w:spacing w:after="0" w:line="277"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194" name="Picture 1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4"/>
                    <pic:cNvPicPr>
                      <a:picLocks noChangeAspect="1" noChangeArrowheads="1"/>
                    </pic:cNvPicPr>
                  </pic:nvPicPr>
                  <pic:blipFill>
                    <a:blip r:embed="rId216">
                      <a:extLst>
                        <a:ext uri="{28A0092B-C50C-407E-A947-70E740481C1C}"/>
                      </a:extLst>
                    </a:blip>
                    <a:srcRect/>
                    <a:stretch>
                      <a:fillRect/>
                    </a:stretch>
                  </pic:blipFill>
                  <pic:spPr bwMode="auto">
                    <a:xfrm>
                      <a:off x="0" y="0"/>
                      <a:ext cx="7149465" cy="25400"/>
                    </a:xfrm>
                    <a:prstGeom prst="rect">
                      <a:avLst/>
                    </a:prstGeom>
                    <a:noFill/>
                  </pic:spPr>
                </pic:pic>
              </a:graphicData>
            </a:graphic>
          </wp:anchor>
        </w:drawing>
        <w:t>Each certificate or opinion with respect to compliance with a condition or covenant provided for in this Indenture (other than a certificate provided pursuant to TIA § 314(a)(4)) shall comply with the provisions of TIA § 314(e) and shall include:</w:t>
      </w:r>
    </w:p>
    <w:p>
      <w:pPr>
        <w:spacing w:after="0" w:line="62" w:lineRule="exact"/>
        <w:rPr>
          <w:sz w:val="20"/>
          <w:szCs w:val="20"/>
          <w:color w:val="auto"/>
        </w:rPr>
      </w:pPr>
    </w:p>
    <w:p>
      <w:pPr>
        <w:ind w:left="1100" w:hanging="241"/>
        <w:spacing w:after="0"/>
        <w:tabs>
          <w:tab w:leader="none" w:pos="1100" w:val="left"/>
        </w:tabs>
        <w:numPr>
          <w:ilvl w:val="0"/>
          <w:numId w:val="126"/>
        </w:numPr>
        <w:rPr>
          <w:rFonts w:ascii="Arial" w:cs="Arial" w:eastAsia="Arial" w:hAnsi="Arial"/>
          <w:sz w:val="18"/>
          <w:szCs w:val="18"/>
          <w:color w:val="auto"/>
        </w:rPr>
      </w:pPr>
      <w:r>
        <w:rPr>
          <w:rFonts w:ascii="Arial" w:cs="Arial" w:eastAsia="Arial" w:hAnsi="Arial"/>
          <w:sz w:val="18"/>
          <w:szCs w:val="18"/>
          <w:color w:val="auto"/>
        </w:rPr>
        <w:t>a statement that the person making such certificate or opinion has read such covenant or condition;</w:t>
      </w:r>
    </w:p>
    <w:p>
      <w:pPr>
        <w:spacing w:after="0" w:line="117" w:lineRule="exact"/>
        <w:rPr>
          <w:rFonts w:ascii="Arial" w:cs="Arial" w:eastAsia="Arial" w:hAnsi="Arial"/>
          <w:sz w:val="18"/>
          <w:szCs w:val="18"/>
          <w:color w:val="auto"/>
        </w:rPr>
      </w:pPr>
    </w:p>
    <w:p>
      <w:pPr>
        <w:ind w:left="440" w:right="100" w:firstLine="419"/>
        <w:spacing w:after="0" w:line="277" w:lineRule="auto"/>
        <w:tabs>
          <w:tab w:leader="none" w:pos="1118" w:val="left"/>
        </w:tabs>
        <w:numPr>
          <w:ilvl w:val="0"/>
          <w:numId w:val="126"/>
        </w:numPr>
        <w:rPr>
          <w:rFonts w:ascii="Arial" w:cs="Arial" w:eastAsia="Arial" w:hAnsi="Arial"/>
          <w:sz w:val="18"/>
          <w:szCs w:val="18"/>
          <w:color w:val="auto"/>
        </w:rPr>
      </w:pPr>
      <w:r>
        <w:rPr>
          <w:rFonts w:ascii="Arial" w:cs="Arial" w:eastAsia="Arial" w:hAnsi="Arial"/>
          <w:sz w:val="18"/>
          <w:szCs w:val="18"/>
          <w:color w:val="auto"/>
        </w:rPr>
        <w:t>a brief statement as to the nature and scope of the examination or investigation upon which the statements or opinions contained in such certificate or opinion are based;</w:t>
      </w:r>
    </w:p>
    <w:p>
      <w:pPr>
        <w:spacing w:after="0" w:line="62" w:lineRule="exact"/>
        <w:rPr>
          <w:rFonts w:ascii="Arial" w:cs="Arial" w:eastAsia="Arial" w:hAnsi="Arial"/>
          <w:sz w:val="18"/>
          <w:szCs w:val="18"/>
          <w:color w:val="auto"/>
        </w:rPr>
      </w:pPr>
    </w:p>
    <w:p>
      <w:pPr>
        <w:ind w:left="440" w:right="20" w:firstLine="419"/>
        <w:spacing w:after="0" w:line="277" w:lineRule="auto"/>
        <w:tabs>
          <w:tab w:leader="none" w:pos="1108" w:val="left"/>
        </w:tabs>
        <w:numPr>
          <w:ilvl w:val="0"/>
          <w:numId w:val="126"/>
        </w:numPr>
        <w:rPr>
          <w:rFonts w:ascii="Arial" w:cs="Arial" w:eastAsia="Arial" w:hAnsi="Arial"/>
          <w:sz w:val="18"/>
          <w:szCs w:val="18"/>
          <w:color w:val="auto"/>
        </w:rPr>
      </w:pPr>
      <w:r>
        <w:rPr>
          <w:rFonts w:ascii="Arial" w:cs="Arial" w:eastAsia="Arial" w:hAnsi="Arial"/>
          <w:sz w:val="18"/>
          <w:szCs w:val="18"/>
          <w:color w:val="auto"/>
        </w:rPr>
        <w:t>a statement that, in the opinion of such person, he has made such examination or investigation as is necessary to enable him to express an informed opinion as to whether or not such covenant or condition has been complied with; and</w:t>
      </w:r>
    </w:p>
    <w:p>
      <w:pPr>
        <w:spacing w:after="0" w:line="62" w:lineRule="exact"/>
        <w:rPr>
          <w:rFonts w:ascii="Arial" w:cs="Arial" w:eastAsia="Arial" w:hAnsi="Arial"/>
          <w:sz w:val="18"/>
          <w:szCs w:val="18"/>
          <w:color w:val="auto"/>
        </w:rPr>
      </w:pPr>
    </w:p>
    <w:p>
      <w:pPr>
        <w:ind w:left="1120" w:hanging="261"/>
        <w:spacing w:after="0"/>
        <w:tabs>
          <w:tab w:leader="none" w:pos="1120" w:val="left"/>
        </w:tabs>
        <w:numPr>
          <w:ilvl w:val="0"/>
          <w:numId w:val="126"/>
        </w:numPr>
        <w:rPr>
          <w:rFonts w:ascii="Arial" w:cs="Arial" w:eastAsia="Arial" w:hAnsi="Arial"/>
          <w:sz w:val="18"/>
          <w:szCs w:val="18"/>
          <w:color w:val="auto"/>
        </w:rPr>
      </w:pPr>
      <w:r>
        <w:rPr>
          <w:rFonts w:ascii="Arial" w:cs="Arial" w:eastAsia="Arial" w:hAnsi="Arial"/>
          <w:sz w:val="18"/>
          <w:szCs w:val="18"/>
          <w:color w:val="auto"/>
        </w:rPr>
        <w:t>a statement as to whether or not, in the opinion of such person, such condition or covenant has been complied with.</w:t>
      </w:r>
    </w:p>
    <w:p>
      <w:pPr>
        <w:spacing w:after="0" w:line="225" w:lineRule="exact"/>
        <w:rPr>
          <w:sz w:val="20"/>
          <w:szCs w:val="20"/>
          <w:color w:val="auto"/>
        </w:rPr>
      </w:pPr>
    </w:p>
    <w:p>
      <w:pPr>
        <w:ind w:left="440"/>
        <w:spacing w:after="0"/>
        <w:rPr>
          <w:sz w:val="20"/>
          <w:szCs w:val="20"/>
          <w:color w:val="auto"/>
        </w:rPr>
      </w:pPr>
      <w:r>
        <w:rPr>
          <w:rFonts w:ascii="Arial" w:cs="Arial" w:eastAsia="Arial" w:hAnsi="Arial"/>
          <w:sz w:val="18"/>
          <w:szCs w:val="18"/>
          <w:color w:val="auto"/>
        </w:rPr>
        <w:t xml:space="preserve">Section 10.6. </w:t>
      </w:r>
      <w:r>
        <w:rPr>
          <w:rFonts w:ascii="Arial" w:cs="Arial" w:eastAsia="Arial" w:hAnsi="Arial"/>
          <w:sz w:val="18"/>
          <w:szCs w:val="18"/>
          <w:u w:val="single" w:color="auto"/>
          <w:color w:val="auto"/>
        </w:rPr>
        <w:t>Rules by Trustee and Agents</w:t>
      </w:r>
      <w:r>
        <w:rPr>
          <w:rFonts w:ascii="Arial" w:cs="Arial" w:eastAsia="Arial" w:hAnsi="Arial"/>
          <w:sz w:val="18"/>
          <w:szCs w:val="18"/>
          <w:color w:val="auto"/>
        </w:rPr>
        <w:t>.</w:t>
      </w:r>
    </w:p>
    <w:p>
      <w:pPr>
        <w:spacing w:after="0" w:line="225" w:lineRule="exact"/>
        <w:rPr>
          <w:sz w:val="20"/>
          <w:szCs w:val="20"/>
          <w:color w:val="auto"/>
        </w:rPr>
      </w:pPr>
    </w:p>
    <w:p>
      <w:pPr>
        <w:ind w:right="340" w:firstLine="440"/>
        <w:spacing w:after="0" w:line="277" w:lineRule="auto"/>
        <w:rPr>
          <w:sz w:val="20"/>
          <w:szCs w:val="20"/>
          <w:color w:val="auto"/>
        </w:rPr>
      </w:pPr>
      <w:r>
        <w:rPr>
          <w:rFonts w:ascii="Arial" w:cs="Arial" w:eastAsia="Arial" w:hAnsi="Arial"/>
          <w:sz w:val="18"/>
          <w:szCs w:val="18"/>
          <w:color w:val="auto"/>
        </w:rPr>
        <w:t>The Trustee may make reasonable rules for action by or a meeting of Securityholders of one or more Series. Any Agent may make reasonable rules and set reasonable requirements for its functions.</w:t>
      </w:r>
    </w:p>
    <w:p>
      <w:pPr>
        <w:spacing w:after="0" w:line="170" w:lineRule="exact"/>
        <w:rPr>
          <w:sz w:val="20"/>
          <w:szCs w:val="20"/>
          <w:color w:val="auto"/>
        </w:rPr>
      </w:pPr>
    </w:p>
    <w:p>
      <w:pPr>
        <w:ind w:left="440"/>
        <w:spacing w:after="0"/>
        <w:rPr>
          <w:sz w:val="20"/>
          <w:szCs w:val="20"/>
          <w:color w:val="auto"/>
        </w:rPr>
      </w:pPr>
      <w:r>
        <w:rPr>
          <w:rFonts w:ascii="Arial" w:cs="Arial" w:eastAsia="Arial" w:hAnsi="Arial"/>
          <w:sz w:val="18"/>
          <w:szCs w:val="18"/>
          <w:color w:val="auto"/>
        </w:rPr>
        <w:t xml:space="preserve">Section 10.7. </w:t>
      </w:r>
      <w:r>
        <w:rPr>
          <w:rFonts w:ascii="Arial" w:cs="Arial" w:eastAsia="Arial" w:hAnsi="Arial"/>
          <w:sz w:val="18"/>
          <w:szCs w:val="18"/>
          <w:u w:val="single" w:color="auto"/>
          <w:color w:val="auto"/>
        </w:rPr>
        <w:t>Legal Holidays</w:t>
      </w:r>
      <w:r>
        <w:rPr>
          <w:rFonts w:ascii="Arial" w:cs="Arial" w:eastAsia="Arial" w:hAnsi="Arial"/>
          <w:sz w:val="18"/>
          <w:szCs w:val="18"/>
          <w:color w:val="auto"/>
        </w:rPr>
        <w:t>.</w:t>
      </w:r>
    </w:p>
    <w:p>
      <w:pPr>
        <w:spacing w:after="0" w:line="225" w:lineRule="exact"/>
        <w:rPr>
          <w:sz w:val="20"/>
          <w:szCs w:val="20"/>
          <w:color w:val="auto"/>
        </w:rPr>
      </w:pPr>
    </w:p>
    <w:p>
      <w:pPr>
        <w:ind w:right="20" w:firstLine="440"/>
        <w:spacing w:after="0" w:line="277" w:lineRule="auto"/>
        <w:rPr>
          <w:sz w:val="20"/>
          <w:szCs w:val="20"/>
          <w:color w:val="auto"/>
        </w:rPr>
      </w:pPr>
      <w:r>
        <w:rPr>
          <w:rFonts w:ascii="Arial" w:cs="Arial" w:eastAsia="Arial" w:hAnsi="Arial"/>
          <w:sz w:val="18"/>
          <w:szCs w:val="18"/>
          <w:color w:val="auto"/>
        </w:rPr>
        <w:t>A “</w:t>
      </w:r>
      <w:r>
        <w:rPr>
          <w:rFonts w:ascii="Arial" w:cs="Arial" w:eastAsia="Arial" w:hAnsi="Arial"/>
          <w:sz w:val="18"/>
          <w:szCs w:val="18"/>
          <w:i w:val="1"/>
          <w:iCs w:val="1"/>
          <w:color w:val="auto"/>
        </w:rPr>
        <w:t>Legal Holiday</w:t>
      </w:r>
      <w:r>
        <w:rPr>
          <w:rFonts w:ascii="Arial" w:cs="Arial" w:eastAsia="Arial" w:hAnsi="Arial"/>
          <w:sz w:val="18"/>
          <w:szCs w:val="18"/>
          <w:color w:val="auto"/>
        </w:rPr>
        <w:t>” is any day that is not a Business Day. If a payment date is a Legal Holiday at a place of payment, payment may be made at that place on the next succeeding day that is not a Legal Holiday, and no interest shall accrue for the intervening period.</w:t>
      </w:r>
    </w:p>
    <w:p>
      <w:pPr>
        <w:spacing w:after="0" w:line="170" w:lineRule="exact"/>
        <w:rPr>
          <w:sz w:val="20"/>
          <w:szCs w:val="20"/>
          <w:color w:val="auto"/>
        </w:rPr>
      </w:pPr>
    </w:p>
    <w:p>
      <w:pPr>
        <w:ind w:left="440"/>
        <w:spacing w:after="0"/>
        <w:rPr>
          <w:sz w:val="20"/>
          <w:szCs w:val="20"/>
          <w:color w:val="auto"/>
        </w:rPr>
      </w:pPr>
      <w:r>
        <w:rPr>
          <w:rFonts w:ascii="Arial" w:cs="Arial" w:eastAsia="Arial" w:hAnsi="Arial"/>
          <w:sz w:val="18"/>
          <w:szCs w:val="18"/>
          <w:color w:val="auto"/>
        </w:rPr>
        <w:t>Section 10.8. No Recourse Against Others.</w:t>
      </w:r>
    </w:p>
    <w:p>
      <w:pPr>
        <w:spacing w:after="0" w:line="225" w:lineRule="exact"/>
        <w:rPr>
          <w:sz w:val="20"/>
          <w:szCs w:val="20"/>
          <w:color w:val="auto"/>
        </w:rPr>
      </w:pPr>
    </w:p>
    <w:p>
      <w:pPr>
        <w:ind w:right="360" w:firstLine="440"/>
        <w:spacing w:after="0" w:line="259" w:lineRule="auto"/>
        <w:rPr>
          <w:sz w:val="20"/>
          <w:szCs w:val="20"/>
          <w:color w:val="auto"/>
        </w:rPr>
      </w:pPr>
      <w:r>
        <w:rPr>
          <w:rFonts w:ascii="Arial" w:cs="Arial" w:eastAsia="Arial" w:hAnsi="Arial"/>
          <w:sz w:val="18"/>
          <w:szCs w:val="18"/>
          <w:color w:val="auto"/>
        </w:rPr>
        <w:t>A director, officer, employee or stockholder (past or present), as such, of the Company shall not have any liability for any obligations of the Company under the Securities or the Indenture or for any claim based on, in respect of or by reason of such obligations or their creation. Each Securityholder by accepting a Security waives and releases all such liability. The waiver and release are part of the consideration for the issue of the Securities.</w:t>
      </w:r>
    </w:p>
    <w:p>
      <w:pPr>
        <w:spacing w:after="0" w:line="187" w:lineRule="exact"/>
        <w:rPr>
          <w:sz w:val="20"/>
          <w:szCs w:val="20"/>
          <w:color w:val="auto"/>
        </w:rPr>
      </w:pPr>
    </w:p>
    <w:p>
      <w:pPr>
        <w:ind w:left="440"/>
        <w:spacing w:after="0"/>
        <w:rPr>
          <w:sz w:val="20"/>
          <w:szCs w:val="20"/>
          <w:color w:val="auto"/>
        </w:rPr>
      </w:pPr>
      <w:r>
        <w:rPr>
          <w:rFonts w:ascii="Arial" w:cs="Arial" w:eastAsia="Arial" w:hAnsi="Arial"/>
          <w:sz w:val="18"/>
          <w:szCs w:val="18"/>
          <w:color w:val="auto"/>
        </w:rPr>
        <w:t xml:space="preserve">Section 10.9. </w:t>
      </w:r>
      <w:r>
        <w:rPr>
          <w:rFonts w:ascii="Arial" w:cs="Arial" w:eastAsia="Arial" w:hAnsi="Arial"/>
          <w:sz w:val="18"/>
          <w:szCs w:val="18"/>
          <w:u w:val="single" w:color="auto"/>
          <w:color w:val="auto"/>
        </w:rPr>
        <w:t>Counterparts</w:t>
      </w:r>
      <w:r>
        <w:rPr>
          <w:rFonts w:ascii="Arial" w:cs="Arial" w:eastAsia="Arial" w:hAnsi="Arial"/>
          <w:sz w:val="18"/>
          <w:szCs w:val="18"/>
          <w:color w:val="auto"/>
        </w:rPr>
        <w:t>.</w:t>
      </w:r>
    </w:p>
    <w:p>
      <w:pPr>
        <w:spacing w:after="0" w:line="225" w:lineRule="exact"/>
        <w:rPr>
          <w:sz w:val="20"/>
          <w:szCs w:val="20"/>
          <w:color w:val="auto"/>
        </w:rPr>
      </w:pPr>
    </w:p>
    <w:p>
      <w:pPr>
        <w:ind w:right="60" w:firstLine="440"/>
        <w:spacing w:after="0" w:line="257" w:lineRule="auto"/>
        <w:rPr>
          <w:sz w:val="20"/>
          <w:szCs w:val="20"/>
          <w:color w:val="auto"/>
        </w:rPr>
      </w:pPr>
      <w:r>
        <w:rPr>
          <w:rFonts w:ascii="Arial" w:cs="Arial" w:eastAsia="Arial" w:hAnsi="Arial"/>
          <w:sz w:val="18"/>
          <w:szCs w:val="18"/>
          <w:color w:val="auto"/>
        </w:rPr>
        <w:t>This Indenture may be executed in any number of counterparts and by the parties hereto in separate counterparts, each of which when so executed shall be deemed to be an original and all of which taken together shall constitute one and the same agreement. The exchange of copies of this Indenture and of signature pages by facsimile or PDF transmission shall constitute effective execution and delivery of this Indenture as to the parties hereto and may be used in lieu of the original Indenture for all purposes. Signatures of the parties hereto transmitted by facsimile or PDF shall be deemed to be their original signatures for all purposes.</w:t>
      </w:r>
    </w:p>
    <w:p>
      <w:pPr>
        <w:spacing w:after="0" w:line="188" w:lineRule="exact"/>
        <w:rPr>
          <w:sz w:val="20"/>
          <w:szCs w:val="20"/>
          <w:color w:val="auto"/>
        </w:rPr>
      </w:pPr>
    </w:p>
    <w:p>
      <w:pPr>
        <w:ind w:left="440"/>
        <w:spacing w:after="0"/>
        <w:tabs>
          <w:tab w:leader="none" w:pos="1680" w:val="left"/>
        </w:tabs>
        <w:rPr>
          <w:sz w:val="20"/>
          <w:szCs w:val="20"/>
          <w:color w:val="auto"/>
        </w:rPr>
      </w:pPr>
      <w:r>
        <w:rPr>
          <w:rFonts w:ascii="Arial" w:cs="Arial" w:eastAsia="Arial" w:hAnsi="Arial"/>
          <w:sz w:val="18"/>
          <w:szCs w:val="18"/>
          <w:color w:val="auto"/>
        </w:rPr>
        <w:t>Section 10.10.</w:t>
      </w:r>
      <w:r>
        <w:rPr>
          <w:sz w:val="20"/>
          <w:szCs w:val="20"/>
          <w:color w:val="auto"/>
        </w:rPr>
        <w:tab/>
      </w:r>
      <w:r>
        <w:rPr>
          <w:rFonts w:ascii="Arial" w:cs="Arial" w:eastAsia="Arial" w:hAnsi="Arial"/>
          <w:sz w:val="16"/>
          <w:szCs w:val="16"/>
          <w:u w:val="single" w:color="auto"/>
          <w:color w:val="auto"/>
        </w:rPr>
        <w:t>Governing Law; Waiver of Jury Trial; Consent to Jurisdiction</w:t>
      </w:r>
      <w:r>
        <w:rPr>
          <w:rFonts w:ascii="Arial" w:cs="Arial" w:eastAsia="Arial" w:hAnsi="Arial"/>
          <w:sz w:val="16"/>
          <w:szCs w:val="16"/>
          <w:color w:val="auto"/>
        </w:rPr>
        <w:t>.</w:t>
      </w:r>
    </w:p>
    <w:p>
      <w:pPr>
        <w:spacing w:after="0" w:line="225" w:lineRule="exact"/>
        <w:rPr>
          <w:sz w:val="20"/>
          <w:szCs w:val="20"/>
          <w:color w:val="auto"/>
        </w:rPr>
      </w:pPr>
    </w:p>
    <w:p>
      <w:pPr>
        <w:ind w:right="140" w:firstLine="991"/>
        <w:spacing w:after="0" w:line="277" w:lineRule="auto"/>
        <w:rPr>
          <w:sz w:val="20"/>
          <w:szCs w:val="20"/>
          <w:color w:val="auto"/>
        </w:rPr>
      </w:pPr>
      <w:r>
        <w:rPr>
          <w:rFonts w:ascii="Arial" w:cs="Arial" w:eastAsia="Arial" w:hAnsi="Arial"/>
          <w:sz w:val="18"/>
          <w:szCs w:val="18"/>
          <w:color w:val="auto"/>
        </w:rPr>
        <w:t>THIS INDENTURE AND THE SECURITIES, INCLUDING ANY CLAIM OR CONTROVERSY ARISING OUT OF OR RELATING TO THE INDENTURE OR THE SECURITIES, SHALL BE GOVERNED BY THE LAWS OF THE STATE OF NEW YORK.</w:t>
      </w:r>
    </w:p>
    <w:p>
      <w:pPr>
        <w:spacing w:after="0" w:line="170" w:lineRule="exact"/>
        <w:rPr>
          <w:sz w:val="20"/>
          <w:szCs w:val="20"/>
          <w:color w:val="auto"/>
        </w:rPr>
      </w:pPr>
    </w:p>
    <w:p>
      <w:pPr>
        <w:ind w:right="160" w:firstLine="991"/>
        <w:spacing w:after="0" w:line="259" w:lineRule="auto"/>
        <w:rPr>
          <w:sz w:val="20"/>
          <w:szCs w:val="20"/>
          <w:color w:val="auto"/>
        </w:rPr>
      </w:pPr>
      <w:r>
        <w:rPr>
          <w:rFonts w:ascii="Arial" w:cs="Arial" w:eastAsia="Arial" w:hAnsi="Arial"/>
          <w:sz w:val="18"/>
          <w:szCs w:val="18"/>
          <w:color w:val="auto"/>
        </w:rPr>
        <w:t>THE COMPANY, THE TRUSTEE AND THE HOLDERS (BY THEIR ACCEPTANCE OF THE SECURITIES) EACH HEREBY IRREVOCABLY WAIVE, TO THE FULLEST EXTENT PERMITTED BY APPLICABLE LAW, ANY AND ALL RIGHT TO TRIAL BY JURY IN ANY LEGAL PROCEEDING ARISING OUT OF OR RELATING TO THIS INDENTURE, THE NOTES OR THE TRANSACTIONS CONTEMPLATED HEREBY OR THEREBY.</w:t>
      </w:r>
    </w:p>
    <w:p>
      <w:pPr>
        <w:spacing w:after="0" w:line="11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32</w:t>
      </w:r>
    </w:p>
    <w:p>
      <w:pPr>
        <w:sectPr>
          <w:pgSz w:w="11900" w:h="16838" w:orient="portrait"/>
          <w:cols w:equalWidth="0" w:num="1">
            <w:col w:w="11000"/>
          </w:cols>
          <w:pgMar w:left="440" w:top="274" w:right="459" w:bottom="1440" w:gutter="0" w:footer="0" w:header="0"/>
        </w:sectPr>
      </w:pPr>
    </w:p>
    <w:bookmarkStart w:id="150" w:name="page151"/>
    <w:bookmarkEnd w:id="150"/>
    <w:p>
      <w:pPr>
        <w:ind w:firstLine="440"/>
        <w:spacing w:after="0" w:line="271" w:lineRule="auto"/>
        <w:rPr>
          <w:sz w:val="20"/>
          <w:szCs w:val="20"/>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195" name="Picture 1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5"/>
                    <pic:cNvPicPr>
                      <a:picLocks noChangeAspect="1" noChangeArrowheads="1"/>
                    </pic:cNvPicPr>
                  </pic:nvPicPr>
                  <pic:blipFill>
                    <a:blip r:embed="rId217">
                      <a:extLst>
                        <a:ext uri="{28A0092B-C50C-407E-A947-70E740481C1C}"/>
                      </a:extLst>
                    </a:blip>
                    <a:srcRect/>
                    <a:stretch>
                      <a:fillRect/>
                    </a:stretch>
                  </pic:blipFill>
                  <pic:spPr bwMode="auto">
                    <a:xfrm>
                      <a:off x="0" y="0"/>
                      <a:ext cx="7149465" cy="25400"/>
                    </a:xfrm>
                    <a:prstGeom prst="rect">
                      <a:avLst/>
                    </a:prstGeom>
                    <a:noFill/>
                  </pic:spPr>
                </pic:pic>
              </a:graphicData>
            </a:graphic>
          </wp:anchor>
        </w:drawing>
        <w:t>Any legal suit, action or proceeding arising out of or based upon this Indenture or the transactions contemplated hereby may be instituted in the federal courts of the United States of America located in the City of New York or the courts of the State of New York in each case located in the City of New York (collectively, the “</w:t>
      </w:r>
      <w:r>
        <w:rPr>
          <w:rFonts w:ascii="Arial" w:cs="Arial" w:eastAsia="Arial" w:hAnsi="Arial"/>
          <w:sz w:val="17"/>
          <w:szCs w:val="17"/>
          <w:i w:val="1"/>
          <w:iCs w:val="1"/>
          <w:color w:val="auto"/>
        </w:rPr>
        <w:t>Specified Courts</w:t>
      </w:r>
      <w:r>
        <w:rPr>
          <w:rFonts w:ascii="Arial" w:cs="Arial" w:eastAsia="Arial" w:hAnsi="Arial"/>
          <w:sz w:val="17"/>
          <w:szCs w:val="17"/>
          <w:color w:val="auto"/>
        </w:rPr>
        <w:t>”), and each party irrevocably submits to the non exclusive jurisdiction of such courts in any such suit, action or proceeding. Service of any process, summons, notice or document by mail (to the extent allowed under any applicable statute or rule of court) to such party’s address set forth above shall be effective service of process for any suit, action or other proceeding brought in any such court. The Company, the Trustee and the Holders (by their acceptance of the Securities) each hereby irrevocably and unconditionally waive any objection to the laying of venue of any suit, action or other proceeding in the Specified Courts and irrevocably and unconditionally waive and agree not to plead or claim any such suit, action or other proceeding has been brought in an inconvenient forum.</w:t>
      </w:r>
    </w:p>
    <w:p>
      <w:pPr>
        <w:spacing w:after="0" w:line="178" w:lineRule="exact"/>
        <w:rPr>
          <w:sz w:val="20"/>
          <w:szCs w:val="20"/>
          <w:color w:val="auto"/>
        </w:rPr>
      </w:pPr>
    </w:p>
    <w:p>
      <w:pPr>
        <w:ind w:left="440"/>
        <w:spacing w:after="0"/>
        <w:tabs>
          <w:tab w:leader="none" w:pos="1660" w:val="left"/>
        </w:tabs>
        <w:rPr>
          <w:sz w:val="20"/>
          <w:szCs w:val="20"/>
          <w:color w:val="auto"/>
        </w:rPr>
      </w:pPr>
      <w:r>
        <w:rPr>
          <w:rFonts w:ascii="Arial" w:cs="Arial" w:eastAsia="Arial" w:hAnsi="Arial"/>
          <w:sz w:val="18"/>
          <w:szCs w:val="18"/>
          <w:color w:val="auto"/>
        </w:rPr>
        <w:t>Section 10.11.</w:t>
      </w:r>
      <w:r>
        <w:rPr>
          <w:sz w:val="20"/>
          <w:szCs w:val="20"/>
          <w:color w:val="auto"/>
        </w:rPr>
        <w:tab/>
      </w:r>
      <w:r>
        <w:rPr>
          <w:rFonts w:ascii="Arial" w:cs="Arial" w:eastAsia="Arial" w:hAnsi="Arial"/>
          <w:sz w:val="16"/>
          <w:szCs w:val="16"/>
          <w:u w:val="single" w:color="auto"/>
          <w:color w:val="auto"/>
        </w:rPr>
        <w:t>No Adverse Interpretation of Other Agreements</w:t>
      </w:r>
      <w:r>
        <w:rPr>
          <w:rFonts w:ascii="Arial" w:cs="Arial" w:eastAsia="Arial" w:hAnsi="Arial"/>
          <w:sz w:val="16"/>
          <w:szCs w:val="16"/>
          <w:color w:val="auto"/>
        </w:rPr>
        <w:t>.</w:t>
      </w:r>
    </w:p>
    <w:p>
      <w:pPr>
        <w:spacing w:after="0" w:line="225" w:lineRule="exact"/>
        <w:rPr>
          <w:sz w:val="20"/>
          <w:szCs w:val="20"/>
          <w:color w:val="auto"/>
        </w:rPr>
      </w:pPr>
    </w:p>
    <w:p>
      <w:pPr>
        <w:ind w:right="100" w:firstLine="440"/>
        <w:spacing w:after="0" w:line="277" w:lineRule="auto"/>
        <w:rPr>
          <w:sz w:val="20"/>
          <w:szCs w:val="20"/>
          <w:color w:val="auto"/>
        </w:rPr>
      </w:pPr>
      <w:r>
        <w:rPr>
          <w:rFonts w:ascii="Arial" w:cs="Arial" w:eastAsia="Arial" w:hAnsi="Arial"/>
          <w:sz w:val="18"/>
          <w:szCs w:val="18"/>
          <w:color w:val="auto"/>
        </w:rPr>
        <w:t>This Indenture may not be used to interpret another indenture, loan or debt agreement of the Company or a Subsidiary of the Company. Any such indenture, loan or debt agreement may not be used to interpret this Indenture.</w:t>
      </w:r>
    </w:p>
    <w:p>
      <w:pPr>
        <w:spacing w:after="0" w:line="170" w:lineRule="exact"/>
        <w:rPr>
          <w:sz w:val="20"/>
          <w:szCs w:val="20"/>
          <w:color w:val="auto"/>
        </w:rPr>
      </w:pPr>
    </w:p>
    <w:p>
      <w:pPr>
        <w:ind w:left="440"/>
        <w:spacing w:after="0"/>
        <w:tabs>
          <w:tab w:leader="none" w:pos="1680" w:val="left"/>
        </w:tabs>
        <w:rPr>
          <w:sz w:val="20"/>
          <w:szCs w:val="20"/>
          <w:color w:val="auto"/>
        </w:rPr>
      </w:pPr>
      <w:r>
        <w:rPr>
          <w:rFonts w:ascii="Arial" w:cs="Arial" w:eastAsia="Arial" w:hAnsi="Arial"/>
          <w:sz w:val="18"/>
          <w:szCs w:val="18"/>
          <w:color w:val="auto"/>
        </w:rPr>
        <w:t>Section 10.12.</w:t>
      </w:r>
      <w:r>
        <w:rPr>
          <w:sz w:val="20"/>
          <w:szCs w:val="20"/>
          <w:color w:val="auto"/>
        </w:rPr>
        <w:tab/>
      </w:r>
      <w:r>
        <w:rPr>
          <w:rFonts w:ascii="Arial" w:cs="Arial" w:eastAsia="Arial" w:hAnsi="Arial"/>
          <w:sz w:val="15"/>
          <w:szCs w:val="15"/>
          <w:u w:val="single" w:color="auto"/>
          <w:color w:val="auto"/>
        </w:rPr>
        <w:t>Successors</w:t>
      </w:r>
      <w:r>
        <w:rPr>
          <w:rFonts w:ascii="Arial" w:cs="Arial" w:eastAsia="Arial" w:hAnsi="Arial"/>
          <w:sz w:val="15"/>
          <w:szCs w:val="15"/>
          <w:color w:val="auto"/>
        </w:rPr>
        <w:t>.</w:t>
      </w:r>
    </w:p>
    <w:p>
      <w:pPr>
        <w:spacing w:after="0" w:line="225" w:lineRule="exact"/>
        <w:rPr>
          <w:sz w:val="20"/>
          <w:szCs w:val="20"/>
          <w:color w:val="auto"/>
        </w:rPr>
      </w:pPr>
    </w:p>
    <w:p>
      <w:pPr>
        <w:ind w:right="200" w:firstLine="440"/>
        <w:spacing w:after="0" w:line="277" w:lineRule="auto"/>
        <w:rPr>
          <w:sz w:val="20"/>
          <w:szCs w:val="20"/>
          <w:color w:val="auto"/>
        </w:rPr>
      </w:pPr>
      <w:r>
        <w:rPr>
          <w:rFonts w:ascii="Arial" w:cs="Arial" w:eastAsia="Arial" w:hAnsi="Arial"/>
          <w:sz w:val="18"/>
          <w:szCs w:val="18"/>
          <w:color w:val="auto"/>
        </w:rPr>
        <w:t>All agreements of the Company in this Indenture and the Securities shall bind its successor. All agreements of the Trustee in this Indenture shall bind its successor.</w:t>
      </w:r>
    </w:p>
    <w:p>
      <w:pPr>
        <w:spacing w:after="0" w:line="170" w:lineRule="exact"/>
        <w:rPr>
          <w:sz w:val="20"/>
          <w:szCs w:val="20"/>
          <w:color w:val="auto"/>
        </w:rPr>
      </w:pPr>
    </w:p>
    <w:p>
      <w:pPr>
        <w:ind w:left="440"/>
        <w:spacing w:after="0"/>
        <w:tabs>
          <w:tab w:leader="none" w:pos="1680" w:val="left"/>
        </w:tabs>
        <w:rPr>
          <w:sz w:val="20"/>
          <w:szCs w:val="20"/>
          <w:color w:val="auto"/>
        </w:rPr>
      </w:pPr>
      <w:r>
        <w:rPr>
          <w:rFonts w:ascii="Arial" w:cs="Arial" w:eastAsia="Arial" w:hAnsi="Arial"/>
          <w:sz w:val="18"/>
          <w:szCs w:val="18"/>
          <w:color w:val="auto"/>
        </w:rPr>
        <w:t>Section 10.13.</w:t>
      </w:r>
      <w:r>
        <w:rPr>
          <w:sz w:val="20"/>
          <w:szCs w:val="20"/>
          <w:color w:val="auto"/>
        </w:rPr>
        <w:tab/>
      </w:r>
      <w:r>
        <w:rPr>
          <w:rFonts w:ascii="Arial" w:cs="Arial" w:eastAsia="Arial" w:hAnsi="Arial"/>
          <w:sz w:val="16"/>
          <w:szCs w:val="16"/>
          <w:u w:val="single" w:color="auto"/>
          <w:color w:val="auto"/>
        </w:rPr>
        <w:t>Severability</w:t>
      </w:r>
      <w:r>
        <w:rPr>
          <w:rFonts w:ascii="Arial" w:cs="Arial" w:eastAsia="Arial" w:hAnsi="Arial"/>
          <w:sz w:val="16"/>
          <w:szCs w:val="16"/>
          <w:color w:val="auto"/>
        </w:rPr>
        <w:t>.</w:t>
      </w:r>
    </w:p>
    <w:p>
      <w:pPr>
        <w:spacing w:after="0" w:line="225" w:lineRule="exact"/>
        <w:rPr>
          <w:sz w:val="20"/>
          <w:szCs w:val="20"/>
          <w:color w:val="auto"/>
        </w:rPr>
      </w:pPr>
    </w:p>
    <w:p>
      <w:pPr>
        <w:ind w:right="140" w:firstLine="440"/>
        <w:spacing w:after="0" w:line="277" w:lineRule="auto"/>
        <w:rPr>
          <w:sz w:val="20"/>
          <w:szCs w:val="20"/>
          <w:color w:val="auto"/>
        </w:rPr>
      </w:pPr>
      <w:r>
        <w:rPr>
          <w:rFonts w:ascii="Arial" w:cs="Arial" w:eastAsia="Arial" w:hAnsi="Arial"/>
          <w:sz w:val="18"/>
          <w:szCs w:val="18"/>
          <w:color w:val="auto"/>
        </w:rPr>
        <w:t>In case any provision in this Indenture or in the Securities shall be invalid, illegal or unenforceable, the validity, legality and enforceability of the remaining provisions shall not in any way be affected or impaired thereby.</w:t>
      </w:r>
    </w:p>
    <w:p>
      <w:pPr>
        <w:spacing w:after="0" w:line="170" w:lineRule="exact"/>
        <w:rPr>
          <w:sz w:val="20"/>
          <w:szCs w:val="20"/>
          <w:color w:val="auto"/>
        </w:rPr>
      </w:pPr>
    </w:p>
    <w:p>
      <w:pPr>
        <w:ind w:left="440"/>
        <w:spacing w:after="0"/>
        <w:tabs>
          <w:tab w:leader="none" w:pos="1680" w:val="left"/>
        </w:tabs>
        <w:rPr>
          <w:sz w:val="20"/>
          <w:szCs w:val="20"/>
          <w:color w:val="auto"/>
        </w:rPr>
      </w:pPr>
      <w:r>
        <w:rPr>
          <w:rFonts w:ascii="Arial" w:cs="Arial" w:eastAsia="Arial" w:hAnsi="Arial"/>
          <w:sz w:val="18"/>
          <w:szCs w:val="18"/>
          <w:color w:val="auto"/>
        </w:rPr>
        <w:t>Section 10.14.</w:t>
      </w:r>
      <w:r>
        <w:rPr>
          <w:sz w:val="20"/>
          <w:szCs w:val="20"/>
          <w:color w:val="auto"/>
        </w:rPr>
        <w:tab/>
      </w:r>
      <w:r>
        <w:rPr>
          <w:rFonts w:ascii="Arial" w:cs="Arial" w:eastAsia="Arial" w:hAnsi="Arial"/>
          <w:sz w:val="16"/>
          <w:szCs w:val="16"/>
          <w:u w:val="single" w:color="auto"/>
          <w:color w:val="auto"/>
        </w:rPr>
        <w:t>Table of Contents, Headings, Etc.</w:t>
      </w:r>
    </w:p>
    <w:p>
      <w:pPr>
        <w:spacing w:after="0" w:line="225" w:lineRule="exact"/>
        <w:rPr>
          <w:sz w:val="20"/>
          <w:szCs w:val="20"/>
          <w:color w:val="auto"/>
        </w:rPr>
      </w:pPr>
    </w:p>
    <w:p>
      <w:pPr>
        <w:ind w:right="160" w:firstLine="440"/>
        <w:spacing w:after="0" w:line="342" w:lineRule="auto"/>
        <w:rPr>
          <w:sz w:val="20"/>
          <w:szCs w:val="20"/>
          <w:color w:val="auto"/>
        </w:rPr>
      </w:pPr>
      <w:r>
        <w:rPr>
          <w:rFonts w:ascii="Arial" w:cs="Arial" w:eastAsia="Arial" w:hAnsi="Arial"/>
          <w:sz w:val="16"/>
          <w:szCs w:val="16"/>
          <w:color w:val="auto"/>
        </w:rPr>
        <w:t>The Table of Contents, Cross Reference Table, and headings of the Articles and Sections of this Indenture have been inserted for convenience of reference only, are not to be considered a part hereof, and shall in no way modify or restrict any of the terms or provisions hereof.</w:t>
      </w:r>
    </w:p>
    <w:p>
      <w:pPr>
        <w:spacing w:after="0" w:line="124" w:lineRule="exact"/>
        <w:rPr>
          <w:sz w:val="20"/>
          <w:szCs w:val="20"/>
          <w:color w:val="auto"/>
        </w:rPr>
      </w:pPr>
    </w:p>
    <w:p>
      <w:pPr>
        <w:ind w:left="440"/>
        <w:spacing w:after="0"/>
        <w:tabs>
          <w:tab w:leader="none" w:pos="1680" w:val="left"/>
        </w:tabs>
        <w:rPr>
          <w:sz w:val="20"/>
          <w:szCs w:val="20"/>
          <w:color w:val="auto"/>
        </w:rPr>
      </w:pPr>
      <w:r>
        <w:rPr>
          <w:rFonts w:ascii="Arial" w:cs="Arial" w:eastAsia="Arial" w:hAnsi="Arial"/>
          <w:sz w:val="18"/>
          <w:szCs w:val="18"/>
          <w:color w:val="auto"/>
        </w:rPr>
        <w:t>Section 10.15.</w:t>
      </w:r>
      <w:r>
        <w:rPr>
          <w:sz w:val="20"/>
          <w:szCs w:val="20"/>
          <w:color w:val="auto"/>
        </w:rPr>
        <w:tab/>
      </w:r>
      <w:r>
        <w:rPr>
          <w:rFonts w:ascii="Arial" w:cs="Arial" w:eastAsia="Arial" w:hAnsi="Arial"/>
          <w:sz w:val="16"/>
          <w:szCs w:val="16"/>
          <w:u w:val="single" w:color="auto"/>
          <w:color w:val="auto"/>
        </w:rPr>
        <w:t>Securities in a Foreign Currency</w:t>
      </w:r>
      <w:r>
        <w:rPr>
          <w:rFonts w:ascii="Arial" w:cs="Arial" w:eastAsia="Arial" w:hAnsi="Arial"/>
          <w:sz w:val="16"/>
          <w:szCs w:val="16"/>
          <w:color w:val="auto"/>
        </w:rPr>
        <w:t>.</w:t>
      </w:r>
    </w:p>
    <w:p>
      <w:pPr>
        <w:spacing w:after="0" w:line="225" w:lineRule="exact"/>
        <w:rPr>
          <w:sz w:val="20"/>
          <w:szCs w:val="20"/>
          <w:color w:val="auto"/>
        </w:rPr>
      </w:pPr>
    </w:p>
    <w:p>
      <w:pPr>
        <w:ind w:firstLine="440"/>
        <w:spacing w:after="0" w:line="269" w:lineRule="auto"/>
        <w:rPr>
          <w:sz w:val="20"/>
          <w:szCs w:val="20"/>
          <w:color w:val="auto"/>
        </w:rPr>
      </w:pPr>
      <w:r>
        <w:rPr>
          <w:rFonts w:ascii="Arial" w:cs="Arial" w:eastAsia="Arial" w:hAnsi="Arial"/>
          <w:sz w:val="17"/>
          <w:szCs w:val="17"/>
          <w:color w:val="auto"/>
        </w:rPr>
        <w:t>Unless otherwise specified in a Board Resolution, a supplemental indenture hereto or an Officer’s Certificate delivered pursuant to Section 2.2 of this Indenture with respect to a particular Series of Securities, whenever for purposes of this Indenture any action may be taken by the Holders of a specified percentage in aggregate principal amount of Securities of all Series or all Series affected by a particular action at the time outstanding and, at such time, there are outstanding Securities of any Series which are denominated in more than one currency, then the principal amount of Securities of such Series which shall be deemed to be outstanding for the purpose of taking such action shall be determined by converting any such other currency into a currency that is designated upon issuance of any particular Series of Securities. Unless otherwise specified in a Board Resolution, a supplemental indenture hereto or an Officer’s Certificate delivered pursuant to Section 2.2 of this Indenture with respect to a particular Series of Securities, such conversion shall be at the spot rate for the purchase of the designated currency as published in The Financial Times in the “Currency Rates” section (or, if The Financial Times is no longer published, or if such information is no longer available in The Financial Times, such source as may be selected in good faith by the Company) on any date of determination. The provisions of this paragraph shall apply in determining the equivalent principal amount in respect of Securities of a Series denominated in currency other than Dollars in connection with any action taken by Holders of Securities pursuant to the terms of this Indenture.</w:t>
      </w:r>
    </w:p>
    <w:p>
      <w:pPr>
        <w:spacing w:after="0" w:line="179" w:lineRule="exact"/>
        <w:rPr>
          <w:sz w:val="20"/>
          <w:szCs w:val="20"/>
          <w:color w:val="auto"/>
        </w:rPr>
      </w:pPr>
    </w:p>
    <w:p>
      <w:pPr>
        <w:ind w:right="60" w:firstLine="440"/>
        <w:spacing w:after="0" w:line="277" w:lineRule="auto"/>
        <w:rPr>
          <w:sz w:val="20"/>
          <w:szCs w:val="20"/>
          <w:color w:val="auto"/>
        </w:rPr>
      </w:pPr>
      <w:r>
        <w:rPr>
          <w:rFonts w:ascii="Arial" w:cs="Arial" w:eastAsia="Arial" w:hAnsi="Arial"/>
          <w:sz w:val="18"/>
          <w:szCs w:val="18"/>
          <w:color w:val="auto"/>
        </w:rPr>
        <w:t>All decisions and determinations provided for in the preceding paragraph shall, in the absence of manifest error, to the extent permitted by law, be conclusive for all purposes and irrevocably binding upon the Trustee and all Holders.</w:t>
      </w:r>
    </w:p>
    <w:p>
      <w:pPr>
        <w:spacing w:after="0" w:line="10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33</w:t>
      </w:r>
    </w:p>
    <w:p>
      <w:pPr>
        <w:sectPr>
          <w:pgSz w:w="11900" w:h="16838" w:orient="portrait"/>
          <w:cols w:equalWidth="0" w:num="1">
            <w:col w:w="11000"/>
          </w:cols>
          <w:pgMar w:left="440" w:top="274" w:right="459" w:bottom="1440" w:gutter="0" w:footer="0" w:header="0"/>
        </w:sectPr>
      </w:pPr>
    </w:p>
    <w:bookmarkStart w:id="151" w:name="page152"/>
    <w:bookmarkEnd w:id="151"/>
    <w:p>
      <w:pPr>
        <w:ind w:left="440"/>
        <w:spacing w:after="0"/>
        <w:tabs>
          <w:tab w:leader="none" w:pos="1680" w:val="left"/>
        </w:tabs>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196" name="Picture 1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6"/>
                    <pic:cNvPicPr>
                      <a:picLocks noChangeAspect="1" noChangeArrowheads="1"/>
                    </pic:cNvPicPr>
                  </pic:nvPicPr>
                  <pic:blipFill>
                    <a:blip r:embed="rId218">
                      <a:extLst>
                        <a:ext uri="{28A0092B-C50C-407E-A947-70E740481C1C}"/>
                      </a:extLst>
                    </a:blip>
                    <a:srcRect/>
                    <a:stretch>
                      <a:fillRect/>
                    </a:stretch>
                  </pic:blipFill>
                  <pic:spPr bwMode="auto">
                    <a:xfrm>
                      <a:off x="0" y="0"/>
                      <a:ext cx="7149465" cy="25400"/>
                    </a:xfrm>
                    <a:prstGeom prst="rect">
                      <a:avLst/>
                    </a:prstGeom>
                    <a:noFill/>
                  </pic:spPr>
                </pic:pic>
              </a:graphicData>
            </a:graphic>
          </wp:anchor>
        </w:drawing>
        <w:t>Section 10.16.</w:t>
      </w:r>
      <w:r>
        <w:rPr>
          <w:sz w:val="20"/>
          <w:szCs w:val="20"/>
          <w:color w:val="auto"/>
        </w:rPr>
        <w:tab/>
      </w:r>
      <w:r>
        <w:rPr>
          <w:rFonts w:ascii="Arial" w:cs="Arial" w:eastAsia="Arial" w:hAnsi="Arial"/>
          <w:sz w:val="16"/>
          <w:szCs w:val="16"/>
          <w:u w:val="single" w:color="auto"/>
          <w:color w:val="auto"/>
        </w:rPr>
        <w:t>Judgment Currency</w:t>
      </w:r>
      <w:r>
        <w:rPr>
          <w:rFonts w:ascii="Arial" w:cs="Arial" w:eastAsia="Arial" w:hAnsi="Arial"/>
          <w:sz w:val="16"/>
          <w:szCs w:val="16"/>
          <w:color w:val="auto"/>
        </w:rPr>
        <w:t>.</w:t>
      </w:r>
    </w:p>
    <w:p>
      <w:pPr>
        <w:spacing w:after="0" w:line="225" w:lineRule="exact"/>
        <w:rPr>
          <w:sz w:val="20"/>
          <w:szCs w:val="20"/>
          <w:color w:val="auto"/>
        </w:rPr>
      </w:pPr>
    </w:p>
    <w:p>
      <w:pPr>
        <w:ind w:firstLine="440"/>
        <w:spacing w:after="0" w:line="268" w:lineRule="auto"/>
        <w:rPr>
          <w:sz w:val="20"/>
          <w:szCs w:val="20"/>
          <w:color w:val="auto"/>
        </w:rPr>
      </w:pPr>
      <w:r>
        <w:rPr>
          <w:rFonts w:ascii="Arial" w:cs="Arial" w:eastAsia="Arial" w:hAnsi="Arial"/>
          <w:sz w:val="17"/>
          <w:szCs w:val="17"/>
          <w:color w:val="auto"/>
        </w:rPr>
        <w:t>The Company agrees, to the fullest extent that it may effectively do so under applicable law, that (a) if for the purpose of obtaining judgment in any court it is necessary to convert the sum due in respect of the principal of or interest or other amount on the Securities of any Series (the “</w:t>
      </w:r>
      <w:r>
        <w:rPr>
          <w:rFonts w:ascii="Arial" w:cs="Arial" w:eastAsia="Arial" w:hAnsi="Arial"/>
          <w:sz w:val="17"/>
          <w:szCs w:val="17"/>
          <w:i w:val="1"/>
          <w:iCs w:val="1"/>
          <w:color w:val="auto"/>
        </w:rPr>
        <w:t>Required</w:t>
      </w:r>
      <w:r>
        <w:rPr>
          <w:rFonts w:ascii="Arial" w:cs="Arial" w:eastAsia="Arial" w:hAnsi="Arial"/>
          <w:sz w:val="17"/>
          <w:szCs w:val="17"/>
          <w:color w:val="auto"/>
        </w:rPr>
        <w:t xml:space="preserve"> </w:t>
      </w:r>
      <w:r>
        <w:rPr>
          <w:rFonts w:ascii="Arial" w:cs="Arial" w:eastAsia="Arial" w:hAnsi="Arial"/>
          <w:sz w:val="17"/>
          <w:szCs w:val="17"/>
          <w:i w:val="1"/>
          <w:iCs w:val="1"/>
          <w:color w:val="auto"/>
        </w:rPr>
        <w:t>Currency</w:t>
      </w:r>
      <w:r>
        <w:rPr>
          <w:rFonts w:ascii="Arial" w:cs="Arial" w:eastAsia="Arial" w:hAnsi="Arial"/>
          <w:sz w:val="17"/>
          <w:szCs w:val="17"/>
          <w:color w:val="auto"/>
        </w:rPr>
        <w:t>”) into a currency in which a judgment will be rendered (the “</w:t>
      </w:r>
      <w:r>
        <w:rPr>
          <w:rFonts w:ascii="Arial" w:cs="Arial" w:eastAsia="Arial" w:hAnsi="Arial"/>
          <w:sz w:val="17"/>
          <w:szCs w:val="17"/>
          <w:i w:val="1"/>
          <w:iCs w:val="1"/>
          <w:color w:val="auto"/>
        </w:rPr>
        <w:t>Judgment Currency</w:t>
      </w:r>
      <w:r>
        <w:rPr>
          <w:rFonts w:ascii="Arial" w:cs="Arial" w:eastAsia="Arial" w:hAnsi="Arial"/>
          <w:sz w:val="17"/>
          <w:szCs w:val="17"/>
          <w:color w:val="auto"/>
        </w:rPr>
        <w:t>”), the rate of exchange used shall be the rate at which in</w:t>
      </w:r>
      <w:r>
        <w:rPr>
          <w:rFonts w:ascii="Arial" w:cs="Arial" w:eastAsia="Arial" w:hAnsi="Arial"/>
          <w:sz w:val="17"/>
          <w:szCs w:val="17"/>
          <w:i w:val="1"/>
          <w:iCs w:val="1"/>
          <w:color w:val="auto"/>
        </w:rPr>
        <w:t xml:space="preserve"> </w:t>
      </w:r>
      <w:r>
        <w:rPr>
          <w:rFonts w:ascii="Arial" w:cs="Arial" w:eastAsia="Arial" w:hAnsi="Arial"/>
          <w:sz w:val="17"/>
          <w:szCs w:val="17"/>
          <w:color w:val="auto"/>
        </w:rPr>
        <w:t>accordance with normal banking procedures the Trustee could purchase in The City of New York the Required Currency with the Judgment Currency on the day on which final unappealable judgment is entered, unless such day is not a New York Banking Day, then the rate of exchange used shall be the rate at which in accordance with normal banking procedures the Trustee could purchase in The City of New York the Required Currency with the Judgment Currency on the New York Banking Day preceding the day on which final unappealable judgment is entered and (b) its obligations under this Indenture to make payments in the Required Currency (i) shall not be discharged or satisfied by any tender, any recovery pursuant to any judgment (whether or not entered in accordance with subsection (a)), in any currency other than the Required Currency, except to the extent that such tender or recovery shall result in the actual receipt, by the payee, of the full amount of the Required Currency expressed to be payable in respect of such payments, (ii) shall be enforceable as an alternative or additional cause of action for the purpose of recovering in the Required Currency the amount, if any, by which such actual receipt shall fall short of the full amount of the Required Currency so expressed to be payable, and (iii) shall not be affected by judgment being obtained for any other sum due under this Indenture. For purposes of the foregoing, “</w:t>
      </w:r>
      <w:r>
        <w:rPr>
          <w:rFonts w:ascii="Arial" w:cs="Arial" w:eastAsia="Arial" w:hAnsi="Arial"/>
          <w:sz w:val="17"/>
          <w:szCs w:val="17"/>
          <w:i w:val="1"/>
          <w:iCs w:val="1"/>
          <w:color w:val="auto"/>
        </w:rPr>
        <w:t>New York Banking Day</w:t>
      </w:r>
      <w:r>
        <w:rPr>
          <w:rFonts w:ascii="Arial" w:cs="Arial" w:eastAsia="Arial" w:hAnsi="Arial"/>
          <w:sz w:val="17"/>
          <w:szCs w:val="17"/>
          <w:color w:val="auto"/>
        </w:rPr>
        <w:t>” means any day except a Saturday, Sunday or a legal holiday in The City of New York on which banking institutions are authorized or required by law, regulation or executive order to close.</w:t>
      </w:r>
    </w:p>
    <w:p>
      <w:pPr>
        <w:spacing w:after="0" w:line="182" w:lineRule="exact"/>
        <w:rPr>
          <w:sz w:val="20"/>
          <w:szCs w:val="20"/>
          <w:color w:val="auto"/>
        </w:rPr>
      </w:pPr>
    </w:p>
    <w:p>
      <w:pPr>
        <w:ind w:left="440"/>
        <w:spacing w:after="0"/>
        <w:tabs>
          <w:tab w:leader="none" w:pos="1680" w:val="left"/>
        </w:tabs>
        <w:rPr>
          <w:sz w:val="20"/>
          <w:szCs w:val="20"/>
          <w:color w:val="auto"/>
        </w:rPr>
      </w:pPr>
      <w:r>
        <w:rPr>
          <w:rFonts w:ascii="Arial" w:cs="Arial" w:eastAsia="Arial" w:hAnsi="Arial"/>
          <w:sz w:val="18"/>
          <w:szCs w:val="18"/>
          <w:color w:val="auto"/>
        </w:rPr>
        <w:t>Section 10.17.</w:t>
      </w:r>
      <w:r>
        <w:rPr>
          <w:sz w:val="20"/>
          <w:szCs w:val="20"/>
          <w:color w:val="auto"/>
        </w:rPr>
        <w:tab/>
      </w:r>
      <w:r>
        <w:rPr>
          <w:rFonts w:ascii="Arial" w:cs="Arial" w:eastAsia="Arial" w:hAnsi="Arial"/>
          <w:sz w:val="16"/>
          <w:szCs w:val="16"/>
          <w:u w:val="single" w:color="auto"/>
          <w:color w:val="auto"/>
        </w:rPr>
        <w:t>Force Majeure</w:t>
      </w:r>
      <w:r>
        <w:rPr>
          <w:rFonts w:ascii="Arial" w:cs="Arial" w:eastAsia="Arial" w:hAnsi="Arial"/>
          <w:sz w:val="16"/>
          <w:szCs w:val="16"/>
          <w:color w:val="auto"/>
        </w:rPr>
        <w:t>.</w:t>
      </w:r>
    </w:p>
    <w:p>
      <w:pPr>
        <w:spacing w:after="0" w:line="225" w:lineRule="exact"/>
        <w:rPr>
          <w:sz w:val="20"/>
          <w:szCs w:val="20"/>
          <w:color w:val="auto"/>
        </w:rPr>
      </w:pPr>
    </w:p>
    <w:p>
      <w:pPr>
        <w:ind w:firstLine="440"/>
        <w:spacing w:after="0" w:line="275" w:lineRule="auto"/>
        <w:rPr>
          <w:sz w:val="20"/>
          <w:szCs w:val="20"/>
          <w:color w:val="auto"/>
        </w:rPr>
      </w:pPr>
      <w:r>
        <w:rPr>
          <w:rFonts w:ascii="Arial" w:cs="Arial" w:eastAsia="Arial" w:hAnsi="Arial"/>
          <w:sz w:val="17"/>
          <w:szCs w:val="17"/>
          <w:color w:val="auto"/>
        </w:rPr>
        <w:t>In no event shall the Trustee be responsible or liable for any failure or delay in the performance of its obligations hereunder arising out of or caused by, directly or indirectly, forces beyond its control, including, without limitation, strikes, work stoppages, accidents, acts of war or terrorism, civil or military disturbances, nuclear or natural catastrophes or acts of God, and interruptions, loss or malfunctions of utilities, communications or computer (software and hardware) services, it being understood that the Trustee shall use reasonable best efforts which are consistent with accepted practices in the banking industry to resume performance as soon as practicable under the circumstances.</w:t>
      </w:r>
    </w:p>
    <w:p>
      <w:pPr>
        <w:spacing w:after="0" w:line="176" w:lineRule="exact"/>
        <w:rPr>
          <w:sz w:val="20"/>
          <w:szCs w:val="20"/>
          <w:color w:val="auto"/>
        </w:rPr>
      </w:pPr>
    </w:p>
    <w:p>
      <w:pPr>
        <w:ind w:left="440"/>
        <w:spacing w:after="0"/>
        <w:tabs>
          <w:tab w:leader="none" w:pos="1680" w:val="left"/>
        </w:tabs>
        <w:rPr>
          <w:sz w:val="20"/>
          <w:szCs w:val="20"/>
          <w:color w:val="auto"/>
        </w:rPr>
      </w:pPr>
      <w:r>
        <w:rPr>
          <w:rFonts w:ascii="Arial" w:cs="Arial" w:eastAsia="Arial" w:hAnsi="Arial"/>
          <w:sz w:val="18"/>
          <w:szCs w:val="18"/>
          <w:color w:val="auto"/>
        </w:rPr>
        <w:t>Section 10.18.</w:t>
      </w:r>
      <w:r>
        <w:rPr>
          <w:sz w:val="20"/>
          <w:szCs w:val="20"/>
          <w:color w:val="auto"/>
        </w:rPr>
        <w:tab/>
      </w:r>
      <w:r>
        <w:rPr>
          <w:rFonts w:ascii="Arial" w:cs="Arial" w:eastAsia="Arial" w:hAnsi="Arial"/>
          <w:sz w:val="16"/>
          <w:szCs w:val="16"/>
          <w:u w:val="single" w:color="auto"/>
          <w:color w:val="auto"/>
        </w:rPr>
        <w:t>U.S.A. Patriot Act</w:t>
      </w:r>
      <w:r>
        <w:rPr>
          <w:rFonts w:ascii="Arial" w:cs="Arial" w:eastAsia="Arial" w:hAnsi="Arial"/>
          <w:sz w:val="16"/>
          <w:szCs w:val="16"/>
          <w:color w:val="auto"/>
        </w:rPr>
        <w:t>.</w:t>
      </w:r>
    </w:p>
    <w:p>
      <w:pPr>
        <w:spacing w:after="0" w:line="225" w:lineRule="exact"/>
        <w:rPr>
          <w:sz w:val="20"/>
          <w:szCs w:val="20"/>
          <w:color w:val="auto"/>
        </w:rPr>
      </w:pPr>
    </w:p>
    <w:p>
      <w:pPr>
        <w:ind w:right="80" w:firstLine="440"/>
        <w:spacing w:after="0" w:line="259" w:lineRule="auto"/>
        <w:rPr>
          <w:sz w:val="20"/>
          <w:szCs w:val="20"/>
          <w:color w:val="auto"/>
        </w:rPr>
      </w:pPr>
      <w:r>
        <w:rPr>
          <w:rFonts w:ascii="Arial" w:cs="Arial" w:eastAsia="Arial" w:hAnsi="Arial"/>
          <w:sz w:val="18"/>
          <w:szCs w:val="18"/>
          <w:color w:val="auto"/>
        </w:rPr>
        <w:t>The parties hereto acknowledge that in accordance with Section 326 of the U.S.A. Patriot Act, the Trustee is required to obtain, verify, and record information that identifies each person or legal entity that establishes a relationship or opens an account with the Trustee. The parties to this Indenture agree that they will provide the Trustee with such information as it may request in order for the Trustee to satisfy the requirements of the U.S.A. Patriot Act.</w:t>
      </w:r>
    </w:p>
    <w:p>
      <w:pPr>
        <w:spacing w:after="0" w:line="200" w:lineRule="exact"/>
        <w:rPr>
          <w:sz w:val="20"/>
          <w:szCs w:val="20"/>
          <w:color w:val="auto"/>
        </w:rPr>
      </w:pPr>
    </w:p>
    <w:p>
      <w:pPr>
        <w:spacing w:after="0" w:line="20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ARTICLE XI.</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SINKING FUNDS</w:t>
      </w:r>
    </w:p>
    <w:p>
      <w:pPr>
        <w:spacing w:after="0" w:line="211" w:lineRule="exact"/>
        <w:rPr>
          <w:sz w:val="20"/>
          <w:szCs w:val="20"/>
          <w:color w:val="auto"/>
        </w:rPr>
      </w:pPr>
    </w:p>
    <w:p>
      <w:pPr>
        <w:ind w:left="440"/>
        <w:spacing w:after="0"/>
        <w:rPr>
          <w:sz w:val="20"/>
          <w:szCs w:val="20"/>
          <w:color w:val="auto"/>
        </w:rPr>
      </w:pPr>
      <w:r>
        <w:rPr>
          <w:rFonts w:ascii="Arial" w:cs="Arial" w:eastAsia="Arial" w:hAnsi="Arial"/>
          <w:sz w:val="18"/>
          <w:szCs w:val="18"/>
          <w:color w:val="auto"/>
        </w:rPr>
        <w:t xml:space="preserve">Section 11.1. </w:t>
      </w:r>
      <w:r>
        <w:rPr>
          <w:rFonts w:ascii="Arial" w:cs="Arial" w:eastAsia="Arial" w:hAnsi="Arial"/>
          <w:sz w:val="18"/>
          <w:szCs w:val="18"/>
          <w:u w:val="single" w:color="auto"/>
          <w:color w:val="auto"/>
        </w:rPr>
        <w:t>Applicability of Article</w:t>
      </w:r>
      <w:r>
        <w:rPr>
          <w:rFonts w:ascii="Arial" w:cs="Arial" w:eastAsia="Arial" w:hAnsi="Arial"/>
          <w:sz w:val="18"/>
          <w:szCs w:val="18"/>
          <w:color w:val="auto"/>
        </w:rPr>
        <w:t>.</w:t>
      </w:r>
    </w:p>
    <w:p>
      <w:pPr>
        <w:spacing w:after="0" w:line="225" w:lineRule="exact"/>
        <w:rPr>
          <w:sz w:val="20"/>
          <w:szCs w:val="20"/>
          <w:color w:val="auto"/>
        </w:rPr>
      </w:pPr>
    </w:p>
    <w:p>
      <w:pPr>
        <w:ind w:right="120" w:firstLine="440"/>
        <w:spacing w:after="0" w:line="263" w:lineRule="auto"/>
        <w:rPr>
          <w:sz w:val="20"/>
          <w:szCs w:val="20"/>
          <w:color w:val="auto"/>
        </w:rPr>
      </w:pPr>
      <w:r>
        <w:rPr>
          <w:rFonts w:ascii="Arial" w:cs="Arial" w:eastAsia="Arial" w:hAnsi="Arial"/>
          <w:sz w:val="18"/>
          <w:szCs w:val="18"/>
          <w:color w:val="auto"/>
        </w:rPr>
        <w:t>The provisions of this Article shall be applicable to any sinking fund for the retirement of the Securities of a Series if so provided by the terms of such Securities pursuant to Section 2.2 and except as otherwise permitted or required by any form of Security of such Series issued pursuant to this Indenture.</w:t>
      </w:r>
    </w:p>
    <w:p>
      <w:pPr>
        <w:spacing w:after="0" w:line="184" w:lineRule="exact"/>
        <w:rPr>
          <w:sz w:val="20"/>
          <w:szCs w:val="20"/>
          <w:color w:val="auto"/>
        </w:rPr>
      </w:pPr>
    </w:p>
    <w:p>
      <w:pPr>
        <w:ind w:right="20" w:firstLine="440"/>
        <w:spacing w:after="0" w:line="257" w:lineRule="auto"/>
        <w:rPr>
          <w:sz w:val="20"/>
          <w:szCs w:val="20"/>
          <w:color w:val="auto"/>
        </w:rPr>
      </w:pPr>
      <w:r>
        <w:rPr>
          <w:rFonts w:ascii="Arial" w:cs="Arial" w:eastAsia="Arial" w:hAnsi="Arial"/>
          <w:sz w:val="18"/>
          <w:szCs w:val="18"/>
          <w:color w:val="auto"/>
        </w:rPr>
        <w:t>The minimum amount of any sinking fund payment provided for by the terms of the Securities of any Series is herein referred to as a “</w:t>
      </w:r>
      <w:r>
        <w:rPr>
          <w:rFonts w:ascii="Arial" w:cs="Arial" w:eastAsia="Arial" w:hAnsi="Arial"/>
          <w:sz w:val="18"/>
          <w:szCs w:val="18"/>
          <w:i w:val="1"/>
          <w:iCs w:val="1"/>
          <w:color w:val="auto"/>
        </w:rPr>
        <w:t>mandatory</w:t>
      </w:r>
      <w:r>
        <w:rPr>
          <w:rFonts w:ascii="Arial" w:cs="Arial" w:eastAsia="Arial" w:hAnsi="Arial"/>
          <w:sz w:val="18"/>
          <w:szCs w:val="18"/>
          <w:color w:val="auto"/>
        </w:rPr>
        <w:t xml:space="preserve"> </w:t>
      </w:r>
      <w:r>
        <w:rPr>
          <w:rFonts w:ascii="Arial" w:cs="Arial" w:eastAsia="Arial" w:hAnsi="Arial"/>
          <w:sz w:val="18"/>
          <w:szCs w:val="18"/>
          <w:i w:val="1"/>
          <w:iCs w:val="1"/>
          <w:color w:val="auto"/>
        </w:rPr>
        <w:t>sinking fund payment</w:t>
      </w:r>
      <w:r>
        <w:rPr>
          <w:rFonts w:ascii="Arial" w:cs="Arial" w:eastAsia="Arial" w:hAnsi="Arial"/>
          <w:sz w:val="18"/>
          <w:szCs w:val="18"/>
          <w:color w:val="auto"/>
        </w:rPr>
        <w:t>” and any other amount provided for by the terms of Securities of such Series is herein referred to as an “</w:t>
      </w:r>
      <w:r>
        <w:rPr>
          <w:rFonts w:ascii="Arial" w:cs="Arial" w:eastAsia="Arial" w:hAnsi="Arial"/>
          <w:sz w:val="18"/>
          <w:szCs w:val="18"/>
          <w:i w:val="1"/>
          <w:iCs w:val="1"/>
          <w:color w:val="auto"/>
        </w:rPr>
        <w:t>optional sinking fund payment</w:t>
      </w:r>
      <w:r>
        <w:rPr>
          <w:rFonts w:ascii="Arial" w:cs="Arial" w:eastAsia="Arial" w:hAnsi="Arial"/>
          <w:sz w:val="18"/>
          <w:szCs w:val="18"/>
          <w:color w:val="auto"/>
        </w:rPr>
        <w:t>.” If provided for by the terms of Securities of any Series, the cash amount of any sinking fund payment may be subject to reduction as provided</w:t>
      </w:r>
      <w:r>
        <w:rPr>
          <w:rFonts w:ascii="Arial" w:cs="Arial" w:eastAsia="Arial" w:hAnsi="Arial"/>
          <w:sz w:val="18"/>
          <w:szCs w:val="18"/>
          <w:i w:val="1"/>
          <w:iCs w:val="1"/>
          <w:color w:val="auto"/>
        </w:rPr>
        <w:t xml:space="preserve"> </w:t>
      </w:r>
      <w:r>
        <w:rPr>
          <w:rFonts w:ascii="Arial" w:cs="Arial" w:eastAsia="Arial" w:hAnsi="Arial"/>
          <w:sz w:val="18"/>
          <w:szCs w:val="18"/>
          <w:color w:val="auto"/>
        </w:rPr>
        <w:t>in Section 11.2. Each sinking fund payment shall be applied to the redemption of Securities of any Series as provided for by the terms of the Securities of such Series.</w:t>
      </w:r>
    </w:p>
    <w:p>
      <w:pPr>
        <w:spacing w:after="0" w:line="12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34</w:t>
      </w:r>
    </w:p>
    <w:p>
      <w:pPr>
        <w:sectPr>
          <w:pgSz w:w="11900" w:h="16838" w:orient="portrait"/>
          <w:cols w:equalWidth="0" w:num="1">
            <w:col w:w="11000"/>
          </w:cols>
          <w:pgMar w:left="440" w:top="274" w:right="459" w:bottom="1440" w:gutter="0" w:footer="0" w:header="0"/>
        </w:sectPr>
      </w:pPr>
    </w:p>
    <w:bookmarkStart w:id="152" w:name="page153"/>
    <w:bookmarkEnd w:id="152"/>
    <w:p>
      <w:pPr>
        <w:ind w:left="440"/>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197" name="Picture 1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7"/>
                    <pic:cNvPicPr>
                      <a:picLocks noChangeAspect="1" noChangeArrowheads="1"/>
                    </pic:cNvPicPr>
                  </pic:nvPicPr>
                  <pic:blipFill>
                    <a:blip r:embed="rId219">
                      <a:extLst>
                        <a:ext uri="{28A0092B-C50C-407E-A947-70E740481C1C}"/>
                      </a:extLst>
                    </a:blip>
                    <a:srcRect/>
                    <a:stretch>
                      <a:fillRect/>
                    </a:stretch>
                  </pic:blipFill>
                  <pic:spPr bwMode="auto">
                    <a:xfrm>
                      <a:off x="0" y="0"/>
                      <a:ext cx="7149465" cy="26035"/>
                    </a:xfrm>
                    <a:prstGeom prst="rect">
                      <a:avLst/>
                    </a:prstGeom>
                    <a:noFill/>
                  </pic:spPr>
                </pic:pic>
              </a:graphicData>
            </a:graphic>
          </wp:anchor>
        </w:drawing>
        <w:t xml:space="preserve">Section 11.2. </w:t>
      </w:r>
      <w:r>
        <w:rPr>
          <w:rFonts w:ascii="Arial" w:cs="Arial" w:eastAsia="Arial" w:hAnsi="Arial"/>
          <w:sz w:val="18"/>
          <w:szCs w:val="18"/>
          <w:u w:val="single" w:color="auto"/>
          <w:color w:val="auto"/>
        </w:rPr>
        <w:t>Satisfaction of Sinking Fund Payments with Securities</w:t>
      </w:r>
      <w:r>
        <w:rPr>
          <w:rFonts w:ascii="Arial" w:cs="Arial" w:eastAsia="Arial" w:hAnsi="Arial"/>
          <w:sz w:val="18"/>
          <w:szCs w:val="18"/>
          <w:color w:val="auto"/>
        </w:rPr>
        <w:t>.</w:t>
      </w:r>
    </w:p>
    <w:p>
      <w:pPr>
        <w:spacing w:after="0" w:line="225" w:lineRule="exact"/>
        <w:rPr>
          <w:sz w:val="20"/>
          <w:szCs w:val="20"/>
          <w:color w:val="auto"/>
        </w:rPr>
      </w:pPr>
    </w:p>
    <w:p>
      <w:pPr>
        <w:ind w:firstLine="440"/>
        <w:spacing w:after="0" w:line="268" w:lineRule="auto"/>
        <w:rPr>
          <w:sz w:val="20"/>
          <w:szCs w:val="20"/>
          <w:color w:val="auto"/>
        </w:rPr>
      </w:pPr>
      <w:r>
        <w:rPr>
          <w:rFonts w:ascii="Arial" w:cs="Arial" w:eastAsia="Arial" w:hAnsi="Arial"/>
          <w:sz w:val="17"/>
          <w:szCs w:val="17"/>
          <w:color w:val="auto"/>
        </w:rPr>
        <w:t xml:space="preserve">The Company may, in satisfaction of all or any part of any sinking fund payment with respect to the Securities of any Series to be made pursuant to the terms of such Securities (1) deliver outstanding Securities of such Series to which such sinking fund payment is applicable (other than any of such Securities previously called for mandatory sinking fund redemption) and (2) apply as credit Securities of such Series to which such sinking fund payment is applicable and which have been repurchased by the Company or redeemed either at the election of the Company pursuant to the terms of such Series of Securities (except pursuant to any mandatory sinking fund) or through the application of permitted optional sinking fund payments or other optional redemptions pursuant to the terms of such Securities, provided that such Securities have not been previously so credited. Such Securities shall be received by the Trustee, together with an Officer’s Certificate with respect thereto, not later than 15 days prior to the date on which the Trustee begins the process of selecting Securities for redemption, and shall be credited for such purpose by the Trustee at the price specified in such Securities for redemption through operation of the sinking fund and the amount of such sinking fund payment shall be reduced accordingly. If as a result of the delivery or credit of Securities in lieu of cash payments pursuant to this Section 11.2, the principal amount of Securities of such Series to be redeemed in order to exhaust the aforesaid cash payment shall be less than $100,000, the Trustee need not call Securities of such Series for redemption, except upon receipt of a Company Order that such action be taken, and such cash payment shall be held by the Trustee or a Paying Agent and applied to the next succeeding sinking fund payment, </w:t>
      </w:r>
      <w:r>
        <w:rPr>
          <w:rFonts w:ascii="Arial" w:cs="Arial" w:eastAsia="Arial" w:hAnsi="Arial"/>
          <w:sz w:val="17"/>
          <w:szCs w:val="17"/>
          <w:u w:val="single" w:color="auto"/>
          <w:color w:val="auto"/>
        </w:rPr>
        <w:t>provided</w:t>
      </w:r>
      <w:r>
        <w:rPr>
          <w:rFonts w:ascii="Arial" w:cs="Arial" w:eastAsia="Arial" w:hAnsi="Arial"/>
          <w:sz w:val="17"/>
          <w:szCs w:val="17"/>
          <w:color w:val="auto"/>
        </w:rPr>
        <w:t xml:space="preserve">, </w:t>
      </w:r>
      <w:r>
        <w:rPr>
          <w:rFonts w:ascii="Arial" w:cs="Arial" w:eastAsia="Arial" w:hAnsi="Arial"/>
          <w:sz w:val="17"/>
          <w:szCs w:val="17"/>
          <w:u w:val="single" w:color="auto"/>
          <w:color w:val="auto"/>
        </w:rPr>
        <w:t>however</w:t>
      </w:r>
      <w:r>
        <w:rPr>
          <w:rFonts w:ascii="Arial" w:cs="Arial" w:eastAsia="Arial" w:hAnsi="Arial"/>
          <w:sz w:val="17"/>
          <w:szCs w:val="17"/>
          <w:color w:val="auto"/>
        </w:rPr>
        <w:t>, that the Trustee or such Paying Agent shall from time to time upon receipt of a Company Order pay over and deliver to the Company any cash payment so being held by the Trustee or such Paying Agent upon delivery by the Company to the Trustee of Securities of that Series purchased by the Company having an unpaid principal amount equal to the cash payment required to be released to the Company.</w:t>
      </w:r>
    </w:p>
    <w:p>
      <w:pPr>
        <w:spacing w:after="0" w:line="180" w:lineRule="exact"/>
        <w:rPr>
          <w:sz w:val="20"/>
          <w:szCs w:val="20"/>
          <w:color w:val="auto"/>
        </w:rPr>
      </w:pPr>
    </w:p>
    <w:p>
      <w:pPr>
        <w:ind w:left="440"/>
        <w:spacing w:after="0"/>
        <w:rPr>
          <w:sz w:val="20"/>
          <w:szCs w:val="20"/>
          <w:color w:val="auto"/>
        </w:rPr>
      </w:pPr>
      <w:r>
        <w:rPr>
          <w:rFonts w:ascii="Arial" w:cs="Arial" w:eastAsia="Arial" w:hAnsi="Arial"/>
          <w:sz w:val="18"/>
          <w:szCs w:val="18"/>
          <w:color w:val="auto"/>
        </w:rPr>
        <w:t>Section 11.3. Redemption of Securities for Sinking Fund.</w:t>
      </w:r>
    </w:p>
    <w:p>
      <w:pPr>
        <w:spacing w:after="0" w:line="225" w:lineRule="exact"/>
        <w:rPr>
          <w:sz w:val="20"/>
          <w:szCs w:val="20"/>
          <w:color w:val="auto"/>
        </w:rPr>
      </w:pPr>
    </w:p>
    <w:p>
      <w:pPr>
        <w:ind w:right="40" w:firstLine="440"/>
        <w:spacing w:after="0" w:line="269" w:lineRule="auto"/>
        <w:rPr>
          <w:sz w:val="20"/>
          <w:szCs w:val="20"/>
          <w:color w:val="auto"/>
        </w:rPr>
      </w:pPr>
      <w:r>
        <w:rPr>
          <w:rFonts w:ascii="Arial" w:cs="Arial" w:eastAsia="Arial" w:hAnsi="Arial"/>
          <w:sz w:val="17"/>
          <w:szCs w:val="17"/>
          <w:color w:val="auto"/>
        </w:rPr>
        <w:t>Not less than 45 days (unless otherwise indicated in the Board Resolution, supplemental indenture hereto or Officer’s Certificate in respect of a particular Series of Securities) prior to each sinking fund payment date for any Series of Securities, the Company will deliver to the Trustee an Officer’s Certificate specifying the amount of the next ensuing mandatory sinking fund payment for that Series pursuant to the terms of that Series, the portion thereof, if any, which is to be satisfied by payment of cash and the portion thereof, if any, which is to be satisfied by delivering and crediting of Securities of that Series pursuant to Section 11.2, and the optional amount, if any, to be added in cash to the next ensuing mandatory sinking fund payment, and the Company shall thereupon be obligated to pay the amount therein specified. Not less than 30 days (unless otherwise indicated in the Board Resolution, Officer’s Certificate or supplemental indenture in respect of a particular Series of Securities) before each such sinking fund payment date the Securities to be redeemed upon such sinking fund payment date will be selected in the manner specified in Section 3.2 and the Company shall send or cause to be sent a notice of the redemption thereof to be given in the name of and at the expense of the Company in the manner provided in and in accordance with Section 3.3. Such notice having been duly given, the redemption of such Securities shall be made upon the terms and in the manner stated in Sections 3.4, 3.5 and 3.6.</w:t>
      </w:r>
    </w:p>
    <w:p>
      <w:pPr>
        <w:spacing w:after="0" w:line="182" w:lineRule="exact"/>
        <w:rPr>
          <w:sz w:val="20"/>
          <w:szCs w:val="20"/>
          <w:color w:val="auto"/>
        </w:rPr>
      </w:pPr>
    </w:p>
    <w:p>
      <w:pPr>
        <w:ind w:left="440"/>
        <w:spacing w:after="0"/>
        <w:rPr>
          <w:sz w:val="20"/>
          <w:szCs w:val="20"/>
          <w:color w:val="auto"/>
        </w:rPr>
      </w:pPr>
      <w:r>
        <w:rPr>
          <w:rFonts w:ascii="Arial" w:cs="Arial" w:eastAsia="Arial" w:hAnsi="Arial"/>
          <w:sz w:val="17"/>
          <w:szCs w:val="17"/>
          <w:color w:val="auto"/>
        </w:rPr>
        <w:t>IN WITNESS WHEREOF, the parties hereto have caused this Indenture to be duly executed as of the day and year first above written.</w:t>
      </w:r>
    </w:p>
    <w:p>
      <w:pPr>
        <w:spacing w:after="0" w:line="264" w:lineRule="exact"/>
        <w:rPr>
          <w:sz w:val="20"/>
          <w:szCs w:val="20"/>
          <w:color w:val="auto"/>
        </w:rPr>
      </w:pPr>
    </w:p>
    <w:p>
      <w:pPr>
        <w:ind w:left="6620"/>
        <w:spacing w:after="0"/>
        <w:rPr>
          <w:sz w:val="20"/>
          <w:szCs w:val="20"/>
          <w:color w:val="auto"/>
        </w:rPr>
      </w:pPr>
      <w:r>
        <w:rPr>
          <w:rFonts w:ascii="Arial" w:cs="Arial" w:eastAsia="Arial" w:hAnsi="Arial"/>
          <w:sz w:val="18"/>
          <w:szCs w:val="18"/>
          <w:color w:val="auto"/>
        </w:rPr>
        <w:t>LARIMAR THERAPEUTICS, INC.</w:t>
      </w:r>
    </w:p>
    <w:p>
      <w:pPr>
        <w:spacing w:after="0" w:line="225" w:lineRule="exact"/>
        <w:rPr>
          <w:sz w:val="20"/>
          <w:szCs w:val="20"/>
          <w:color w:val="auto"/>
        </w:rPr>
      </w:pPr>
    </w:p>
    <w:p>
      <w:pPr>
        <w:ind w:left="6620"/>
        <w:spacing w:after="0"/>
        <w:rPr>
          <w:sz w:val="20"/>
          <w:szCs w:val="20"/>
          <w:color w:val="auto"/>
        </w:rPr>
      </w:pPr>
      <w:r>
        <w:rPr>
          <w:rFonts w:ascii="Arial" w:cs="Arial" w:eastAsia="Arial" w:hAnsi="Arial"/>
          <w:sz w:val="18"/>
          <w:szCs w:val="18"/>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4429125</wp:posOffset>
            </wp:positionH>
            <wp:positionV relativeFrom="paragraph">
              <wp:posOffset>-19050</wp:posOffset>
            </wp:positionV>
            <wp:extent cx="2562860" cy="8890"/>
            <wp:wrapNone/>
            <wp:docPr id="198" name="Picture 1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8"/>
                    <pic:cNvPicPr>
                      <a:picLocks noChangeAspect="1" noChangeArrowheads="1"/>
                    </pic:cNvPicPr>
                  </pic:nvPicPr>
                  <pic:blipFill>
                    <a:blip r:embed="rId220">
                      <a:extLst>
                        <a:ext uri="{28A0092B-C50C-407E-A947-70E740481C1C}"/>
                      </a:extLst>
                    </a:blip>
                    <a:srcRect/>
                    <a:stretch>
                      <a:fillRect/>
                    </a:stretch>
                  </pic:blipFill>
                  <pic:spPr bwMode="auto">
                    <a:xfrm>
                      <a:off x="0" y="0"/>
                      <a:ext cx="2562860" cy="8890"/>
                    </a:xfrm>
                    <a:prstGeom prst="rect">
                      <a:avLst/>
                    </a:prstGeom>
                    <a:noFill/>
                  </pic:spPr>
                </pic:pic>
              </a:graphicData>
            </a:graphic>
          </wp:anchor>
        </w:drawing>
      </w:r>
    </w:p>
    <w:p>
      <w:pPr>
        <w:spacing w:after="0" w:line="3" w:lineRule="exact"/>
        <w:rPr>
          <w:sz w:val="20"/>
          <w:szCs w:val="20"/>
          <w:color w:val="auto"/>
        </w:rPr>
      </w:pPr>
    </w:p>
    <w:p>
      <w:pPr>
        <w:ind w:left="6980"/>
        <w:spacing w:after="0"/>
        <w:rPr>
          <w:sz w:val="20"/>
          <w:szCs w:val="20"/>
          <w:color w:val="auto"/>
        </w:rPr>
      </w:pPr>
      <w:r>
        <w:rPr>
          <w:rFonts w:ascii="Arial" w:cs="Arial" w:eastAsia="Arial" w:hAnsi="Arial"/>
          <w:sz w:val="18"/>
          <w:szCs w:val="18"/>
          <w:color w:val="auto"/>
        </w:rPr>
        <w:t>Name:</w:t>
      </w:r>
    </w:p>
    <w:p>
      <w:pPr>
        <w:spacing w:after="0" w:line="9" w:lineRule="exact"/>
        <w:rPr>
          <w:sz w:val="20"/>
          <w:szCs w:val="20"/>
          <w:color w:val="auto"/>
        </w:rPr>
      </w:pPr>
    </w:p>
    <w:p>
      <w:pPr>
        <w:ind w:left="6980"/>
        <w:spacing w:after="0"/>
        <w:rPr>
          <w:sz w:val="20"/>
          <w:szCs w:val="20"/>
          <w:color w:val="auto"/>
        </w:rPr>
      </w:pPr>
      <w:r>
        <w:rPr>
          <w:rFonts w:ascii="Arial" w:cs="Arial" w:eastAsia="Arial" w:hAnsi="Arial"/>
          <w:sz w:val="18"/>
          <w:szCs w:val="18"/>
          <w:color w:val="auto"/>
        </w:rPr>
        <w:t>Its:</w:t>
      </w:r>
    </w:p>
    <w:p>
      <w:pPr>
        <w:spacing w:after="0" w:line="211" w:lineRule="exact"/>
        <w:rPr>
          <w:sz w:val="20"/>
          <w:szCs w:val="20"/>
          <w:color w:val="auto"/>
        </w:rPr>
      </w:pPr>
    </w:p>
    <w:p>
      <w:pPr>
        <w:ind w:left="6620"/>
        <w:spacing w:after="0"/>
        <w:rPr>
          <w:sz w:val="20"/>
          <w:szCs w:val="20"/>
          <w:color w:val="auto"/>
        </w:rPr>
      </w:pPr>
      <w:r>
        <w:rPr>
          <w:rFonts w:ascii="Arial" w:cs="Arial" w:eastAsia="Arial" w:hAnsi="Arial"/>
          <w:sz w:val="18"/>
          <w:szCs w:val="18"/>
          <w:color w:val="auto"/>
        </w:rPr>
        <w:t>[●], as Trustee</w:t>
      </w:r>
    </w:p>
    <w:p>
      <w:pPr>
        <w:spacing w:after="0" w:line="225" w:lineRule="exact"/>
        <w:rPr>
          <w:sz w:val="20"/>
          <w:szCs w:val="20"/>
          <w:color w:val="auto"/>
        </w:rPr>
      </w:pPr>
    </w:p>
    <w:p>
      <w:pPr>
        <w:ind w:left="6620"/>
        <w:spacing w:after="0"/>
        <w:rPr>
          <w:sz w:val="20"/>
          <w:szCs w:val="20"/>
          <w:color w:val="auto"/>
        </w:rPr>
      </w:pPr>
      <w:r>
        <w:rPr>
          <w:rFonts w:ascii="Arial" w:cs="Arial" w:eastAsia="Arial" w:hAnsi="Arial"/>
          <w:sz w:val="18"/>
          <w:szCs w:val="18"/>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4429125</wp:posOffset>
            </wp:positionH>
            <wp:positionV relativeFrom="paragraph">
              <wp:posOffset>-19050</wp:posOffset>
            </wp:positionV>
            <wp:extent cx="2562860" cy="8890"/>
            <wp:wrapNone/>
            <wp:docPr id="199" name="Picture 1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9"/>
                    <pic:cNvPicPr>
                      <a:picLocks noChangeAspect="1" noChangeArrowheads="1"/>
                    </pic:cNvPicPr>
                  </pic:nvPicPr>
                  <pic:blipFill>
                    <a:blip r:embed="rId221">
                      <a:extLst>
                        <a:ext uri="{28A0092B-C50C-407E-A947-70E740481C1C}"/>
                      </a:extLst>
                    </a:blip>
                    <a:srcRect/>
                    <a:stretch>
                      <a:fillRect/>
                    </a:stretch>
                  </pic:blipFill>
                  <pic:spPr bwMode="auto">
                    <a:xfrm>
                      <a:off x="0" y="0"/>
                      <a:ext cx="2562860" cy="8890"/>
                    </a:xfrm>
                    <a:prstGeom prst="rect">
                      <a:avLst/>
                    </a:prstGeom>
                    <a:noFill/>
                  </pic:spPr>
                </pic:pic>
              </a:graphicData>
            </a:graphic>
          </wp:anchor>
        </w:drawing>
      </w:r>
    </w:p>
    <w:p>
      <w:pPr>
        <w:spacing w:after="0" w:line="3" w:lineRule="exact"/>
        <w:rPr>
          <w:sz w:val="20"/>
          <w:szCs w:val="20"/>
          <w:color w:val="auto"/>
        </w:rPr>
      </w:pPr>
    </w:p>
    <w:p>
      <w:pPr>
        <w:ind w:left="6980"/>
        <w:spacing w:after="0"/>
        <w:rPr>
          <w:sz w:val="20"/>
          <w:szCs w:val="20"/>
          <w:color w:val="auto"/>
        </w:rPr>
      </w:pPr>
      <w:r>
        <w:rPr>
          <w:rFonts w:ascii="Arial" w:cs="Arial" w:eastAsia="Arial" w:hAnsi="Arial"/>
          <w:sz w:val="18"/>
          <w:szCs w:val="18"/>
          <w:color w:val="auto"/>
        </w:rPr>
        <w:t>Name:</w:t>
      </w:r>
    </w:p>
    <w:p>
      <w:pPr>
        <w:spacing w:after="0" w:line="9" w:lineRule="exact"/>
        <w:rPr>
          <w:sz w:val="20"/>
          <w:szCs w:val="20"/>
          <w:color w:val="auto"/>
        </w:rPr>
      </w:pPr>
    </w:p>
    <w:p>
      <w:pPr>
        <w:ind w:left="6980"/>
        <w:spacing w:after="0"/>
        <w:rPr>
          <w:sz w:val="20"/>
          <w:szCs w:val="20"/>
          <w:color w:val="auto"/>
        </w:rPr>
      </w:pPr>
      <w:r>
        <w:rPr>
          <w:rFonts w:ascii="Arial" w:cs="Arial" w:eastAsia="Arial" w:hAnsi="Arial"/>
          <w:sz w:val="18"/>
          <w:szCs w:val="18"/>
          <w:color w:val="auto"/>
        </w:rPr>
        <w:t>Its:</w:t>
      </w:r>
    </w:p>
    <w:p>
      <w:pPr>
        <w:spacing w:after="0" w:line="14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35</w:t>
      </w:r>
    </w:p>
    <w:p>
      <w:pPr>
        <w:sectPr>
          <w:pgSz w:w="11900" w:h="16838" w:orient="portrait"/>
          <w:cols w:equalWidth="0" w:num="1">
            <w:col w:w="10980"/>
          </w:cols>
          <w:pgMar w:left="440" w:top="274" w:right="479" w:bottom="1440" w:gutter="0" w:footer="0" w:header="0"/>
        </w:sectPr>
      </w:pPr>
    </w:p>
    <w:bookmarkStart w:id="153" w:name="page154"/>
    <w:bookmarkEnd w:id="153"/>
    <w:p>
      <w:pPr>
        <w:ind w:left="4"/>
        <w:spacing w:after="0"/>
        <w:rPr>
          <w:sz w:val="20"/>
          <w:szCs w:val="20"/>
          <w:color w:val="auto"/>
        </w:rPr>
      </w:pPr>
      <w:r>
        <w:rPr>
          <w:rFonts w:ascii="Arial" w:cs="Arial" w:eastAsia="Arial" w:hAnsi="Arial"/>
          <w:sz w:val="18"/>
          <w:szCs w:val="18"/>
          <w:color w:val="auto"/>
        </w:rPr>
        <w:t>Troutman Pepper Hamilton Sanders LLP</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5537835</wp:posOffset>
            </wp:positionH>
            <wp:positionV relativeFrom="paragraph">
              <wp:posOffset>-121920</wp:posOffset>
            </wp:positionV>
            <wp:extent cx="1457325" cy="608330"/>
            <wp:wrapNone/>
            <wp:docPr id="200" name="Picture 2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0"/>
                    <pic:cNvPicPr>
                      <a:picLocks noChangeAspect="1" noChangeArrowheads="1"/>
                    </pic:cNvPicPr>
                  </pic:nvPicPr>
                  <pic:blipFill>
                    <a:blip r:embed="rId222">
                      <a:extLst>
                        <a:ext uri="{28A0092B-C50C-407E-A947-70E740481C1C}"/>
                      </a:extLst>
                    </a:blip>
                    <a:srcRect/>
                    <a:stretch>
                      <a:fillRect/>
                    </a:stretch>
                  </pic:blipFill>
                  <pic:spPr bwMode="auto">
                    <a:xfrm>
                      <a:off x="0" y="0"/>
                      <a:ext cx="1457325" cy="608330"/>
                    </a:xfrm>
                    <a:prstGeom prst="rect">
                      <a:avLst/>
                    </a:prstGeom>
                    <a:noFill/>
                  </pic:spPr>
                </pic:pic>
              </a:graphicData>
            </a:graphic>
          </wp:anchor>
        </w:drawing>
      </w:r>
    </w:p>
    <w:p>
      <w:pPr>
        <w:spacing w:after="0" w:line="3" w:lineRule="exact"/>
        <w:rPr>
          <w:sz w:val="20"/>
          <w:szCs w:val="20"/>
          <w:color w:val="auto"/>
        </w:rPr>
      </w:pPr>
    </w:p>
    <w:p>
      <w:pPr>
        <w:ind w:left="4"/>
        <w:spacing w:after="0"/>
        <w:rPr>
          <w:sz w:val="20"/>
          <w:szCs w:val="20"/>
          <w:color w:val="auto"/>
        </w:rPr>
      </w:pPr>
      <w:r>
        <w:rPr>
          <w:rFonts w:ascii="Arial" w:cs="Arial" w:eastAsia="Arial" w:hAnsi="Arial"/>
          <w:sz w:val="18"/>
          <w:szCs w:val="18"/>
          <w:color w:val="auto"/>
        </w:rPr>
        <w:t>3000 Two Logan Square, Eighteenth and Arch Streets</w:t>
      </w:r>
    </w:p>
    <w:p>
      <w:pPr>
        <w:spacing w:after="0" w:line="9" w:lineRule="exact"/>
        <w:rPr>
          <w:sz w:val="20"/>
          <w:szCs w:val="20"/>
          <w:color w:val="auto"/>
        </w:rPr>
      </w:pPr>
    </w:p>
    <w:p>
      <w:pPr>
        <w:ind w:left="4"/>
        <w:spacing w:after="0"/>
        <w:rPr>
          <w:sz w:val="20"/>
          <w:szCs w:val="20"/>
          <w:color w:val="auto"/>
        </w:rPr>
      </w:pPr>
      <w:r>
        <w:rPr>
          <w:rFonts w:ascii="Arial" w:cs="Arial" w:eastAsia="Arial" w:hAnsi="Arial"/>
          <w:sz w:val="18"/>
          <w:szCs w:val="18"/>
          <w:color w:val="auto"/>
        </w:rPr>
        <w:t>Philadelphia, PA 19103-2799</w:t>
      </w:r>
    </w:p>
    <w:p>
      <w:pPr>
        <w:spacing w:after="0" w:line="305" w:lineRule="exact"/>
        <w:rPr>
          <w:sz w:val="20"/>
          <w:szCs w:val="20"/>
          <w:color w:val="auto"/>
        </w:rPr>
      </w:pPr>
    </w:p>
    <w:p>
      <w:pPr>
        <w:ind w:left="4"/>
        <w:spacing w:after="0"/>
        <w:rPr>
          <w:sz w:val="20"/>
          <w:szCs w:val="20"/>
          <w:color w:val="auto"/>
        </w:rPr>
      </w:pPr>
      <w:r>
        <w:rPr>
          <w:rFonts w:ascii="Arial" w:cs="Arial" w:eastAsia="Arial" w:hAnsi="Arial"/>
          <w:sz w:val="18"/>
          <w:szCs w:val="18"/>
          <w:color w:val="auto"/>
        </w:rPr>
        <w:t>troutman.com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177800</wp:posOffset>
            </wp:positionV>
            <wp:extent cx="6995160" cy="8255"/>
            <wp:wrapNone/>
            <wp:docPr id="201" name="Picture 2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1"/>
                    <pic:cNvPicPr>
                      <a:picLocks noChangeAspect="1" noChangeArrowheads="1"/>
                    </pic:cNvPicPr>
                  </pic:nvPicPr>
                  <pic:blipFill>
                    <a:blip r:embed="rId223">
                      <a:extLst>
                        <a:ext uri="{28A0092B-C50C-407E-A947-70E740481C1C}"/>
                      </a:extLst>
                    </a:blip>
                    <a:srcRect/>
                    <a:stretch>
                      <a:fillRect/>
                    </a:stretch>
                  </pic:blipFill>
                  <pic:spPr bwMode="auto">
                    <a:xfrm>
                      <a:off x="0" y="0"/>
                      <a:ext cx="6995160" cy="8255"/>
                    </a:xfrm>
                    <a:prstGeom prst="rect">
                      <a:avLst/>
                    </a:prstGeom>
                    <a:noFill/>
                  </pic:spPr>
                </pic:pic>
              </a:graphicData>
            </a:graphic>
          </wp:anchor>
        </w:drawing>
      </w:r>
    </w:p>
    <w:p>
      <w:pPr>
        <w:spacing w:after="0" w:line="200" w:lineRule="exact"/>
        <w:rPr>
          <w:sz w:val="20"/>
          <w:szCs w:val="20"/>
          <w:color w:val="auto"/>
        </w:rPr>
      </w:pPr>
    </w:p>
    <w:p>
      <w:pPr>
        <w:spacing w:after="0" w:line="271" w:lineRule="exact"/>
        <w:rPr>
          <w:sz w:val="20"/>
          <w:szCs w:val="20"/>
          <w:color w:val="auto"/>
        </w:rPr>
      </w:pPr>
    </w:p>
    <w:p>
      <w:pPr>
        <w:jc w:val="right"/>
        <w:spacing w:after="0"/>
        <w:rPr>
          <w:sz w:val="20"/>
          <w:szCs w:val="20"/>
          <w:color w:val="auto"/>
        </w:rPr>
      </w:pPr>
      <w:r>
        <w:rPr>
          <w:rFonts w:ascii="Arial" w:cs="Arial" w:eastAsia="Arial" w:hAnsi="Arial"/>
          <w:sz w:val="18"/>
          <w:szCs w:val="18"/>
          <w:b w:val="1"/>
          <w:bCs w:val="1"/>
          <w:color w:val="auto"/>
        </w:rPr>
        <w:t>Exhibit 5.1</w:t>
      </w:r>
    </w:p>
    <w:p>
      <w:pPr>
        <w:spacing w:after="0" w:line="229" w:lineRule="exact"/>
        <w:rPr>
          <w:sz w:val="20"/>
          <w:szCs w:val="20"/>
          <w:color w:val="auto"/>
        </w:rPr>
      </w:pPr>
    </w:p>
    <w:p>
      <w:pPr>
        <w:jc w:val="center"/>
        <w:ind w:right="-3"/>
        <w:spacing w:after="0"/>
        <w:rPr>
          <w:sz w:val="20"/>
          <w:szCs w:val="20"/>
          <w:color w:val="auto"/>
        </w:rPr>
      </w:pPr>
      <w:r>
        <w:rPr>
          <w:rFonts w:ascii="Arial" w:cs="Arial" w:eastAsia="Arial" w:hAnsi="Arial"/>
          <w:sz w:val="18"/>
          <w:szCs w:val="18"/>
          <w:color w:val="auto"/>
        </w:rPr>
        <w:t>August 14, 2020</w:t>
      </w:r>
    </w:p>
    <w:p>
      <w:pPr>
        <w:spacing w:after="0" w:line="225" w:lineRule="exact"/>
        <w:rPr>
          <w:sz w:val="20"/>
          <w:szCs w:val="20"/>
          <w:color w:val="auto"/>
        </w:rPr>
      </w:pPr>
    </w:p>
    <w:p>
      <w:pPr>
        <w:ind w:left="4"/>
        <w:spacing w:after="0"/>
        <w:rPr>
          <w:sz w:val="20"/>
          <w:szCs w:val="20"/>
          <w:color w:val="auto"/>
        </w:rPr>
      </w:pPr>
      <w:r>
        <w:rPr>
          <w:rFonts w:ascii="Arial" w:cs="Arial" w:eastAsia="Arial" w:hAnsi="Arial"/>
          <w:sz w:val="18"/>
          <w:szCs w:val="18"/>
          <w:color w:val="auto"/>
        </w:rPr>
        <w:t>Larimar Therapeutics, Inc.</w:t>
      </w:r>
    </w:p>
    <w:p>
      <w:pPr>
        <w:spacing w:after="0" w:line="23" w:lineRule="exact"/>
        <w:rPr>
          <w:sz w:val="20"/>
          <w:szCs w:val="20"/>
          <w:color w:val="auto"/>
        </w:rPr>
      </w:pPr>
    </w:p>
    <w:p>
      <w:pPr>
        <w:ind w:left="4"/>
        <w:spacing w:after="0"/>
        <w:rPr>
          <w:sz w:val="20"/>
          <w:szCs w:val="20"/>
          <w:color w:val="auto"/>
        </w:rPr>
      </w:pPr>
      <w:r>
        <w:rPr>
          <w:rFonts w:ascii="Arial" w:cs="Arial" w:eastAsia="Arial" w:hAnsi="Arial"/>
          <w:sz w:val="18"/>
          <w:szCs w:val="18"/>
          <w:color w:val="auto"/>
        </w:rPr>
        <w:t>Three Bala Plaza East, Suite 506</w:t>
      </w:r>
    </w:p>
    <w:p>
      <w:pPr>
        <w:spacing w:after="0" w:line="9" w:lineRule="exact"/>
        <w:rPr>
          <w:sz w:val="20"/>
          <w:szCs w:val="20"/>
          <w:color w:val="auto"/>
        </w:rPr>
      </w:pPr>
    </w:p>
    <w:p>
      <w:pPr>
        <w:ind w:left="4"/>
        <w:spacing w:after="0"/>
        <w:rPr>
          <w:sz w:val="20"/>
          <w:szCs w:val="20"/>
          <w:color w:val="auto"/>
        </w:rPr>
      </w:pPr>
      <w:r>
        <w:rPr>
          <w:rFonts w:ascii="Arial" w:cs="Arial" w:eastAsia="Arial" w:hAnsi="Arial"/>
          <w:sz w:val="18"/>
          <w:szCs w:val="18"/>
          <w:color w:val="auto"/>
        </w:rPr>
        <w:t>Bala Cynwyd, PA 19004</w:t>
      </w:r>
    </w:p>
    <w:p>
      <w:pPr>
        <w:spacing w:after="0" w:line="103" w:lineRule="exact"/>
        <w:rPr>
          <w:sz w:val="20"/>
          <w:szCs w:val="20"/>
          <w:color w:val="auto"/>
        </w:rPr>
      </w:pPr>
    </w:p>
    <w:p>
      <w:pPr>
        <w:ind w:left="444"/>
        <w:spacing w:after="0"/>
        <w:rPr>
          <w:sz w:val="20"/>
          <w:szCs w:val="20"/>
          <w:color w:val="auto"/>
        </w:rPr>
      </w:pPr>
      <w:r>
        <w:rPr>
          <w:rFonts w:ascii="Arial" w:cs="Arial" w:eastAsia="Arial" w:hAnsi="Arial"/>
          <w:sz w:val="18"/>
          <w:szCs w:val="18"/>
          <w:color w:val="auto"/>
        </w:rPr>
        <w:t xml:space="preserve">Re: </w:t>
      </w:r>
      <w:r>
        <w:rPr>
          <w:rFonts w:ascii="Arial" w:cs="Arial" w:eastAsia="Arial" w:hAnsi="Arial"/>
          <w:sz w:val="18"/>
          <w:szCs w:val="18"/>
          <w:u w:val="single" w:color="auto"/>
          <w:color w:val="auto"/>
        </w:rPr>
        <w:t>Registration Statement on Form S-3</w:t>
      </w:r>
    </w:p>
    <w:p>
      <w:pPr>
        <w:spacing w:after="0" w:line="225" w:lineRule="exact"/>
        <w:rPr>
          <w:sz w:val="20"/>
          <w:szCs w:val="20"/>
          <w:color w:val="auto"/>
        </w:rPr>
      </w:pPr>
    </w:p>
    <w:p>
      <w:pPr>
        <w:ind w:left="4"/>
        <w:spacing w:after="0"/>
        <w:rPr>
          <w:sz w:val="20"/>
          <w:szCs w:val="20"/>
          <w:color w:val="auto"/>
        </w:rPr>
      </w:pPr>
      <w:r>
        <w:rPr>
          <w:rFonts w:ascii="Arial" w:cs="Arial" w:eastAsia="Arial" w:hAnsi="Arial"/>
          <w:sz w:val="18"/>
          <w:szCs w:val="18"/>
          <w:color w:val="auto"/>
        </w:rPr>
        <w:t>Ladies and Gentlemen:</w:t>
      </w:r>
    </w:p>
    <w:p>
      <w:pPr>
        <w:spacing w:after="0" w:line="113" w:lineRule="exact"/>
        <w:rPr>
          <w:sz w:val="20"/>
          <w:szCs w:val="20"/>
          <w:color w:val="auto"/>
        </w:rPr>
      </w:pPr>
    </w:p>
    <w:p>
      <w:pPr>
        <w:ind w:left="4" w:right="20"/>
        <w:spacing w:after="0" w:line="285" w:lineRule="auto"/>
        <w:rPr>
          <w:sz w:val="20"/>
          <w:szCs w:val="20"/>
          <w:color w:val="auto"/>
        </w:rPr>
      </w:pPr>
      <w:r>
        <w:rPr>
          <w:rFonts w:ascii="Arial" w:cs="Arial" w:eastAsia="Arial" w:hAnsi="Arial"/>
          <w:sz w:val="16"/>
          <w:szCs w:val="16"/>
          <w:color w:val="auto"/>
        </w:rPr>
        <w:t>We have acted as counsel to Larimar Therapauetics, Inc., a Delaware corporation (the “</w:t>
      </w:r>
      <w:r>
        <w:rPr>
          <w:rFonts w:ascii="Arial" w:cs="Arial" w:eastAsia="Arial" w:hAnsi="Arial"/>
          <w:sz w:val="16"/>
          <w:szCs w:val="16"/>
          <w:b w:val="1"/>
          <w:bCs w:val="1"/>
          <w:color w:val="auto"/>
        </w:rPr>
        <w:t>Company</w:t>
      </w:r>
      <w:r>
        <w:rPr>
          <w:rFonts w:ascii="Arial" w:cs="Arial" w:eastAsia="Arial" w:hAnsi="Arial"/>
          <w:sz w:val="16"/>
          <w:szCs w:val="16"/>
          <w:color w:val="auto"/>
        </w:rPr>
        <w:t>”), in connection with the Company’s registration statement on Form S-3 (the “</w:t>
      </w:r>
      <w:r>
        <w:rPr>
          <w:rFonts w:ascii="Arial" w:cs="Arial" w:eastAsia="Arial" w:hAnsi="Arial"/>
          <w:sz w:val="16"/>
          <w:szCs w:val="16"/>
          <w:b w:val="1"/>
          <w:bCs w:val="1"/>
          <w:color w:val="auto"/>
        </w:rPr>
        <w:t>Registration Statement</w:t>
      </w:r>
      <w:r>
        <w:rPr>
          <w:rFonts w:ascii="Arial" w:cs="Arial" w:eastAsia="Arial" w:hAnsi="Arial"/>
          <w:sz w:val="16"/>
          <w:szCs w:val="16"/>
          <w:color w:val="auto"/>
        </w:rPr>
        <w:t>”), including the base prospectus that is part of the Registration Statement (the “</w:t>
      </w:r>
      <w:r>
        <w:rPr>
          <w:rFonts w:ascii="Arial" w:cs="Arial" w:eastAsia="Arial" w:hAnsi="Arial"/>
          <w:sz w:val="16"/>
          <w:szCs w:val="16"/>
          <w:b w:val="1"/>
          <w:bCs w:val="1"/>
          <w:color w:val="auto"/>
        </w:rPr>
        <w:t>Base Prospectus</w:t>
      </w:r>
      <w:r>
        <w:rPr>
          <w:rFonts w:ascii="Arial" w:cs="Arial" w:eastAsia="Arial" w:hAnsi="Arial"/>
          <w:sz w:val="16"/>
          <w:szCs w:val="16"/>
          <w:color w:val="auto"/>
        </w:rPr>
        <w:t>”) and the sales prospectus that is part of the Registration Statement (the “</w:t>
      </w:r>
      <w:r>
        <w:rPr>
          <w:rFonts w:ascii="Arial" w:cs="Arial" w:eastAsia="Arial" w:hAnsi="Arial"/>
          <w:sz w:val="16"/>
          <w:szCs w:val="16"/>
          <w:b w:val="1"/>
          <w:bCs w:val="1"/>
          <w:color w:val="auto"/>
        </w:rPr>
        <w:t>Sales Prospectus</w:t>
      </w:r>
      <w:r>
        <w:rPr>
          <w:rFonts w:ascii="Arial" w:cs="Arial" w:eastAsia="Arial" w:hAnsi="Arial"/>
          <w:sz w:val="16"/>
          <w:szCs w:val="16"/>
          <w:color w:val="auto"/>
        </w:rPr>
        <w:t>”), filed on the date hereof, with the Securities and Exchange Commission (the “</w:t>
      </w:r>
      <w:r>
        <w:rPr>
          <w:rFonts w:ascii="Arial" w:cs="Arial" w:eastAsia="Arial" w:hAnsi="Arial"/>
          <w:sz w:val="16"/>
          <w:szCs w:val="16"/>
          <w:b w:val="1"/>
          <w:bCs w:val="1"/>
          <w:color w:val="auto"/>
        </w:rPr>
        <w:t>Commission</w:t>
      </w:r>
      <w:r>
        <w:rPr>
          <w:rFonts w:ascii="Arial" w:cs="Arial" w:eastAsia="Arial" w:hAnsi="Arial"/>
          <w:sz w:val="16"/>
          <w:szCs w:val="16"/>
          <w:color w:val="auto"/>
        </w:rPr>
        <w:t>”) under the Securities Act of 1933, as amended (the “</w:t>
      </w:r>
      <w:r>
        <w:rPr>
          <w:rFonts w:ascii="Arial" w:cs="Arial" w:eastAsia="Arial" w:hAnsi="Arial"/>
          <w:sz w:val="16"/>
          <w:szCs w:val="16"/>
          <w:b w:val="1"/>
          <w:bCs w:val="1"/>
          <w:color w:val="auto"/>
        </w:rPr>
        <w:t>Securities Act</w:t>
      </w:r>
      <w:r>
        <w:rPr>
          <w:rFonts w:ascii="Arial" w:cs="Arial" w:eastAsia="Arial" w:hAnsi="Arial"/>
          <w:sz w:val="16"/>
          <w:szCs w:val="16"/>
          <w:color w:val="auto"/>
        </w:rPr>
        <w:t>”). The Prospectus provides that it may be supplemented in the future by one or more prospectus supplements (each, a “</w:t>
      </w:r>
      <w:r>
        <w:rPr>
          <w:rFonts w:ascii="Arial" w:cs="Arial" w:eastAsia="Arial" w:hAnsi="Arial"/>
          <w:sz w:val="16"/>
          <w:szCs w:val="16"/>
          <w:b w:val="1"/>
          <w:bCs w:val="1"/>
          <w:color w:val="auto"/>
        </w:rPr>
        <w:t>Prospectus Supplement</w:t>
      </w:r>
      <w:r>
        <w:rPr>
          <w:rFonts w:ascii="Arial" w:cs="Arial" w:eastAsia="Arial" w:hAnsi="Arial"/>
          <w:sz w:val="16"/>
          <w:szCs w:val="16"/>
          <w:color w:val="auto"/>
        </w:rPr>
        <w:t>”). The Prospectus, as supplemented by any applicable Prospectus Supplements, provides for the issuance and sale from time to time by the Company of up to an aggregate of $200,000,000 of</w:t>
      </w:r>
    </w:p>
    <w:p>
      <w:pPr>
        <w:spacing w:after="0" w:line="3" w:lineRule="exact"/>
        <w:rPr>
          <w:sz w:val="20"/>
          <w:szCs w:val="20"/>
          <w:color w:val="auto"/>
        </w:rPr>
      </w:pPr>
    </w:p>
    <w:p>
      <w:pPr>
        <w:ind w:left="4" w:right="20" w:hanging="4"/>
        <w:spacing w:after="0" w:line="267" w:lineRule="auto"/>
        <w:tabs>
          <w:tab w:leader="none" w:pos="219" w:val="left"/>
        </w:tabs>
        <w:numPr>
          <w:ilvl w:val="0"/>
          <w:numId w:val="127"/>
        </w:numPr>
        <w:rPr>
          <w:rFonts w:ascii="Arial" w:cs="Arial" w:eastAsia="Arial" w:hAnsi="Arial"/>
          <w:sz w:val="17"/>
          <w:szCs w:val="17"/>
          <w:color w:val="auto"/>
        </w:rPr>
      </w:pPr>
      <w:r>
        <w:rPr>
          <w:rFonts w:ascii="Arial" w:cs="Arial" w:eastAsia="Arial" w:hAnsi="Arial"/>
          <w:sz w:val="17"/>
          <w:szCs w:val="17"/>
          <w:color w:val="auto"/>
        </w:rPr>
        <w:t>shares of common stock, $0.001 par value per share (the “</w:t>
      </w:r>
      <w:r>
        <w:rPr>
          <w:rFonts w:ascii="Arial" w:cs="Arial" w:eastAsia="Arial" w:hAnsi="Arial"/>
          <w:sz w:val="17"/>
          <w:szCs w:val="17"/>
          <w:b w:val="1"/>
          <w:bCs w:val="1"/>
          <w:color w:val="auto"/>
        </w:rPr>
        <w:t>Common Stock</w:t>
      </w:r>
      <w:r>
        <w:rPr>
          <w:rFonts w:ascii="Arial" w:cs="Arial" w:eastAsia="Arial" w:hAnsi="Arial"/>
          <w:sz w:val="17"/>
          <w:szCs w:val="17"/>
          <w:color w:val="auto"/>
        </w:rPr>
        <w:t>”), of the Company (the “</w:t>
      </w:r>
      <w:r>
        <w:rPr>
          <w:rFonts w:ascii="Arial" w:cs="Arial" w:eastAsia="Arial" w:hAnsi="Arial"/>
          <w:sz w:val="17"/>
          <w:szCs w:val="17"/>
          <w:b w:val="1"/>
          <w:bCs w:val="1"/>
          <w:color w:val="auto"/>
        </w:rPr>
        <w:t>Common Shares</w:t>
      </w:r>
      <w:r>
        <w:rPr>
          <w:rFonts w:ascii="Arial" w:cs="Arial" w:eastAsia="Arial" w:hAnsi="Arial"/>
          <w:sz w:val="17"/>
          <w:szCs w:val="17"/>
          <w:color w:val="auto"/>
        </w:rPr>
        <w:t>”), (ii) shares of the Company’s preferred stock, $0.001 par value per share (the “</w:t>
      </w:r>
      <w:r>
        <w:rPr>
          <w:rFonts w:ascii="Arial" w:cs="Arial" w:eastAsia="Arial" w:hAnsi="Arial"/>
          <w:sz w:val="17"/>
          <w:szCs w:val="17"/>
          <w:b w:val="1"/>
          <w:bCs w:val="1"/>
          <w:color w:val="auto"/>
        </w:rPr>
        <w:t>Preferred Stock</w:t>
      </w:r>
      <w:r>
        <w:rPr>
          <w:rFonts w:ascii="Arial" w:cs="Arial" w:eastAsia="Arial" w:hAnsi="Arial"/>
          <w:sz w:val="17"/>
          <w:szCs w:val="17"/>
          <w:color w:val="auto"/>
        </w:rPr>
        <w:t>”), (iii) one or more series of debt securities of the Company, which may be convertible into or exchangeable for shares of Common Stock and/or Preferred Stock (the “</w:t>
      </w:r>
      <w:r>
        <w:rPr>
          <w:rFonts w:ascii="Arial" w:cs="Arial" w:eastAsia="Arial" w:hAnsi="Arial"/>
          <w:sz w:val="17"/>
          <w:szCs w:val="17"/>
          <w:b w:val="1"/>
          <w:bCs w:val="1"/>
          <w:color w:val="auto"/>
        </w:rPr>
        <w:t>Debt Securities</w:t>
      </w:r>
      <w:r>
        <w:rPr>
          <w:rFonts w:ascii="Arial" w:cs="Arial" w:eastAsia="Arial" w:hAnsi="Arial"/>
          <w:sz w:val="17"/>
          <w:szCs w:val="17"/>
          <w:color w:val="auto"/>
        </w:rPr>
        <w:t>”), (iv) warrants to purchase shares of Common Stock, shares of Preferred Stock and/or Debt Securities (the “</w:t>
      </w:r>
      <w:r>
        <w:rPr>
          <w:rFonts w:ascii="Arial" w:cs="Arial" w:eastAsia="Arial" w:hAnsi="Arial"/>
          <w:sz w:val="17"/>
          <w:szCs w:val="17"/>
          <w:b w:val="1"/>
          <w:bCs w:val="1"/>
          <w:color w:val="auto"/>
        </w:rPr>
        <w:t>Warrants</w:t>
      </w:r>
      <w:r>
        <w:rPr>
          <w:rFonts w:ascii="Arial" w:cs="Arial" w:eastAsia="Arial" w:hAnsi="Arial"/>
          <w:sz w:val="17"/>
          <w:szCs w:val="17"/>
          <w:color w:val="auto"/>
        </w:rPr>
        <w:t>”), (v) shares of Common Stock and/or Preferred Stock issuable upon exercise of the Warrants or upon conversion or exchange of the Debt Securities, (vi) units comprised of one or more shares of Common Stock, shares of Preferred Stock, Debt Securities and Warrants, in any combination (the “</w:t>
      </w:r>
      <w:r>
        <w:rPr>
          <w:rFonts w:ascii="Arial" w:cs="Arial" w:eastAsia="Arial" w:hAnsi="Arial"/>
          <w:sz w:val="17"/>
          <w:szCs w:val="17"/>
          <w:b w:val="1"/>
          <w:bCs w:val="1"/>
          <w:color w:val="auto"/>
        </w:rPr>
        <w:t>Units</w:t>
      </w:r>
      <w:r>
        <w:rPr>
          <w:rFonts w:ascii="Arial" w:cs="Arial" w:eastAsia="Arial" w:hAnsi="Arial"/>
          <w:sz w:val="17"/>
          <w:szCs w:val="17"/>
          <w:color w:val="auto"/>
        </w:rPr>
        <w:t>”), (vii) subscription rights to one or more shares of Common Stock, shares of Preferred Stock or other securities (the “</w:t>
      </w:r>
      <w:r>
        <w:rPr>
          <w:rFonts w:ascii="Arial" w:cs="Arial" w:eastAsia="Arial" w:hAnsi="Arial"/>
          <w:sz w:val="17"/>
          <w:szCs w:val="17"/>
          <w:b w:val="1"/>
          <w:bCs w:val="1"/>
          <w:color w:val="auto"/>
        </w:rPr>
        <w:t>Subscription Rights</w:t>
      </w:r>
      <w:r>
        <w:rPr>
          <w:rFonts w:ascii="Arial" w:cs="Arial" w:eastAsia="Arial" w:hAnsi="Arial"/>
          <w:sz w:val="17"/>
          <w:szCs w:val="17"/>
          <w:color w:val="auto"/>
        </w:rPr>
        <w:t>”), and/or (viii) any combination of the foregoing securities. The Common Shares, the Preferred Stock, the Debt Securities, the Warrants, the Units and the Subscription Rights are collectively herein referred to as the “Registered Securities.” The Registered Securities may be offered and sold by the Company from time to time pursuant to Rule 415 under the Securities Act as set forth in the Prospectus, as supplemented by any applicable Prospectus Supplements that may be filed under the Securities Act. You have requested that we render the opinion set forth in this letter and we are furnishing this opinion to you pursuant to the requirements of Item 601(b)(5) of Regulation S-K, in connection with the filing of the Registration Statement.</w:t>
      </w:r>
    </w:p>
    <w:p>
      <w:pPr>
        <w:spacing w:after="0" w:line="184" w:lineRule="exact"/>
        <w:rPr>
          <w:sz w:val="20"/>
          <w:szCs w:val="20"/>
          <w:color w:val="auto"/>
        </w:rPr>
      </w:pPr>
    </w:p>
    <w:p>
      <w:pPr>
        <w:ind w:left="4" w:right="180"/>
        <w:spacing w:after="0" w:line="263" w:lineRule="auto"/>
        <w:rPr>
          <w:sz w:val="20"/>
          <w:szCs w:val="20"/>
          <w:color w:val="auto"/>
        </w:rPr>
      </w:pPr>
      <w:r>
        <w:rPr>
          <w:rFonts w:ascii="Arial" w:cs="Arial" w:eastAsia="Arial" w:hAnsi="Arial"/>
          <w:sz w:val="18"/>
          <w:szCs w:val="18"/>
          <w:color w:val="auto"/>
        </w:rPr>
        <w:t>The Debt Securities will be issued pursuant to one or more indentures in the form filed as an exhibit to the Registration Statement, as amended or supplemented from time to time (each, an “Indenture”), between the Company, as obligor, and a trustee chosen by the Company and qualified to act as such under the Trust Indenture Act of 1939, as amended (the “</w:t>
      </w:r>
      <w:r>
        <w:rPr>
          <w:rFonts w:ascii="Arial" w:cs="Arial" w:eastAsia="Arial" w:hAnsi="Arial"/>
          <w:sz w:val="18"/>
          <w:szCs w:val="18"/>
          <w:b w:val="1"/>
          <w:bCs w:val="1"/>
          <w:color w:val="auto"/>
        </w:rPr>
        <w:t>Trustee</w:t>
      </w:r>
      <w:r>
        <w:rPr>
          <w:rFonts w:ascii="Arial" w:cs="Arial" w:eastAsia="Arial" w:hAnsi="Arial"/>
          <w:sz w:val="18"/>
          <w:szCs w:val="18"/>
          <w:color w:val="auto"/>
        </w:rPr>
        <w:t>”).</w:t>
      </w:r>
    </w:p>
    <w:p>
      <w:pPr>
        <w:sectPr>
          <w:pgSz w:w="11900" w:h="16838" w:orient="portrait"/>
          <w:cols w:equalWidth="0" w:num="1">
            <w:col w:w="11024"/>
          </w:cols>
          <w:pgMar w:left="436" w:top="125" w:right="439" w:bottom="1440" w:gutter="0" w:footer="0" w:header="0"/>
        </w:sectPr>
      </w:pPr>
    </w:p>
    <w:bookmarkStart w:id="154" w:name="page155"/>
    <w:bookmarkEnd w:id="154"/>
    <w:p>
      <w:pPr>
        <w:spacing w:after="0" w:line="9"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202" name="Picture 2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2"/>
                    <pic:cNvPicPr>
                      <a:picLocks noChangeAspect="1" noChangeArrowheads="1"/>
                    </pic:cNvPicPr>
                  </pic:nvPicPr>
                  <pic:blipFill>
                    <a:blip r:embed="rId224">
                      <a:extLst>
                        <a:ext uri="{28A0092B-C50C-407E-A947-70E740481C1C}"/>
                      </a:extLst>
                    </a:blip>
                    <a:srcRect/>
                    <a:stretch>
                      <a:fillRect/>
                    </a:stretch>
                  </pic:blipFill>
                  <pic:spPr bwMode="auto">
                    <a:xfrm>
                      <a:off x="0" y="0"/>
                      <a:ext cx="7149465" cy="26035"/>
                    </a:xfrm>
                    <a:prstGeom prst="rect">
                      <a:avLst/>
                    </a:prstGeom>
                    <a:noFill/>
                  </pic:spPr>
                </pic:pic>
              </a:graphicData>
            </a:graphic>
          </wp:anchor>
        </w:drawing>
        <w:drawing>
          <wp:anchor simplePos="0" relativeHeight="251657728" behindDoc="1" locked="0" layoutInCell="0" allowOverlap="1">
            <wp:simplePos x="0" y="0"/>
            <wp:positionH relativeFrom="page">
              <wp:posOffset>5814695</wp:posOffset>
            </wp:positionH>
            <wp:positionV relativeFrom="page">
              <wp:posOffset>183515</wp:posOffset>
            </wp:positionV>
            <wp:extent cx="1457325" cy="608330"/>
            <wp:wrapNone/>
            <wp:docPr id="203" name="Picture 2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3"/>
                    <pic:cNvPicPr>
                      <a:picLocks noChangeAspect="1" noChangeArrowheads="1"/>
                    </pic:cNvPicPr>
                  </pic:nvPicPr>
                  <pic:blipFill>
                    <a:blip r:embed="rId225">
                      <a:clrChange>
                        <a:clrFrom>
                          <a:srgbClr val="FFFFFF"/>
                        </a:clrFrom>
                        <a:clrTo>
                          <a:srgbClr val="FFFFFF">
                            <a:alpha val="0"/>
                          </a:srgbClr>
                        </a:clrTo>
                      </a:clrChange>
                      <a:extLst>
                        <a:ext uri="{28A0092B-C50C-407E-A947-70E740481C1C}"/>
                      </a:extLst>
                    </a:blip>
                    <a:srcRect/>
                    <a:stretch>
                      <a:fillRect/>
                    </a:stretch>
                  </pic:blipFill>
                  <pic:spPr bwMode="auto">
                    <a:xfrm>
                      <a:off x="0" y="0"/>
                      <a:ext cx="1457325" cy="608330"/>
                    </a:xfrm>
                    <a:prstGeom prst="rect">
                      <a:avLst/>
                    </a:prstGeom>
                    <a:noFill/>
                  </pic:spPr>
                </pic:pic>
              </a:graphicData>
            </a:graphic>
          </wp:anchor>
        </w:drawing>
      </w:r>
    </w:p>
    <w:p>
      <w:pPr>
        <w:ind w:left="4"/>
        <w:spacing w:after="0"/>
        <w:rPr>
          <w:sz w:val="20"/>
          <w:szCs w:val="20"/>
          <w:color w:val="auto"/>
        </w:rPr>
      </w:pPr>
      <w:r>
        <w:rPr>
          <w:rFonts w:ascii="Arial" w:cs="Arial" w:eastAsia="Arial" w:hAnsi="Arial"/>
          <w:sz w:val="18"/>
          <w:szCs w:val="18"/>
          <w:color w:val="auto"/>
        </w:rPr>
        <w:t>Larimar Therapeutics, Inc.</w:t>
      </w:r>
    </w:p>
    <w:p>
      <w:pPr>
        <w:spacing w:after="0" w:line="23" w:lineRule="exact"/>
        <w:rPr>
          <w:sz w:val="20"/>
          <w:szCs w:val="20"/>
          <w:color w:val="auto"/>
        </w:rPr>
      </w:pPr>
    </w:p>
    <w:p>
      <w:pPr>
        <w:ind w:left="4"/>
        <w:spacing w:after="0"/>
        <w:rPr>
          <w:sz w:val="20"/>
          <w:szCs w:val="20"/>
          <w:color w:val="auto"/>
        </w:rPr>
      </w:pPr>
      <w:r>
        <w:rPr>
          <w:rFonts w:ascii="Arial" w:cs="Arial" w:eastAsia="Arial" w:hAnsi="Arial"/>
          <w:sz w:val="18"/>
          <w:szCs w:val="18"/>
          <w:color w:val="auto"/>
        </w:rPr>
        <w:t>Page 2</w:t>
      </w:r>
    </w:p>
    <w:p>
      <w:pPr>
        <w:spacing w:after="0" w:line="9" w:lineRule="exact"/>
        <w:rPr>
          <w:sz w:val="20"/>
          <w:szCs w:val="20"/>
          <w:color w:val="auto"/>
        </w:rPr>
      </w:pPr>
    </w:p>
    <w:p>
      <w:pPr>
        <w:ind w:left="4"/>
        <w:spacing w:after="0"/>
        <w:rPr>
          <w:sz w:val="20"/>
          <w:szCs w:val="20"/>
          <w:color w:val="auto"/>
        </w:rPr>
      </w:pPr>
      <w:r>
        <w:rPr>
          <w:rFonts w:ascii="Arial" w:cs="Arial" w:eastAsia="Arial" w:hAnsi="Arial"/>
          <w:sz w:val="18"/>
          <w:szCs w:val="18"/>
          <w:color w:val="auto"/>
        </w:rPr>
        <w:t>August 14, 2020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194310</wp:posOffset>
            </wp:positionV>
            <wp:extent cx="6995160" cy="8890"/>
            <wp:wrapNone/>
            <wp:docPr id="204" name="Picture 2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4"/>
                    <pic:cNvPicPr>
                      <a:picLocks noChangeAspect="1" noChangeArrowheads="1"/>
                    </pic:cNvPicPr>
                  </pic:nvPicPr>
                  <pic:blipFill>
                    <a:blip r:embed="rId226">
                      <a:extLst>
                        <a:ext uri="{28A0092B-C50C-407E-A947-70E740481C1C}"/>
                      </a:extLst>
                    </a:blip>
                    <a:srcRect/>
                    <a:stretch>
                      <a:fillRect/>
                    </a:stretch>
                  </pic:blipFill>
                  <pic:spPr bwMode="auto">
                    <a:xfrm>
                      <a:off x="0" y="0"/>
                      <a:ext cx="6995160" cy="8890"/>
                    </a:xfrm>
                    <a:prstGeom prst="rect">
                      <a:avLst/>
                    </a:prstGeom>
                    <a:noFill/>
                  </pic:spPr>
                </pic:pic>
              </a:graphicData>
            </a:graphic>
          </wp:anchor>
        </w:drawing>
      </w:r>
    </w:p>
    <w:p>
      <w:pPr>
        <w:spacing w:after="0" w:line="200" w:lineRule="exact"/>
        <w:rPr>
          <w:sz w:val="20"/>
          <w:szCs w:val="20"/>
          <w:color w:val="auto"/>
        </w:rPr>
      </w:pPr>
    </w:p>
    <w:p>
      <w:pPr>
        <w:spacing w:after="0" w:line="274" w:lineRule="exact"/>
        <w:rPr>
          <w:sz w:val="20"/>
          <w:szCs w:val="20"/>
          <w:color w:val="auto"/>
        </w:rPr>
      </w:pPr>
    </w:p>
    <w:p>
      <w:pPr>
        <w:jc w:val="both"/>
        <w:ind w:left="4" w:right="500"/>
        <w:spacing w:after="0" w:line="263" w:lineRule="auto"/>
        <w:rPr>
          <w:sz w:val="20"/>
          <w:szCs w:val="20"/>
          <w:color w:val="auto"/>
        </w:rPr>
      </w:pPr>
      <w:r>
        <w:rPr>
          <w:rFonts w:ascii="Arial" w:cs="Arial" w:eastAsia="Arial" w:hAnsi="Arial"/>
          <w:sz w:val="18"/>
          <w:szCs w:val="18"/>
          <w:color w:val="auto"/>
        </w:rPr>
        <w:t>The Sales Prospectus relates to the sale by the Company of shares of Common Stock having an aggregate offering price of up to $50,000,000 (the “</w:t>
      </w:r>
      <w:r>
        <w:rPr>
          <w:rFonts w:ascii="Arial" w:cs="Arial" w:eastAsia="Arial" w:hAnsi="Arial"/>
          <w:sz w:val="18"/>
          <w:szCs w:val="18"/>
          <w:b w:val="1"/>
          <w:bCs w:val="1"/>
          <w:color w:val="auto"/>
        </w:rPr>
        <w:t>ATM Shares</w:t>
      </w:r>
      <w:r>
        <w:rPr>
          <w:rFonts w:ascii="Arial" w:cs="Arial" w:eastAsia="Arial" w:hAnsi="Arial"/>
          <w:sz w:val="18"/>
          <w:szCs w:val="18"/>
          <w:color w:val="auto"/>
        </w:rPr>
        <w:t>”) under an Equity Distribution Agreement dated as of August 14, 2020, (the “</w:t>
      </w:r>
      <w:r>
        <w:rPr>
          <w:rFonts w:ascii="Arial" w:cs="Arial" w:eastAsia="Arial" w:hAnsi="Arial"/>
          <w:sz w:val="18"/>
          <w:szCs w:val="18"/>
          <w:b w:val="1"/>
          <w:bCs w:val="1"/>
          <w:color w:val="auto"/>
        </w:rPr>
        <w:t>Sales Agreement</w:t>
      </w:r>
      <w:r>
        <w:rPr>
          <w:rFonts w:ascii="Arial" w:cs="Arial" w:eastAsia="Arial" w:hAnsi="Arial"/>
          <w:sz w:val="18"/>
          <w:szCs w:val="18"/>
          <w:color w:val="auto"/>
        </w:rPr>
        <w:t>”) between the Company and Piper Sandler &amp; Co.</w:t>
      </w:r>
    </w:p>
    <w:p>
      <w:pPr>
        <w:spacing w:after="0" w:line="184" w:lineRule="exact"/>
        <w:rPr>
          <w:sz w:val="20"/>
          <w:szCs w:val="20"/>
          <w:color w:val="auto"/>
        </w:rPr>
      </w:pPr>
    </w:p>
    <w:p>
      <w:pPr>
        <w:ind w:left="4" w:right="60"/>
        <w:spacing w:after="0" w:line="301" w:lineRule="auto"/>
        <w:rPr>
          <w:sz w:val="20"/>
          <w:szCs w:val="20"/>
          <w:color w:val="auto"/>
        </w:rPr>
      </w:pPr>
      <w:r>
        <w:rPr>
          <w:rFonts w:ascii="Arial" w:cs="Arial" w:eastAsia="Arial" w:hAnsi="Arial"/>
          <w:sz w:val="16"/>
          <w:szCs w:val="16"/>
          <w:color w:val="auto"/>
        </w:rPr>
        <w:t>We have reviewed the corporate proceedings taken by the Company with respect to the registration of the Registered Securities. We have also examined and relied upon originals or copies of such corporate records, documents, agreements or other instruments of the Company, and such certificates and records of public officials, and such other papers, as we have deemed necessary or appropriate in connection herewith. As to all matters of fact, we have relied entirely upon certificates of officers of the Company, and have assumed, without independent inquiry, the accuracy of those certificates.</w:t>
      </w:r>
    </w:p>
    <w:p>
      <w:pPr>
        <w:spacing w:after="0" w:line="157" w:lineRule="exact"/>
        <w:rPr>
          <w:sz w:val="20"/>
          <w:szCs w:val="20"/>
          <w:color w:val="auto"/>
        </w:rPr>
      </w:pPr>
    </w:p>
    <w:p>
      <w:pPr>
        <w:ind w:left="4" w:right="60"/>
        <w:spacing w:after="0" w:line="255" w:lineRule="auto"/>
        <w:rPr>
          <w:sz w:val="20"/>
          <w:szCs w:val="20"/>
          <w:color w:val="auto"/>
        </w:rPr>
      </w:pPr>
      <w:r>
        <w:rPr>
          <w:rFonts w:ascii="Arial" w:cs="Arial" w:eastAsia="Arial" w:hAnsi="Arial"/>
          <w:sz w:val="18"/>
          <w:szCs w:val="18"/>
          <w:color w:val="auto"/>
        </w:rPr>
        <w:t>In rendering this opinion, we have assumed: the genuineness and authenticity of all signatures on original documents; the legal capacity of all natural persons; the authenticity of all documents submitted to us as originals; the conformity to originals of all documents submitted to us as certified or photocopies; the accuracy and completeness of all documents and records reviewed by us; the accuracy, completeness and authenticity of certificates issued by any governmental official, office or agency and the absence of change in the information contained therein from the effective date of any such certificate; and the due authorization, execution and delivery of all documents where authorization, execution and delivery are prerequisites to the effectiveness of such documents.</w:t>
      </w:r>
    </w:p>
    <w:p>
      <w:pPr>
        <w:spacing w:after="0" w:line="192" w:lineRule="exact"/>
        <w:rPr>
          <w:sz w:val="20"/>
          <w:szCs w:val="20"/>
          <w:color w:val="auto"/>
        </w:rPr>
      </w:pPr>
    </w:p>
    <w:p>
      <w:pPr>
        <w:ind w:left="4"/>
        <w:spacing w:after="0"/>
        <w:rPr>
          <w:sz w:val="20"/>
          <w:szCs w:val="20"/>
          <w:color w:val="auto"/>
        </w:rPr>
      </w:pPr>
      <w:r>
        <w:rPr>
          <w:rFonts w:ascii="Arial" w:cs="Arial" w:eastAsia="Arial" w:hAnsi="Arial"/>
          <w:sz w:val="18"/>
          <w:szCs w:val="18"/>
          <w:color w:val="auto"/>
        </w:rPr>
        <w:t>For purposes of this opinion letter, we have assumed that:</w:t>
      </w:r>
    </w:p>
    <w:p>
      <w:pPr>
        <w:spacing w:after="0" w:line="225" w:lineRule="exact"/>
        <w:rPr>
          <w:sz w:val="20"/>
          <w:szCs w:val="20"/>
          <w:color w:val="auto"/>
        </w:rPr>
      </w:pPr>
    </w:p>
    <w:p>
      <w:pPr>
        <w:ind w:left="4" w:hanging="4"/>
        <w:spacing w:after="0" w:line="255" w:lineRule="auto"/>
        <w:tabs>
          <w:tab w:leader="none" w:pos="219" w:val="left"/>
        </w:tabs>
        <w:numPr>
          <w:ilvl w:val="0"/>
          <w:numId w:val="128"/>
        </w:numPr>
        <w:rPr>
          <w:rFonts w:ascii="Arial" w:cs="Arial" w:eastAsia="Arial" w:hAnsi="Arial"/>
          <w:sz w:val="18"/>
          <w:szCs w:val="18"/>
          <w:color w:val="auto"/>
        </w:rPr>
      </w:pPr>
      <w:r>
        <w:rPr>
          <w:rFonts w:ascii="Arial" w:cs="Arial" w:eastAsia="Arial" w:hAnsi="Arial"/>
          <w:sz w:val="18"/>
          <w:szCs w:val="18"/>
          <w:color w:val="auto"/>
        </w:rPr>
        <w:t>the issuance, sale, amount, and terms of each of the Registered Securities to be offered from time to time by the Company will be duly authorized and established by proper action of the Board of Directors of the Company, and in accordance with the Amended and Restated Articles of Incorporation of the Company, as amended from time to time, the Amended and Restated Bylaws of the Company, as amended from time to time, and applicable Pennsylvania and New York law, and that, at the time of each such issuance and sale of such Registered Securities, the Company will continue to be validly existing and in good standing under the laws of the Commonwealth of Pennsylvania, with the requisite corporate power and authority to issue and sell all such Registered Securities at such time;</w:t>
      </w:r>
    </w:p>
    <w:p>
      <w:pPr>
        <w:spacing w:after="0" w:line="192" w:lineRule="exact"/>
        <w:rPr>
          <w:rFonts w:ascii="Arial" w:cs="Arial" w:eastAsia="Arial" w:hAnsi="Arial"/>
          <w:sz w:val="18"/>
          <w:szCs w:val="18"/>
          <w:color w:val="auto"/>
        </w:rPr>
      </w:pPr>
    </w:p>
    <w:p>
      <w:pPr>
        <w:ind w:left="4" w:hanging="4"/>
        <w:spacing w:after="0" w:line="257" w:lineRule="auto"/>
        <w:tabs>
          <w:tab w:leader="none" w:pos="269" w:val="left"/>
        </w:tabs>
        <w:numPr>
          <w:ilvl w:val="0"/>
          <w:numId w:val="128"/>
        </w:numPr>
        <w:rPr>
          <w:rFonts w:ascii="Arial" w:cs="Arial" w:eastAsia="Arial" w:hAnsi="Arial"/>
          <w:sz w:val="18"/>
          <w:szCs w:val="18"/>
          <w:color w:val="auto"/>
        </w:rPr>
      </w:pPr>
      <w:r>
        <w:rPr>
          <w:rFonts w:ascii="Arial" w:cs="Arial" w:eastAsia="Arial" w:hAnsi="Arial"/>
          <w:sz w:val="18"/>
          <w:szCs w:val="18"/>
          <w:color w:val="auto"/>
        </w:rPr>
        <w:t>any shares of Common Stock (including the ATM Shares and any such shares included in Units and Subscription Rights) issued by the Company pursuant to the Registration Statement, the Prospectus and the related Prospectus Supplement, from time to time will not exceed the maximum authorized number of shares of Common Stock under the Amended and Restated Articles of Incorporation of the Company, as the same may have been amended, minus that number of shares of Common Stock that may have been issued and are outstanding, or are reserved for issuance for other purposes, at such time;</w:t>
      </w:r>
    </w:p>
    <w:p>
      <w:pPr>
        <w:spacing w:after="0" w:line="120" w:lineRule="exact"/>
        <w:rPr>
          <w:sz w:val="20"/>
          <w:szCs w:val="20"/>
          <w:color w:val="auto"/>
        </w:rPr>
      </w:pPr>
    </w:p>
    <w:p>
      <w:pPr>
        <w:jc w:val="center"/>
        <w:ind w:right="-23"/>
        <w:spacing w:after="0"/>
        <w:rPr>
          <w:sz w:val="20"/>
          <w:szCs w:val="20"/>
          <w:color w:val="auto"/>
        </w:rPr>
      </w:pPr>
      <w:r>
        <w:rPr>
          <w:rFonts w:ascii="Arial" w:cs="Arial" w:eastAsia="Arial" w:hAnsi="Arial"/>
          <w:sz w:val="18"/>
          <w:szCs w:val="18"/>
          <w:color w:val="auto"/>
        </w:rPr>
        <w:t>-2-</w:t>
      </w:r>
    </w:p>
    <w:p>
      <w:pPr>
        <w:sectPr>
          <w:pgSz w:w="11900" w:h="16838" w:orient="portrait"/>
          <w:cols w:equalWidth="0" w:num="1">
            <w:col w:w="11004"/>
          </w:cols>
          <w:pgMar w:left="436" w:top="1440" w:right="459" w:bottom="1440" w:gutter="0" w:footer="0" w:header="0"/>
        </w:sectPr>
      </w:pPr>
    </w:p>
    <w:bookmarkStart w:id="155" w:name="page156"/>
    <w:bookmarkEnd w:id="155"/>
    <w:p>
      <w:pPr>
        <w:spacing w:after="0" w:line="9"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205" name="Picture 2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5"/>
                    <pic:cNvPicPr>
                      <a:picLocks noChangeAspect="1" noChangeArrowheads="1"/>
                    </pic:cNvPicPr>
                  </pic:nvPicPr>
                  <pic:blipFill>
                    <a:blip r:embed="rId227">
                      <a:extLst>
                        <a:ext uri="{28A0092B-C50C-407E-A947-70E740481C1C}"/>
                      </a:extLst>
                    </a:blip>
                    <a:srcRect/>
                    <a:stretch>
                      <a:fillRect/>
                    </a:stretch>
                  </pic:blipFill>
                  <pic:spPr bwMode="auto">
                    <a:xfrm>
                      <a:off x="0" y="0"/>
                      <a:ext cx="7149465" cy="26035"/>
                    </a:xfrm>
                    <a:prstGeom prst="rect">
                      <a:avLst/>
                    </a:prstGeom>
                    <a:noFill/>
                  </pic:spPr>
                </pic:pic>
              </a:graphicData>
            </a:graphic>
          </wp:anchor>
        </w:drawing>
        <w:drawing>
          <wp:anchor simplePos="0" relativeHeight="251657728" behindDoc="1" locked="0" layoutInCell="0" allowOverlap="1">
            <wp:simplePos x="0" y="0"/>
            <wp:positionH relativeFrom="page">
              <wp:posOffset>5814695</wp:posOffset>
            </wp:positionH>
            <wp:positionV relativeFrom="page">
              <wp:posOffset>183515</wp:posOffset>
            </wp:positionV>
            <wp:extent cx="1457325" cy="608330"/>
            <wp:wrapNone/>
            <wp:docPr id="206" name="Picture 2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6"/>
                    <pic:cNvPicPr>
                      <a:picLocks noChangeAspect="1" noChangeArrowheads="1"/>
                    </pic:cNvPicPr>
                  </pic:nvPicPr>
                  <pic:blipFill>
                    <a:blip r:embed="rId228">
                      <a:clrChange>
                        <a:clrFrom>
                          <a:srgbClr val="FFFFFF"/>
                        </a:clrFrom>
                        <a:clrTo>
                          <a:srgbClr val="FFFFFF">
                            <a:alpha val="0"/>
                          </a:srgbClr>
                        </a:clrTo>
                      </a:clrChange>
                      <a:extLst>
                        <a:ext uri="{28A0092B-C50C-407E-A947-70E740481C1C}"/>
                      </a:extLst>
                    </a:blip>
                    <a:srcRect/>
                    <a:stretch>
                      <a:fillRect/>
                    </a:stretch>
                  </pic:blipFill>
                  <pic:spPr bwMode="auto">
                    <a:xfrm>
                      <a:off x="0" y="0"/>
                      <a:ext cx="1457325" cy="608330"/>
                    </a:xfrm>
                    <a:prstGeom prst="rect">
                      <a:avLst/>
                    </a:prstGeom>
                    <a:noFill/>
                  </pic:spPr>
                </pic:pic>
              </a:graphicData>
            </a:graphic>
          </wp:anchor>
        </w:drawing>
      </w:r>
    </w:p>
    <w:p>
      <w:pPr>
        <w:ind w:left="4"/>
        <w:spacing w:after="0"/>
        <w:rPr>
          <w:sz w:val="20"/>
          <w:szCs w:val="20"/>
          <w:color w:val="auto"/>
        </w:rPr>
      </w:pPr>
      <w:r>
        <w:rPr>
          <w:rFonts w:ascii="Arial" w:cs="Arial" w:eastAsia="Arial" w:hAnsi="Arial"/>
          <w:sz w:val="18"/>
          <w:szCs w:val="18"/>
          <w:color w:val="auto"/>
        </w:rPr>
        <w:t>Larimar Therapeutics, Inc.</w:t>
      </w:r>
    </w:p>
    <w:p>
      <w:pPr>
        <w:spacing w:after="0" w:line="23" w:lineRule="exact"/>
        <w:rPr>
          <w:sz w:val="20"/>
          <w:szCs w:val="20"/>
          <w:color w:val="auto"/>
        </w:rPr>
      </w:pPr>
    </w:p>
    <w:p>
      <w:pPr>
        <w:ind w:left="4"/>
        <w:spacing w:after="0"/>
        <w:rPr>
          <w:sz w:val="20"/>
          <w:szCs w:val="20"/>
          <w:color w:val="auto"/>
        </w:rPr>
      </w:pPr>
      <w:r>
        <w:rPr>
          <w:rFonts w:ascii="Arial" w:cs="Arial" w:eastAsia="Arial" w:hAnsi="Arial"/>
          <w:sz w:val="18"/>
          <w:szCs w:val="18"/>
          <w:color w:val="auto"/>
        </w:rPr>
        <w:t>Page 3</w:t>
      </w:r>
    </w:p>
    <w:p>
      <w:pPr>
        <w:spacing w:after="0" w:line="9" w:lineRule="exact"/>
        <w:rPr>
          <w:sz w:val="20"/>
          <w:szCs w:val="20"/>
          <w:color w:val="auto"/>
        </w:rPr>
      </w:pPr>
    </w:p>
    <w:p>
      <w:pPr>
        <w:ind w:left="4"/>
        <w:spacing w:after="0"/>
        <w:rPr>
          <w:sz w:val="20"/>
          <w:szCs w:val="20"/>
          <w:color w:val="auto"/>
        </w:rPr>
      </w:pPr>
      <w:r>
        <w:rPr>
          <w:rFonts w:ascii="Arial" w:cs="Arial" w:eastAsia="Arial" w:hAnsi="Arial"/>
          <w:sz w:val="18"/>
          <w:szCs w:val="18"/>
          <w:color w:val="auto"/>
        </w:rPr>
        <w:t>August 14, 2020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194310</wp:posOffset>
            </wp:positionV>
            <wp:extent cx="6995160" cy="8890"/>
            <wp:wrapNone/>
            <wp:docPr id="207" name="Picture 2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7"/>
                    <pic:cNvPicPr>
                      <a:picLocks noChangeAspect="1" noChangeArrowheads="1"/>
                    </pic:cNvPicPr>
                  </pic:nvPicPr>
                  <pic:blipFill>
                    <a:blip r:embed="rId229">
                      <a:extLst>
                        <a:ext uri="{28A0092B-C50C-407E-A947-70E740481C1C}"/>
                      </a:extLst>
                    </a:blip>
                    <a:srcRect/>
                    <a:stretch>
                      <a:fillRect/>
                    </a:stretch>
                  </pic:blipFill>
                  <pic:spPr bwMode="auto">
                    <a:xfrm>
                      <a:off x="0" y="0"/>
                      <a:ext cx="6995160" cy="8890"/>
                    </a:xfrm>
                    <a:prstGeom prst="rect">
                      <a:avLst/>
                    </a:prstGeom>
                    <a:noFill/>
                  </pic:spPr>
                </pic:pic>
              </a:graphicData>
            </a:graphic>
          </wp:anchor>
        </w:drawing>
      </w:r>
    </w:p>
    <w:p>
      <w:pPr>
        <w:spacing w:after="0" w:line="200" w:lineRule="exact"/>
        <w:rPr>
          <w:sz w:val="20"/>
          <w:szCs w:val="20"/>
          <w:color w:val="auto"/>
        </w:rPr>
      </w:pPr>
    </w:p>
    <w:p>
      <w:pPr>
        <w:spacing w:after="0" w:line="274" w:lineRule="exact"/>
        <w:rPr>
          <w:sz w:val="20"/>
          <w:szCs w:val="20"/>
          <w:color w:val="auto"/>
        </w:rPr>
      </w:pPr>
    </w:p>
    <w:p>
      <w:pPr>
        <w:jc w:val="both"/>
        <w:ind w:left="4" w:right="140" w:hanging="4"/>
        <w:spacing w:after="0" w:line="301" w:lineRule="auto"/>
        <w:tabs>
          <w:tab w:leader="none" w:pos="319" w:val="left"/>
        </w:tabs>
        <w:numPr>
          <w:ilvl w:val="0"/>
          <w:numId w:val="129"/>
        </w:numPr>
        <w:rPr>
          <w:rFonts w:ascii="Arial" w:cs="Arial" w:eastAsia="Arial" w:hAnsi="Arial"/>
          <w:sz w:val="16"/>
          <w:szCs w:val="16"/>
          <w:color w:val="auto"/>
        </w:rPr>
      </w:pPr>
      <w:r>
        <w:rPr>
          <w:rFonts w:ascii="Arial" w:cs="Arial" w:eastAsia="Arial" w:hAnsi="Arial"/>
          <w:sz w:val="16"/>
          <w:szCs w:val="16"/>
          <w:color w:val="auto"/>
        </w:rPr>
        <w:t>any shares of Preferred Stock (including any such shares included in Units and Subscription Rights) issued pursuant to the Registration Statement, the Prospectus and the related Prospectus Supplement, from time to time will not exceed the maximum authorized number of shares of Preferred Stock under the Amended and Restated Articles of Incorporation of the Company, as the same may have been amended, minus that number of shares of Preferred Stock that may have been issued and are outstanding, or are reserved for issuance for other purposes, at such time;</w:t>
      </w:r>
    </w:p>
    <w:p>
      <w:pPr>
        <w:spacing w:after="0" w:line="157" w:lineRule="exact"/>
        <w:rPr>
          <w:rFonts w:ascii="Arial" w:cs="Arial" w:eastAsia="Arial" w:hAnsi="Arial"/>
          <w:sz w:val="16"/>
          <w:szCs w:val="16"/>
          <w:color w:val="auto"/>
        </w:rPr>
      </w:pPr>
    </w:p>
    <w:p>
      <w:pPr>
        <w:ind w:left="4" w:hanging="4"/>
        <w:spacing w:after="0" w:line="263" w:lineRule="auto"/>
        <w:tabs>
          <w:tab w:leader="none" w:pos="309" w:val="left"/>
        </w:tabs>
        <w:numPr>
          <w:ilvl w:val="0"/>
          <w:numId w:val="129"/>
        </w:numPr>
        <w:rPr>
          <w:rFonts w:ascii="Arial" w:cs="Arial" w:eastAsia="Arial" w:hAnsi="Arial"/>
          <w:sz w:val="18"/>
          <w:szCs w:val="18"/>
          <w:color w:val="auto"/>
        </w:rPr>
      </w:pPr>
      <w:r>
        <w:rPr>
          <w:rFonts w:ascii="Arial" w:cs="Arial" w:eastAsia="Arial" w:hAnsi="Arial"/>
          <w:sz w:val="18"/>
          <w:szCs w:val="18"/>
          <w:color w:val="auto"/>
        </w:rPr>
        <w:t>any Warrants (including any Warrants included in Units and Subscription Rights) issued by the Company pursuant to the Registration Statement, the Prospectus and the related Prospectus Supplement, from time to time, will be issued under one or more valid, binding, and enforceable warrant agreements (each a “</w:t>
      </w:r>
      <w:r>
        <w:rPr>
          <w:rFonts w:ascii="Arial" w:cs="Arial" w:eastAsia="Arial" w:hAnsi="Arial"/>
          <w:sz w:val="18"/>
          <w:szCs w:val="18"/>
          <w:b w:val="1"/>
          <w:bCs w:val="1"/>
          <w:color w:val="auto"/>
        </w:rPr>
        <w:t>Warrant Agreement</w:t>
      </w:r>
      <w:r>
        <w:rPr>
          <w:rFonts w:ascii="Arial" w:cs="Arial" w:eastAsia="Arial" w:hAnsi="Arial"/>
          <w:sz w:val="18"/>
          <w:szCs w:val="18"/>
          <w:color w:val="auto"/>
        </w:rPr>
        <w:t>”);</w:t>
      </w:r>
    </w:p>
    <w:p>
      <w:pPr>
        <w:spacing w:after="0" w:line="183" w:lineRule="exact"/>
        <w:rPr>
          <w:rFonts w:ascii="Arial" w:cs="Arial" w:eastAsia="Arial" w:hAnsi="Arial"/>
          <w:sz w:val="18"/>
          <w:szCs w:val="18"/>
          <w:color w:val="auto"/>
        </w:rPr>
      </w:pPr>
    </w:p>
    <w:p>
      <w:pPr>
        <w:ind w:left="4" w:right="40" w:hanging="4"/>
        <w:spacing w:after="0" w:line="272" w:lineRule="auto"/>
        <w:tabs>
          <w:tab w:leader="none" w:pos="259" w:val="left"/>
        </w:tabs>
        <w:numPr>
          <w:ilvl w:val="0"/>
          <w:numId w:val="129"/>
        </w:numPr>
        <w:rPr>
          <w:rFonts w:ascii="Arial" w:cs="Arial" w:eastAsia="Arial" w:hAnsi="Arial"/>
          <w:sz w:val="17"/>
          <w:szCs w:val="17"/>
          <w:color w:val="auto"/>
        </w:rPr>
      </w:pPr>
      <w:r>
        <w:rPr>
          <w:rFonts w:ascii="Arial" w:cs="Arial" w:eastAsia="Arial" w:hAnsi="Arial"/>
          <w:sz w:val="17"/>
          <w:szCs w:val="17"/>
          <w:color w:val="auto"/>
        </w:rPr>
        <w:t>any Debt Securities (including any Debt Securities included in Units and Subscription Rights) issued by the Company pursuant to the Registration Statement, the Prospectus and the related Prospectus Supplement, from time to time, will be issued under and in conformity with, a valid, binding and enforceable Indenture, which shall be delivered by the Trustee, and the Trustee will have all requisite power and authority to effect the transactions contemplated by such Indenture, and the Trustee or an authenticating agent for the trustee will duly authenticate the Debt Securities pursuant to the applicable Indenture, and the applicable Indenture will be the valid and binding obligation of the Trustee and will be enforceable against the Trustee in accordance with its terms. We are expressing no opinion herein as to the application of or compliance with any foreign, federal or state law or regulation to the power, authority or competence of any party, other than the Company, to the applicable Indenture;</w:t>
      </w:r>
    </w:p>
    <w:p>
      <w:pPr>
        <w:spacing w:after="0" w:line="177" w:lineRule="exact"/>
        <w:rPr>
          <w:rFonts w:ascii="Arial" w:cs="Arial" w:eastAsia="Arial" w:hAnsi="Arial"/>
          <w:sz w:val="17"/>
          <w:szCs w:val="17"/>
          <w:color w:val="auto"/>
        </w:rPr>
      </w:pPr>
    </w:p>
    <w:p>
      <w:pPr>
        <w:ind w:left="4" w:right="20" w:hanging="4"/>
        <w:spacing w:after="0" w:line="342" w:lineRule="auto"/>
        <w:tabs>
          <w:tab w:leader="none" w:pos="309" w:val="left"/>
        </w:tabs>
        <w:numPr>
          <w:ilvl w:val="0"/>
          <w:numId w:val="129"/>
        </w:numPr>
        <w:rPr>
          <w:rFonts w:ascii="Arial" w:cs="Arial" w:eastAsia="Arial" w:hAnsi="Arial"/>
          <w:sz w:val="16"/>
          <w:szCs w:val="16"/>
          <w:color w:val="auto"/>
        </w:rPr>
      </w:pPr>
      <w:r>
        <w:rPr>
          <w:rFonts w:ascii="Arial" w:cs="Arial" w:eastAsia="Arial" w:hAnsi="Arial"/>
          <w:sz w:val="16"/>
          <w:szCs w:val="16"/>
          <w:color w:val="auto"/>
        </w:rPr>
        <w:t>any Units issued by the Company pursuant to the Registration Statement, the Prospectus and the related Prospectus Supplement may be issued pursuant to a valid, binding, and enforceable Unit Agreement (the “</w:t>
      </w:r>
      <w:r>
        <w:rPr>
          <w:rFonts w:ascii="Arial" w:cs="Arial" w:eastAsia="Arial" w:hAnsi="Arial"/>
          <w:sz w:val="16"/>
          <w:szCs w:val="16"/>
          <w:b w:val="1"/>
          <w:bCs w:val="1"/>
          <w:color w:val="auto"/>
        </w:rPr>
        <w:t>Unit Agreement</w:t>
      </w:r>
      <w:r>
        <w:rPr>
          <w:rFonts w:ascii="Arial" w:cs="Arial" w:eastAsia="Arial" w:hAnsi="Arial"/>
          <w:sz w:val="16"/>
          <w:szCs w:val="16"/>
          <w:color w:val="auto"/>
        </w:rPr>
        <w:t>”) between the Company and a bank or trust company as unit agent;</w:t>
      </w:r>
    </w:p>
    <w:p>
      <w:pPr>
        <w:spacing w:after="0" w:line="123" w:lineRule="exact"/>
        <w:rPr>
          <w:rFonts w:ascii="Arial" w:cs="Arial" w:eastAsia="Arial" w:hAnsi="Arial"/>
          <w:sz w:val="16"/>
          <w:szCs w:val="16"/>
          <w:color w:val="auto"/>
        </w:rPr>
      </w:pPr>
    </w:p>
    <w:p>
      <w:pPr>
        <w:ind w:left="4" w:right="60" w:hanging="4"/>
        <w:spacing w:after="0" w:line="342" w:lineRule="auto"/>
        <w:tabs>
          <w:tab w:leader="none" w:pos="359" w:val="left"/>
        </w:tabs>
        <w:numPr>
          <w:ilvl w:val="0"/>
          <w:numId w:val="129"/>
        </w:numPr>
        <w:rPr>
          <w:rFonts w:ascii="Arial" w:cs="Arial" w:eastAsia="Arial" w:hAnsi="Arial"/>
          <w:sz w:val="16"/>
          <w:szCs w:val="16"/>
          <w:color w:val="auto"/>
        </w:rPr>
      </w:pPr>
      <w:r>
        <w:rPr>
          <w:rFonts w:ascii="Arial" w:cs="Arial" w:eastAsia="Arial" w:hAnsi="Arial"/>
          <w:sz w:val="16"/>
          <w:szCs w:val="16"/>
          <w:color w:val="auto"/>
        </w:rPr>
        <w:t>any Subscription Rights issued by the Company pursuant to the Registration Statement, the Prospectus and the related Prospectus Supplement may be issued pursuant to a valid, binding, and enforceable Subscription Rights Agreement (the “</w:t>
      </w:r>
      <w:r>
        <w:rPr>
          <w:rFonts w:ascii="Arial" w:cs="Arial" w:eastAsia="Arial" w:hAnsi="Arial"/>
          <w:sz w:val="16"/>
          <w:szCs w:val="16"/>
          <w:b w:val="1"/>
          <w:bCs w:val="1"/>
          <w:color w:val="auto"/>
        </w:rPr>
        <w:t>Subscription Rights Agreement</w:t>
      </w:r>
      <w:r>
        <w:rPr>
          <w:rFonts w:ascii="Arial" w:cs="Arial" w:eastAsia="Arial" w:hAnsi="Arial"/>
          <w:sz w:val="16"/>
          <w:szCs w:val="16"/>
          <w:color w:val="auto"/>
        </w:rPr>
        <w:t>”); and</w:t>
      </w:r>
    </w:p>
    <w:p>
      <w:pPr>
        <w:spacing w:after="0" w:line="123" w:lineRule="exact"/>
        <w:rPr>
          <w:rFonts w:ascii="Arial" w:cs="Arial" w:eastAsia="Arial" w:hAnsi="Arial"/>
          <w:sz w:val="16"/>
          <w:szCs w:val="16"/>
          <w:color w:val="auto"/>
        </w:rPr>
      </w:pPr>
    </w:p>
    <w:p>
      <w:pPr>
        <w:ind w:left="404" w:hanging="404"/>
        <w:spacing w:after="0"/>
        <w:tabs>
          <w:tab w:leader="none" w:pos="404" w:val="left"/>
        </w:tabs>
        <w:numPr>
          <w:ilvl w:val="0"/>
          <w:numId w:val="129"/>
        </w:numPr>
        <w:rPr>
          <w:rFonts w:ascii="Arial" w:cs="Arial" w:eastAsia="Arial" w:hAnsi="Arial"/>
          <w:sz w:val="18"/>
          <w:szCs w:val="18"/>
          <w:color w:val="auto"/>
        </w:rPr>
      </w:pPr>
      <w:r>
        <w:rPr>
          <w:rFonts w:ascii="Arial" w:cs="Arial" w:eastAsia="Arial" w:hAnsi="Arial"/>
          <w:sz w:val="18"/>
          <w:szCs w:val="18"/>
          <w:color w:val="auto"/>
        </w:rPr>
        <w:t>all requisite third-party consents necessary to register and/or issue the Registered Securities have been obtained by the Company.</w:t>
      </w:r>
    </w:p>
    <w:p>
      <w:pPr>
        <w:spacing w:after="0" w:line="225" w:lineRule="exact"/>
        <w:rPr>
          <w:sz w:val="20"/>
          <w:szCs w:val="20"/>
          <w:color w:val="auto"/>
        </w:rPr>
      </w:pPr>
    </w:p>
    <w:p>
      <w:pPr>
        <w:ind w:left="4" w:right="200"/>
        <w:spacing w:after="0" w:line="257" w:lineRule="auto"/>
        <w:rPr>
          <w:sz w:val="20"/>
          <w:szCs w:val="20"/>
          <w:color w:val="auto"/>
        </w:rPr>
      </w:pPr>
      <w:r>
        <w:rPr>
          <w:rFonts w:ascii="Arial" w:cs="Arial" w:eastAsia="Arial" w:hAnsi="Arial"/>
          <w:sz w:val="18"/>
          <w:szCs w:val="18"/>
          <w:color w:val="auto"/>
        </w:rPr>
        <w:t>Subject to the limitations set forth below, we have made such examination of law as we have deemed necessary for the purposes of expressing the opinions set forth in this letter. We express no opinion herein as to the law of any state or jurisdiction other than the laws of the Commonwealth of Pennsylvania and the internal laws of the State of New York, including statutory provisions and all applicable provisions of the Constitution of the Commonwealth of Pennsylvania and reported judicial decisions interpreting such laws of the Commonwealth of Pennsylvania, and the federal laws of the United States of America.</w:t>
      </w:r>
    </w:p>
    <w:p>
      <w:pPr>
        <w:spacing w:after="0" w:line="120" w:lineRule="exact"/>
        <w:rPr>
          <w:sz w:val="20"/>
          <w:szCs w:val="20"/>
          <w:color w:val="auto"/>
        </w:rPr>
      </w:pPr>
    </w:p>
    <w:p>
      <w:pPr>
        <w:jc w:val="center"/>
        <w:ind w:right="-23"/>
        <w:spacing w:after="0"/>
        <w:rPr>
          <w:sz w:val="20"/>
          <w:szCs w:val="20"/>
          <w:color w:val="auto"/>
        </w:rPr>
      </w:pPr>
      <w:r>
        <w:rPr>
          <w:rFonts w:ascii="Arial" w:cs="Arial" w:eastAsia="Arial" w:hAnsi="Arial"/>
          <w:sz w:val="18"/>
          <w:szCs w:val="18"/>
          <w:color w:val="auto"/>
        </w:rPr>
        <w:t>-3-</w:t>
      </w:r>
    </w:p>
    <w:p>
      <w:pPr>
        <w:sectPr>
          <w:pgSz w:w="11900" w:h="16838" w:orient="portrait"/>
          <w:cols w:equalWidth="0" w:num="1">
            <w:col w:w="11004"/>
          </w:cols>
          <w:pgMar w:left="436" w:top="1440" w:right="459" w:bottom="1440" w:gutter="0" w:footer="0" w:header="0"/>
        </w:sectPr>
      </w:pPr>
    </w:p>
    <w:bookmarkStart w:id="156" w:name="page157"/>
    <w:bookmarkEnd w:id="156"/>
    <w:p>
      <w:pPr>
        <w:spacing w:after="0" w:line="9"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208" name="Picture 2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8"/>
                    <pic:cNvPicPr>
                      <a:picLocks noChangeAspect="1" noChangeArrowheads="1"/>
                    </pic:cNvPicPr>
                  </pic:nvPicPr>
                  <pic:blipFill>
                    <a:blip r:embed="rId230">
                      <a:extLst>
                        <a:ext uri="{28A0092B-C50C-407E-A947-70E740481C1C}"/>
                      </a:extLst>
                    </a:blip>
                    <a:srcRect/>
                    <a:stretch>
                      <a:fillRect/>
                    </a:stretch>
                  </pic:blipFill>
                  <pic:spPr bwMode="auto">
                    <a:xfrm>
                      <a:off x="0" y="0"/>
                      <a:ext cx="7149465" cy="26035"/>
                    </a:xfrm>
                    <a:prstGeom prst="rect">
                      <a:avLst/>
                    </a:prstGeom>
                    <a:noFill/>
                  </pic:spPr>
                </pic:pic>
              </a:graphicData>
            </a:graphic>
          </wp:anchor>
        </w:drawing>
        <w:drawing>
          <wp:anchor simplePos="0" relativeHeight="251657728" behindDoc="1" locked="0" layoutInCell="0" allowOverlap="1">
            <wp:simplePos x="0" y="0"/>
            <wp:positionH relativeFrom="page">
              <wp:posOffset>5814695</wp:posOffset>
            </wp:positionH>
            <wp:positionV relativeFrom="page">
              <wp:posOffset>183515</wp:posOffset>
            </wp:positionV>
            <wp:extent cx="1457325" cy="608330"/>
            <wp:wrapNone/>
            <wp:docPr id="209" name="Picture 2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9"/>
                    <pic:cNvPicPr>
                      <a:picLocks noChangeAspect="1" noChangeArrowheads="1"/>
                    </pic:cNvPicPr>
                  </pic:nvPicPr>
                  <pic:blipFill>
                    <a:blip r:embed="rId231">
                      <a:clrChange>
                        <a:clrFrom>
                          <a:srgbClr val="FFFFFF"/>
                        </a:clrFrom>
                        <a:clrTo>
                          <a:srgbClr val="FFFFFF">
                            <a:alpha val="0"/>
                          </a:srgbClr>
                        </a:clrTo>
                      </a:clrChange>
                      <a:extLst>
                        <a:ext uri="{28A0092B-C50C-407E-A947-70E740481C1C}"/>
                      </a:extLst>
                    </a:blip>
                    <a:srcRect/>
                    <a:stretch>
                      <a:fillRect/>
                    </a:stretch>
                  </pic:blipFill>
                  <pic:spPr bwMode="auto">
                    <a:xfrm>
                      <a:off x="0" y="0"/>
                      <a:ext cx="1457325" cy="608330"/>
                    </a:xfrm>
                    <a:prstGeom prst="rect">
                      <a:avLst/>
                    </a:prstGeom>
                    <a:noFill/>
                  </pic:spPr>
                </pic:pic>
              </a:graphicData>
            </a:graphic>
          </wp:anchor>
        </w:drawing>
      </w:r>
    </w:p>
    <w:p>
      <w:pPr>
        <w:ind w:left="4"/>
        <w:spacing w:after="0"/>
        <w:rPr>
          <w:sz w:val="20"/>
          <w:szCs w:val="20"/>
          <w:color w:val="auto"/>
        </w:rPr>
      </w:pPr>
      <w:r>
        <w:rPr>
          <w:rFonts w:ascii="Arial" w:cs="Arial" w:eastAsia="Arial" w:hAnsi="Arial"/>
          <w:sz w:val="18"/>
          <w:szCs w:val="18"/>
          <w:color w:val="auto"/>
        </w:rPr>
        <w:t>Larimar Therapeutics, Inc.</w:t>
      </w:r>
    </w:p>
    <w:p>
      <w:pPr>
        <w:spacing w:after="0" w:line="23" w:lineRule="exact"/>
        <w:rPr>
          <w:sz w:val="20"/>
          <w:szCs w:val="20"/>
          <w:color w:val="auto"/>
        </w:rPr>
      </w:pPr>
    </w:p>
    <w:p>
      <w:pPr>
        <w:ind w:left="4"/>
        <w:spacing w:after="0"/>
        <w:rPr>
          <w:sz w:val="20"/>
          <w:szCs w:val="20"/>
          <w:color w:val="auto"/>
        </w:rPr>
      </w:pPr>
      <w:r>
        <w:rPr>
          <w:rFonts w:ascii="Arial" w:cs="Arial" w:eastAsia="Arial" w:hAnsi="Arial"/>
          <w:sz w:val="18"/>
          <w:szCs w:val="18"/>
          <w:color w:val="auto"/>
        </w:rPr>
        <w:t>Page 4</w:t>
      </w:r>
    </w:p>
    <w:p>
      <w:pPr>
        <w:spacing w:after="0" w:line="9" w:lineRule="exact"/>
        <w:rPr>
          <w:sz w:val="20"/>
          <w:szCs w:val="20"/>
          <w:color w:val="auto"/>
        </w:rPr>
      </w:pPr>
    </w:p>
    <w:p>
      <w:pPr>
        <w:ind w:left="4"/>
        <w:spacing w:after="0"/>
        <w:rPr>
          <w:sz w:val="20"/>
          <w:szCs w:val="20"/>
          <w:color w:val="auto"/>
        </w:rPr>
      </w:pPr>
      <w:r>
        <w:rPr>
          <w:rFonts w:ascii="Arial" w:cs="Arial" w:eastAsia="Arial" w:hAnsi="Arial"/>
          <w:sz w:val="18"/>
          <w:szCs w:val="18"/>
          <w:color w:val="auto"/>
        </w:rPr>
        <w:t>August 14, 2020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194310</wp:posOffset>
            </wp:positionV>
            <wp:extent cx="6995160" cy="8890"/>
            <wp:wrapNone/>
            <wp:docPr id="210" name="Picture 2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0"/>
                    <pic:cNvPicPr>
                      <a:picLocks noChangeAspect="1" noChangeArrowheads="1"/>
                    </pic:cNvPicPr>
                  </pic:nvPicPr>
                  <pic:blipFill>
                    <a:blip r:embed="rId232">
                      <a:extLst>
                        <a:ext uri="{28A0092B-C50C-407E-A947-70E740481C1C}"/>
                      </a:extLst>
                    </a:blip>
                    <a:srcRect/>
                    <a:stretch>
                      <a:fillRect/>
                    </a:stretch>
                  </pic:blipFill>
                  <pic:spPr bwMode="auto">
                    <a:xfrm>
                      <a:off x="0" y="0"/>
                      <a:ext cx="6995160" cy="8890"/>
                    </a:xfrm>
                    <a:prstGeom prst="rect">
                      <a:avLst/>
                    </a:prstGeom>
                    <a:noFill/>
                  </pic:spPr>
                </pic:pic>
              </a:graphicData>
            </a:graphic>
          </wp:anchor>
        </w:drawing>
      </w:r>
    </w:p>
    <w:p>
      <w:pPr>
        <w:spacing w:after="0" w:line="200" w:lineRule="exact"/>
        <w:rPr>
          <w:sz w:val="20"/>
          <w:szCs w:val="20"/>
          <w:color w:val="auto"/>
        </w:rPr>
      </w:pPr>
    </w:p>
    <w:p>
      <w:pPr>
        <w:spacing w:after="0" w:line="274" w:lineRule="exact"/>
        <w:rPr>
          <w:sz w:val="20"/>
          <w:szCs w:val="20"/>
          <w:color w:val="auto"/>
        </w:rPr>
      </w:pPr>
    </w:p>
    <w:p>
      <w:pPr>
        <w:ind w:left="4"/>
        <w:spacing w:after="0"/>
        <w:rPr>
          <w:sz w:val="20"/>
          <w:szCs w:val="20"/>
          <w:color w:val="auto"/>
        </w:rPr>
      </w:pPr>
      <w:r>
        <w:rPr>
          <w:rFonts w:ascii="Arial" w:cs="Arial" w:eastAsia="Arial" w:hAnsi="Arial"/>
          <w:sz w:val="18"/>
          <w:szCs w:val="18"/>
          <w:color w:val="auto"/>
        </w:rPr>
        <w:t>Based upon the foregoing, we are of the opinion that:</w:t>
      </w:r>
    </w:p>
    <w:p>
      <w:pPr>
        <w:spacing w:after="0" w:line="225" w:lineRule="exact"/>
        <w:rPr>
          <w:sz w:val="20"/>
          <w:szCs w:val="20"/>
          <w:color w:val="auto"/>
        </w:rPr>
      </w:pPr>
    </w:p>
    <w:p>
      <w:pPr>
        <w:ind w:left="4" w:right="480" w:hanging="4"/>
        <w:spacing w:after="0" w:line="308" w:lineRule="auto"/>
        <w:tabs>
          <w:tab w:leader="none" w:pos="184" w:val="left"/>
        </w:tabs>
        <w:numPr>
          <w:ilvl w:val="0"/>
          <w:numId w:val="130"/>
        </w:numPr>
        <w:rPr>
          <w:rFonts w:ascii="Arial" w:cs="Arial" w:eastAsia="Arial" w:hAnsi="Arial"/>
          <w:sz w:val="17"/>
          <w:szCs w:val="17"/>
          <w:color w:val="auto"/>
        </w:rPr>
      </w:pPr>
      <w:r>
        <w:rPr>
          <w:rFonts w:ascii="Arial" w:cs="Arial" w:eastAsia="Arial" w:hAnsi="Arial"/>
          <w:sz w:val="17"/>
          <w:szCs w:val="17"/>
          <w:color w:val="auto"/>
        </w:rPr>
        <w:t>Following effectiveness of the Registration Statement, the Common Shares, when duly authorized and issued against the full payment specified therefor, which must have a value not less than the par value thereof, will be validly issued, fully paid and nonassessable.</w:t>
      </w:r>
    </w:p>
    <w:p>
      <w:pPr>
        <w:spacing w:after="0" w:line="146" w:lineRule="exact"/>
        <w:rPr>
          <w:rFonts w:ascii="Arial" w:cs="Arial" w:eastAsia="Arial" w:hAnsi="Arial"/>
          <w:sz w:val="17"/>
          <w:szCs w:val="17"/>
          <w:color w:val="auto"/>
        </w:rPr>
      </w:pPr>
    </w:p>
    <w:p>
      <w:pPr>
        <w:ind w:left="4" w:right="360" w:hanging="4"/>
        <w:spacing w:after="0" w:line="263" w:lineRule="auto"/>
        <w:tabs>
          <w:tab w:leader="none" w:pos="184" w:val="left"/>
        </w:tabs>
        <w:numPr>
          <w:ilvl w:val="0"/>
          <w:numId w:val="130"/>
        </w:numPr>
        <w:rPr>
          <w:rFonts w:ascii="Arial" w:cs="Arial" w:eastAsia="Arial" w:hAnsi="Arial"/>
          <w:sz w:val="18"/>
          <w:szCs w:val="18"/>
          <w:color w:val="auto"/>
        </w:rPr>
      </w:pPr>
      <w:r>
        <w:rPr>
          <w:rFonts w:ascii="Arial" w:cs="Arial" w:eastAsia="Arial" w:hAnsi="Arial"/>
          <w:sz w:val="18"/>
          <w:szCs w:val="18"/>
          <w:color w:val="auto"/>
        </w:rPr>
        <w:t>Following effectiveness of the Registration Statement, the shares of Preferred Stock registered under the Registration Statement, when duly authorized and issued against the full payment specified therefor, which must have a value not less than the par value thereof, will be validly issued, fully paid and nonassessable.</w:t>
      </w:r>
    </w:p>
    <w:p>
      <w:pPr>
        <w:spacing w:after="0" w:line="183" w:lineRule="exact"/>
        <w:rPr>
          <w:rFonts w:ascii="Arial" w:cs="Arial" w:eastAsia="Arial" w:hAnsi="Arial"/>
          <w:sz w:val="18"/>
          <w:szCs w:val="18"/>
          <w:color w:val="auto"/>
        </w:rPr>
      </w:pPr>
    </w:p>
    <w:p>
      <w:pPr>
        <w:ind w:left="4" w:right="100" w:hanging="4"/>
        <w:spacing w:after="0" w:line="296" w:lineRule="auto"/>
        <w:tabs>
          <w:tab w:leader="none" w:pos="184" w:val="left"/>
        </w:tabs>
        <w:numPr>
          <w:ilvl w:val="0"/>
          <w:numId w:val="130"/>
        </w:numPr>
        <w:rPr>
          <w:rFonts w:ascii="Arial" w:cs="Arial" w:eastAsia="Arial" w:hAnsi="Arial"/>
          <w:sz w:val="16"/>
          <w:szCs w:val="16"/>
          <w:color w:val="auto"/>
        </w:rPr>
      </w:pPr>
      <w:r>
        <w:rPr>
          <w:rFonts w:ascii="Arial" w:cs="Arial" w:eastAsia="Arial" w:hAnsi="Arial"/>
          <w:sz w:val="16"/>
          <w:szCs w:val="16"/>
          <w:color w:val="auto"/>
        </w:rPr>
        <w:t>Following effectiveness of the Registration Statement, the Warrants registered under the Registration Statement, when duly authorized, executed and delivered against the payment specified therefor and pursuant to a Warrant Agreement or agreements duly authorized, executed and delivered by the Company and the holder of the Warrants, will be legally issued binding obligations of the Company enforceable against the Company in accordance with their respective terms, except as such enforceability may be limited by bankruptcy, insolvency, reorganization or similar laws affecting creditors’ rights generally, and subject to general principles of equity (regardless of whether enforcement is sought in a proceeding in equity or at law).</w:t>
      </w:r>
    </w:p>
    <w:p>
      <w:pPr>
        <w:spacing w:after="0" w:line="161" w:lineRule="exact"/>
        <w:rPr>
          <w:rFonts w:ascii="Arial" w:cs="Arial" w:eastAsia="Arial" w:hAnsi="Arial"/>
          <w:sz w:val="16"/>
          <w:szCs w:val="16"/>
          <w:color w:val="auto"/>
        </w:rPr>
      </w:pPr>
    </w:p>
    <w:p>
      <w:pPr>
        <w:ind w:left="4" w:hanging="4"/>
        <w:spacing w:after="0" w:line="275" w:lineRule="auto"/>
        <w:tabs>
          <w:tab w:leader="none" w:pos="184" w:val="left"/>
        </w:tabs>
        <w:numPr>
          <w:ilvl w:val="0"/>
          <w:numId w:val="130"/>
        </w:numPr>
        <w:rPr>
          <w:rFonts w:ascii="Arial" w:cs="Arial" w:eastAsia="Arial" w:hAnsi="Arial"/>
          <w:sz w:val="17"/>
          <w:szCs w:val="17"/>
          <w:color w:val="auto"/>
        </w:rPr>
      </w:pPr>
      <w:r>
        <w:rPr>
          <w:rFonts w:ascii="Arial" w:cs="Arial" w:eastAsia="Arial" w:hAnsi="Arial"/>
          <w:sz w:val="17"/>
          <w:szCs w:val="17"/>
          <w:color w:val="auto"/>
        </w:rPr>
        <w:t>Following effectiveness of the Registration Statement, the Debt Securities registered under the Registration Statement, when duly authorized, executed and delivered against the payment specified therefor and pursuant to an Indenture duly authorized, executed and delivered by the Company and the Trustee, will be legally issued binding obligations of the Company enforceable against the Company in accordance with their respective terms, except as such enforceability may be limited by bankruptcy, insolvency, reorganization or similar laws affecting creditors’ rights generally, and subject to general principles of equity (regardless of whether enforcement is sought in a proceeding in equity or at law).</w:t>
      </w:r>
    </w:p>
    <w:p>
      <w:pPr>
        <w:spacing w:after="0" w:line="176" w:lineRule="exact"/>
        <w:rPr>
          <w:rFonts w:ascii="Arial" w:cs="Arial" w:eastAsia="Arial" w:hAnsi="Arial"/>
          <w:sz w:val="17"/>
          <w:szCs w:val="17"/>
          <w:color w:val="auto"/>
        </w:rPr>
      </w:pPr>
    </w:p>
    <w:p>
      <w:pPr>
        <w:ind w:left="4" w:right="80" w:hanging="4"/>
        <w:spacing w:after="0" w:line="257" w:lineRule="auto"/>
        <w:tabs>
          <w:tab w:leader="none" w:pos="184" w:val="left"/>
        </w:tabs>
        <w:numPr>
          <w:ilvl w:val="0"/>
          <w:numId w:val="130"/>
        </w:numPr>
        <w:rPr>
          <w:rFonts w:ascii="Arial" w:cs="Arial" w:eastAsia="Arial" w:hAnsi="Arial"/>
          <w:sz w:val="18"/>
          <w:szCs w:val="18"/>
          <w:color w:val="auto"/>
        </w:rPr>
      </w:pPr>
      <w:r>
        <w:rPr>
          <w:rFonts w:ascii="Arial" w:cs="Arial" w:eastAsia="Arial" w:hAnsi="Arial"/>
          <w:sz w:val="18"/>
          <w:szCs w:val="18"/>
          <w:color w:val="auto"/>
        </w:rPr>
        <w:t>Following effectiveness of the Registration Statement, the Units registered under the Registration Statement, when duly authorized, executed and delivered against payment specified therefor and pursuant to a Unit Agreement, if applicable, will be legally issued binding obligations of the Company enforceable against the Company in accordance with their respective terms, except as such enforceability may be limited by bankruptcy, insolvency, reorganization or similar laws affecting creditors’ rights generally, and subject to general principles of equity (regardless of whether enforcement is sought in a proceeding in equity or at law).</w:t>
      </w:r>
    </w:p>
    <w:p>
      <w:pPr>
        <w:spacing w:after="0" w:line="187" w:lineRule="exact"/>
        <w:rPr>
          <w:rFonts w:ascii="Arial" w:cs="Arial" w:eastAsia="Arial" w:hAnsi="Arial"/>
          <w:sz w:val="18"/>
          <w:szCs w:val="18"/>
          <w:color w:val="auto"/>
        </w:rPr>
      </w:pPr>
    </w:p>
    <w:p>
      <w:pPr>
        <w:ind w:left="4" w:right="40" w:hanging="4"/>
        <w:spacing w:after="0" w:line="257" w:lineRule="auto"/>
        <w:tabs>
          <w:tab w:leader="none" w:pos="184" w:val="left"/>
        </w:tabs>
        <w:numPr>
          <w:ilvl w:val="0"/>
          <w:numId w:val="130"/>
        </w:numPr>
        <w:rPr>
          <w:rFonts w:ascii="Arial" w:cs="Arial" w:eastAsia="Arial" w:hAnsi="Arial"/>
          <w:sz w:val="18"/>
          <w:szCs w:val="18"/>
          <w:color w:val="auto"/>
        </w:rPr>
      </w:pPr>
      <w:r>
        <w:rPr>
          <w:rFonts w:ascii="Arial" w:cs="Arial" w:eastAsia="Arial" w:hAnsi="Arial"/>
          <w:sz w:val="18"/>
          <w:szCs w:val="18"/>
          <w:color w:val="auto"/>
        </w:rPr>
        <w:t>Following effectiveness of the Registration Statement, the Subscription Rights registered under the Registration Statement, when duly authorized, executed and delivered against payment specified therefor and pursuant to a Subscription Rights Agreement, if applicable, will be legally issued binding obligations of the Company enforceable against the Company in accordance with their respective terms, except as such enforceability may be limited by bankruptcy, insolvency, reorganization or similar laws affecting creditors’ rights generally, and subject to general principles of equity (regardless of whether enforcement is sought in a proceeding in equity or at law).</w:t>
      </w:r>
    </w:p>
    <w:p>
      <w:pPr>
        <w:spacing w:after="0" w:line="120" w:lineRule="exact"/>
        <w:rPr>
          <w:sz w:val="20"/>
          <w:szCs w:val="20"/>
          <w:color w:val="auto"/>
        </w:rPr>
      </w:pPr>
    </w:p>
    <w:p>
      <w:pPr>
        <w:jc w:val="center"/>
        <w:ind w:right="-3"/>
        <w:spacing w:after="0"/>
        <w:rPr>
          <w:sz w:val="20"/>
          <w:szCs w:val="20"/>
          <w:color w:val="auto"/>
        </w:rPr>
      </w:pPr>
      <w:r>
        <w:rPr>
          <w:rFonts w:ascii="Arial" w:cs="Arial" w:eastAsia="Arial" w:hAnsi="Arial"/>
          <w:sz w:val="18"/>
          <w:szCs w:val="18"/>
          <w:color w:val="auto"/>
        </w:rPr>
        <w:t>-4-</w:t>
      </w:r>
    </w:p>
    <w:p>
      <w:pPr>
        <w:sectPr>
          <w:pgSz w:w="11900" w:h="16838" w:orient="portrait"/>
          <w:cols w:equalWidth="0" w:num="1">
            <w:col w:w="11004"/>
          </w:cols>
          <w:pgMar w:left="436" w:top="1440" w:right="459" w:bottom="1440" w:gutter="0" w:footer="0" w:header="0"/>
        </w:sectPr>
      </w:pPr>
    </w:p>
    <w:bookmarkStart w:id="157" w:name="page158"/>
    <w:bookmarkEnd w:id="157"/>
    <w:p>
      <w:pPr>
        <w:spacing w:after="0" w:line="9"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211" name="Picture 2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1"/>
                    <pic:cNvPicPr>
                      <a:picLocks noChangeAspect="1" noChangeArrowheads="1"/>
                    </pic:cNvPicPr>
                  </pic:nvPicPr>
                  <pic:blipFill>
                    <a:blip r:embed="rId233">
                      <a:extLst>
                        <a:ext uri="{28A0092B-C50C-407E-A947-70E740481C1C}"/>
                      </a:extLst>
                    </a:blip>
                    <a:srcRect/>
                    <a:stretch>
                      <a:fillRect/>
                    </a:stretch>
                  </pic:blipFill>
                  <pic:spPr bwMode="auto">
                    <a:xfrm>
                      <a:off x="0" y="0"/>
                      <a:ext cx="7149465" cy="26035"/>
                    </a:xfrm>
                    <a:prstGeom prst="rect">
                      <a:avLst/>
                    </a:prstGeom>
                    <a:noFill/>
                  </pic:spPr>
                </pic:pic>
              </a:graphicData>
            </a:graphic>
          </wp:anchor>
        </w:drawing>
        <w:drawing>
          <wp:anchor simplePos="0" relativeHeight="251657728" behindDoc="1" locked="0" layoutInCell="0" allowOverlap="1">
            <wp:simplePos x="0" y="0"/>
            <wp:positionH relativeFrom="page">
              <wp:posOffset>5814695</wp:posOffset>
            </wp:positionH>
            <wp:positionV relativeFrom="page">
              <wp:posOffset>183515</wp:posOffset>
            </wp:positionV>
            <wp:extent cx="1457325" cy="608330"/>
            <wp:wrapNone/>
            <wp:docPr id="212" name="Picture 2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2"/>
                    <pic:cNvPicPr>
                      <a:picLocks noChangeAspect="1" noChangeArrowheads="1"/>
                    </pic:cNvPicPr>
                  </pic:nvPicPr>
                  <pic:blipFill>
                    <a:blip r:embed="rId234">
                      <a:clrChange>
                        <a:clrFrom>
                          <a:srgbClr val="FFFFFF"/>
                        </a:clrFrom>
                        <a:clrTo>
                          <a:srgbClr val="FFFFFF">
                            <a:alpha val="0"/>
                          </a:srgbClr>
                        </a:clrTo>
                      </a:clrChange>
                      <a:extLst>
                        <a:ext uri="{28A0092B-C50C-407E-A947-70E740481C1C}"/>
                      </a:extLst>
                    </a:blip>
                    <a:srcRect/>
                    <a:stretch>
                      <a:fillRect/>
                    </a:stretch>
                  </pic:blipFill>
                  <pic:spPr bwMode="auto">
                    <a:xfrm>
                      <a:off x="0" y="0"/>
                      <a:ext cx="1457325" cy="608330"/>
                    </a:xfrm>
                    <a:prstGeom prst="rect">
                      <a:avLst/>
                    </a:prstGeom>
                    <a:noFill/>
                  </pic:spPr>
                </pic:pic>
              </a:graphicData>
            </a:graphic>
          </wp:anchor>
        </w:drawing>
      </w:r>
    </w:p>
    <w:p>
      <w:pPr>
        <w:ind w:left="4"/>
        <w:spacing w:after="0"/>
        <w:rPr>
          <w:sz w:val="20"/>
          <w:szCs w:val="20"/>
          <w:color w:val="auto"/>
        </w:rPr>
      </w:pPr>
      <w:r>
        <w:rPr>
          <w:rFonts w:ascii="Arial" w:cs="Arial" w:eastAsia="Arial" w:hAnsi="Arial"/>
          <w:sz w:val="18"/>
          <w:szCs w:val="18"/>
          <w:color w:val="auto"/>
        </w:rPr>
        <w:t>Larimar Therapeutics, Inc.</w:t>
      </w:r>
    </w:p>
    <w:p>
      <w:pPr>
        <w:spacing w:after="0" w:line="23" w:lineRule="exact"/>
        <w:rPr>
          <w:sz w:val="20"/>
          <w:szCs w:val="20"/>
          <w:color w:val="auto"/>
        </w:rPr>
      </w:pPr>
    </w:p>
    <w:p>
      <w:pPr>
        <w:ind w:left="4"/>
        <w:spacing w:after="0"/>
        <w:rPr>
          <w:sz w:val="20"/>
          <w:szCs w:val="20"/>
          <w:color w:val="auto"/>
        </w:rPr>
      </w:pPr>
      <w:r>
        <w:rPr>
          <w:rFonts w:ascii="Arial" w:cs="Arial" w:eastAsia="Arial" w:hAnsi="Arial"/>
          <w:sz w:val="18"/>
          <w:szCs w:val="18"/>
          <w:color w:val="auto"/>
        </w:rPr>
        <w:t>Page 5</w:t>
      </w:r>
    </w:p>
    <w:p>
      <w:pPr>
        <w:spacing w:after="0" w:line="9" w:lineRule="exact"/>
        <w:rPr>
          <w:sz w:val="20"/>
          <w:szCs w:val="20"/>
          <w:color w:val="auto"/>
        </w:rPr>
      </w:pPr>
    </w:p>
    <w:p>
      <w:pPr>
        <w:ind w:left="4"/>
        <w:spacing w:after="0"/>
        <w:rPr>
          <w:sz w:val="20"/>
          <w:szCs w:val="20"/>
          <w:color w:val="auto"/>
        </w:rPr>
      </w:pPr>
      <w:r>
        <w:rPr>
          <w:rFonts w:ascii="Arial" w:cs="Arial" w:eastAsia="Arial" w:hAnsi="Arial"/>
          <w:sz w:val="18"/>
          <w:szCs w:val="18"/>
          <w:color w:val="auto"/>
        </w:rPr>
        <w:t>August 14, 2020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194310</wp:posOffset>
            </wp:positionV>
            <wp:extent cx="6995160" cy="8890"/>
            <wp:wrapNone/>
            <wp:docPr id="213" name="Picture 2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3"/>
                    <pic:cNvPicPr>
                      <a:picLocks noChangeAspect="1" noChangeArrowheads="1"/>
                    </pic:cNvPicPr>
                  </pic:nvPicPr>
                  <pic:blipFill>
                    <a:blip r:embed="rId235">
                      <a:extLst>
                        <a:ext uri="{28A0092B-C50C-407E-A947-70E740481C1C}"/>
                      </a:extLst>
                    </a:blip>
                    <a:srcRect/>
                    <a:stretch>
                      <a:fillRect/>
                    </a:stretch>
                  </pic:blipFill>
                  <pic:spPr bwMode="auto">
                    <a:xfrm>
                      <a:off x="0" y="0"/>
                      <a:ext cx="6995160" cy="8890"/>
                    </a:xfrm>
                    <a:prstGeom prst="rect">
                      <a:avLst/>
                    </a:prstGeom>
                    <a:noFill/>
                  </pic:spPr>
                </pic:pic>
              </a:graphicData>
            </a:graphic>
          </wp:anchor>
        </w:drawing>
      </w:r>
    </w:p>
    <w:p>
      <w:pPr>
        <w:spacing w:after="0" w:line="200" w:lineRule="exact"/>
        <w:rPr>
          <w:sz w:val="20"/>
          <w:szCs w:val="20"/>
          <w:color w:val="auto"/>
        </w:rPr>
      </w:pPr>
    </w:p>
    <w:p>
      <w:pPr>
        <w:spacing w:after="0" w:line="274" w:lineRule="exact"/>
        <w:rPr>
          <w:sz w:val="20"/>
          <w:szCs w:val="20"/>
          <w:color w:val="auto"/>
        </w:rPr>
      </w:pPr>
    </w:p>
    <w:p>
      <w:pPr>
        <w:ind w:left="4" w:hanging="4"/>
        <w:spacing w:after="0" w:line="342" w:lineRule="auto"/>
        <w:tabs>
          <w:tab w:leader="none" w:pos="184" w:val="left"/>
        </w:tabs>
        <w:numPr>
          <w:ilvl w:val="0"/>
          <w:numId w:val="131"/>
        </w:numPr>
        <w:rPr>
          <w:rFonts w:ascii="Arial" w:cs="Arial" w:eastAsia="Arial" w:hAnsi="Arial"/>
          <w:sz w:val="16"/>
          <w:szCs w:val="16"/>
          <w:color w:val="auto"/>
        </w:rPr>
      </w:pPr>
      <w:r>
        <w:rPr>
          <w:rFonts w:ascii="Arial" w:cs="Arial" w:eastAsia="Arial" w:hAnsi="Arial"/>
          <w:sz w:val="16"/>
          <w:szCs w:val="16"/>
          <w:color w:val="auto"/>
        </w:rPr>
        <w:t>Following effectiveness of the Registration Statement, when the ATM Shares have been issued and sold in accordance with the Sales Agreement, and as described in the Registration Statement and Sales Prospectus, the ATM Shares will be validly issued, fully paid and nonassessable.</w:t>
      </w:r>
    </w:p>
    <w:p>
      <w:pPr>
        <w:spacing w:after="0" w:line="124" w:lineRule="exact"/>
        <w:rPr>
          <w:sz w:val="20"/>
          <w:szCs w:val="20"/>
          <w:color w:val="auto"/>
        </w:rPr>
      </w:pPr>
    </w:p>
    <w:p>
      <w:pPr>
        <w:ind w:left="4" w:right="200"/>
        <w:spacing w:after="0" w:line="308" w:lineRule="auto"/>
        <w:rPr>
          <w:sz w:val="20"/>
          <w:szCs w:val="20"/>
          <w:color w:val="auto"/>
        </w:rPr>
      </w:pPr>
      <w:r>
        <w:rPr>
          <w:rFonts w:ascii="Arial" w:cs="Arial" w:eastAsia="Arial" w:hAnsi="Arial"/>
          <w:sz w:val="17"/>
          <w:szCs w:val="17"/>
          <w:color w:val="auto"/>
        </w:rPr>
        <w:t>This opinion letter is given as of the date hereof, and we assume no obligation to supplement this opinion if any applicable law changes after the date hereof or if we become aware of any facts or circumstances that may change the opinions expressed herein after the date hereof.</w:t>
      </w:r>
    </w:p>
    <w:p>
      <w:pPr>
        <w:spacing w:after="0" w:line="146" w:lineRule="exact"/>
        <w:rPr>
          <w:sz w:val="20"/>
          <w:szCs w:val="20"/>
          <w:color w:val="auto"/>
        </w:rPr>
      </w:pPr>
    </w:p>
    <w:p>
      <w:pPr>
        <w:ind w:left="4" w:right="320"/>
        <w:spacing w:after="0" w:line="263" w:lineRule="auto"/>
        <w:rPr>
          <w:sz w:val="20"/>
          <w:szCs w:val="20"/>
          <w:color w:val="auto"/>
        </w:rPr>
      </w:pPr>
      <w:r>
        <w:rPr>
          <w:rFonts w:ascii="Arial" w:cs="Arial" w:eastAsia="Arial" w:hAnsi="Arial"/>
          <w:sz w:val="18"/>
          <w:szCs w:val="18"/>
          <w:color w:val="auto"/>
        </w:rPr>
        <w:t>We hereby consent to the filing of this opinion as an exhibit to the Registration Statement and to the reference to this firm under the heading “Legal Matters” in the Prospectus. In rendering this opinion and giving this consent, we do not admit that we are an “expert” within the meaning of the Securities Act.</w:t>
      </w:r>
    </w:p>
    <w:p>
      <w:pPr>
        <w:spacing w:after="0" w:line="211" w:lineRule="exact"/>
        <w:rPr>
          <w:sz w:val="20"/>
          <w:szCs w:val="20"/>
          <w:color w:val="auto"/>
        </w:rPr>
      </w:pPr>
    </w:p>
    <w:p>
      <w:pPr>
        <w:ind w:left="6624"/>
        <w:spacing w:after="0"/>
        <w:rPr>
          <w:sz w:val="20"/>
          <w:szCs w:val="20"/>
          <w:color w:val="auto"/>
        </w:rPr>
      </w:pPr>
      <w:r>
        <w:rPr>
          <w:rFonts w:ascii="Arial" w:cs="Arial" w:eastAsia="Arial" w:hAnsi="Arial"/>
          <w:sz w:val="18"/>
          <w:szCs w:val="18"/>
          <w:color w:val="auto"/>
        </w:rPr>
        <w:t>Very truly yours,</w:t>
      </w:r>
    </w:p>
    <w:p>
      <w:pPr>
        <w:spacing w:after="0" w:line="23" w:lineRule="exact"/>
        <w:rPr>
          <w:sz w:val="20"/>
          <w:szCs w:val="20"/>
          <w:color w:val="auto"/>
        </w:rPr>
      </w:pPr>
    </w:p>
    <w:p>
      <w:pPr>
        <w:ind w:left="6624"/>
        <w:spacing w:after="0"/>
        <w:rPr>
          <w:sz w:val="20"/>
          <w:szCs w:val="20"/>
          <w:color w:val="auto"/>
        </w:rPr>
      </w:pPr>
      <w:r>
        <w:rPr>
          <w:rFonts w:ascii="Arial" w:cs="Arial" w:eastAsia="Arial" w:hAnsi="Arial"/>
          <w:sz w:val="18"/>
          <w:szCs w:val="18"/>
          <w:color w:val="auto"/>
        </w:rPr>
        <w:t>/s/ Troutman Pepper Hamilton Sanders LLP</w:t>
      </w:r>
    </w:p>
    <w:p>
      <w:pPr>
        <w:spacing w:after="0" w:line="9" w:lineRule="exact"/>
        <w:rPr>
          <w:sz w:val="20"/>
          <w:szCs w:val="20"/>
          <w:color w:val="auto"/>
        </w:rPr>
      </w:pPr>
    </w:p>
    <w:p>
      <w:pPr>
        <w:ind w:left="6624"/>
        <w:spacing w:after="0"/>
        <w:rPr>
          <w:sz w:val="20"/>
          <w:szCs w:val="20"/>
          <w:color w:val="auto"/>
        </w:rPr>
      </w:pPr>
      <w:r>
        <w:rPr>
          <w:rFonts w:ascii="Arial" w:cs="Arial" w:eastAsia="Arial" w:hAnsi="Arial"/>
          <w:sz w:val="18"/>
          <w:szCs w:val="18"/>
          <w:color w:val="auto"/>
        </w:rPr>
        <w:t>Troutman Pepper Hamilton Sanders LLP</w:t>
      </w:r>
    </w:p>
    <w:p>
      <w:pPr>
        <w:spacing w:after="0" w:line="143" w:lineRule="exact"/>
        <w:rPr>
          <w:sz w:val="20"/>
          <w:szCs w:val="20"/>
          <w:color w:val="auto"/>
        </w:rPr>
      </w:pPr>
    </w:p>
    <w:p>
      <w:pPr>
        <w:jc w:val="center"/>
        <w:ind w:right="-63"/>
        <w:spacing w:after="0"/>
        <w:rPr>
          <w:sz w:val="20"/>
          <w:szCs w:val="20"/>
          <w:color w:val="auto"/>
        </w:rPr>
      </w:pPr>
      <w:r>
        <w:rPr>
          <w:rFonts w:ascii="Arial" w:cs="Arial" w:eastAsia="Arial" w:hAnsi="Arial"/>
          <w:sz w:val="18"/>
          <w:szCs w:val="18"/>
          <w:color w:val="auto"/>
        </w:rPr>
        <w:t>-5-</w:t>
      </w:r>
    </w:p>
    <w:p>
      <w:pPr>
        <w:sectPr>
          <w:pgSz w:w="11900" w:h="16838" w:orient="portrait"/>
          <w:cols w:equalWidth="0" w:num="1">
            <w:col w:w="10944"/>
          </w:cols>
          <w:pgMar w:left="436" w:top="1440" w:right="519" w:bottom="1440" w:gutter="0" w:footer="0" w:header="0"/>
        </w:sectPr>
      </w:pPr>
    </w:p>
    <w:bookmarkStart w:id="158" w:name="page159"/>
    <w:bookmarkEnd w:id="158"/>
    <w:p>
      <w:pPr>
        <w:jc w:val="right"/>
        <w:spacing w:after="0"/>
        <w:rPr>
          <w:sz w:val="20"/>
          <w:szCs w:val="20"/>
          <w:color w:val="auto"/>
        </w:rPr>
      </w:pPr>
      <w:r>
        <w:rPr>
          <w:rFonts w:ascii="Arial" w:cs="Arial" w:eastAsia="Arial" w:hAnsi="Arial"/>
          <w:sz w:val="18"/>
          <w:szCs w:val="18"/>
          <w:b w:val="1"/>
          <w:bCs w:val="1"/>
          <w:color w:val="auto"/>
        </w:rPr>
        <w:t>Exhibit 23.1</w:t>
      </w:r>
    </w:p>
    <w:p>
      <w:pPr>
        <w:spacing w:after="0" w:line="22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CONSENT OF INDEPENDENT REGISTERED PUBLIC ACCOUNTING FIRM</w:t>
      </w:r>
    </w:p>
    <w:p>
      <w:pPr>
        <w:spacing w:after="0" w:line="225" w:lineRule="exact"/>
        <w:rPr>
          <w:sz w:val="20"/>
          <w:szCs w:val="20"/>
          <w:color w:val="auto"/>
        </w:rPr>
      </w:pPr>
    </w:p>
    <w:p>
      <w:pPr>
        <w:ind w:right="400"/>
        <w:spacing w:after="0" w:line="311" w:lineRule="auto"/>
        <w:rPr>
          <w:sz w:val="20"/>
          <w:szCs w:val="20"/>
          <w:color w:val="auto"/>
        </w:rPr>
      </w:pPr>
      <w:r>
        <w:rPr>
          <w:rFonts w:ascii="Arial" w:cs="Arial" w:eastAsia="Arial" w:hAnsi="Arial"/>
          <w:sz w:val="16"/>
          <w:szCs w:val="16"/>
          <w:color w:val="auto"/>
        </w:rPr>
        <w:t>We hereby consent to the incorporation by reference in this Registration Statement on Form S-3 of Larimar Therapeutics, Inc. of our report dated March 6, 2020 relating to the financial statements of Chondrial Therapeutics, Inc., which appears in Larimar Therapeutics, Inc.’s Current Report on Form 8-K/A filed on June 26, 2020. We also consent to the reference to us under the heading “Experts” in such Registration Statement.</w:t>
      </w:r>
    </w:p>
    <w:p>
      <w:pPr>
        <w:spacing w:after="0" w:line="176" w:lineRule="exact"/>
        <w:rPr>
          <w:sz w:val="20"/>
          <w:szCs w:val="20"/>
          <w:color w:val="auto"/>
        </w:rPr>
      </w:pPr>
    </w:p>
    <w:p>
      <w:pPr>
        <w:spacing w:after="0"/>
        <w:rPr>
          <w:sz w:val="20"/>
          <w:szCs w:val="20"/>
          <w:color w:val="auto"/>
        </w:rPr>
      </w:pPr>
      <w:r>
        <w:rPr>
          <w:rFonts w:ascii="Arial" w:cs="Arial" w:eastAsia="Arial" w:hAnsi="Arial"/>
          <w:sz w:val="18"/>
          <w:szCs w:val="18"/>
          <w:color w:val="auto"/>
        </w:rPr>
        <w:t>/s/ PricewaterhouseCoopers LLP</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Philadelphia, Pennsylvania</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August 14, 2020</w:t>
      </w:r>
    </w:p>
    <w:p>
      <w:pPr>
        <w:sectPr>
          <w:pgSz w:w="11900" w:h="16838" w:orient="portrait"/>
          <w:cols w:equalWidth="0" w:num="1">
            <w:col w:w="11020"/>
          </w:cols>
          <w:pgMar w:left="440" w:top="121" w:right="439" w:bottom="1440" w:gutter="0" w:footer="0" w:header="0"/>
        </w:sectPr>
      </w:pPr>
    </w:p>
    <w:bookmarkStart w:id="159" w:name="page160"/>
    <w:bookmarkEnd w:id="159"/>
    <w:p>
      <w:pPr>
        <w:jc w:val="right"/>
        <w:spacing w:after="0"/>
        <w:rPr>
          <w:sz w:val="20"/>
          <w:szCs w:val="20"/>
          <w:color w:val="auto"/>
        </w:rPr>
      </w:pPr>
      <w:r>
        <w:rPr>
          <w:rFonts w:ascii="Arial" w:cs="Arial" w:eastAsia="Arial" w:hAnsi="Arial"/>
          <w:sz w:val="18"/>
          <w:szCs w:val="18"/>
          <w:b w:val="1"/>
          <w:bCs w:val="1"/>
          <w:color w:val="auto"/>
        </w:rPr>
        <w:t>Exhibit 23.2</w:t>
      </w:r>
    </w:p>
    <w:p>
      <w:pPr>
        <w:spacing w:after="0" w:line="22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CONSENT OF INDEPENDENT REGISTERED PUBLIC ACCOUNTING FIRM</w:t>
      </w:r>
    </w:p>
    <w:p>
      <w:pPr>
        <w:spacing w:after="0" w:line="225" w:lineRule="exact"/>
        <w:rPr>
          <w:sz w:val="20"/>
          <w:szCs w:val="20"/>
          <w:color w:val="auto"/>
        </w:rPr>
      </w:pPr>
    </w:p>
    <w:p>
      <w:pPr>
        <w:jc w:val="both"/>
        <w:ind w:right="500"/>
        <w:spacing w:after="0" w:line="286" w:lineRule="auto"/>
        <w:rPr>
          <w:sz w:val="20"/>
          <w:szCs w:val="20"/>
          <w:color w:val="auto"/>
        </w:rPr>
      </w:pPr>
      <w:r>
        <w:rPr>
          <w:rFonts w:ascii="Arial" w:cs="Arial" w:eastAsia="Arial" w:hAnsi="Arial"/>
          <w:sz w:val="17"/>
          <w:szCs w:val="17"/>
          <w:color w:val="auto"/>
        </w:rPr>
        <w:t>We hereby consent to the incorporation by reference in this Registration Statement on Form S-3 of Larimar Therapeutics, Inc. of our report dated March 5, 2020 relating to the financial statements of Zafgen, Inc., which appears in Zafgen, Inc’s Annual Report on Form 10-K for the year ended December 31, 2019. We also consent to the reference to us under the heading “Experts” in such Registration Statement.</w:t>
      </w:r>
    </w:p>
    <w:p>
      <w:pPr>
        <w:spacing w:after="0" w:line="192" w:lineRule="exact"/>
        <w:rPr>
          <w:sz w:val="20"/>
          <w:szCs w:val="20"/>
          <w:color w:val="auto"/>
        </w:rPr>
      </w:pPr>
    </w:p>
    <w:p>
      <w:pPr>
        <w:spacing w:after="0"/>
        <w:rPr>
          <w:sz w:val="20"/>
          <w:szCs w:val="20"/>
          <w:color w:val="auto"/>
        </w:rPr>
      </w:pPr>
      <w:r>
        <w:rPr>
          <w:rFonts w:ascii="Arial" w:cs="Arial" w:eastAsia="Arial" w:hAnsi="Arial"/>
          <w:sz w:val="18"/>
          <w:szCs w:val="18"/>
          <w:color w:val="auto"/>
        </w:rPr>
        <w:t>/s/ PricewaterhouseCoopers LLP</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Boston, Massachusetts</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August 14, 2020</w:t>
      </w:r>
    </w:p>
    <w:sectPr>
      <w:pgSz w:w="11900" w:h="16838" w:orient="portrait"/>
      <w:cols w:equalWidth="0" w:num="1">
        <w:col w:w="11020"/>
      </w:cols>
      <w:pgMar w:left="440" w:top="121" w:right="4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1DBABF00"/>
    <w:multiLevelType w:val="hybridMultilevel"/>
    <w:lvl w:ilvl="0">
      <w:lvlJc w:val="left"/>
      <w:lvlText w:val="(%1)"/>
      <w:numFmt w:val="decimal"/>
      <w:start w:val="1"/>
    </w:lvl>
  </w:abstractNum>
  <w:abstractNum w:abstractNumId="1">
    <w:nsid w:val="4AD084E9"/>
    <w:multiLevelType w:val="hybridMultilevel"/>
    <w:lvl w:ilvl="0">
      <w:lvlJc w:val="left"/>
      <w:lvlText w:val="•"/>
      <w:numFmt w:val="bullet"/>
      <w:start w:val="1"/>
    </w:lvl>
  </w:abstractNum>
  <w:abstractNum w:abstractNumId="2">
    <w:nsid w:val="1F48EAA1"/>
    <w:multiLevelType w:val="hybridMultilevel"/>
    <w:lvl w:ilvl="0">
      <w:lvlJc w:val="left"/>
      <w:lvlText w:val="•"/>
      <w:numFmt w:val="bullet"/>
      <w:start w:val="1"/>
    </w:lvl>
  </w:abstractNum>
  <w:abstractNum w:abstractNumId="3">
    <w:nsid w:val="1381823A"/>
    <w:multiLevelType w:val="hybridMultilevel"/>
    <w:lvl w:ilvl="0">
      <w:lvlJc w:val="left"/>
      <w:lvlText w:val="•"/>
      <w:numFmt w:val="bullet"/>
      <w:start w:val="1"/>
    </w:lvl>
  </w:abstractNum>
  <w:abstractNum w:abstractNumId="4">
    <w:nsid w:val="5DB70AE5"/>
    <w:multiLevelType w:val="hybridMultilevel"/>
    <w:lvl w:ilvl="0">
      <w:lvlJc w:val="left"/>
      <w:lvlText w:val="•"/>
      <w:numFmt w:val="bullet"/>
      <w:start w:val="1"/>
    </w:lvl>
  </w:abstractNum>
  <w:abstractNum w:abstractNumId="5">
    <w:nsid w:val="100F8FCA"/>
    <w:multiLevelType w:val="hybridMultilevel"/>
    <w:lvl w:ilvl="0">
      <w:lvlJc w:val="left"/>
      <w:lvlText w:val="(%1)"/>
      <w:numFmt w:val="lowerLetter"/>
      <w:start w:val="2"/>
    </w:lvl>
  </w:abstractNum>
  <w:abstractNum w:abstractNumId="6">
    <w:nsid w:val="6590700B"/>
    <w:multiLevelType w:val="hybridMultilevel"/>
    <w:lvl w:ilvl="0">
      <w:lvlJc w:val="left"/>
      <w:lvlText w:val="•"/>
      <w:numFmt w:val="bullet"/>
      <w:start w:val="1"/>
    </w:lvl>
  </w:abstractNum>
  <w:abstractNum w:abstractNumId="7">
    <w:nsid w:val="15014ACB"/>
    <w:multiLevelType w:val="hybridMultilevel"/>
    <w:lvl w:ilvl="0">
      <w:lvlJc w:val="left"/>
      <w:lvlText w:val="•"/>
      <w:numFmt w:val="bullet"/>
      <w:start w:val="1"/>
    </w:lvl>
  </w:abstractNum>
  <w:abstractNum w:abstractNumId="8">
    <w:nsid w:val="5F5E7FD0"/>
    <w:multiLevelType w:val="hybridMultilevel"/>
    <w:lvl w:ilvl="0">
      <w:lvlJc w:val="left"/>
      <w:lvlText w:val="•"/>
      <w:numFmt w:val="bullet"/>
      <w:start w:val="1"/>
    </w:lvl>
  </w:abstractNum>
  <w:abstractNum w:abstractNumId="9">
    <w:nsid w:val="98A3148"/>
    <w:multiLevelType w:val="hybridMultilevel"/>
    <w:lvl w:ilvl="0">
      <w:lvlJc w:val="left"/>
      <w:lvlText w:val="•"/>
      <w:numFmt w:val="bullet"/>
      <w:start w:val="1"/>
    </w:lvl>
  </w:abstractNum>
  <w:abstractNum w:abstractNumId="10">
    <w:nsid w:val="799D0247"/>
    <w:multiLevelType w:val="hybridMultilevel"/>
    <w:lvl w:ilvl="0">
      <w:lvlJc w:val="left"/>
      <w:lvlText w:val="•"/>
      <w:numFmt w:val="bullet"/>
      <w:start w:val="1"/>
    </w:lvl>
  </w:abstractNum>
  <w:abstractNum w:abstractNumId="11">
    <w:nsid w:val="6B94764"/>
    <w:multiLevelType w:val="hybridMultilevel"/>
    <w:lvl w:ilvl="0">
      <w:lvlJc w:val="left"/>
      <w:lvlText w:val="•"/>
      <w:numFmt w:val="bullet"/>
      <w:start w:val="1"/>
    </w:lvl>
  </w:abstractNum>
  <w:abstractNum w:abstractNumId="12">
    <w:nsid w:val="42C296BD"/>
    <w:multiLevelType w:val="hybridMultilevel"/>
    <w:lvl w:ilvl="0">
      <w:lvlJc w:val="left"/>
      <w:lvlText w:val="•"/>
      <w:numFmt w:val="bullet"/>
      <w:start w:val="1"/>
    </w:lvl>
  </w:abstractNum>
  <w:abstractNum w:abstractNumId="13">
    <w:nsid w:val="168E121F"/>
    <w:multiLevelType w:val="hybridMultilevel"/>
    <w:lvl w:ilvl="0">
      <w:lvlJc w:val="left"/>
      <w:lvlText w:val="•"/>
      <w:numFmt w:val="bullet"/>
      <w:start w:val="1"/>
    </w:lvl>
  </w:abstractNum>
  <w:abstractNum w:abstractNumId="14">
    <w:nsid w:val="1EBA5D23"/>
    <w:multiLevelType w:val="hybridMultilevel"/>
    <w:lvl w:ilvl="0">
      <w:lvlJc w:val="left"/>
      <w:lvlText w:val="•"/>
      <w:numFmt w:val="bullet"/>
      <w:start w:val="1"/>
    </w:lvl>
  </w:abstractNum>
  <w:abstractNum w:abstractNumId="15">
    <w:nsid w:val="661E3F1E"/>
    <w:multiLevelType w:val="hybridMultilevel"/>
    <w:lvl w:ilvl="0">
      <w:lvlJc w:val="left"/>
      <w:lvlText w:val="•"/>
      <w:numFmt w:val="bullet"/>
      <w:start w:val="1"/>
    </w:lvl>
  </w:abstractNum>
  <w:abstractNum w:abstractNumId="16">
    <w:nsid w:val="5DC79EA8"/>
    <w:multiLevelType w:val="hybridMultilevel"/>
    <w:lvl w:ilvl="0">
      <w:lvlJc w:val="left"/>
      <w:lvlText w:val="•"/>
      <w:numFmt w:val="bullet"/>
      <w:start w:val="1"/>
    </w:lvl>
  </w:abstractNum>
  <w:abstractNum w:abstractNumId="17">
    <w:nsid w:val="540A471C"/>
    <w:multiLevelType w:val="hybridMultilevel"/>
    <w:lvl w:ilvl="0">
      <w:lvlJc w:val="left"/>
      <w:lvlText w:val="•"/>
      <w:numFmt w:val="bullet"/>
      <w:start w:val="1"/>
    </w:lvl>
  </w:abstractNum>
  <w:abstractNum w:abstractNumId="18">
    <w:nsid w:val="7BD3EE7B"/>
    <w:multiLevelType w:val="hybridMultilevel"/>
    <w:lvl w:ilvl="0">
      <w:lvlJc w:val="left"/>
      <w:lvlText w:val="•"/>
      <w:numFmt w:val="bullet"/>
      <w:start w:val="1"/>
    </w:lvl>
  </w:abstractNum>
  <w:abstractNum w:abstractNumId="19">
    <w:nsid w:val="51D9C564"/>
    <w:multiLevelType w:val="hybridMultilevel"/>
    <w:lvl w:ilvl="0">
      <w:lvlJc w:val="left"/>
      <w:lvlText w:val="•"/>
      <w:numFmt w:val="bullet"/>
      <w:start w:val="1"/>
    </w:lvl>
  </w:abstractNum>
  <w:abstractNum w:abstractNumId="20">
    <w:nsid w:val="613EFDC5"/>
    <w:multiLevelType w:val="hybridMultilevel"/>
    <w:lvl w:ilvl="0">
      <w:lvlJc w:val="left"/>
      <w:lvlText w:val="•"/>
      <w:numFmt w:val="bullet"/>
      <w:start w:val="1"/>
    </w:lvl>
  </w:abstractNum>
  <w:abstractNum w:abstractNumId="21">
    <w:nsid w:val="BF72B14"/>
    <w:multiLevelType w:val="hybridMultilevel"/>
    <w:lvl w:ilvl="0">
      <w:lvlJc w:val="left"/>
      <w:lvlText w:val="•"/>
      <w:numFmt w:val="bullet"/>
      <w:start w:val="1"/>
    </w:lvl>
  </w:abstractNum>
  <w:abstractNum w:abstractNumId="22">
    <w:nsid w:val="11447B73"/>
    <w:multiLevelType w:val="hybridMultilevel"/>
    <w:lvl w:ilvl="0">
      <w:lvlJc w:val="left"/>
      <w:lvlText w:val="•"/>
      <w:numFmt w:val="bullet"/>
      <w:start w:val="1"/>
    </w:lvl>
  </w:abstractNum>
  <w:abstractNum w:abstractNumId="23">
    <w:nsid w:val="42963E5A"/>
    <w:multiLevelType w:val="hybridMultilevel"/>
    <w:lvl w:ilvl="0">
      <w:lvlJc w:val="left"/>
      <w:lvlText w:val="•"/>
      <w:numFmt w:val="bullet"/>
      <w:start w:val="1"/>
    </w:lvl>
  </w:abstractNum>
  <w:abstractNum w:abstractNumId="24">
    <w:nsid w:val="A0382C5"/>
    <w:multiLevelType w:val="hybridMultilevel"/>
    <w:lvl w:ilvl="0">
      <w:lvlJc w:val="left"/>
      <w:lvlText w:val="•"/>
      <w:numFmt w:val="bullet"/>
      <w:start w:val="1"/>
    </w:lvl>
  </w:abstractNum>
  <w:abstractNum w:abstractNumId="25">
    <w:nsid w:val="8F2B15E"/>
    <w:multiLevelType w:val="hybridMultilevel"/>
    <w:lvl w:ilvl="0">
      <w:lvlJc w:val="left"/>
      <w:lvlText w:val="•"/>
      <w:numFmt w:val="bullet"/>
      <w:start w:val="1"/>
    </w:lvl>
  </w:abstractNum>
  <w:abstractNum w:abstractNumId="26">
    <w:nsid w:val="1A32234B"/>
    <w:multiLevelType w:val="hybridMultilevel"/>
    <w:lvl w:ilvl="0">
      <w:lvlJc w:val="left"/>
      <w:lvlText w:val="•"/>
      <w:numFmt w:val="bullet"/>
      <w:start w:val="1"/>
    </w:lvl>
  </w:abstractNum>
  <w:abstractNum w:abstractNumId="27">
    <w:nsid w:val="3B0FD379"/>
    <w:multiLevelType w:val="hybridMultilevel"/>
    <w:lvl w:ilvl="0">
      <w:lvlJc w:val="left"/>
      <w:lvlText w:val="•"/>
      <w:numFmt w:val="bullet"/>
      <w:start w:val="1"/>
    </w:lvl>
  </w:abstractNum>
  <w:abstractNum w:abstractNumId="28">
    <w:nsid w:val="68EB2F63"/>
    <w:multiLevelType w:val="hybridMultilevel"/>
    <w:lvl w:ilvl="0">
      <w:lvlJc w:val="left"/>
      <w:lvlText w:val="•"/>
      <w:numFmt w:val="bullet"/>
      <w:start w:val="1"/>
    </w:lvl>
  </w:abstractNum>
  <w:abstractNum w:abstractNumId="29">
    <w:nsid w:val="4962813B"/>
    <w:multiLevelType w:val="hybridMultilevel"/>
    <w:lvl w:ilvl="0">
      <w:lvlJc w:val="left"/>
      <w:lvlText w:val="•"/>
      <w:numFmt w:val="bullet"/>
      <w:start w:val="1"/>
    </w:lvl>
  </w:abstractNum>
  <w:abstractNum w:abstractNumId="30">
    <w:nsid w:val="60B6DF70"/>
    <w:multiLevelType w:val="hybridMultilevel"/>
    <w:lvl w:ilvl="0">
      <w:lvlJc w:val="left"/>
      <w:lvlText w:val="•"/>
      <w:numFmt w:val="bullet"/>
      <w:start w:val="1"/>
    </w:lvl>
  </w:abstractNum>
  <w:abstractNum w:abstractNumId="31">
    <w:nsid w:val="6A5EE64"/>
    <w:multiLevelType w:val="hybridMultilevel"/>
    <w:lvl w:ilvl="0">
      <w:lvlJc w:val="left"/>
      <w:lvlText w:val="•"/>
      <w:numFmt w:val="bullet"/>
      <w:start w:val="1"/>
    </w:lvl>
  </w:abstractNum>
  <w:abstractNum w:abstractNumId="32">
    <w:nsid w:val="14330624"/>
    <w:multiLevelType w:val="hybridMultilevel"/>
    <w:lvl w:ilvl="0">
      <w:lvlJc w:val="left"/>
      <w:lvlText w:val="•"/>
      <w:numFmt w:val="bullet"/>
      <w:start w:val="1"/>
    </w:lvl>
  </w:abstractNum>
  <w:abstractNum w:abstractNumId="33">
    <w:nsid w:val="7FFFCA11"/>
    <w:multiLevelType w:val="hybridMultilevel"/>
    <w:lvl w:ilvl="0">
      <w:lvlJc w:val="left"/>
      <w:lvlText w:val="(%1)"/>
      <w:numFmt w:val="decimal"/>
      <w:start w:val="1"/>
    </w:lvl>
  </w:abstractNum>
  <w:abstractNum w:abstractNumId="34">
    <w:nsid w:val="1A27709E"/>
    <w:multiLevelType w:val="hybridMultilevel"/>
    <w:lvl w:ilvl="0">
      <w:lvlJc w:val="left"/>
      <w:lvlText w:val="•"/>
      <w:numFmt w:val="bullet"/>
      <w:start w:val="1"/>
    </w:lvl>
  </w:abstractNum>
  <w:abstractNum w:abstractNumId="35">
    <w:nsid w:val="71EA1109"/>
    <w:multiLevelType w:val="hybridMultilevel"/>
    <w:lvl w:ilvl="0">
      <w:lvlJc w:val="left"/>
      <w:lvlText w:val="•"/>
      <w:numFmt w:val="bullet"/>
      <w:start w:val="1"/>
    </w:lvl>
  </w:abstractNum>
  <w:abstractNum w:abstractNumId="36">
    <w:nsid w:val="100F59DC"/>
    <w:multiLevelType w:val="hybridMultilevel"/>
    <w:lvl w:ilvl="0">
      <w:lvlJc w:val="left"/>
      <w:lvlText w:val="(%1)"/>
      <w:numFmt w:val="lowerLetter"/>
      <w:start w:val="1"/>
    </w:lvl>
  </w:abstractNum>
  <w:abstractNum w:abstractNumId="37">
    <w:nsid w:val="7FB7E0AA"/>
    <w:multiLevelType w:val="hybridMultilevel"/>
    <w:lvl w:ilvl="0">
      <w:lvlJc w:val="left"/>
      <w:lvlText w:val="*"/>
      <w:numFmt w:val="bullet"/>
      <w:start w:val="1"/>
    </w:lvl>
  </w:abstractNum>
  <w:abstractNum w:abstractNumId="38">
    <w:nsid w:val="6EB5BD4"/>
    <w:multiLevelType w:val="hybridMultilevel"/>
    <w:lvl w:ilvl="0">
      <w:lvlJc w:val="left"/>
      <w:lvlText w:val="(%1)"/>
      <w:numFmt w:val="decimal"/>
      <w:start w:val="1"/>
    </w:lvl>
    <w:lvl w:ilvl="1">
      <w:lvlJc w:val="left"/>
      <w:lvlText w:val="(%2)"/>
      <w:numFmt w:val="lowerRoman"/>
      <w:start w:val="1"/>
    </w:lvl>
  </w:abstractNum>
  <w:abstractNum w:abstractNumId="39">
    <w:nsid w:val="6F6DD9AC"/>
    <w:multiLevelType w:val="hybridMultilevel"/>
    <w:lvl w:ilvl="0">
      <w:lvlJc w:val="left"/>
      <w:lvlText w:val="(%1)"/>
      <w:numFmt w:val="decimal"/>
      <w:start w:val="2"/>
    </w:lvl>
  </w:abstractNum>
  <w:abstractNum w:abstractNumId="40">
    <w:nsid w:val="94211F2"/>
    <w:multiLevelType w:val="hybridMultilevel"/>
    <w:lvl w:ilvl="0">
      <w:lvlJc w:val="left"/>
      <w:lvlText w:val="(%1)"/>
      <w:numFmt w:val="decimal"/>
      <w:start w:val="5"/>
    </w:lvl>
    <w:lvl w:ilvl="1">
      <w:lvlJc w:val="left"/>
      <w:lvlText w:val="(%2)"/>
      <w:numFmt w:val="lowerRoman"/>
      <w:start w:val="1"/>
    </w:lvl>
  </w:abstractNum>
  <w:abstractNum w:abstractNumId="41">
    <w:nsid w:val="885E1B"/>
    <w:multiLevelType w:val="hybridMultilevel"/>
    <w:lvl w:ilvl="0">
      <w:lvlJc w:val="left"/>
      <w:lvlText w:val="(%1)"/>
      <w:numFmt w:val="decimal"/>
      <w:start w:val="6"/>
    </w:lvl>
    <w:lvl w:ilvl="1">
      <w:lvlJc w:val="left"/>
      <w:lvlText w:val="(%2)"/>
      <w:numFmt w:val="lowerRoman"/>
      <w:start w:val="1"/>
    </w:lvl>
  </w:abstractNum>
  <w:abstractNum w:abstractNumId="42">
    <w:nsid w:val="76272110"/>
    <w:multiLevelType w:val="hybridMultilevel"/>
    <w:lvl w:ilvl="0">
      <w:lvlJc w:val="left"/>
      <w:lvlText w:val="(%1)"/>
      <w:numFmt w:val="lowerLetter"/>
      <w:start w:val="2"/>
    </w:lvl>
  </w:abstractNum>
  <w:abstractNum w:abstractNumId="43">
    <w:nsid w:val="4C04A8AF"/>
    <w:multiLevelType w:val="hybridMultilevel"/>
    <w:lvl w:ilvl="0">
      <w:lvlJc w:val="left"/>
      <w:lvlText w:val="(%1)"/>
      <w:numFmt w:val="lowerLetter"/>
      <w:start w:val="8"/>
    </w:lvl>
  </w:abstractNum>
  <w:abstractNum w:abstractNumId="44">
    <w:nsid w:val="1716703B"/>
    <w:multiLevelType w:val="hybridMultilevel"/>
    <w:lvl w:ilvl="0">
      <w:lvlJc w:val="left"/>
      <w:lvlText w:val="(%1)"/>
      <w:numFmt w:val="lowerLetter"/>
      <w:start w:val="10"/>
    </w:lvl>
  </w:abstractNum>
  <w:abstractNum w:abstractNumId="45">
    <w:nsid w:val="14E17E33"/>
    <w:multiLevelType w:val="hybridMultilevel"/>
    <w:lvl w:ilvl="0">
      <w:lvlJc w:val="left"/>
      <w:lvlText w:val="(%1)"/>
      <w:numFmt w:val="lowerLetter"/>
      <w:start w:val="1"/>
    </w:lvl>
  </w:abstractNum>
  <w:abstractNum w:abstractNumId="46">
    <w:nsid w:val="3222E7CD"/>
    <w:multiLevelType w:val="hybridMultilevel"/>
    <w:lvl w:ilvl="0">
      <w:lvlJc w:val="left"/>
      <w:lvlText w:val="%1"/>
      <w:numFmt w:val="lowerLetter"/>
      <w:start w:val="1"/>
    </w:lvl>
    <w:lvl w:ilvl="1">
      <w:lvlJc w:val="left"/>
      <w:lvlText w:val="%2."/>
      <w:numFmt w:val="decimal"/>
      <w:start w:val="1"/>
    </w:lvl>
    <w:lvl w:ilvl="2">
      <w:lvlJc w:val="left"/>
      <w:lvlText w:val="%3"/>
      <w:numFmt w:val="lowerLetter"/>
      <w:start w:val="1"/>
    </w:lvl>
  </w:abstractNum>
  <w:abstractNum w:abstractNumId="47">
    <w:nsid w:val="74DE0EE3"/>
    <w:multiLevelType w:val="hybridMultilevel"/>
    <w:lvl w:ilvl="0">
      <w:lvlJc w:val="left"/>
      <w:lvlText w:val="(%1)"/>
      <w:numFmt w:val="lowerLetter"/>
      <w:start w:val="1"/>
    </w:lvl>
    <w:lvl w:ilvl="1">
      <w:lvlJc w:val="left"/>
      <w:lvlText w:val="%2"/>
      <w:numFmt w:val="decimal"/>
      <w:start w:val="1"/>
    </w:lvl>
    <w:lvl w:ilvl="2">
      <w:lvlJc w:val="left"/>
      <w:lvlText w:val="(%3)"/>
      <w:numFmt w:val="lowerLetter"/>
      <w:start w:val="9"/>
    </w:lvl>
  </w:abstractNum>
  <w:abstractNum w:abstractNumId="48">
    <w:nsid w:val="68EBC550"/>
    <w:multiLevelType w:val="hybridMultilevel"/>
    <w:lvl w:ilvl="0">
      <w:lvlJc w:val="left"/>
      <w:lvlText w:val="(%1)"/>
      <w:numFmt w:val="lowerRoman"/>
      <w:start w:val="2"/>
    </w:lvl>
  </w:abstractNum>
  <w:abstractNum w:abstractNumId="49">
    <w:nsid w:val="2DF6D648"/>
    <w:multiLevelType w:val="hybridMultilevel"/>
    <w:lvl w:ilvl="0">
      <w:lvlJc w:val="left"/>
      <w:lvlText w:val="(%1)"/>
      <w:numFmt w:val="lowerRoman"/>
      <w:start w:val="4"/>
    </w:lvl>
  </w:abstractNum>
  <w:abstractNum w:abstractNumId="50">
    <w:nsid w:val="46B7D447"/>
    <w:multiLevelType w:val="hybridMultilevel"/>
    <w:lvl w:ilvl="0">
      <w:lvlJc w:val="left"/>
      <w:lvlText w:val="(%1)"/>
      <w:numFmt w:val="lowerRoman"/>
      <w:start w:val="7"/>
    </w:lvl>
  </w:abstractNum>
  <w:abstractNum w:abstractNumId="51">
    <w:nsid w:val="4A2AC315"/>
    <w:multiLevelType w:val="hybridMultilevel"/>
    <w:lvl w:ilvl="0">
      <w:lvlJc w:val="left"/>
      <w:lvlText w:val="(%1)"/>
      <w:numFmt w:val="lowerRoman"/>
      <w:start w:val="11"/>
    </w:lvl>
  </w:abstractNum>
  <w:abstractNum w:abstractNumId="52">
    <w:nsid w:val="39EE015C"/>
    <w:multiLevelType w:val="hybridMultilevel"/>
    <w:lvl w:ilvl="0">
      <w:lvlJc w:val="left"/>
      <w:lvlText w:val="(%1)"/>
      <w:numFmt w:val="lowerRoman"/>
      <w:start w:val="14"/>
    </w:lvl>
  </w:abstractNum>
  <w:abstractNum w:abstractNumId="53">
    <w:nsid w:val="57FC4FBB"/>
    <w:multiLevelType w:val="hybridMultilevel"/>
    <w:lvl w:ilvl="0">
      <w:lvlJc w:val="left"/>
      <w:lvlText w:val="(%1)"/>
      <w:numFmt w:val="lowerRoman"/>
      <w:start w:val="16"/>
    </w:lvl>
  </w:abstractNum>
  <w:abstractNum w:abstractNumId="54">
    <w:nsid w:val="CC1016F"/>
    <w:multiLevelType w:val="hybridMultilevel"/>
    <w:lvl w:ilvl="0">
      <w:lvlJc w:val="left"/>
      <w:lvlText w:val="(%1)"/>
      <w:numFmt w:val="lowerRoman"/>
      <w:start w:val="20"/>
    </w:lvl>
  </w:abstractNum>
  <w:abstractNum w:abstractNumId="55">
    <w:nsid w:val="43F18422"/>
    <w:multiLevelType w:val="hybridMultilevel"/>
    <w:lvl w:ilvl="0">
      <w:lvlJc w:val="left"/>
      <w:lvlText w:val="(%1)"/>
      <w:numFmt w:val="lowerRoman"/>
      <w:start w:val="22"/>
    </w:lvl>
  </w:abstractNum>
  <w:abstractNum w:abstractNumId="56">
    <w:nsid w:val="60EF0119"/>
    <w:multiLevelType w:val="hybridMultilevel"/>
    <w:lvl w:ilvl="0">
      <w:lvlJc w:val="left"/>
      <w:lvlText w:val="(%1)"/>
      <w:numFmt w:val="lowerRoman"/>
      <w:start w:val="24"/>
    </w:lvl>
  </w:abstractNum>
  <w:abstractNum w:abstractNumId="57">
    <w:nsid w:val="26F324BA"/>
    <w:multiLevelType w:val="hybridMultilevel"/>
    <w:lvl w:ilvl="0">
      <w:lvlJc w:val="left"/>
      <w:lvlText w:val="(%1)"/>
      <w:numFmt w:val="lowerRoman"/>
      <w:start w:val="25"/>
    </w:lvl>
  </w:abstractNum>
  <w:abstractNum w:abstractNumId="58">
    <w:nsid w:val="7F01579B"/>
    <w:multiLevelType w:val="hybridMultilevel"/>
    <w:lvl w:ilvl="0">
      <w:lvlJc w:val="left"/>
      <w:lvlText w:val="(%1)"/>
      <w:numFmt w:val="lowerRoman"/>
      <w:start w:val="29"/>
    </w:lvl>
  </w:abstractNum>
  <w:abstractNum w:abstractNumId="59">
    <w:nsid w:val="49DA307D"/>
    <w:multiLevelType w:val="hybridMultilevel"/>
    <w:lvl w:ilvl="0">
      <w:lvlJc w:val="left"/>
      <w:lvlText w:val="(%1)"/>
      <w:numFmt w:val="lowerRoman"/>
      <w:start w:val="10"/>
    </w:lvl>
    <w:lvl w:ilvl="1">
      <w:lvlJc w:val="left"/>
      <w:lvlText w:val="(%2)"/>
      <w:numFmt w:val="lowerRoman"/>
      <w:start w:val="33"/>
    </w:lvl>
  </w:abstractNum>
  <w:abstractNum w:abstractNumId="60">
    <w:nsid w:val="7055A5F5"/>
    <w:multiLevelType w:val="hybridMultilevel"/>
    <w:lvl w:ilvl="0">
      <w:lvlJc w:val="left"/>
      <w:lvlText w:val="(%1)"/>
      <w:numFmt w:val="lowerRoman"/>
      <w:start w:val="35"/>
    </w:lvl>
  </w:abstractNum>
  <w:abstractNum w:abstractNumId="61">
    <w:nsid w:val="5FB8370B"/>
    <w:multiLevelType w:val="hybridMultilevel"/>
    <w:lvl w:ilvl="0">
      <w:lvlJc w:val="left"/>
      <w:lvlText w:val="(%1)"/>
      <w:numFmt w:val="lowerRoman"/>
      <w:start w:val="39"/>
    </w:lvl>
  </w:abstractNum>
  <w:abstractNum w:abstractNumId="62">
    <w:nsid w:val="50801EE1"/>
    <w:multiLevelType w:val="hybridMultilevel"/>
    <w:lvl w:ilvl="0">
      <w:lvlJc w:val="left"/>
      <w:lvlText w:val="(%1)"/>
      <w:numFmt w:val="upperLetter"/>
      <w:start w:val="1"/>
    </w:lvl>
    <w:lvl w:ilvl="1">
      <w:lvlJc w:val="left"/>
      <w:lvlText w:val="(%2)"/>
      <w:numFmt w:val="decimal"/>
      <w:start w:val="1"/>
    </w:lvl>
  </w:abstractNum>
  <w:abstractNum w:abstractNumId="63">
    <w:nsid w:val="488AC1A"/>
    <w:multiLevelType w:val="hybridMultilevel"/>
    <w:lvl w:ilvl="0">
      <w:lvlJc w:val="left"/>
      <w:lvlText w:val="(%1)"/>
      <w:numFmt w:val="upperLetter"/>
      <w:start w:val="3"/>
    </w:lvl>
  </w:abstractNum>
  <w:abstractNum w:abstractNumId="64">
    <w:nsid w:val="5FB8011C"/>
    <w:multiLevelType w:val="hybridMultilevel"/>
    <w:lvl w:ilvl="0">
      <w:lvlJc w:val="left"/>
      <w:lvlText w:val="(%1)"/>
      <w:numFmt w:val="lowerLetter"/>
      <w:start w:val="12"/>
    </w:lvl>
  </w:abstractNum>
  <w:abstractNum w:abstractNumId="65">
    <w:nsid w:val="6AA78F7F"/>
    <w:multiLevelType w:val="hybridMultilevel"/>
    <w:lvl w:ilvl="0">
      <w:lvlJc w:val="left"/>
      <w:lvlText w:val="%1."/>
      <w:numFmt w:val="decimal"/>
      <w:start w:val="2"/>
    </w:lvl>
    <w:lvl w:ilvl="1">
      <w:lvlJc w:val="left"/>
      <w:lvlText w:val="(%2)"/>
      <w:numFmt w:val="lowerLetter"/>
      <w:start w:val="1"/>
    </w:lvl>
    <w:lvl w:ilvl="2">
      <w:lvlJc w:val="left"/>
      <w:lvlText w:val="(%3)"/>
      <w:numFmt w:val="lowerLetter"/>
      <w:start w:val="9"/>
    </w:lvl>
  </w:abstractNum>
  <w:abstractNum w:abstractNumId="66">
    <w:nsid w:val="7672BD23"/>
    <w:multiLevelType w:val="hybridMultilevel"/>
    <w:lvl w:ilvl="0">
      <w:lvlJc w:val="left"/>
      <w:lvlText w:val="(%1)"/>
      <w:numFmt w:val="lowerRoman"/>
      <w:start w:val="2"/>
    </w:lvl>
  </w:abstractNum>
  <w:abstractNum w:abstractNumId="67">
    <w:nsid w:val="6FC75AF8"/>
    <w:multiLevelType w:val="hybridMultilevel"/>
    <w:lvl w:ilvl="0">
      <w:lvlJc w:val="left"/>
      <w:lvlText w:val="(%1)"/>
      <w:numFmt w:val="lowerRoman"/>
      <w:start w:val="4"/>
    </w:lvl>
  </w:abstractNum>
  <w:abstractNum w:abstractNumId="68">
    <w:nsid w:val="6A5F7029"/>
    <w:multiLevelType w:val="hybridMultilevel"/>
    <w:lvl w:ilvl="0">
      <w:lvlJc w:val="left"/>
      <w:lvlText w:val="%1"/>
      <w:numFmt w:val="decimal"/>
      <w:start w:val="1"/>
    </w:lvl>
    <w:lvl w:ilvl="1">
      <w:lvlJc w:val="left"/>
      <w:lvlText w:val="(%2)"/>
      <w:numFmt w:val="lowerLetter"/>
      <w:start w:val="2"/>
    </w:lvl>
  </w:abstractNum>
  <w:abstractNum w:abstractNumId="69">
    <w:nsid w:val="7D5E18F8"/>
    <w:multiLevelType w:val="hybridMultilevel"/>
    <w:lvl w:ilvl="0">
      <w:lvlJc w:val="left"/>
      <w:lvlText w:val="%1."/>
      <w:numFmt w:val="decimal"/>
      <w:start w:val="3"/>
    </w:lvl>
    <w:lvl w:ilvl="1">
      <w:lvlJc w:val="left"/>
      <w:lvlText w:val="(%2)"/>
      <w:numFmt w:val="lowerLetter"/>
      <w:start w:val="1"/>
    </w:lvl>
  </w:abstractNum>
  <w:abstractNum w:abstractNumId="70">
    <w:nsid w:val="5F3534A4"/>
    <w:multiLevelType w:val="hybridMultilevel"/>
    <w:lvl w:ilvl="0">
      <w:lvlJc w:val="left"/>
      <w:lvlText w:val="(%1)"/>
      <w:numFmt w:val="lowerLetter"/>
      <w:start w:val="2"/>
    </w:lvl>
  </w:abstractNum>
  <w:abstractNum w:abstractNumId="71">
    <w:nsid w:val="73A1821B"/>
    <w:multiLevelType w:val="hybridMultilevel"/>
    <w:lvl w:ilvl="0">
      <w:lvlJc w:val="left"/>
      <w:lvlText w:val="(%1)"/>
      <w:numFmt w:val="lowerLetter"/>
      <w:start w:val="4"/>
    </w:lvl>
  </w:abstractNum>
  <w:abstractNum w:abstractNumId="72">
    <w:nsid w:val="7DE67713"/>
    <w:multiLevelType w:val="hybridMultilevel"/>
    <w:lvl w:ilvl="0">
      <w:lvlJc w:val="left"/>
      <w:lvlText w:val="(%1)"/>
      <w:numFmt w:val="lowerRoman"/>
      <w:start w:val="8"/>
    </w:lvl>
    <w:lvl w:ilvl="1">
      <w:lvlJc w:val="left"/>
      <w:lvlText w:val="(%2)"/>
      <w:numFmt w:val="lowerLetter"/>
      <w:start w:val="8"/>
    </w:lvl>
  </w:abstractNum>
  <w:abstractNum w:abstractNumId="73">
    <w:nsid w:val="555C55B5"/>
    <w:multiLevelType w:val="hybridMultilevel"/>
    <w:lvl w:ilvl="0">
      <w:lvlJc w:val="left"/>
      <w:lvlText w:val="(%1)"/>
      <w:numFmt w:val="lowerLetter"/>
      <w:start w:val="11"/>
    </w:lvl>
  </w:abstractNum>
  <w:abstractNum w:abstractNumId="74">
    <w:nsid w:val="3FA62ACA"/>
    <w:multiLevelType w:val="hybridMultilevel"/>
    <w:lvl w:ilvl="0">
      <w:lvlJc w:val="left"/>
      <w:lvlText w:val="(%1)"/>
      <w:numFmt w:val="lowerRoman"/>
      <w:start w:val="1"/>
    </w:lvl>
  </w:abstractNum>
  <w:abstractNum w:abstractNumId="75">
    <w:nsid w:val="14FCE74E"/>
    <w:multiLevelType w:val="hybridMultilevel"/>
    <w:lvl w:ilvl="0">
      <w:lvlJc w:val="left"/>
      <w:lvlText w:val="(%1)"/>
      <w:numFmt w:val="lowerLetter"/>
      <w:start w:val="16"/>
    </w:lvl>
  </w:abstractNum>
  <w:abstractNum w:abstractNumId="76">
    <w:nsid w:val="6A3DD3E8"/>
    <w:multiLevelType w:val="hybridMultilevel"/>
    <w:lvl w:ilvl="0">
      <w:lvlJc w:val="left"/>
      <w:lvlText w:val="%1"/>
      <w:numFmt w:val="decimal"/>
      <w:start w:val="1"/>
    </w:lvl>
    <w:lvl w:ilvl="1">
      <w:lvlJc w:val="left"/>
      <w:lvlText w:val="(%2)"/>
      <w:numFmt w:val="lowerLetter"/>
      <w:start w:val="19"/>
    </w:lvl>
  </w:abstractNum>
  <w:abstractNum w:abstractNumId="77">
    <w:nsid w:val="71C91298"/>
    <w:multiLevelType w:val="hybridMultilevel"/>
    <w:lvl w:ilvl="0">
      <w:lvlJc w:val="left"/>
      <w:lvlText w:val="%1."/>
      <w:numFmt w:val="decimal"/>
      <w:start w:val="4"/>
    </w:lvl>
    <w:lvl w:ilvl="1">
      <w:lvlJc w:val="left"/>
      <w:lvlText w:val="(%2)"/>
      <w:numFmt w:val="lowerLetter"/>
      <w:start w:val="1"/>
    </w:lvl>
  </w:abstractNum>
  <w:abstractNum w:abstractNumId="78">
    <w:nsid w:val="9DAF632"/>
    <w:multiLevelType w:val="hybridMultilevel"/>
    <w:lvl w:ilvl="0">
      <w:lvlJc w:val="left"/>
      <w:lvlText w:val="(%1)"/>
      <w:numFmt w:val="lowerRoman"/>
      <w:start w:val="4"/>
    </w:lvl>
    <w:lvl w:ilvl="1">
      <w:lvlJc w:val="left"/>
      <w:lvlText w:val="(%2)"/>
      <w:numFmt w:val="lowerLetter"/>
      <w:start w:val="3"/>
    </w:lvl>
  </w:abstractNum>
  <w:abstractNum w:abstractNumId="79">
    <w:nsid w:val="53299938"/>
    <w:multiLevelType w:val="hybridMultilevel"/>
    <w:lvl w:ilvl="0">
      <w:lvlJc w:val="left"/>
      <w:lvlText w:val="(%1)"/>
      <w:numFmt w:val="lowerLetter"/>
      <w:start w:val="7"/>
    </w:lvl>
  </w:abstractNum>
  <w:abstractNum w:abstractNumId="80">
    <w:nsid w:val="1FBFE8E0"/>
    <w:multiLevelType w:val="hybridMultilevel"/>
    <w:lvl w:ilvl="0">
      <w:lvlJc w:val="left"/>
      <w:lvlText w:val="%1."/>
      <w:numFmt w:val="decimal"/>
      <w:start w:val="5"/>
    </w:lvl>
    <w:lvl w:ilvl="1">
      <w:lvlJc w:val="left"/>
      <w:lvlText w:val="(%2)"/>
      <w:numFmt w:val="lowerLetter"/>
      <w:start w:val="1"/>
    </w:lvl>
  </w:abstractNum>
  <w:abstractNum w:abstractNumId="81">
    <w:nsid w:val="5092CA79"/>
    <w:multiLevelType w:val="hybridMultilevel"/>
    <w:lvl w:ilvl="0">
      <w:lvlJc w:val="left"/>
      <w:lvlText w:val="(%1)"/>
      <w:numFmt w:val="lowerRoman"/>
      <w:start w:val="1"/>
    </w:lvl>
  </w:abstractNum>
  <w:abstractNum w:abstractNumId="82">
    <w:nsid w:val="1D545C4D"/>
    <w:multiLevelType w:val="hybridMultilevel"/>
    <w:lvl w:ilvl="0">
      <w:lvlJc w:val="left"/>
      <w:lvlText w:val="(%1)"/>
      <w:numFmt w:val="lowerRoman"/>
      <w:start w:val="2"/>
    </w:lvl>
  </w:abstractNum>
  <w:abstractNum w:abstractNumId="83">
    <w:nsid w:val="59ADEA3D"/>
    <w:multiLevelType w:val="hybridMultilevel"/>
    <w:lvl w:ilvl="0">
      <w:lvlJc w:val="left"/>
      <w:lvlText w:val="(%1)"/>
      <w:numFmt w:val="lowerLetter"/>
      <w:start w:val="2"/>
    </w:lvl>
  </w:abstractNum>
  <w:abstractNum w:abstractNumId="84">
    <w:nsid w:val="288F1A34"/>
    <w:multiLevelType w:val="hybridMultilevel"/>
    <w:lvl w:ilvl="0">
      <w:lvlJc w:val="left"/>
      <w:lvlText w:val="(%1)"/>
      <w:numFmt w:val="lowerLetter"/>
      <w:start w:val="3"/>
    </w:lvl>
  </w:abstractNum>
  <w:abstractNum w:abstractNumId="85">
    <w:nsid w:val="2A155DBC"/>
    <w:multiLevelType w:val="hybridMultilevel"/>
    <w:lvl w:ilvl="0">
      <w:lvlJc w:val="left"/>
      <w:lvlText w:val="%1"/>
      <w:numFmt w:val="lowerLetter"/>
      <w:start w:val="1"/>
    </w:lvl>
    <w:lvl w:ilvl="1">
      <w:lvlJc w:val="left"/>
      <w:lvlText w:val="%2"/>
      <w:numFmt w:val="decimal"/>
      <w:start w:val="1"/>
    </w:lvl>
    <w:lvl w:ilvl="2">
      <w:lvlJc w:val="left"/>
      <w:lvlText w:val="(%3)"/>
      <w:numFmt w:val="lowerLetter"/>
      <w:start w:val="4"/>
    </w:lvl>
  </w:abstractNum>
  <w:abstractNum w:abstractNumId="86">
    <w:nsid w:val="1D9F6E5F"/>
    <w:multiLevelType w:val="hybridMultilevel"/>
    <w:lvl w:ilvl="0">
      <w:lvlJc w:val="left"/>
      <w:lvlText w:val="(%1)"/>
      <w:numFmt w:val="lowerLetter"/>
      <w:start w:val="35"/>
    </w:lvl>
    <w:lvl w:ilvl="1">
      <w:lvlJc w:val="left"/>
      <w:lvlText w:val="%2."/>
      <w:numFmt w:val="decimal"/>
      <w:start w:val="6"/>
    </w:lvl>
    <w:lvl w:ilvl="2">
      <w:lvlJc w:val="left"/>
      <w:lvlText w:val="%3"/>
      <w:numFmt w:val="lowerLetter"/>
      <w:start w:val="1"/>
    </w:lvl>
  </w:abstractNum>
  <w:abstractNum w:abstractNumId="87">
    <w:nsid w:val="97E1B4E"/>
    <w:multiLevelType w:val="hybridMultilevel"/>
    <w:lvl w:ilvl="0">
      <w:lvlJc w:val="left"/>
      <w:lvlText w:val="%1"/>
      <w:numFmt w:val="decimal"/>
      <w:start w:val="1"/>
    </w:lvl>
    <w:lvl w:ilvl="1">
      <w:lvlJc w:val="left"/>
      <w:lvlText w:val="(%2)"/>
      <w:numFmt w:val="lowerLetter"/>
      <w:start w:val="1"/>
    </w:lvl>
  </w:abstractNum>
  <w:abstractNum w:abstractNumId="88">
    <w:nsid w:val="51088277"/>
    <w:multiLevelType w:val="hybridMultilevel"/>
    <w:lvl w:ilvl="0">
      <w:lvlJc w:val="left"/>
      <w:lvlText w:val="%1."/>
      <w:numFmt w:val="decimal"/>
      <w:start w:val="8"/>
    </w:lvl>
    <w:lvl w:ilvl="1">
      <w:lvlJc w:val="left"/>
      <w:lvlText w:val="%2"/>
      <w:numFmt w:val="lowerLetter"/>
      <w:start w:val="1"/>
    </w:lvl>
  </w:abstractNum>
  <w:abstractNum w:abstractNumId="89">
    <w:nsid w:val="1CA0C5FA"/>
    <w:multiLevelType w:val="hybridMultilevel"/>
    <w:lvl w:ilvl="0">
      <w:lvlJc w:val="left"/>
      <w:lvlText w:val="%1"/>
      <w:numFmt w:val="lowerLetter"/>
      <w:start w:val="1"/>
    </w:lvl>
    <w:lvl w:ilvl="1">
      <w:lvlJc w:val="left"/>
      <w:lvlText w:val="%2."/>
      <w:numFmt w:val="decimal"/>
      <w:start w:val="10"/>
    </w:lvl>
  </w:abstractNum>
  <w:abstractNum w:abstractNumId="90">
    <w:nsid w:val="53584BCB"/>
    <w:multiLevelType w:val="hybridMultilevel"/>
    <w:lvl w:ilvl="0">
      <w:lvlJc w:val="left"/>
      <w:lvlText w:val="(%1)"/>
      <w:numFmt w:val="lowerLetter"/>
      <w:start w:val="6"/>
    </w:lvl>
    <w:lvl w:ilvl="1">
      <w:lvlJc w:val="left"/>
      <w:lvlText w:val="%2"/>
      <w:numFmt w:val="decimal"/>
      <w:start w:val="1"/>
    </w:lvl>
  </w:abstractNum>
  <w:abstractNum w:abstractNumId="91">
    <w:nsid w:val="415E286C"/>
    <w:multiLevelType w:val="hybridMultilevel"/>
    <w:lvl w:ilvl="0">
      <w:lvlJc w:val="left"/>
      <w:lvlText w:val="%1."/>
      <w:numFmt w:val="decimal"/>
      <w:start w:val="12"/>
    </w:lvl>
    <w:lvl w:ilvl="1">
      <w:lvlJc w:val="left"/>
      <w:lvlText w:val="(%2)"/>
      <w:numFmt w:val="lowerLetter"/>
      <w:start w:val="1"/>
    </w:lvl>
  </w:abstractNum>
  <w:abstractNum w:abstractNumId="92">
    <w:nsid w:val="7C58FD05"/>
    <w:multiLevelType w:val="hybridMultilevel"/>
    <w:lvl w:ilvl="0">
      <w:lvlJc w:val="left"/>
      <w:lvlText w:val="(%1)"/>
      <w:numFmt w:val="lowerRoman"/>
      <w:start w:val="2"/>
    </w:lvl>
    <w:lvl w:ilvl="1">
      <w:lvlJc w:val="left"/>
      <w:lvlText w:val="%2."/>
      <w:numFmt w:val="decimal"/>
      <w:start w:val="13"/>
    </w:lvl>
  </w:abstractNum>
  <w:abstractNum w:abstractNumId="93">
    <w:nsid w:val="23D86AAC"/>
    <w:multiLevelType w:val="hybridMultilevel"/>
    <w:lvl w:ilvl="0">
      <w:lvlJc w:val="left"/>
      <w:lvlText w:val="%1."/>
      <w:numFmt w:val="decimal"/>
      <w:start w:val="14"/>
    </w:lvl>
  </w:abstractNum>
  <w:abstractNum w:abstractNumId="94">
    <w:nsid w:val="45E6D486"/>
    <w:multiLevelType w:val="hybridMultilevel"/>
    <w:lvl w:ilvl="0">
      <w:lvlJc w:val="left"/>
      <w:lvlText w:val="(%1)"/>
      <w:numFmt w:val="lowerRoman"/>
      <w:start w:val="1"/>
    </w:lvl>
    <w:lvl w:ilvl="1">
      <w:lvlJc w:val="left"/>
      <w:lvlText w:val="(%2)"/>
      <w:numFmt w:val="upperLetter"/>
      <w:start w:val="1"/>
    </w:lvl>
  </w:abstractNum>
  <w:abstractNum w:abstractNumId="95">
    <w:nsid w:val="5C10FE21"/>
    <w:multiLevelType w:val="hybridMultilevel"/>
    <w:lvl w:ilvl="0">
      <w:lvlJc w:val="left"/>
      <w:lvlText w:val="(%1)"/>
      <w:numFmt w:val="upperLetter"/>
      <w:start w:val="2"/>
    </w:lvl>
  </w:abstractNum>
  <w:abstractNum w:abstractNumId="96">
    <w:nsid w:val="E7FFA2B"/>
    <w:multiLevelType w:val="hybridMultilevel"/>
    <w:lvl w:ilvl="0">
      <w:lvlJc w:val="left"/>
      <w:lvlText w:val="(%1)"/>
      <w:numFmt w:val="lowerLetter"/>
      <w:start w:val="1"/>
    </w:lvl>
  </w:abstractNum>
  <w:abstractNum w:abstractNumId="97">
    <w:nsid w:val="3C5991AA"/>
    <w:multiLevelType w:val="hybridMultilevel"/>
    <w:lvl w:ilvl="0">
      <w:lvlJc w:val="left"/>
      <w:lvlText w:val="(%1)"/>
      <w:numFmt w:val="lowerLetter"/>
      <w:start w:val="1"/>
    </w:lvl>
  </w:abstractNum>
  <w:abstractNum w:abstractNumId="98">
    <w:nsid w:val="4BD8591A"/>
    <w:multiLevelType w:val="hybridMultilevel"/>
    <w:lvl w:ilvl="0">
      <w:lvlJc w:val="left"/>
      <w:lvlText w:val="(%1)"/>
      <w:numFmt w:val="lowerRoman"/>
      <w:start w:val="2"/>
    </w:lvl>
  </w:abstractNum>
  <w:abstractNum w:abstractNumId="99">
    <w:nsid w:val="78DF6A55"/>
    <w:multiLevelType w:val="hybridMultilevel"/>
    <w:lvl w:ilvl="0">
      <w:lvlJc w:val="left"/>
      <w:lvlText w:val="(%1)"/>
      <w:numFmt w:val="lowerLetter"/>
      <w:start w:val="1"/>
    </w:lvl>
  </w:abstractNum>
  <w:abstractNum w:abstractNumId="100">
    <w:nsid w:val="39B7AAA2"/>
    <w:multiLevelType w:val="hybridMultilevel"/>
    <w:lvl w:ilvl="0">
      <w:lvlJc w:val="left"/>
      <w:lvlText w:val="(%1)"/>
      <w:numFmt w:val="lowerLetter"/>
      <w:start w:val="1"/>
    </w:lvl>
  </w:abstractNum>
  <w:abstractNum w:abstractNumId="101">
    <w:nsid w:val="2B0D8DBE"/>
    <w:multiLevelType w:val="hybridMultilevel"/>
    <w:lvl w:ilvl="0">
      <w:lvlJc w:val="left"/>
      <w:lvlText w:val="(%1)"/>
      <w:numFmt w:val="lowerLetter"/>
      <w:start w:val="1"/>
    </w:lvl>
  </w:abstractNum>
  <w:abstractNum w:abstractNumId="102">
    <w:nsid w:val="6C80EC70"/>
    <w:multiLevelType w:val="hybridMultilevel"/>
    <w:lvl w:ilvl="0">
      <w:lvlJc w:val="left"/>
      <w:lvlText w:val="%1"/>
      <w:numFmt w:val="lowerLetter"/>
      <w:start w:val="1"/>
    </w:lvl>
    <w:lvl w:ilvl="1">
      <w:lvlJc w:val="left"/>
      <w:lvlText w:val="(%2)"/>
      <w:numFmt w:val="lowerRoman"/>
      <w:start w:val="1"/>
    </w:lvl>
  </w:abstractNum>
  <w:abstractNum w:abstractNumId="103">
    <w:nsid w:val="379E21B5"/>
    <w:multiLevelType w:val="hybridMultilevel"/>
    <w:lvl w:ilvl="0">
      <w:lvlJc w:val="left"/>
      <w:lvlText w:val="(%1)"/>
      <w:numFmt w:val="lowerLetter"/>
      <w:start w:val="5"/>
    </w:lvl>
    <w:lvl w:ilvl="1">
      <w:lvlJc w:val="left"/>
      <w:lvlText w:val="(%2)"/>
      <w:numFmt w:val="lowerRoman"/>
      <w:start w:val="1"/>
    </w:lvl>
  </w:abstractNum>
  <w:abstractNum w:abstractNumId="104">
    <w:nsid w:val="69E373"/>
    <w:multiLevelType w:val="hybridMultilevel"/>
    <w:lvl w:ilvl="0">
      <w:lvlJc w:val="left"/>
      <w:lvlText w:val="(%1)"/>
      <w:numFmt w:val="lowerLetter"/>
      <w:start w:val="6"/>
    </w:lvl>
  </w:abstractNum>
  <w:abstractNum w:abstractNumId="105">
    <w:nsid w:val="2C27173B"/>
    <w:multiLevelType w:val="hybridMultilevel"/>
    <w:lvl w:ilvl="0">
      <w:lvlJc w:val="left"/>
      <w:lvlText w:val="(%1)"/>
      <w:numFmt w:val="lowerLetter"/>
      <w:start w:val="1"/>
    </w:lvl>
  </w:abstractNum>
  <w:abstractNum w:abstractNumId="106">
    <w:nsid w:val="4C9B0904"/>
    <w:multiLevelType w:val="hybridMultilevel"/>
    <w:lvl w:ilvl="0">
      <w:lvlJc w:val="left"/>
      <w:lvlText w:val="(%1)"/>
      <w:numFmt w:val="lowerLetter"/>
      <w:start w:val="1"/>
    </w:lvl>
  </w:abstractNum>
  <w:abstractNum w:abstractNumId="107">
    <w:nsid w:val="6AA7B75C"/>
    <w:multiLevelType w:val="hybridMultilevel"/>
    <w:lvl w:ilvl="0">
      <w:lvlJc w:val="left"/>
      <w:lvlText w:val="(%1)"/>
      <w:numFmt w:val="lowerLetter"/>
      <w:start w:val="1"/>
    </w:lvl>
  </w:abstractNum>
  <w:abstractNum w:abstractNumId="108">
    <w:nsid w:val="1DF029D3"/>
    <w:multiLevelType w:val="hybridMultilevel"/>
    <w:lvl w:ilvl="0">
      <w:lvlJc w:val="left"/>
      <w:lvlText w:val="(%1)"/>
      <w:numFmt w:val="lowerLetter"/>
      <w:start w:val="1"/>
    </w:lvl>
  </w:abstractNum>
  <w:abstractNum w:abstractNumId="109">
    <w:nsid w:val="5675FF36"/>
    <w:multiLevelType w:val="hybridMultilevel"/>
    <w:lvl w:ilvl="0">
      <w:lvlJc w:val="left"/>
      <w:lvlText w:val="(%1)"/>
      <w:numFmt w:val="lowerLetter"/>
      <w:start w:val="3"/>
    </w:lvl>
  </w:abstractNum>
  <w:abstractNum w:abstractNumId="110">
    <w:nsid w:val="3DD15094"/>
    <w:multiLevelType w:val="hybridMultilevel"/>
    <w:lvl w:ilvl="0">
      <w:lvlJc w:val="left"/>
      <w:lvlText w:val="(%1)"/>
      <w:numFmt w:val="lowerLetter"/>
      <w:start w:val="1"/>
    </w:lvl>
    <w:lvl w:ilvl="1">
      <w:lvlJc w:val="left"/>
      <w:lvlText w:val="(%2)"/>
      <w:numFmt w:val="lowerRoman"/>
      <w:start w:val="1"/>
    </w:lvl>
  </w:abstractNum>
  <w:abstractNum w:abstractNumId="111">
    <w:nsid w:val="3DB012B3"/>
    <w:multiLevelType w:val="hybridMultilevel"/>
    <w:lvl w:ilvl="0">
      <w:lvlJc w:val="left"/>
      <w:lvlText w:val="(%1)"/>
      <w:numFmt w:val="lowerLetter"/>
      <w:start w:val="3"/>
    </w:lvl>
    <w:lvl w:ilvl="1">
      <w:lvlJc w:val="left"/>
      <w:lvlText w:val="(%2)"/>
      <w:numFmt w:val="lowerRoman"/>
      <w:start w:val="1"/>
    </w:lvl>
  </w:abstractNum>
  <w:abstractNum w:abstractNumId="112">
    <w:nsid w:val="2708C9AF"/>
    <w:multiLevelType w:val="hybridMultilevel"/>
    <w:lvl w:ilvl="0">
      <w:lvlJc w:val="left"/>
      <w:lvlText w:val="(%1)"/>
      <w:numFmt w:val="lowerLetter"/>
      <w:start w:val="1"/>
    </w:lvl>
  </w:abstractNum>
  <w:abstractNum w:abstractNumId="113">
    <w:nsid w:val="5B25ACE2"/>
    <w:multiLevelType w:val="hybridMultilevel"/>
    <w:lvl w:ilvl="0">
      <w:lvlJc w:val="left"/>
      <w:lvlText w:val="(%1)"/>
      <w:numFmt w:val="lowerLetter"/>
      <w:start w:val="5"/>
    </w:lvl>
  </w:abstractNum>
  <w:abstractNum w:abstractNumId="114">
    <w:nsid w:val="175DFCF0"/>
    <w:multiLevelType w:val="hybridMultilevel"/>
    <w:lvl w:ilvl="0">
      <w:lvlJc w:val="left"/>
      <w:lvlText w:val="(%1)"/>
      <w:numFmt w:val="lowerLetter"/>
      <w:start w:val="1"/>
    </w:lvl>
  </w:abstractNum>
  <w:abstractNum w:abstractNumId="115">
    <w:nsid w:val="4F97E3E4"/>
    <w:multiLevelType w:val="hybridMultilevel"/>
    <w:lvl w:ilvl="0">
      <w:lvlJc w:val="left"/>
      <w:lvlText w:val="(%1)"/>
      <w:numFmt w:val="lowerLetter"/>
      <w:start w:val="1"/>
    </w:lvl>
    <w:lvl w:ilvl="1">
      <w:lvlJc w:val="left"/>
      <w:lvlText w:val="(%2)"/>
      <w:numFmt w:val="lowerRoman"/>
      <w:start w:val="1"/>
    </w:lvl>
  </w:abstractNum>
  <w:abstractNum w:abstractNumId="116">
    <w:nsid w:val="53B0A9E"/>
    <w:multiLevelType w:val="hybridMultilevel"/>
    <w:lvl w:ilvl="0">
      <w:lvlJc w:val="left"/>
      <w:lvlText w:val="(%1)"/>
      <w:numFmt w:val="decimal"/>
      <w:start w:val="1"/>
    </w:lvl>
  </w:abstractNum>
  <w:abstractNum w:abstractNumId="117">
    <w:nsid w:val="34FD6B4F"/>
    <w:multiLevelType w:val="hybridMultilevel"/>
    <w:lvl w:ilvl="0">
      <w:lvlJc w:val="left"/>
      <w:lvlText w:val="(%1)"/>
      <w:numFmt w:val="lowerLetter"/>
      <w:start w:val="2"/>
    </w:lvl>
  </w:abstractNum>
  <w:abstractNum w:abstractNumId="118">
    <w:nsid w:val="5915FF32"/>
    <w:multiLevelType w:val="hybridMultilevel"/>
    <w:lvl w:ilvl="0">
      <w:lvlJc w:val="left"/>
      <w:lvlText w:val="(%1)"/>
      <w:numFmt w:val="lowerLetter"/>
      <w:start w:val="1"/>
    </w:lvl>
  </w:abstractNum>
  <w:abstractNum w:abstractNumId="119">
    <w:nsid w:val="56438D15"/>
    <w:multiLevelType w:val="hybridMultilevel"/>
    <w:lvl w:ilvl="0">
      <w:lvlJc w:val="left"/>
      <w:lvlText w:val="(%1)"/>
      <w:numFmt w:val="lowerLetter"/>
      <w:start w:val="1"/>
    </w:lvl>
  </w:abstractNum>
  <w:abstractNum w:abstractNumId="120">
    <w:nsid w:val="519E3149"/>
    <w:multiLevelType w:val="hybridMultilevel"/>
    <w:lvl w:ilvl="0">
      <w:lvlJc w:val="left"/>
      <w:lvlText w:val="(%1)"/>
      <w:numFmt w:val="lowerLetter"/>
      <w:start w:val="4"/>
    </w:lvl>
  </w:abstractNum>
  <w:abstractNum w:abstractNumId="121">
    <w:nsid w:val="2C6E4AFD"/>
    <w:multiLevelType w:val="hybridMultilevel"/>
    <w:lvl w:ilvl="0">
      <w:lvlJc w:val="left"/>
      <w:lvlText w:val="(%1)"/>
      <w:numFmt w:val="lowerLetter"/>
      <w:start w:val="1"/>
    </w:lvl>
  </w:abstractNum>
  <w:abstractNum w:abstractNumId="122">
    <w:nsid w:val="17A1B582"/>
    <w:multiLevelType w:val="hybridMultilevel"/>
    <w:lvl w:ilvl="0">
      <w:lvlJc w:val="left"/>
      <w:lvlText w:val="(%1)"/>
      <w:numFmt w:val="lowerLetter"/>
      <w:start w:val="1"/>
    </w:lvl>
  </w:abstractNum>
  <w:abstractNum w:abstractNumId="123">
    <w:nsid w:val="4DF72E4E"/>
    <w:multiLevelType w:val="hybridMultilevel"/>
    <w:lvl w:ilvl="0">
      <w:lvlJc w:val="left"/>
      <w:lvlText w:val="(%1)"/>
      <w:numFmt w:val="lowerLetter"/>
      <w:start w:val="1"/>
    </w:lvl>
  </w:abstractNum>
  <w:abstractNum w:abstractNumId="124">
    <w:nsid w:val="5046B5A9"/>
    <w:multiLevelType w:val="hybridMultilevel"/>
    <w:lvl w:ilvl="0">
      <w:lvlJc w:val="left"/>
      <w:lvlText w:val="(%1)"/>
      <w:numFmt w:val="lowerLetter"/>
      <w:start w:val="1"/>
    </w:lvl>
  </w:abstractNum>
  <w:abstractNum w:abstractNumId="125">
    <w:nsid w:val="5D888A08"/>
    <w:multiLevelType w:val="hybridMultilevel"/>
    <w:lvl w:ilvl="0">
      <w:lvlJc w:val="left"/>
      <w:lvlText w:val="(%1)"/>
      <w:numFmt w:val="lowerLetter"/>
      <w:start w:val="1"/>
    </w:lvl>
  </w:abstractNum>
  <w:abstractNum w:abstractNumId="126">
    <w:nsid w:val="2A082C70"/>
    <w:multiLevelType w:val="hybridMultilevel"/>
    <w:lvl w:ilvl="0">
      <w:lvlJc w:val="left"/>
      <w:lvlText w:val="(%1)"/>
      <w:numFmt w:val="lowerRoman"/>
      <w:start w:val="1"/>
    </w:lvl>
  </w:abstractNum>
  <w:abstractNum w:abstractNumId="127">
    <w:nsid w:val="5EC6AFD4"/>
    <w:multiLevelType w:val="hybridMultilevel"/>
    <w:lvl w:ilvl="0">
      <w:lvlJc w:val="left"/>
      <w:lvlText w:val="(%1)"/>
      <w:numFmt w:val="lowerRoman"/>
      <w:start w:val="1"/>
    </w:lvl>
  </w:abstractNum>
  <w:abstractNum w:abstractNumId="128">
    <w:nsid w:val="19E21BB2"/>
    <w:multiLevelType w:val="hybridMultilevel"/>
    <w:lvl w:ilvl="0">
      <w:lvlJc w:val="left"/>
      <w:lvlText w:val="(%1)"/>
      <w:numFmt w:val="lowerRoman"/>
      <w:start w:val="3"/>
    </w:lvl>
  </w:abstractNum>
  <w:abstractNum w:abstractNumId="129">
    <w:nsid w:val="75E0858A"/>
    <w:multiLevelType w:val="hybridMultilevel"/>
    <w:lvl w:ilvl="0">
      <w:lvlJc w:val="left"/>
      <w:lvlText w:val="%1."/>
      <w:numFmt w:val="decimal"/>
      <w:start w:val="1"/>
    </w:lvl>
  </w:abstractNum>
  <w:abstractNum w:abstractNumId="130">
    <w:nsid w:val="57A61A29"/>
    <w:multiLevelType w:val="hybridMultilevel"/>
    <w:lvl w:ilvl="0">
      <w:lvlJc w:val="left"/>
      <w:lvlText w:val="%1."/>
      <w:numFmt w:val="decimal"/>
      <w:start w:val="7"/>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 w:numId="51">
    <w:abstractNumId w:val="50"/>
  </w:num>
  <w:num w:numId="52">
    <w:abstractNumId w:val="51"/>
  </w:num>
  <w:num w:numId="53">
    <w:abstractNumId w:val="52"/>
  </w:num>
  <w:num w:numId="54">
    <w:abstractNumId w:val="53"/>
  </w:num>
  <w:num w:numId="55">
    <w:abstractNumId w:val="54"/>
  </w:num>
  <w:num w:numId="56">
    <w:abstractNumId w:val="55"/>
  </w:num>
  <w:num w:numId="57">
    <w:abstractNumId w:val="56"/>
  </w:num>
  <w:num w:numId="58">
    <w:abstractNumId w:val="57"/>
  </w:num>
  <w:num w:numId="59">
    <w:abstractNumId w:val="58"/>
  </w:num>
  <w:num w:numId="60">
    <w:abstractNumId w:val="59"/>
  </w:num>
  <w:num w:numId="61">
    <w:abstractNumId w:val="60"/>
  </w:num>
  <w:num w:numId="62">
    <w:abstractNumId w:val="61"/>
  </w:num>
  <w:num w:numId="63">
    <w:abstractNumId w:val="62"/>
  </w:num>
  <w:num w:numId="64">
    <w:abstractNumId w:val="63"/>
  </w:num>
  <w:num w:numId="65">
    <w:abstractNumId w:val="64"/>
  </w:num>
  <w:num w:numId="66">
    <w:abstractNumId w:val="65"/>
  </w:num>
  <w:num w:numId="67">
    <w:abstractNumId w:val="66"/>
  </w:num>
  <w:num w:numId="68">
    <w:abstractNumId w:val="67"/>
  </w:num>
  <w:num w:numId="69">
    <w:abstractNumId w:val="68"/>
  </w:num>
  <w:num w:numId="70">
    <w:abstractNumId w:val="69"/>
  </w:num>
  <w:num w:numId="71">
    <w:abstractNumId w:val="70"/>
  </w:num>
  <w:num w:numId="72">
    <w:abstractNumId w:val="71"/>
  </w:num>
  <w:num w:numId="73">
    <w:abstractNumId w:val="72"/>
  </w:num>
  <w:num w:numId="74">
    <w:abstractNumId w:val="73"/>
  </w:num>
  <w:num w:numId="75">
    <w:abstractNumId w:val="74"/>
  </w:num>
  <w:num w:numId="76">
    <w:abstractNumId w:val="75"/>
  </w:num>
  <w:num w:numId="77">
    <w:abstractNumId w:val="76"/>
  </w:num>
  <w:num w:numId="78">
    <w:abstractNumId w:val="77"/>
  </w:num>
  <w:num w:numId="79">
    <w:abstractNumId w:val="78"/>
  </w:num>
  <w:num w:numId="80">
    <w:abstractNumId w:val="79"/>
  </w:num>
  <w:num w:numId="81">
    <w:abstractNumId w:val="80"/>
  </w:num>
  <w:num w:numId="82">
    <w:abstractNumId w:val="81"/>
  </w:num>
  <w:num w:numId="83">
    <w:abstractNumId w:val="82"/>
  </w:num>
  <w:num w:numId="84">
    <w:abstractNumId w:val="83"/>
  </w:num>
  <w:num w:numId="85">
    <w:abstractNumId w:val="84"/>
  </w:num>
  <w:num w:numId="86">
    <w:abstractNumId w:val="85"/>
  </w:num>
  <w:num w:numId="87">
    <w:abstractNumId w:val="86"/>
  </w:num>
  <w:num w:numId="88">
    <w:abstractNumId w:val="87"/>
  </w:num>
  <w:num w:numId="89">
    <w:abstractNumId w:val="88"/>
  </w:num>
  <w:num w:numId="90">
    <w:abstractNumId w:val="89"/>
  </w:num>
  <w:num w:numId="91">
    <w:abstractNumId w:val="90"/>
  </w:num>
  <w:num w:numId="92">
    <w:abstractNumId w:val="91"/>
  </w:num>
  <w:num w:numId="93">
    <w:abstractNumId w:val="92"/>
  </w:num>
  <w:num w:numId="94">
    <w:abstractNumId w:val="93"/>
  </w:num>
  <w:num w:numId="95">
    <w:abstractNumId w:val="94"/>
  </w:num>
  <w:num w:numId="96">
    <w:abstractNumId w:val="95"/>
  </w:num>
  <w:num w:numId="97">
    <w:abstractNumId w:val="96"/>
  </w:num>
  <w:num w:numId="98">
    <w:abstractNumId w:val="97"/>
  </w:num>
  <w:num w:numId="99">
    <w:abstractNumId w:val="98"/>
  </w:num>
  <w:num w:numId="100">
    <w:abstractNumId w:val="99"/>
  </w:num>
  <w:num w:numId="101">
    <w:abstractNumId w:val="100"/>
  </w:num>
  <w:num w:numId="102">
    <w:abstractNumId w:val="101"/>
  </w:num>
  <w:num w:numId="103">
    <w:abstractNumId w:val="102"/>
  </w:num>
  <w:num w:numId="104">
    <w:abstractNumId w:val="103"/>
  </w:num>
  <w:num w:numId="105">
    <w:abstractNumId w:val="104"/>
  </w:num>
  <w:num w:numId="106">
    <w:abstractNumId w:val="105"/>
  </w:num>
  <w:num w:numId="107">
    <w:abstractNumId w:val="106"/>
  </w:num>
  <w:num w:numId="108">
    <w:abstractNumId w:val="107"/>
  </w:num>
  <w:num w:numId="109">
    <w:abstractNumId w:val="108"/>
  </w:num>
  <w:num w:numId="110">
    <w:abstractNumId w:val="109"/>
  </w:num>
  <w:num w:numId="111">
    <w:abstractNumId w:val="110"/>
  </w:num>
  <w:num w:numId="112">
    <w:abstractNumId w:val="111"/>
  </w:num>
  <w:num w:numId="113">
    <w:abstractNumId w:val="112"/>
  </w:num>
  <w:num w:numId="114">
    <w:abstractNumId w:val="113"/>
  </w:num>
  <w:num w:numId="115">
    <w:abstractNumId w:val="114"/>
  </w:num>
  <w:num w:numId="116">
    <w:abstractNumId w:val="115"/>
  </w:num>
  <w:num w:numId="117">
    <w:abstractNumId w:val="116"/>
  </w:num>
  <w:num w:numId="118">
    <w:abstractNumId w:val="117"/>
  </w:num>
  <w:num w:numId="119">
    <w:abstractNumId w:val="118"/>
  </w:num>
  <w:num w:numId="120">
    <w:abstractNumId w:val="119"/>
  </w:num>
  <w:num w:numId="121">
    <w:abstractNumId w:val="120"/>
  </w:num>
  <w:num w:numId="122">
    <w:abstractNumId w:val="121"/>
  </w:num>
  <w:num w:numId="123">
    <w:abstractNumId w:val="122"/>
  </w:num>
  <w:num w:numId="124">
    <w:abstractNumId w:val="123"/>
  </w:num>
  <w:num w:numId="125">
    <w:abstractNumId w:val="124"/>
  </w:num>
  <w:num w:numId="126">
    <w:abstractNumId w:val="125"/>
  </w:num>
  <w:num w:numId="127">
    <w:abstractNumId w:val="126"/>
  </w:num>
  <w:num w:numId="128">
    <w:abstractNumId w:val="127"/>
  </w:num>
  <w:num w:numId="129">
    <w:abstractNumId w:val="128"/>
  </w:num>
  <w:num w:numId="130">
    <w:abstractNumId w:val="129"/>
  </w:num>
  <w:num w:numId="131">
    <w:abstractNumId w:val="13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jpe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36" Type="http://schemas.openxmlformats.org/officeDocument/2006/relationships/image" Target="media/image21.png"/><Relationship Id="rId37" Type="http://schemas.openxmlformats.org/officeDocument/2006/relationships/image" Target="media/image22.png"/><Relationship Id="rId38" Type="http://schemas.openxmlformats.org/officeDocument/2006/relationships/image" Target="media/image23.png"/><Relationship Id="rId39" Type="http://schemas.openxmlformats.org/officeDocument/2006/relationships/image" Target="media/image24.png"/><Relationship Id="rId40" Type="http://schemas.openxmlformats.org/officeDocument/2006/relationships/image" Target="media/image25.png"/><Relationship Id="rId41" Type="http://schemas.openxmlformats.org/officeDocument/2006/relationships/image" Target="media/image26.png"/><Relationship Id="rId42" Type="http://schemas.openxmlformats.org/officeDocument/2006/relationships/image" Target="media/image27.png"/><Relationship Id="rId43" Type="http://schemas.openxmlformats.org/officeDocument/2006/relationships/image" Target="media/image28.png"/><Relationship Id="rId44" Type="http://schemas.openxmlformats.org/officeDocument/2006/relationships/image" Target="media/image29.png"/><Relationship Id="rId45" Type="http://schemas.openxmlformats.org/officeDocument/2006/relationships/image" Target="media/image30.png"/><Relationship Id="rId46" Type="http://schemas.openxmlformats.org/officeDocument/2006/relationships/image" Target="media/image31.png"/><Relationship Id="rId47" Type="http://schemas.openxmlformats.org/officeDocument/2006/relationships/image" Target="media/image32.png"/><Relationship Id="rId48" Type="http://schemas.openxmlformats.org/officeDocument/2006/relationships/image" Target="media/image33.png"/><Relationship Id="rId49" Type="http://schemas.openxmlformats.org/officeDocument/2006/relationships/image" Target="media/image34.png"/><Relationship Id="rId50" Type="http://schemas.openxmlformats.org/officeDocument/2006/relationships/image" Target="media/image35.png"/><Relationship Id="rId51" Type="http://schemas.openxmlformats.org/officeDocument/2006/relationships/image" Target="media/image36.png"/><Relationship Id="rId52" Type="http://schemas.openxmlformats.org/officeDocument/2006/relationships/image" Target="media/image37.png"/><Relationship Id="rId53" Type="http://schemas.openxmlformats.org/officeDocument/2006/relationships/image" Target="media/image38.png"/><Relationship Id="rId54" Type="http://schemas.openxmlformats.org/officeDocument/2006/relationships/image" Target="media/image39.png"/><Relationship Id="rId55" Type="http://schemas.openxmlformats.org/officeDocument/2006/relationships/image" Target="media/image40.png"/><Relationship Id="rId56" Type="http://schemas.openxmlformats.org/officeDocument/2006/relationships/image" Target="media/image41.png"/><Relationship Id="rId57" Type="http://schemas.openxmlformats.org/officeDocument/2006/relationships/image" Target="media/image42.png"/><Relationship Id="rId58" Type="http://schemas.openxmlformats.org/officeDocument/2006/relationships/image" Target="media/image43.png"/><Relationship Id="rId59" Type="http://schemas.openxmlformats.org/officeDocument/2006/relationships/image" Target="media/image44.png"/><Relationship Id="rId60" Type="http://schemas.openxmlformats.org/officeDocument/2006/relationships/image" Target="media/image45.png"/><Relationship Id="rId61" Type="http://schemas.openxmlformats.org/officeDocument/2006/relationships/image" Target="media/image46.png"/><Relationship Id="rId62" Type="http://schemas.openxmlformats.org/officeDocument/2006/relationships/image" Target="media/image47.png"/><Relationship Id="rId63" Type="http://schemas.openxmlformats.org/officeDocument/2006/relationships/image" Target="media/image48.png"/><Relationship Id="rId64" Type="http://schemas.openxmlformats.org/officeDocument/2006/relationships/image" Target="media/image49.png"/><Relationship Id="rId65" Type="http://schemas.openxmlformats.org/officeDocument/2006/relationships/image" Target="media/image50.png"/><Relationship Id="rId66" Type="http://schemas.openxmlformats.org/officeDocument/2006/relationships/image" Target="media/image51.png"/><Relationship Id="rId67" Type="http://schemas.openxmlformats.org/officeDocument/2006/relationships/image" Target="media/image52.png"/><Relationship Id="rId68" Type="http://schemas.openxmlformats.org/officeDocument/2006/relationships/image" Target="media/image53.png"/><Relationship Id="rId69" Type="http://schemas.openxmlformats.org/officeDocument/2006/relationships/image" Target="media/image54.jpeg"/><Relationship Id="rId70" Type="http://schemas.openxmlformats.org/officeDocument/2006/relationships/image" Target="media/image55.png"/><Relationship Id="rId71" Type="http://schemas.openxmlformats.org/officeDocument/2006/relationships/image" Target="media/image56.png"/><Relationship Id="rId72" Type="http://schemas.openxmlformats.org/officeDocument/2006/relationships/image" Target="media/image57.png"/><Relationship Id="rId73" Type="http://schemas.openxmlformats.org/officeDocument/2006/relationships/image" Target="media/image58.png"/><Relationship Id="rId74" Type="http://schemas.openxmlformats.org/officeDocument/2006/relationships/image" Target="media/image59.png"/><Relationship Id="rId75" Type="http://schemas.openxmlformats.org/officeDocument/2006/relationships/image" Target="media/image60.png"/><Relationship Id="rId76" Type="http://schemas.openxmlformats.org/officeDocument/2006/relationships/image" Target="media/image61.jpeg"/><Relationship Id="rId77" Type="http://schemas.openxmlformats.org/officeDocument/2006/relationships/image" Target="media/image62.png"/><Relationship Id="rId78" Type="http://schemas.openxmlformats.org/officeDocument/2006/relationships/image" Target="media/image63.png"/><Relationship Id="rId79" Type="http://schemas.openxmlformats.org/officeDocument/2006/relationships/image" Target="media/image64.png"/><Relationship Id="rId80" Type="http://schemas.openxmlformats.org/officeDocument/2006/relationships/image" Target="media/image65.png"/><Relationship Id="rId81" Type="http://schemas.openxmlformats.org/officeDocument/2006/relationships/image" Target="media/image66.png"/><Relationship Id="rId82" Type="http://schemas.openxmlformats.org/officeDocument/2006/relationships/image" Target="media/image67.png"/><Relationship Id="rId83" Type="http://schemas.openxmlformats.org/officeDocument/2006/relationships/image" Target="media/image68.png"/><Relationship Id="rId84" Type="http://schemas.openxmlformats.org/officeDocument/2006/relationships/image" Target="media/image69.png"/><Relationship Id="rId85" Type="http://schemas.openxmlformats.org/officeDocument/2006/relationships/image" Target="media/image70.png"/><Relationship Id="rId86" Type="http://schemas.openxmlformats.org/officeDocument/2006/relationships/image" Target="media/image71.png"/><Relationship Id="rId87" Type="http://schemas.openxmlformats.org/officeDocument/2006/relationships/image" Target="media/image72.png"/><Relationship Id="rId88" Type="http://schemas.openxmlformats.org/officeDocument/2006/relationships/image" Target="media/image73.png"/><Relationship Id="rId89" Type="http://schemas.openxmlformats.org/officeDocument/2006/relationships/image" Target="media/image74.png"/><Relationship Id="rId90" Type="http://schemas.openxmlformats.org/officeDocument/2006/relationships/image" Target="media/image75.png"/><Relationship Id="rId91" Type="http://schemas.openxmlformats.org/officeDocument/2006/relationships/image" Target="media/image76.png"/><Relationship Id="rId92" Type="http://schemas.openxmlformats.org/officeDocument/2006/relationships/image" Target="media/image77.png"/><Relationship Id="rId93" Type="http://schemas.openxmlformats.org/officeDocument/2006/relationships/image" Target="media/image78.png"/><Relationship Id="rId94" Type="http://schemas.openxmlformats.org/officeDocument/2006/relationships/image" Target="media/image79.png"/><Relationship Id="rId95" Type="http://schemas.openxmlformats.org/officeDocument/2006/relationships/image" Target="media/image80.png"/><Relationship Id="rId96" Type="http://schemas.openxmlformats.org/officeDocument/2006/relationships/image" Target="media/image81.png"/><Relationship Id="rId97" Type="http://schemas.openxmlformats.org/officeDocument/2006/relationships/image" Target="media/image82.png"/><Relationship Id="rId98" Type="http://schemas.openxmlformats.org/officeDocument/2006/relationships/image" Target="media/image83.png"/><Relationship Id="rId99" Type="http://schemas.openxmlformats.org/officeDocument/2006/relationships/image" Target="media/image84.png"/><Relationship Id="rId100" Type="http://schemas.openxmlformats.org/officeDocument/2006/relationships/image" Target="media/image85.png"/><Relationship Id="rId101" Type="http://schemas.openxmlformats.org/officeDocument/2006/relationships/image" Target="media/image86.png"/><Relationship Id="rId102" Type="http://schemas.openxmlformats.org/officeDocument/2006/relationships/image" Target="media/image87.png"/><Relationship Id="rId103" Type="http://schemas.openxmlformats.org/officeDocument/2006/relationships/image" Target="media/image88.png"/><Relationship Id="rId104" Type="http://schemas.openxmlformats.org/officeDocument/2006/relationships/image" Target="media/image89.jpeg"/><Relationship Id="rId105" Type="http://schemas.openxmlformats.org/officeDocument/2006/relationships/image" Target="media/image90.png"/><Relationship Id="rId106" Type="http://schemas.openxmlformats.org/officeDocument/2006/relationships/image" Target="media/image91.png"/><Relationship Id="rId107" Type="http://schemas.openxmlformats.org/officeDocument/2006/relationships/image" Target="media/image92.png"/><Relationship Id="rId108" Type="http://schemas.openxmlformats.org/officeDocument/2006/relationships/image" Target="media/image93.png"/><Relationship Id="rId109" Type="http://schemas.openxmlformats.org/officeDocument/2006/relationships/image" Target="media/image94.png"/><Relationship Id="rId110" Type="http://schemas.openxmlformats.org/officeDocument/2006/relationships/image" Target="media/image95.png"/><Relationship Id="rId111" Type="http://schemas.openxmlformats.org/officeDocument/2006/relationships/image" Target="media/image96.png"/><Relationship Id="rId119" Type="http://schemas.openxmlformats.org/officeDocument/2006/relationships/image" Target="media/image97.png"/><Relationship Id="rId120" Type="http://schemas.openxmlformats.org/officeDocument/2006/relationships/image" Target="media/image98.png"/><Relationship Id="rId121" Type="http://schemas.openxmlformats.org/officeDocument/2006/relationships/image" Target="media/image99.png"/><Relationship Id="rId122" Type="http://schemas.openxmlformats.org/officeDocument/2006/relationships/image" Target="media/image100.png"/><Relationship Id="rId123" Type="http://schemas.openxmlformats.org/officeDocument/2006/relationships/image" Target="media/image101.png"/><Relationship Id="rId124" Type="http://schemas.openxmlformats.org/officeDocument/2006/relationships/image" Target="media/image102.png"/><Relationship Id="rId125" Type="http://schemas.openxmlformats.org/officeDocument/2006/relationships/image" Target="media/image103.png"/><Relationship Id="rId126" Type="http://schemas.openxmlformats.org/officeDocument/2006/relationships/image" Target="media/image104.png"/><Relationship Id="rId127" Type="http://schemas.openxmlformats.org/officeDocument/2006/relationships/image" Target="media/image105.png"/><Relationship Id="rId128" Type="http://schemas.openxmlformats.org/officeDocument/2006/relationships/image" Target="media/image106.png"/><Relationship Id="rId129" Type="http://schemas.openxmlformats.org/officeDocument/2006/relationships/image" Target="media/image107.png"/><Relationship Id="rId130" Type="http://schemas.openxmlformats.org/officeDocument/2006/relationships/image" Target="media/image108.png"/><Relationship Id="rId131" Type="http://schemas.openxmlformats.org/officeDocument/2006/relationships/image" Target="media/image109.png"/><Relationship Id="rId132" Type="http://schemas.openxmlformats.org/officeDocument/2006/relationships/image" Target="media/image110.png"/><Relationship Id="rId133" Type="http://schemas.openxmlformats.org/officeDocument/2006/relationships/image" Target="media/image111.png"/><Relationship Id="rId134" Type="http://schemas.openxmlformats.org/officeDocument/2006/relationships/image" Target="media/image112.png"/><Relationship Id="rId135" Type="http://schemas.openxmlformats.org/officeDocument/2006/relationships/image" Target="media/image113.png"/><Relationship Id="rId136" Type="http://schemas.openxmlformats.org/officeDocument/2006/relationships/image" Target="media/image114.png"/><Relationship Id="rId137" Type="http://schemas.openxmlformats.org/officeDocument/2006/relationships/image" Target="media/image115.png"/><Relationship Id="rId138" Type="http://schemas.openxmlformats.org/officeDocument/2006/relationships/image" Target="media/image116.png"/><Relationship Id="rId139" Type="http://schemas.openxmlformats.org/officeDocument/2006/relationships/image" Target="media/image117.png"/><Relationship Id="rId140" Type="http://schemas.openxmlformats.org/officeDocument/2006/relationships/image" Target="media/image118.png"/><Relationship Id="rId141" Type="http://schemas.openxmlformats.org/officeDocument/2006/relationships/image" Target="media/image119.png"/><Relationship Id="rId142" Type="http://schemas.openxmlformats.org/officeDocument/2006/relationships/image" Target="media/image120.png"/><Relationship Id="rId143" Type="http://schemas.openxmlformats.org/officeDocument/2006/relationships/image" Target="media/image121.png"/><Relationship Id="rId144" Type="http://schemas.openxmlformats.org/officeDocument/2006/relationships/image" Target="media/image122.png"/><Relationship Id="rId145" Type="http://schemas.openxmlformats.org/officeDocument/2006/relationships/image" Target="media/image123.png"/><Relationship Id="rId146" Type="http://schemas.openxmlformats.org/officeDocument/2006/relationships/image" Target="media/image124.png"/><Relationship Id="rId147" Type="http://schemas.openxmlformats.org/officeDocument/2006/relationships/image" Target="media/image125.png"/><Relationship Id="rId148" Type="http://schemas.openxmlformats.org/officeDocument/2006/relationships/image" Target="media/image126.png"/><Relationship Id="rId149" Type="http://schemas.openxmlformats.org/officeDocument/2006/relationships/image" Target="media/image127.png"/><Relationship Id="rId150" Type="http://schemas.openxmlformats.org/officeDocument/2006/relationships/image" Target="media/image128.png"/><Relationship Id="rId151" Type="http://schemas.openxmlformats.org/officeDocument/2006/relationships/image" Target="media/image129.png"/><Relationship Id="rId152" Type="http://schemas.openxmlformats.org/officeDocument/2006/relationships/image" Target="media/image130.png"/><Relationship Id="rId153" Type="http://schemas.openxmlformats.org/officeDocument/2006/relationships/image" Target="media/image131.png"/><Relationship Id="rId154" Type="http://schemas.openxmlformats.org/officeDocument/2006/relationships/image" Target="media/image132.png"/><Relationship Id="rId155" Type="http://schemas.openxmlformats.org/officeDocument/2006/relationships/image" Target="media/image133.png"/><Relationship Id="rId156" Type="http://schemas.openxmlformats.org/officeDocument/2006/relationships/image" Target="media/image134.png"/><Relationship Id="rId157" Type="http://schemas.openxmlformats.org/officeDocument/2006/relationships/image" Target="media/image135.png"/><Relationship Id="rId158" Type="http://schemas.openxmlformats.org/officeDocument/2006/relationships/image" Target="media/image136.png"/><Relationship Id="rId159" Type="http://schemas.openxmlformats.org/officeDocument/2006/relationships/image" Target="media/image137.png"/><Relationship Id="rId160" Type="http://schemas.openxmlformats.org/officeDocument/2006/relationships/image" Target="media/image138.png"/><Relationship Id="rId161" Type="http://schemas.openxmlformats.org/officeDocument/2006/relationships/image" Target="media/image139.png"/><Relationship Id="rId162" Type="http://schemas.openxmlformats.org/officeDocument/2006/relationships/image" Target="media/image140.png"/><Relationship Id="rId163" Type="http://schemas.openxmlformats.org/officeDocument/2006/relationships/image" Target="media/image141.png"/><Relationship Id="rId164" Type="http://schemas.openxmlformats.org/officeDocument/2006/relationships/image" Target="media/image142.png"/><Relationship Id="rId165" Type="http://schemas.openxmlformats.org/officeDocument/2006/relationships/image" Target="media/image143.png"/><Relationship Id="rId166" Type="http://schemas.openxmlformats.org/officeDocument/2006/relationships/image" Target="media/image144.png"/><Relationship Id="rId167" Type="http://schemas.openxmlformats.org/officeDocument/2006/relationships/image" Target="media/image145.png"/><Relationship Id="rId168" Type="http://schemas.openxmlformats.org/officeDocument/2006/relationships/image" Target="media/image146.png"/><Relationship Id="rId169" Type="http://schemas.openxmlformats.org/officeDocument/2006/relationships/image" Target="media/image147.png"/><Relationship Id="rId170" Type="http://schemas.openxmlformats.org/officeDocument/2006/relationships/image" Target="media/image148.png"/><Relationship Id="rId171" Type="http://schemas.openxmlformats.org/officeDocument/2006/relationships/image" Target="media/image149.png"/><Relationship Id="rId172" Type="http://schemas.openxmlformats.org/officeDocument/2006/relationships/image" Target="media/image150.png"/><Relationship Id="rId173" Type="http://schemas.openxmlformats.org/officeDocument/2006/relationships/image" Target="media/image151.png"/><Relationship Id="rId174" Type="http://schemas.openxmlformats.org/officeDocument/2006/relationships/image" Target="media/image152.png"/><Relationship Id="rId175" Type="http://schemas.openxmlformats.org/officeDocument/2006/relationships/image" Target="media/image153.png"/><Relationship Id="rId176" Type="http://schemas.openxmlformats.org/officeDocument/2006/relationships/image" Target="media/image154.png"/><Relationship Id="rId177" Type="http://schemas.openxmlformats.org/officeDocument/2006/relationships/image" Target="media/image155.png"/><Relationship Id="rId178" Type="http://schemas.openxmlformats.org/officeDocument/2006/relationships/image" Target="media/image156.png"/><Relationship Id="rId179" Type="http://schemas.openxmlformats.org/officeDocument/2006/relationships/image" Target="media/image157.png"/><Relationship Id="rId180" Type="http://schemas.openxmlformats.org/officeDocument/2006/relationships/image" Target="media/image158.png"/><Relationship Id="rId181" Type="http://schemas.openxmlformats.org/officeDocument/2006/relationships/image" Target="media/image159.png"/><Relationship Id="rId182" Type="http://schemas.openxmlformats.org/officeDocument/2006/relationships/image" Target="media/image160.png"/><Relationship Id="rId183" Type="http://schemas.openxmlformats.org/officeDocument/2006/relationships/image" Target="media/image161.png"/><Relationship Id="rId184" Type="http://schemas.openxmlformats.org/officeDocument/2006/relationships/image" Target="media/image162.png"/><Relationship Id="rId185" Type="http://schemas.openxmlformats.org/officeDocument/2006/relationships/image" Target="media/image163.png"/><Relationship Id="rId186" Type="http://schemas.openxmlformats.org/officeDocument/2006/relationships/image" Target="media/image164.png"/><Relationship Id="rId187" Type="http://schemas.openxmlformats.org/officeDocument/2006/relationships/image" Target="media/image165.png"/><Relationship Id="rId188" Type="http://schemas.openxmlformats.org/officeDocument/2006/relationships/image" Target="media/image166.png"/><Relationship Id="rId189" Type="http://schemas.openxmlformats.org/officeDocument/2006/relationships/image" Target="media/image167.png"/><Relationship Id="rId190" Type="http://schemas.openxmlformats.org/officeDocument/2006/relationships/image" Target="media/image168.png"/><Relationship Id="rId191" Type="http://schemas.openxmlformats.org/officeDocument/2006/relationships/image" Target="media/image169.png"/><Relationship Id="rId192" Type="http://schemas.openxmlformats.org/officeDocument/2006/relationships/image" Target="media/image170.png"/><Relationship Id="rId193" Type="http://schemas.openxmlformats.org/officeDocument/2006/relationships/image" Target="media/image171.png"/><Relationship Id="rId194" Type="http://schemas.openxmlformats.org/officeDocument/2006/relationships/image" Target="media/image172.png"/><Relationship Id="rId195" Type="http://schemas.openxmlformats.org/officeDocument/2006/relationships/image" Target="media/image173.png"/><Relationship Id="rId196" Type="http://schemas.openxmlformats.org/officeDocument/2006/relationships/image" Target="media/image174.png"/><Relationship Id="rId197" Type="http://schemas.openxmlformats.org/officeDocument/2006/relationships/image" Target="media/image175.png"/><Relationship Id="rId198" Type="http://schemas.openxmlformats.org/officeDocument/2006/relationships/image" Target="media/image176.png"/><Relationship Id="rId199" Type="http://schemas.openxmlformats.org/officeDocument/2006/relationships/image" Target="media/image177.png"/><Relationship Id="rId200" Type="http://schemas.openxmlformats.org/officeDocument/2006/relationships/image" Target="media/image178.png"/><Relationship Id="rId201" Type="http://schemas.openxmlformats.org/officeDocument/2006/relationships/image" Target="media/image179.png"/><Relationship Id="rId202" Type="http://schemas.openxmlformats.org/officeDocument/2006/relationships/image" Target="media/image180.png"/><Relationship Id="rId203" Type="http://schemas.openxmlformats.org/officeDocument/2006/relationships/image" Target="media/image181.png"/><Relationship Id="rId204" Type="http://schemas.openxmlformats.org/officeDocument/2006/relationships/image" Target="media/image182.png"/><Relationship Id="rId205" Type="http://schemas.openxmlformats.org/officeDocument/2006/relationships/image" Target="media/image183.png"/><Relationship Id="rId206" Type="http://schemas.openxmlformats.org/officeDocument/2006/relationships/image" Target="media/image184.png"/><Relationship Id="rId207" Type="http://schemas.openxmlformats.org/officeDocument/2006/relationships/image" Target="media/image185.png"/><Relationship Id="rId208" Type="http://schemas.openxmlformats.org/officeDocument/2006/relationships/image" Target="media/image186.png"/><Relationship Id="rId209" Type="http://schemas.openxmlformats.org/officeDocument/2006/relationships/image" Target="media/image187.png"/><Relationship Id="rId210" Type="http://schemas.openxmlformats.org/officeDocument/2006/relationships/image" Target="media/image188.png"/><Relationship Id="rId211" Type="http://schemas.openxmlformats.org/officeDocument/2006/relationships/image" Target="media/image189.png"/><Relationship Id="rId212" Type="http://schemas.openxmlformats.org/officeDocument/2006/relationships/image" Target="media/image190.png"/><Relationship Id="rId213" Type="http://schemas.openxmlformats.org/officeDocument/2006/relationships/image" Target="media/image191.png"/><Relationship Id="rId214" Type="http://schemas.openxmlformats.org/officeDocument/2006/relationships/image" Target="media/image192.png"/><Relationship Id="rId215" Type="http://schemas.openxmlformats.org/officeDocument/2006/relationships/image" Target="media/image193.png"/><Relationship Id="rId216" Type="http://schemas.openxmlformats.org/officeDocument/2006/relationships/image" Target="media/image194.png"/><Relationship Id="rId217" Type="http://schemas.openxmlformats.org/officeDocument/2006/relationships/image" Target="media/image195.png"/><Relationship Id="rId218" Type="http://schemas.openxmlformats.org/officeDocument/2006/relationships/image" Target="media/image196.png"/><Relationship Id="rId219" Type="http://schemas.openxmlformats.org/officeDocument/2006/relationships/image" Target="media/image197.png"/><Relationship Id="rId220" Type="http://schemas.openxmlformats.org/officeDocument/2006/relationships/image" Target="media/image198.png"/><Relationship Id="rId221" Type="http://schemas.openxmlformats.org/officeDocument/2006/relationships/image" Target="media/image199.png"/><Relationship Id="rId222" Type="http://schemas.openxmlformats.org/officeDocument/2006/relationships/image" Target="media/image200.jpeg"/><Relationship Id="rId223" Type="http://schemas.openxmlformats.org/officeDocument/2006/relationships/image" Target="media/image201.png"/><Relationship Id="rId224" Type="http://schemas.openxmlformats.org/officeDocument/2006/relationships/image" Target="media/image202.png"/><Relationship Id="rId225" Type="http://schemas.openxmlformats.org/officeDocument/2006/relationships/image" Target="media/image203.jpeg"/><Relationship Id="rId226" Type="http://schemas.openxmlformats.org/officeDocument/2006/relationships/image" Target="media/image204.png"/><Relationship Id="rId227" Type="http://schemas.openxmlformats.org/officeDocument/2006/relationships/image" Target="media/image205.png"/><Relationship Id="rId228" Type="http://schemas.openxmlformats.org/officeDocument/2006/relationships/image" Target="media/image206.jpeg"/><Relationship Id="rId229" Type="http://schemas.openxmlformats.org/officeDocument/2006/relationships/image" Target="media/image207.png"/><Relationship Id="rId230" Type="http://schemas.openxmlformats.org/officeDocument/2006/relationships/image" Target="media/image208.png"/><Relationship Id="rId231" Type="http://schemas.openxmlformats.org/officeDocument/2006/relationships/image" Target="media/image209.jpeg"/><Relationship Id="rId232" Type="http://schemas.openxmlformats.org/officeDocument/2006/relationships/image" Target="media/image210.png"/><Relationship Id="rId233" Type="http://schemas.openxmlformats.org/officeDocument/2006/relationships/image" Target="media/image211.png"/><Relationship Id="rId234" Type="http://schemas.openxmlformats.org/officeDocument/2006/relationships/image" Target="media/image212.jpeg"/><Relationship Id="rId235" Type="http://schemas.openxmlformats.org/officeDocument/2006/relationships/image" Target="media/image213.png"/><Relationship Id="rId28" Type="http://schemas.openxmlformats.org/officeDocument/2006/relationships/hyperlink" Target="http://www.sec.gov/Archives/edgar/data/1374690/000156459020008984/zfgn-10k_20191231.htm" TargetMode="External"/><Relationship Id="rId29" Type="http://schemas.openxmlformats.org/officeDocument/2006/relationships/hyperlink" Target="http://www.sec.gov/Archives/edgar/data/1374690/000156459020022942/zfgn-10q_20200331.htm" TargetMode="External"/><Relationship Id="rId30" Type="http://schemas.openxmlformats.org/officeDocument/2006/relationships/hyperlink" Target="http://www.sec.gov/Archives/edgar/data/1374690/000156459020040314/lrmr-10q_20200630.htm" TargetMode="External"/><Relationship Id="rId31" Type="http://schemas.openxmlformats.org/officeDocument/2006/relationships/hyperlink" Target="http://www.sec.gov/Archives/edgar/data/1374690/000119312520125890/d853876ddefm14a.htm" TargetMode="External"/><Relationship Id="rId32" Type="http://schemas.openxmlformats.org/officeDocument/2006/relationships/hyperlink" Target="http://www.sec.gov/Archives/edgar/data/1374690/000119312520119225/d895301d8k.htm" TargetMode="External"/><Relationship Id="rId33" Type="http://schemas.openxmlformats.org/officeDocument/2006/relationships/hyperlink" Target="http://www.sec.gov/Archives/edgar/data/1374690/000119312520065288/d846972d8k.htm" TargetMode="External"/><Relationship Id="rId34" Type="http://schemas.openxmlformats.org/officeDocument/2006/relationships/hyperlink" Target="http://www.sec.gov/Archives/edgar/data/1374690/000119312520005893/d867953d8k.htm" TargetMode="External"/><Relationship Id="rId35" Type="http://schemas.openxmlformats.org/officeDocument/2006/relationships/hyperlink" Target="http://www.sec.gov/Archives/edgar/data/1374690/000119312514240257/d745277d8a12b.htm" TargetMode="External"/><Relationship Id="rId112" Type="http://schemas.openxmlformats.org/officeDocument/2006/relationships/hyperlink" Target="http://www.sec.gov/Archives/edgar/data/1374690/000119312514247362/d747935dex31.htm" TargetMode="External"/><Relationship Id="rId113" Type="http://schemas.openxmlformats.org/officeDocument/2006/relationships/hyperlink" Target="http://www.sec.gov/Archives/edgar/data/1374690/000119312520157924/d936040dex31.htm" TargetMode="External"/><Relationship Id="rId114" Type="http://schemas.openxmlformats.org/officeDocument/2006/relationships/hyperlink" Target="http://www.sec.gov/Archives/edgar/data/1374690/000119312520157924/d936040dex32.htm" TargetMode="External"/><Relationship Id="rId115" Type="http://schemas.openxmlformats.org/officeDocument/2006/relationships/hyperlink" Target="http://www.sec.gov/Archives/edgar/data/1374690/000119312514247362/d747935dex32.htm" TargetMode="External"/><Relationship Id="rId116" Type="http://schemas.openxmlformats.org/officeDocument/2006/relationships/hyperlink" Target="http://www.sec.gov/Archives/edgar/data/1374690/000119312514222253/d642727dex41.htm" TargetMode="External"/><Relationship Id="rId117" Type="http://schemas.openxmlformats.org/officeDocument/2006/relationships/hyperlink" Target="http://www.sec.gov/Archives/edgar/data/1374690/000119312520157924/d936040dex102.htm" TargetMode="External"/><Relationship Id="rId118" Type="http://schemas.openxmlformats.org/officeDocument/2006/relationships/hyperlink" Target="http://www.sec.gov/Archives/edgar/data/1374690/000119312520181162/d926045dex103.htm"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2020-08-14T21:52:09Z</dcterms:created>
  <dcterms:modified xsi:type="dcterms:W3CDTF">2020-08-14T21:52:09Z</dcterms:modified>
</cp:coreProperties>
</file>