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Booth Bruce</w:t>
              </w:r>
            </w:hyperlink>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vMerge w:val="restart"/>
          </w:tcPr>
          <w:p>
            <w:pPr>
              <w:spacing w:after="0"/>
              <w:rPr>
                <w:sz w:val="20"/>
                <w:szCs w:val="20"/>
                <w:color w:val="auto"/>
              </w:rPr>
            </w:pPr>
            <w:r>
              <w:rPr>
                <w:rFonts w:ascii="Arial" w:cs="Arial" w:eastAsia="Arial" w:hAnsi="Arial"/>
                <w:sz w:val="17"/>
                <w:szCs w:val="17"/>
                <w:color w:val="0000FF"/>
                <w:w w:val="99"/>
              </w:rPr>
              <w:t>C/O ZAFGEN, INC.</w:t>
            </w: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06/30/2016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5.99</w:t>
            </w:r>
          </w:p>
        </w:tc>
        <w:tc>
          <w:tcPr>
            <w:tcW w:w="200" w:type="dxa"/>
            <w:vAlign w:val="bottom"/>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0000FF"/>
              </w:rPr>
              <w:t>06/30/2016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06/30/2016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34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30, 2017 or the date of the 2017 annual meeting of stockholders, subject to the director's continued service on the board of directors.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07/01/2016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2019-12-08T12:46:08Z</dcterms:created>
  <dcterms:modified xsi:type="dcterms:W3CDTF">2019-12-08T12:46:08Z</dcterms:modified>
</cp:coreProperties>
</file>