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ind w:left="4900"/>
        <w:spacing w:after="0"/>
        <w:rPr>
          <w:sz w:val="20"/>
          <w:szCs w:val="20"/>
          <w:color w:val="auto"/>
        </w:rPr>
      </w:pPr>
      <w:r>
        <w:rPr>
          <w:rFonts w:ascii="Arial" w:cs="Arial" w:eastAsia="Arial" w:hAnsi="Arial"/>
          <w:sz w:val="22"/>
          <w:szCs w:val="22"/>
          <w:b w:val="1"/>
          <w:bCs w:val="1"/>
          <w:color w:val="auto"/>
        </w:rPr>
        <w:t>(RULE 13d - 102)</w:t>
      </w:r>
    </w:p>
    <w:p>
      <w:pPr>
        <w:spacing w:after="0" w:line="142" w:lineRule="exact"/>
        <w:rPr>
          <w:sz w:val="24"/>
          <w:szCs w:val="24"/>
          <w:color w:val="auto"/>
        </w:rPr>
      </w:pPr>
    </w:p>
    <w:p>
      <w:pPr>
        <w:jc w:val="center"/>
        <w:spacing w:after="0" w:line="229" w:lineRule="auto"/>
        <w:rPr>
          <w:sz w:val="20"/>
          <w:szCs w:val="20"/>
          <w:color w:val="auto"/>
        </w:rPr>
      </w:pPr>
      <w:r>
        <w:rPr>
          <w:rFonts w:ascii="Arial" w:cs="Arial" w:eastAsia="Arial" w:hAnsi="Arial"/>
          <w:sz w:val="22"/>
          <w:szCs w:val="22"/>
          <w:b w:val="1"/>
          <w:bCs w:val="1"/>
          <w:color w:val="auto"/>
        </w:rPr>
        <w:t>INFORMATION TO BE INCLUDED IN STATEMENTS FILED PURSUANT TO 13d-1(b), (c) AND (d) AND AMENDMENTS THERETO FILED PURSUANT TO 13d-2(b)</w:t>
      </w:r>
    </w:p>
    <w:p>
      <w:pPr>
        <w:spacing w:after="0" w:line="138"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(Amendment No. 1)*</w:t>
      </w:r>
    </w:p>
    <w:p>
      <w:pPr>
        <w:spacing w:after="0" w:line="139" w:lineRule="exact"/>
        <w:rPr>
          <w:sz w:val="24"/>
          <w:szCs w:val="24"/>
          <w:color w:val="auto"/>
        </w:rPr>
      </w:pPr>
    </w:p>
    <w:p>
      <w:pPr>
        <w:ind w:left="5180"/>
        <w:spacing w:after="0"/>
        <w:rPr>
          <w:sz w:val="20"/>
          <w:szCs w:val="20"/>
          <w:color w:val="auto"/>
        </w:rPr>
      </w:pPr>
      <w:r>
        <w:rPr>
          <w:rFonts w:ascii="Arial" w:cs="Arial" w:eastAsia="Arial" w:hAnsi="Arial"/>
          <w:sz w:val="22"/>
          <w:szCs w:val="22"/>
          <w:u w:val="single" w:color="auto"/>
          <w:color w:val="auto"/>
        </w:rPr>
        <w:t>Zafgen, Inc.</w:t>
      </w:r>
    </w:p>
    <w:p>
      <w:pPr>
        <w:ind w:left="4980"/>
        <w:spacing w:after="0"/>
        <w:rPr>
          <w:sz w:val="20"/>
          <w:szCs w:val="20"/>
          <w:color w:val="auto"/>
        </w:rPr>
      </w:pPr>
      <w:r>
        <w:rPr>
          <w:rFonts w:ascii="Arial" w:cs="Arial" w:eastAsia="Arial" w:hAnsi="Arial"/>
          <w:sz w:val="22"/>
          <w:szCs w:val="22"/>
          <w:color w:val="auto"/>
        </w:rPr>
        <w:t>(Name of Issuer)</w:t>
      </w:r>
    </w:p>
    <w:p>
      <w:pPr>
        <w:spacing w:after="0" w:line="115" w:lineRule="exact"/>
        <w:rPr>
          <w:sz w:val="24"/>
          <w:szCs w:val="24"/>
          <w:color w:val="auto"/>
        </w:rPr>
      </w:pPr>
    </w:p>
    <w:p>
      <w:pPr>
        <w:ind w:left="4280"/>
        <w:spacing w:after="0"/>
        <w:rPr>
          <w:sz w:val="20"/>
          <w:szCs w:val="20"/>
          <w:color w:val="auto"/>
        </w:rPr>
      </w:pPr>
      <w:r>
        <w:rPr>
          <w:rFonts w:ascii="Arial" w:cs="Arial" w:eastAsia="Arial" w:hAnsi="Arial"/>
          <w:sz w:val="22"/>
          <w:szCs w:val="22"/>
          <w:u w:val="single" w:color="auto"/>
          <w:color w:val="auto"/>
        </w:rPr>
        <w:t>Common stock, $0.001 par value</w:t>
      </w:r>
    </w:p>
    <w:p>
      <w:pPr>
        <w:ind w:left="4500"/>
        <w:spacing w:after="0"/>
        <w:rPr>
          <w:sz w:val="20"/>
          <w:szCs w:val="20"/>
          <w:color w:val="auto"/>
        </w:rPr>
      </w:pPr>
      <w:r>
        <w:rPr>
          <w:rFonts w:ascii="Arial" w:cs="Arial" w:eastAsia="Arial" w:hAnsi="Arial"/>
          <w:sz w:val="22"/>
          <w:szCs w:val="22"/>
          <w:color w:val="auto"/>
        </w:rPr>
        <w:t>(Title of Class of Securities)</w:t>
      </w:r>
    </w:p>
    <w:p>
      <w:pPr>
        <w:spacing w:after="0" w:line="115"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98885E103</w:t>
      </w:r>
    </w:p>
    <w:p>
      <w:pPr>
        <w:ind w:left="4960"/>
        <w:spacing w:after="0"/>
        <w:rPr>
          <w:sz w:val="20"/>
          <w:szCs w:val="20"/>
          <w:color w:val="auto"/>
        </w:rPr>
      </w:pPr>
      <w:r>
        <w:rPr>
          <w:rFonts w:ascii="Arial" w:cs="Arial" w:eastAsia="Arial" w:hAnsi="Arial"/>
          <w:sz w:val="22"/>
          <w:szCs w:val="22"/>
          <w:color w:val="auto"/>
        </w:rPr>
        <w:t>(CUSIP Number)</w:t>
      </w:r>
    </w:p>
    <w:p>
      <w:pPr>
        <w:spacing w:after="0" w:line="115" w:lineRule="exact"/>
        <w:rPr>
          <w:sz w:val="24"/>
          <w:szCs w:val="24"/>
          <w:color w:val="auto"/>
        </w:rPr>
      </w:pPr>
    </w:p>
    <w:p>
      <w:pPr>
        <w:ind w:left="4860"/>
        <w:spacing w:after="0"/>
        <w:rPr>
          <w:sz w:val="20"/>
          <w:szCs w:val="20"/>
          <w:color w:val="auto"/>
        </w:rPr>
      </w:pPr>
      <w:r>
        <w:rPr>
          <w:rFonts w:ascii="Arial" w:cs="Arial" w:eastAsia="Arial" w:hAnsi="Arial"/>
          <w:sz w:val="22"/>
          <w:szCs w:val="22"/>
          <w:u w:val="single" w:color="auto"/>
          <w:color w:val="auto"/>
        </w:rPr>
        <w:t>December 31, 2019</w:t>
      </w:r>
    </w:p>
    <w:p>
      <w:pPr>
        <w:ind w:left="3300"/>
        <w:spacing w:after="0"/>
        <w:rPr>
          <w:sz w:val="20"/>
          <w:szCs w:val="20"/>
          <w:color w:val="auto"/>
        </w:rPr>
      </w:pPr>
      <w:r>
        <w:rPr>
          <w:rFonts w:ascii="Arial" w:cs="Arial" w:eastAsia="Arial" w:hAnsi="Arial"/>
          <w:sz w:val="22"/>
          <w:szCs w:val="22"/>
          <w:color w:val="auto"/>
        </w:rPr>
        <w:t>(Date of Event which Requires Filing of this Statement)</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66" w:lineRule="exact"/>
        <w:rPr>
          <w:sz w:val="24"/>
          <w:szCs w:val="24"/>
          <w:color w:val="auto"/>
        </w:rPr>
      </w:pPr>
    </w:p>
    <w:p>
      <w:pPr>
        <w:jc w:val="center"/>
        <w:spacing w:after="0"/>
        <w:tabs>
          <w:tab w:leader="none" w:pos="2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06" w:lineRule="exact"/>
        <w:rPr>
          <w:sz w:val="24"/>
          <w:szCs w:val="24"/>
          <w:color w:val="auto"/>
        </w:rPr>
      </w:pPr>
    </w:p>
    <w:p>
      <w:pPr>
        <w:jc w:val="both"/>
        <w:ind w:left="4860" w:right="4840" w:hanging="14"/>
        <w:spacing w:after="0" w:line="504" w:lineRule="auto"/>
        <w:tabs>
          <w:tab w:leader="none" w:pos="53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 ] Rule 13d-1(d)</w:t>
      </w:r>
    </w:p>
    <w:p>
      <w:pPr>
        <w:spacing w:after="0" w:line="1" w:lineRule="exact"/>
        <w:rPr>
          <w:sz w:val="24"/>
          <w:szCs w:val="24"/>
          <w:color w:val="auto"/>
        </w:rPr>
      </w:pPr>
    </w:p>
    <w:p>
      <w:pPr>
        <w:jc w:val="both"/>
        <w:spacing w:after="0" w:line="214"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jc w:val="both"/>
        <w:spacing w:after="0" w:line="214" w:lineRule="auto"/>
        <w:rPr>
          <w:sz w:val="20"/>
          <w:szCs w:val="20"/>
          <w:color w:val="auto"/>
        </w:rPr>
      </w:pPr>
      <w:r>
        <w:rPr>
          <w:rFonts w:ascii="Arial" w:cs="Arial" w:eastAsia="Arial" w:hAnsi="Arial"/>
          <w:sz w:val="22"/>
          <w:szCs w:val="22"/>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22"/>
          <w:szCs w:val="22"/>
          <w:i w:val="1"/>
          <w:iCs w:val="1"/>
          <w:color w:val="auto"/>
        </w:rPr>
        <w:t>see the 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80" w:right="2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683 Capital Management, LLC</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7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31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22" w:lineRule="auto"/>
        <w:tabs>
          <w:tab w:leader="none" w:pos="1044"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2,701,566</w:t>
      </w:r>
    </w:p>
    <w:p>
      <w:pPr>
        <w:ind w:left="1880" w:right="691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2,701,566</w:t>
      </w:r>
    </w:p>
    <w:p>
      <w:pPr>
        <w:ind w:left="1880" w:right="261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2,701,566</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119" w:hanging="1872"/>
        <w:spacing w:after="0" w:line="493"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683 Capital Partners, LP</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72"/>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31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22" w:lineRule="auto"/>
        <w:tabs>
          <w:tab w:leader="none" w:pos="1044"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VOTING POWER 2,701,566</w:t>
      </w:r>
    </w:p>
    <w:p>
      <w:pPr>
        <w:ind w:left="1880" w:right="691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2,701,566</w:t>
      </w:r>
    </w:p>
    <w:p>
      <w:pPr>
        <w:ind w:left="1880" w:right="261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2,701,566</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119" w:hanging="1872"/>
        <w:spacing w:after="0" w:line="493"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Ari Zweiman</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72"/>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31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22" w:lineRule="auto"/>
        <w:tabs>
          <w:tab w:leader="none" w:pos="10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SHARED VOTING POWER 2,701,566</w:t>
      </w:r>
    </w:p>
    <w:p>
      <w:pPr>
        <w:ind w:left="1880" w:right="691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2,701,566</w:t>
      </w:r>
    </w:p>
    <w:p>
      <w:pPr>
        <w:ind w:left="1880" w:right="261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2,701,566</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119" w:hanging="1872"/>
        <w:spacing w:after="0" w:line="493"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This Schedule 13G reflects the beneficial ownership of the Reporting Persons (as defined below) as of December 31, 2019.</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Zafgen, Inc. (“</w:t>
      </w:r>
      <w:r>
        <w:rPr>
          <w:rFonts w:ascii="Arial" w:cs="Arial" w:eastAsia="Arial" w:hAnsi="Arial"/>
          <w:sz w:val="22"/>
          <w:szCs w:val="22"/>
          <w:u w:val="single" w:color="auto"/>
          <w:color w:val="auto"/>
        </w:rPr>
        <w:t>Issuer</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 Center Plaza, Suite 610, Boston, Massachusetts 02108</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names of the persons filing this statement on Schedule 13G (collectively, the “</w:t>
      </w:r>
      <w:r>
        <w:rPr>
          <w:rFonts w:ascii="Arial" w:cs="Arial" w:eastAsia="Arial" w:hAnsi="Arial"/>
          <w:sz w:val="22"/>
          <w:szCs w:val="22"/>
          <w:u w:val="single" w:color="auto"/>
          <w:color w:val="auto"/>
        </w:rPr>
        <w:t>Reporting Persons</w:t>
      </w:r>
      <w:r>
        <w:rPr>
          <w:rFonts w:ascii="Arial" w:cs="Arial" w:eastAsia="Arial" w:hAnsi="Arial"/>
          <w:sz w:val="22"/>
          <w:szCs w:val="22"/>
          <w:color w:val="auto"/>
        </w:rPr>
        <w:t>”) are:</w:t>
      </w:r>
    </w:p>
    <w:p>
      <w:pPr>
        <w:spacing w:after="0" w:line="18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683 Capital Management, LLC,</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683 Capital Partners, LP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Ari Zweiman.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principal business address for each of the Reporting Persons is 3 Columbus Circle, Suite 2205, New York, NY 10019.</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09"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683 Capital Management, LLC is a Delaware limited liability company. 683 Capital Partners, LP is a Delaware limited partnership. Ari Zweiman is a citizen of the United States.</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stock, $0.001 par value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98885E103</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20" w:hanging="37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020" w:hanging="37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020" w:hanging="37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Investment adviser in accordance with Rule 13d-1(b)(1)(ii)(E).</w:t>
      </w:r>
    </w:p>
    <w:p>
      <w:pPr>
        <w:spacing w:after="0" w:line="225" w:lineRule="exact"/>
        <w:rPr>
          <w:rFonts w:ascii="Arial" w:cs="Arial" w:eastAsia="Arial" w:hAnsi="Arial"/>
          <w:sz w:val="18"/>
          <w:szCs w:val="18"/>
          <w:color w:val="auto"/>
        </w:rPr>
      </w:pPr>
    </w:p>
    <w:p>
      <w:pPr>
        <w:ind w:left="1020" w:hanging="36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Employee benefit plan or endowment fund in accordance with Rule 13d-1(b)(1)(ii)(F).</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Rule 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5" w:name="page6"/>
    <w:bookmarkEnd w:id="5"/>
    <w:p>
      <w:pPr>
        <w:ind w:left="640"/>
        <w:spacing w:after="0"/>
        <w:tabs>
          <w:tab w:leader="none" w:pos="1000" w:val="left"/>
          <w:tab w:leader="none" w:pos="1440" w:val="left"/>
        </w:tabs>
        <w:rPr>
          <w:sz w:val="20"/>
          <w:szCs w:val="20"/>
          <w:color w:val="auto"/>
        </w:rPr>
      </w:pPr>
      <w:r>
        <w:rPr>
          <w:rFonts w:ascii="Arial" w:cs="Arial" w:eastAsia="Arial" w:hAnsi="Arial"/>
          <w:sz w:val="18"/>
          <w:szCs w:val="18"/>
          <w:color w:val="auto"/>
        </w:rPr>
        <w:t>(h)</w:t>
        <w:tab/>
        <w:t>[ ]</w:t>
      </w:r>
      <w:r>
        <w:rPr>
          <w:sz w:val="20"/>
          <w:szCs w:val="20"/>
          <w:color w:val="auto"/>
        </w:rPr>
        <w:tab/>
      </w:r>
      <w:r>
        <w:rPr>
          <w:rFonts w:ascii="Arial" w:cs="Arial" w:eastAsia="Arial" w:hAnsi="Arial"/>
          <w:sz w:val="16"/>
          <w:szCs w:val="16"/>
          <w:color w:val="auto"/>
        </w:rPr>
        <w:t>Savings association as defined in Section 3(b) of the Federal Deposit Insurance Act.</w:t>
      </w:r>
    </w:p>
    <w:p>
      <w:pPr>
        <w:spacing w:after="0" w:line="225" w:lineRule="exact"/>
        <w:rPr>
          <w:sz w:val="20"/>
          <w:szCs w:val="20"/>
          <w:color w:val="auto"/>
        </w:rPr>
      </w:pPr>
    </w:p>
    <w:p>
      <w:pPr>
        <w:ind w:left="1020" w:hanging="36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20" w:hanging="361"/>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Non-U.S. institution in accordance with Section 240.13d-1(b)(1)(ii)(J).</w:t>
      </w:r>
    </w:p>
    <w:p>
      <w:pPr>
        <w:spacing w:after="0" w:line="225" w:lineRule="exact"/>
        <w:rPr>
          <w:sz w:val="20"/>
          <w:szCs w:val="20"/>
          <w:color w:val="auto"/>
        </w:rPr>
      </w:pPr>
    </w:p>
    <w:p>
      <w:pPr>
        <w:ind w:left="1460" w:hanging="821"/>
        <w:spacing w:after="0" w:line="262" w:lineRule="auto"/>
        <w:tabs>
          <w:tab w:leader="none" w:pos="10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 Group, in accordance with Rule 240.13d-1(b)(1)(ii)(K). If filing as a non-U.S. institution in accordance with § 240.13d-1(b)(1)(ii)(J), please specify the type of institution: ____</w:t>
      </w:r>
    </w:p>
    <w:p>
      <w:pPr>
        <w:spacing w:after="0" w:line="3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December 31, 2019, 683 Capital Partners, LP beneficially owned 2,701,566 shares of Common Stock.</w:t>
      </w:r>
    </w:p>
    <w:p>
      <w:pPr>
        <w:spacing w:after="0" w:line="166" w:lineRule="exact"/>
        <w:rPr>
          <w:sz w:val="20"/>
          <w:szCs w:val="20"/>
          <w:color w:val="auto"/>
        </w:rPr>
      </w:pPr>
    </w:p>
    <w:p>
      <w:pPr>
        <w:ind w:left="660"/>
        <w:spacing w:after="0" w:line="237" w:lineRule="auto"/>
        <w:rPr>
          <w:sz w:val="20"/>
          <w:szCs w:val="20"/>
          <w:color w:val="auto"/>
        </w:rPr>
      </w:pPr>
      <w:r>
        <w:rPr>
          <w:rFonts w:ascii="Arial" w:cs="Arial" w:eastAsia="Arial" w:hAnsi="Arial"/>
          <w:sz w:val="21"/>
          <w:szCs w:val="21"/>
          <w:color w:val="auto"/>
        </w:rPr>
        <w:t>683 Capital Management, LLC, as the investment manager of 683 Capital Partners, LP, may be deemed to have beneficially owned the 2,701,566 shares of Common Stock beneficially owned by 683 Capital Partners, LP.</w:t>
      </w:r>
    </w:p>
    <w:p>
      <w:pPr>
        <w:spacing w:after="0" w:line="144" w:lineRule="exact"/>
        <w:rPr>
          <w:sz w:val="20"/>
          <w:szCs w:val="20"/>
          <w:color w:val="auto"/>
        </w:rPr>
      </w:pPr>
    </w:p>
    <w:p>
      <w:pPr>
        <w:ind w:left="660"/>
        <w:spacing w:after="0" w:line="237" w:lineRule="auto"/>
        <w:rPr>
          <w:sz w:val="20"/>
          <w:szCs w:val="20"/>
          <w:color w:val="auto"/>
        </w:rPr>
      </w:pPr>
      <w:r>
        <w:rPr>
          <w:rFonts w:ascii="Arial" w:cs="Arial" w:eastAsia="Arial" w:hAnsi="Arial"/>
          <w:sz w:val="21"/>
          <w:szCs w:val="21"/>
          <w:color w:val="auto"/>
        </w:rPr>
        <w:t>Ari Zweiman, as the Managing Member of 683 Capital Management, LLC, may be deemed to have beneficially owned the 2,701,566 shares of Common Stock beneficially owned by 683 Capital Management, LLC.</w:t>
      </w:r>
    </w:p>
    <w:p>
      <w:pPr>
        <w:spacing w:after="0" w:line="16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5" w:lineRule="exact"/>
        <w:rPr>
          <w:sz w:val="20"/>
          <w:szCs w:val="20"/>
          <w:color w:val="auto"/>
        </w:rPr>
      </w:pPr>
    </w:p>
    <w:p>
      <w:pPr>
        <w:ind w:left="660"/>
        <w:spacing w:after="0" w:line="284" w:lineRule="auto"/>
        <w:rPr>
          <w:sz w:val="20"/>
          <w:szCs w:val="20"/>
          <w:color w:val="auto"/>
        </w:rPr>
      </w:pPr>
      <w:r>
        <w:rPr>
          <w:rFonts w:ascii="Arial" w:cs="Arial" w:eastAsia="Arial" w:hAnsi="Arial"/>
          <w:sz w:val="19"/>
          <w:szCs w:val="19"/>
          <w:color w:val="auto"/>
        </w:rPr>
        <w:t>The following percentage is based on 37,374,118 shares of Common Stock outstanding as of October 31, 2019, as disclosed in the Issuer’s Quarterly Report on Form 10-Q filed with the Securities and Exchange Commission on November 6, 2019.</w:t>
      </w:r>
    </w:p>
    <w:p>
      <w:pPr>
        <w:spacing w:after="0" w:line="104" w:lineRule="exact"/>
        <w:rPr>
          <w:sz w:val="20"/>
          <w:szCs w:val="20"/>
          <w:color w:val="auto"/>
        </w:rPr>
      </w:pPr>
    </w:p>
    <w:p>
      <w:pPr>
        <w:ind w:left="660"/>
        <w:spacing w:after="0" w:line="226" w:lineRule="auto"/>
        <w:rPr>
          <w:sz w:val="20"/>
          <w:szCs w:val="20"/>
          <w:color w:val="auto"/>
        </w:rPr>
      </w:pPr>
      <w:r>
        <w:rPr>
          <w:rFonts w:ascii="Arial" w:cs="Arial" w:eastAsia="Arial" w:hAnsi="Arial"/>
          <w:sz w:val="22"/>
          <w:szCs w:val="22"/>
          <w:color w:val="auto"/>
        </w:rPr>
        <w:t>As of December 31, 2019, each of the Reporting Persons may be deemed to have beneficially owned approximately 7.2% of the outstanding shares of Common Stock.</w:t>
      </w:r>
    </w:p>
    <w:p>
      <w:pPr>
        <w:spacing w:after="0" w:line="16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4" w:lineRule="exact"/>
        <w:rPr>
          <w:rFonts w:ascii="Arial" w:cs="Arial" w:eastAsia="Arial" w:hAnsi="Arial"/>
          <w:sz w:val="18"/>
          <w:szCs w:val="18"/>
          <w:color w:val="auto"/>
        </w:rPr>
      </w:pPr>
    </w:p>
    <w:p>
      <w:pPr>
        <w:ind w:left="1140" w:hanging="484"/>
        <w:spacing w:after="0"/>
        <w:tabs>
          <w:tab w:leader="none" w:pos="1140" w:val="left"/>
        </w:tabs>
        <w:numPr>
          <w:ilvl w:val="1"/>
          <w:numId w:val="20"/>
        </w:numPr>
        <w:rPr>
          <w:rFonts w:ascii="Arial" w:cs="Arial" w:eastAsia="Arial" w:hAnsi="Arial"/>
          <w:sz w:val="22"/>
          <w:szCs w:val="22"/>
          <w:color w:val="auto"/>
        </w:rPr>
      </w:pPr>
      <w:r>
        <w:rPr>
          <w:rFonts w:ascii="Arial" w:cs="Arial" w:eastAsia="Arial" w:hAnsi="Arial"/>
          <w:sz w:val="22"/>
          <w:szCs w:val="22"/>
          <w:color w:val="auto"/>
        </w:rPr>
        <w:t>Sole power to vote or to direct the vote of Common Stock: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6" w:lineRule="exact"/>
        <w:rPr>
          <w:sz w:val="20"/>
          <w:szCs w:val="20"/>
          <w:color w:val="auto"/>
        </w:rPr>
      </w:pPr>
    </w:p>
    <w:p>
      <w:pPr>
        <w:ind w:left="1200" w:hanging="544"/>
        <w:spacing w:after="0"/>
        <w:tabs>
          <w:tab w:leader="none" w:pos="12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of Common Stock: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6" w:lineRule="exact"/>
        <w:rPr>
          <w:sz w:val="20"/>
          <w:szCs w:val="20"/>
          <w:color w:val="auto"/>
        </w:rPr>
      </w:pPr>
    </w:p>
    <w:p>
      <w:pPr>
        <w:ind w:left="1260" w:hanging="604"/>
        <w:spacing w:after="0"/>
        <w:tabs>
          <w:tab w:leader="none" w:pos="12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Common Stock: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6" w:lineRule="exact"/>
        <w:rPr>
          <w:sz w:val="20"/>
          <w:szCs w:val="20"/>
          <w:color w:val="auto"/>
        </w:rPr>
      </w:pPr>
    </w:p>
    <w:p>
      <w:pPr>
        <w:ind w:left="1300" w:right="4040" w:hanging="644"/>
        <w:spacing w:after="0" w:line="456" w:lineRule="auto"/>
        <w:tabs>
          <w:tab w:leader="none" w:pos="1241" w:val="left"/>
        </w:tabs>
        <w:numPr>
          <w:ilvl w:val="0"/>
          <w:numId w:val="2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Common Stock: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Persons have ceased to be the beneficial owner of more than five percent of the class of securities, check the following [ ].</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Exhibit A to the Schedule 13G filed with the SEC on September 16, 2019.</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9"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auto"/>
        </w:rPr>
        <w:t>By signing below the undersigned certifies that, to the best of its or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After reasonable inquiry and to the best of its knowledge and belief, each of the undersigned certifies that the information with respect to it set forth in this statement is true, complete, and correct.</w:t>
      </w:r>
    </w:p>
    <w:p>
      <w:pPr>
        <w:spacing w:after="0" w:line="1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683 CAPITAL MANAGEMENT, LLC*</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Ari Zweiman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6350</wp:posOffset>
            </wp:positionV>
            <wp:extent cx="31730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Ari Zweiman,</w:t>
      </w:r>
    </w:p>
    <w:p>
      <w:pPr>
        <w:spacing w:after="0" w:line="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Authorized Person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683 CAPITAL PARTNERS, LP*</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Ari Zweiman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6350</wp:posOffset>
            </wp:positionV>
            <wp:extent cx="31730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Ari Zweiman,</w:t>
      </w:r>
    </w:p>
    <w:p>
      <w:pPr>
        <w:spacing w:after="0" w:line="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Authorized Person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Ari Zweiman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ARI ZWEIMAN*</w:t>
      </w:r>
    </w:p>
    <w:p>
      <w:pPr>
        <w:spacing w:after="0" w:line="217"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*The Reporting Persons disclaim beneficial ownership in the shares of Common Stock reported herein except to the extent of their pecuniary interest therein.</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6"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s.240.13d-7 for other parties for whom copies are to be sent.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Attention. Intentional misstatements or omissions of fact constitute Federal criminal violations (see 18 U.S.C. 1001).</w:t>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Roman"/>
      <w:start w:val="10"/>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lvl w:ilvl="1">
      <w:lvlJc w:val="left"/>
      <w:lvlText w:val="(%2)"/>
      <w:numFmt w:val="lowerLetter"/>
      <w:start w:val="1"/>
    </w:lvl>
  </w:abstractNum>
  <w:abstractNum w:abstractNumId="3">
    <w:nsid w:val="109CF92E"/>
    <w:multiLevelType w:val="hybridMultilevel"/>
    <w:lvl w:ilvl="0">
      <w:lvlJc w:val="left"/>
      <w:lvlText w:val="%1."/>
      <w:numFmt w:val="decimal"/>
      <w:start w:val="5"/>
    </w:lvl>
  </w:abstractNum>
  <w:abstractNum w:abstractNumId="4">
    <w:nsid w:val="DED7263"/>
    <w:multiLevelType w:val="hybridMultilevel"/>
    <w:lvl w:ilvl="0">
      <w:lvlJc w:val="left"/>
      <w:lvlText w:val="%1."/>
      <w:numFmt w:val="decimal"/>
      <w:start w:val="1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2"/>
    </w:lvl>
    <w:lvl w:ilvl="1">
      <w:lvlJc w:val="left"/>
      <w:lvlText w:val="(%2)"/>
      <w:numFmt w:val="lowerLetter"/>
      <w:start w:val="1"/>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1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2"/>
    </w:lvl>
    <w:lvl w:ilvl="1">
      <w:lvlJc w:val="left"/>
      <w:lvlText w:val="(%2)"/>
      <w:numFmt w:val="lowerLetter"/>
      <w:start w:val="1"/>
    </w:lvl>
  </w:abstractNum>
  <w:abstractNum w:abstractNumId="11">
    <w:nsid w:val="519B500D"/>
    <w:multiLevelType w:val="hybridMultilevel"/>
    <w:lvl w:ilvl="0">
      <w:lvlJc w:val="left"/>
      <w:lvlText w:val="%1."/>
      <w:numFmt w:val="decimal"/>
      <w:start w:val="5"/>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9"/>
    </w:lvl>
  </w:abstractNum>
  <w:abstractNum w:abstractNumId="16">
    <w:nsid w:val="62BBD95A"/>
    <w:multiLevelType w:val="hybridMultilevel"/>
    <w:lvl w:ilvl="0">
      <w:lvlJc w:val="left"/>
      <w:lvlText w:val="(%1)"/>
      <w:numFmt w:val="lowerLetter"/>
      <w:start w:val="1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3"/>
    </w:lvl>
    <w:lvl w:ilvl="1">
      <w:lvlJc w:val="left"/>
      <w:lvlText w:val="(%2)"/>
      <w:numFmt w:val="lowerLetter"/>
      <w:start w:val="9"/>
    </w:lvl>
  </w:abstractNum>
  <w:abstractNum w:abstractNumId="20">
    <w:nsid w:val="721DA317"/>
    <w:multiLevelType w:val="hybridMultilevel"/>
    <w:lvl w:ilvl="0">
      <w:lvlJc w:val="left"/>
      <w:lvlText w:val="(%1)"/>
      <w:numFmt w:val="lowerRoman"/>
      <w:start w:val="2"/>
    </w:lvl>
  </w:abstractNum>
  <w:abstractNum w:abstractNumId="21">
    <w:nsid w:val="2443A858"/>
    <w:multiLevelType w:val="hybridMultilevel"/>
    <w:lvl w:ilvl="0">
      <w:lvlJc w:val="left"/>
      <w:lvlText w:val="(%1)"/>
      <w:numFmt w:val="lowerRoman"/>
      <w:start w:val="3"/>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2020-02-13T10:04:22Z</dcterms:created>
  <dcterms:modified xsi:type="dcterms:W3CDTF">2020-02-13T10:04:22Z</dcterms:modified>
</cp:coreProperties>
</file>