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spacing w:before="0" w:after="0"/>
        <w:jc w:val="left"/>
        <w:rPr/>
      </w:pPr>
      <w:bookmarkStart w:id="0" w:name="lrmr-20230509.htm"/>
      <w:bookmarkStart w:id="1" w:name="kslrmr20230509"/>
      <w:bookmarkEnd w:id="0"/>
      <w:bookmarkEnd w:id="1"/>
      <w:r>
        <w:rPr/>
        <w:t> </w:t>
      </w:r>
    </w:p>
    <w:p>
      <w:pPr>
        <w:pStyle w:val="TextBody"/>
        <w:bidi w:val="0"/>
        <w:spacing w:before="115" w:after="0"/>
        <w:jc w:val="center"/>
        <w:rPr>
          <w:rFonts w:ascii="Times New Roman" w:hAnsi="Times New Roman"/>
          <w:sz w:val="20"/>
        </w:rPr>
      </w:pPr>
      <w:r>
        <w:rPr>
          <w:rFonts w:ascii="Times New Roman;serif" w:hAnsi="Times New Roman;serif"/>
          <w:b/>
          <w:sz w:val="36"/>
        </w:rPr>
        <w:t>UNITED STATES</w:t>
        <w:br/>
        <w:t>SECURITIES AND EXCHANGE COMMISSION</w:t>
        <w:br/>
      </w:r>
      <w:r>
        <w:rPr>
          <w:rFonts w:ascii="Times New Roman;serif" w:hAnsi="Times New Roman;serif"/>
          <w:b/>
          <w:sz w:val="24"/>
        </w:rPr>
        <w:t>WASHINGTON, D.C. 20549</w:t>
      </w:r>
    </w:p>
    <w:p>
      <w:pPr>
        <w:pStyle w:val="TextBody"/>
        <w:pBdr>
          <w:bottom w:val="single" w:sz="6" w:space="1" w:color="000000"/>
        </w:pBdr>
        <w:bidi w:val="0"/>
        <w:spacing w:before="0" w:after="0"/>
        <w:jc w:val="left"/>
        <w:rPr/>
      </w:pPr>
      <w:r>
        <w:rPr/>
        <w:t> </w:t>
      </w:r>
    </w:p>
    <w:p>
      <w:pPr>
        <w:pStyle w:val="TextBody"/>
        <w:bidi w:val="0"/>
        <w:spacing w:before="200" w:after="0"/>
        <w:jc w:val="center"/>
        <w:rPr>
          <w:rFonts w:ascii="Times New Roman;serif" w:hAnsi="Times New Roman;serif"/>
          <w:b/>
          <w:sz w:val="36"/>
        </w:rPr>
      </w:pPr>
      <w:r>
        <w:rPr>
          <w:rFonts w:ascii="Times New Roman;serif" w:hAnsi="Times New Roman;serif"/>
          <w:b/>
          <w:sz w:val="36"/>
        </w:rPr>
        <w:t>FORM 8-K</w:t>
      </w:r>
    </w:p>
    <w:p>
      <w:pPr>
        <w:pStyle w:val="TextBody"/>
        <w:pBdr>
          <w:bottom w:val="single" w:sz="6" w:space="1" w:color="000000"/>
        </w:pBdr>
        <w:bidi w:val="0"/>
        <w:spacing w:before="0" w:after="0"/>
        <w:jc w:val="left"/>
        <w:rPr/>
      </w:pPr>
      <w:r>
        <w:rPr/>
        <w:t> </w:t>
      </w:r>
    </w:p>
    <w:p>
      <w:pPr>
        <w:pStyle w:val="TextBody"/>
        <w:bidi w:val="0"/>
        <w:spacing w:before="180" w:after="0"/>
        <w:jc w:val="center"/>
        <w:rPr>
          <w:rFonts w:ascii="Times New Roman;serif" w:hAnsi="Times New Roman;serif"/>
          <w:b/>
          <w:sz w:val="24"/>
        </w:rPr>
      </w:pPr>
      <w:r>
        <w:rPr>
          <w:rFonts w:ascii="Times New Roman;serif" w:hAnsi="Times New Roman;serif"/>
          <w:b/>
          <w:sz w:val="24"/>
        </w:rPr>
        <w:t>CURRENT REPORT</w:t>
      </w:r>
    </w:p>
    <w:p>
      <w:pPr>
        <w:pStyle w:val="TextBody"/>
        <w:bidi w:val="0"/>
        <w:spacing w:before="180" w:after="120"/>
        <w:jc w:val="center"/>
        <w:rPr>
          <w:rFonts w:ascii="Times New Roman;serif" w:hAnsi="Times New Roman;serif"/>
          <w:b/>
          <w:sz w:val="24"/>
        </w:rPr>
      </w:pPr>
      <w:r>
        <w:rPr>
          <w:rFonts w:ascii="Times New Roman;serif" w:hAnsi="Times New Roman;serif"/>
          <w:b/>
          <w:sz w:val="24"/>
        </w:rPr>
        <w:t>Pursuant to Section 13 or 15(d) of the Securities Exchange Act of 1934</w:t>
      </w:r>
    </w:p>
    <w:tbl>
      <w:tblPr>
        <w:tblW w:w="5414" w:type="dxa"/>
        <w:jc w:val="left"/>
        <w:tblInd w:w="0" w:type="dxa"/>
        <w:tblLayout w:type="fixed"/>
        <w:tblCellMar>
          <w:top w:w="28" w:type="dxa"/>
          <w:left w:w="28" w:type="dxa"/>
          <w:bottom w:w="28" w:type="dxa"/>
          <w:right w:w="28" w:type="dxa"/>
        </w:tblCellMar>
      </w:tblPr>
      <w:tblGrid>
        <w:gridCol w:w="5414"/>
      </w:tblGrid>
      <w:tr>
        <w:trPr/>
        <w:tc>
          <w:tcPr>
            <w:tcW w:w="5414" w:type="dxa"/>
            <w:tcBorders/>
            <w:vAlign w:val="center"/>
          </w:tcPr>
          <w:p>
            <w:pPr>
              <w:pStyle w:val="TableContents"/>
              <w:bidi w:val="0"/>
              <w:spacing w:before="0" w:after="283"/>
              <w:jc w:val="left"/>
              <w:rPr>
                <w:sz w:val="4"/>
                <w:szCs w:val="4"/>
              </w:rPr>
            </w:pPr>
            <w:r>
              <w:rPr>
                <w:sz w:val="4"/>
                <w:szCs w:val="4"/>
              </w:rPr>
            </w:r>
          </w:p>
        </w:tc>
      </w:tr>
      <w:tr>
        <w:trPr/>
        <w:tc>
          <w:tcPr>
            <w:tcW w:w="5414"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serif" w:hAnsi="Times New Roman;serif"/>
                <w:b/>
                <w:sz w:val="20"/>
              </w:rPr>
            </w:pPr>
            <w:r>
              <w:rPr>
                <w:rFonts w:ascii="Times New Roman;serif" w:hAnsi="Times New Roman;serif"/>
                <w:b/>
                <w:sz w:val="20"/>
              </w:rPr>
              <w:t>Date of Report (Date of earliest event reported): May 09, 2023</w:t>
            </w:r>
          </w:p>
        </w:tc>
      </w:tr>
    </w:tbl>
    <w:p>
      <w:pPr>
        <w:pStyle w:val="TextBody"/>
        <w:pBdr>
          <w:bottom w:val="single" w:sz="6" w:space="1" w:color="000000"/>
        </w:pBdr>
        <w:bidi w:val="0"/>
        <w:spacing w:before="100" w:after="0"/>
        <w:jc w:val="left"/>
        <w:rPr/>
      </w:pPr>
      <w:r>
        <w:rPr/>
        <w:t> </w:t>
      </w:r>
    </w:p>
    <w:p>
      <w:pPr>
        <w:pStyle w:val="TextBody"/>
        <w:bidi w:val="0"/>
        <w:spacing w:before="0" w:after="0"/>
        <w:jc w:val="left"/>
        <w:rPr/>
      </w:pPr>
      <w:r>
        <w:rPr/>
        <w:t> </w:t>
      </w:r>
    </w:p>
    <w:p>
      <w:pPr>
        <w:pStyle w:val="TextBody"/>
        <w:bidi w:val="0"/>
        <w:spacing w:before="100" w:after="0"/>
        <w:jc w:val="center"/>
        <w:rPr>
          <w:rFonts w:ascii="Times New Roman;serif" w:hAnsi="Times New Roman;serif"/>
          <w:b/>
          <w:sz w:val="48"/>
        </w:rPr>
      </w:pPr>
      <w:r>
        <w:rPr>
          <w:rFonts w:ascii="Times New Roman;serif" w:hAnsi="Times New Roman;serif"/>
          <w:b/>
          <w:sz w:val="48"/>
        </w:rPr>
        <w:t>Larimar Therapeutics, Inc.</w:t>
      </w:r>
    </w:p>
    <w:p>
      <w:pPr>
        <w:pStyle w:val="TextBody"/>
        <w:bidi w:val="0"/>
        <w:spacing w:before="60" w:after="0"/>
        <w:jc w:val="center"/>
        <w:rPr>
          <w:rFonts w:ascii="Times New Roman;serif" w:hAnsi="Times New Roman;serif"/>
          <w:b/>
          <w:sz w:val="15"/>
        </w:rPr>
      </w:pPr>
      <w:r>
        <w:rPr>
          <w:rFonts w:ascii="Times New Roman;serif" w:hAnsi="Times New Roman;serif"/>
          <w:b/>
          <w:sz w:val="15"/>
        </w:rPr>
        <w:t>(Exact name of Registrant as Specified in Its Charter)</w:t>
      </w:r>
    </w:p>
    <w:p>
      <w:pPr>
        <w:pStyle w:val="TextBody"/>
        <w:pBdr>
          <w:bottom w:val="single" w:sz="6" w:space="1" w:color="000000"/>
        </w:pBdr>
        <w:bidi w:val="0"/>
        <w:spacing w:before="180" w:after="0"/>
        <w:jc w:val="left"/>
        <w:rPr/>
      </w:pPr>
      <w:r>
        <w:rPr/>
        <w:t> </w:t>
      </w:r>
    </w:p>
    <w:p>
      <w:pPr>
        <w:pStyle w:val="TextBody"/>
        <w:bidi w:val="0"/>
        <w:spacing w:before="0" w:after="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001-36510</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20-3857670</w:t>
            </w:r>
          </w:p>
        </w:tc>
      </w:tr>
      <w:tr>
        <w:trPr/>
        <w:tc>
          <w:tcPr>
            <w:tcW w:w="26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6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869"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Bala Plaza East</w:t>
            </w:r>
          </w:p>
        </w:tc>
        <w:tc>
          <w:tcPr>
            <w:tcW w:w="3182" w:type="dxa"/>
            <w:gridSpan w:val="2"/>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Bala Cynwyd, Pennsylvania</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19004</w:t>
            </w:r>
          </w:p>
        </w:tc>
      </w:tr>
      <w:tr>
        <w:trPr/>
        <w:tc>
          <w:tcPr>
            <w:tcW w:w="2684" w:type="dxa"/>
            <w:gridSpan w:val="3"/>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3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5"/>
              </w:rPr>
            </w:pPr>
            <w:r>
              <w:rPr>
                <w:rFonts w:ascii="Times New Roman;serif" w:hAnsi="Times New Roman;serif"/>
                <w:b/>
                <w:sz w:val="15"/>
              </w:rPr>
              <w:t>(Zip Code)</w:t>
            </w:r>
          </w:p>
        </w:tc>
      </w:tr>
    </w:tbl>
    <w:p>
      <w:pPr>
        <w:pStyle w:val="TextBody"/>
        <w:bidi w:val="0"/>
        <w:spacing w:before="0" w:after="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0"/>
              <w:ind w:left="0" w:right="43" w:hanging="0"/>
              <w:jc w:val="center"/>
              <w:rPr>
                <w:rFonts w:ascii="Times New Roman" w:hAnsi="Times New Roman"/>
                <w:sz w:val="20"/>
              </w:rPr>
            </w:pPr>
            <w:r>
              <w:rPr>
                <w:rFonts w:ascii="Times New Roman;serif" w:hAnsi="Times New Roman;serif"/>
                <w:b/>
                <w:sz w:val="20"/>
              </w:rPr>
              <w:t>Registrant’s Telephone Number, Including Area Code:</w:t>
            </w:r>
            <w:r>
              <w:rPr>
                <w:rFonts w:ascii="Times New Roman" w:hAnsi="Times New Roman"/>
                <w:sz w:val="20"/>
              </w:rPr>
              <w:t xml:space="preserve"> </w:t>
            </w:r>
            <w:r>
              <w:rPr>
                <w:rFonts w:ascii="Times New Roman;serif" w:hAnsi="Times New Roman;serif"/>
                <w:b/>
                <w:sz w:val="20"/>
              </w:rPr>
              <w:t>(844)</w:t>
            </w:r>
            <w:r>
              <w:rPr>
                <w:rFonts w:ascii="Times New Roman" w:hAnsi="Times New Roman"/>
                <w:sz w:val="20"/>
              </w:rPr>
              <w:t xml:space="preserve"> </w:t>
            </w:r>
            <w:r>
              <w:rPr>
                <w:rFonts w:ascii="Times New Roman;serif" w:hAnsi="Times New Roman;serif"/>
                <w:b/>
                <w:sz w:val="20"/>
              </w:rPr>
              <w:t>511-9056</w:t>
            </w:r>
          </w:p>
        </w:tc>
      </w:tr>
    </w:tbl>
    <w:p>
      <w:pPr>
        <w:pStyle w:val="TextBody"/>
        <w:bidi w:val="0"/>
        <w:spacing w:before="0" w:after="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rFonts w:ascii="Times New Roman;serif" w:hAnsi="Times New Roman;serif"/>
          <w:b/>
          <w:sz w:val="15"/>
        </w:rPr>
      </w:pPr>
      <w:r>
        <w:rPr>
          <w:rFonts w:ascii="Times New Roman;serif" w:hAnsi="Times New Roman;serif"/>
          <w:b/>
          <w:sz w:val="15"/>
        </w:rPr>
        <w:t>(Former Name or Former Address, if Changed Since Last Report)</w:t>
      </w:r>
    </w:p>
    <w:p>
      <w:pPr>
        <w:pStyle w:val="TextBody"/>
        <w:pBdr>
          <w:bottom w:val="single" w:sz="6" w:space="1" w:color="000000"/>
        </w:pBdr>
        <w:bidi w:val="0"/>
        <w:spacing w:before="187" w:after="0"/>
        <w:jc w:val="left"/>
        <w:rPr/>
      </w:pPr>
      <w:r>
        <w:rPr/>
        <w:t> </w:t>
      </w:r>
    </w:p>
    <w:p>
      <w:pPr>
        <w:pStyle w:val="TextBody"/>
        <w:bidi w:val="0"/>
        <w:spacing w:before="187" w:after="120"/>
        <w:jc w:val="left"/>
        <w:rPr>
          <w:rFonts w:ascii="Times New Roman" w:hAnsi="Times New Roman"/>
          <w:sz w:val="20"/>
        </w:rPr>
      </w:pPr>
      <w:r>
        <w:rPr>
          <w:rFonts w:ascii="Times New Roman;serif" w:hAnsi="Times New Roman;serif"/>
          <w:b w:val="false"/>
          <w:sz w:val="20"/>
        </w:rPr>
        <w:t>Check the appropriate box below if the Form 8-K filing is intended to simultaneously satisfy the filing obligation of the registrant under any of the following provisions:</w:t>
      </w:r>
      <w:r>
        <w:rPr>
          <w:rFonts w:ascii="Times New Roman" w:hAnsi="Times New Roman"/>
          <w:sz w:val="20"/>
        </w:rPr>
        <w:t xml:space="preserve"> </w:t>
      </w:r>
    </w:p>
    <w:p>
      <w:pPr>
        <w:pStyle w:val="TextBody"/>
        <w:bidi w:val="0"/>
        <w:spacing w:before="180" w:after="0"/>
        <w:ind w:left="0" w:right="0" w:hanging="490"/>
        <w:jc w:val="left"/>
        <w:rPr/>
      </w:pPr>
      <w:r>
        <w:rPr/>
        <w:t>☐</w:t>
      </w:r>
      <w:r>
        <w:rPr>
          <w:rFonts w:ascii="Times New Roman;serif" w:hAnsi="Times New Roman;serif"/>
          <w:b w:val="false"/>
          <w:sz w:val="20"/>
        </w:rPr>
        <w:t>Written communications pursuant to Rule 425 under the Securities Act (17 CFR 230.425)</w:t>
      </w:r>
    </w:p>
    <w:p>
      <w:pPr>
        <w:pStyle w:val="TextBody"/>
        <w:bidi w:val="0"/>
        <w:spacing w:before="120" w:after="0"/>
        <w:ind w:left="0" w:right="0" w:hanging="490"/>
        <w:jc w:val="left"/>
        <w:rPr/>
      </w:pPr>
      <w:r>
        <w:rPr/>
        <w:t>☐</w:t>
      </w:r>
      <w:r>
        <w:rPr>
          <w:rFonts w:ascii="Times New Roman;serif" w:hAnsi="Times New Roman;serif"/>
          <w:b w:val="false"/>
          <w:sz w:val="20"/>
        </w:rPr>
        <w:t>Soliciting material pursuant to Rule 14a-12 under the Exchange Act (17 CFR 240.14a-12)</w:t>
      </w:r>
    </w:p>
    <w:p>
      <w:pPr>
        <w:pStyle w:val="TextBody"/>
        <w:bidi w:val="0"/>
        <w:spacing w:before="120" w:after="0"/>
        <w:ind w:left="0" w:right="0" w:hanging="490"/>
        <w:jc w:val="left"/>
        <w:rPr/>
      </w:pPr>
      <w:r>
        <w:rPr/>
        <w:t>☐</w:t>
      </w:r>
      <w:r>
        <w:rPr>
          <w:rFonts w:ascii="Times New Roman;serif" w:hAnsi="Times New Roman;serif"/>
          <w:b w:val="false"/>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serif" w:hAnsi="Times New Roman;serif"/>
          <w:b w:val="false"/>
          <w:sz w:val="20"/>
        </w:rPr>
        <w:t>Pre-commencement communications pursuant to Rule 13e-4(c) under the Exchange Act (17 CFR 240.13e-4(c))</w:t>
      </w:r>
    </w:p>
    <w:p>
      <w:pPr>
        <w:pStyle w:val="TextBody"/>
        <w:bidi w:val="0"/>
        <w:spacing w:before="180" w:after="180"/>
        <w:jc w:val="center"/>
        <w:rPr>
          <w:rFonts w:ascii="Times New Roman;serif" w:hAnsi="Times New Roman;serif"/>
          <w:b/>
          <w:sz w:val="20"/>
        </w:rPr>
      </w:pPr>
      <w:r>
        <w:rPr>
          <w:rFonts w:ascii="Times New Roman;serif" w:hAnsi="Times New Roman;serif"/>
          <w:b/>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4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lrmr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bidi w:val="0"/>
        <w:spacing w:before="240" w:after="0"/>
        <w:jc w:val="left"/>
        <w:rPr>
          <w:rFonts w:ascii="Times New Roman" w:hAnsi="Times New Roman"/>
          <w:sz w:val="20"/>
        </w:rPr>
      </w:pPr>
      <w:r>
        <w:rPr>
          <w:rFonts w:ascii="Times New Roman;serif" w:hAnsi="Times New Roman;serif"/>
          <w:b w:val="false"/>
          <w:sz w:val="20"/>
        </w:rPr>
        <w:t>Indicate by check mark whether the registrant is an emerging growth company as defined in Rule 405 of the Securities Act of 1933 (§ 230.405 of this chapter) or Rule 12b-2 of the Securities Exchange Act of 1934 (§ 240.12b-2 of this chapter).</w:t>
      </w:r>
      <w:r>
        <w:rPr>
          <w:rFonts w:ascii="Times New Roman" w:hAnsi="Times New Roman"/>
          <w:sz w:val="20"/>
        </w:rPr>
        <w:t xml:space="preserve"> </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p>
      <w:pPr>
        <w:pStyle w:val="TextBody"/>
        <w:bidi w:val="0"/>
        <w:spacing w:before="180" w:after="0"/>
        <w:jc w:val="left"/>
        <w:rPr>
          <w:rFonts w:ascii="Times New Roman" w:hAnsi="Times New Roman"/>
          <w:sz w:val="20"/>
        </w:rPr>
      </w:pPr>
      <w:r>
        <w:rPr>
          <w:rFonts w:ascii="Times New Roman;serif" w:hAnsi="Times New Roman;serif"/>
          <w:b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serif" w:hAnsi="Times New Roman;serif"/>
          <w:b/>
          <w:sz w:val="20"/>
        </w:rPr>
      </w:pPr>
      <w:r>
        <w:rPr>
          <w:rFonts w:ascii="Times New Roman;serif" w:hAnsi="Times New Roman;serif"/>
          <w:b/>
          <w:sz w:val="20"/>
        </w:rPr>
        <w:t>Item 5.07 Submission of Matters to a Vote of Security Holders.</w:t>
      </w:r>
    </w:p>
    <w:p>
      <w:pPr>
        <w:pStyle w:val="TextBody"/>
        <w:bidi w:val="0"/>
        <w:spacing w:before="0" w:after="0"/>
        <w:jc w:val="left"/>
        <w:rPr>
          <w:rFonts w:ascii="Times New Roman" w:hAnsi="Times New Roman"/>
          <w:sz w:val="20"/>
        </w:rPr>
      </w:pPr>
      <w:r>
        <w:rPr>
          <w:rFonts w:ascii="Times New Roman;serif" w:hAnsi="Times New Roman;serif"/>
          <w:b w:val="false"/>
          <w:sz w:val="20"/>
        </w:rPr>
        <w:t>On May 9, 2023, Larimar Therapeutics, Inc. (the “</w:t>
      </w:r>
      <w:r>
        <w:rPr>
          <w:rFonts w:ascii="Times New Roman;serif" w:hAnsi="Times New Roman;serif"/>
          <w:b/>
          <w:i/>
          <w:sz w:val="20"/>
        </w:rPr>
        <w:t>Company</w:t>
      </w:r>
      <w:r>
        <w:rPr>
          <w:rFonts w:ascii="Times New Roman" w:hAnsi="Times New Roman"/>
          <w:sz w:val="20"/>
        </w:rPr>
        <w:t>”</w:t>
      </w:r>
      <w:r>
        <w:rPr>
          <w:rFonts w:ascii="Times New Roman;serif" w:hAnsi="Times New Roman;serif"/>
          <w:b w:val="false"/>
          <w:sz w:val="20"/>
        </w:rPr>
        <w:t>) held its 2023 Annual Meeting of Stockholders (the “</w:t>
      </w:r>
      <w:r>
        <w:rPr>
          <w:rFonts w:ascii="Times New Roman;serif" w:hAnsi="Times New Roman;serif"/>
          <w:b/>
          <w:i/>
          <w:sz w:val="20"/>
        </w:rPr>
        <w:t>Annual Meeting</w:t>
      </w:r>
      <w:r>
        <w:rPr>
          <w:rFonts w:ascii="Times New Roman" w:hAnsi="Times New Roman"/>
          <w:sz w:val="20"/>
        </w:rPr>
        <w:t>”</w:t>
      </w:r>
      <w:r>
        <w:rPr>
          <w:rFonts w:ascii="Times New Roman;serif" w:hAnsi="Times New Roman;serif"/>
          <w:b w:val="false"/>
          <w:sz w:val="20"/>
        </w:rPr>
        <w:t>) virtually. As of March 30, 2023, the record date for the Annual Meeting, there were 43,269,200 outstanding shares of the Company’s common stock, par value $0.001 per share, entitled to vote at the Annual Meeting. The following is a brief description of the final voting results for each of the proposals submitted to a vote of the stockholders at the Annual Meeting, which are described in detail in the Company’s definitive proxy statement for the Annual Meeting, filed with the U.S. Securities and Exchange Commission on April 11, 2023.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 xml:space="preserve">Proposal 1 – Election of Class III Directors. </w:t>
      </w:r>
      <w:r>
        <w:rPr>
          <w:rFonts w:ascii="Times New Roman;serif" w:hAnsi="Times New Roman;serif"/>
          <w:b w:val="false"/>
          <w:sz w:val="20"/>
        </w:rPr>
        <w:t>Frank Thomas, Carole S. Ben-Maimon, M.D. and Joseph Truitt were elected to the Board of Directors of the Company as Class III directors to serve until the Company’s 2026 Annual Meeting of Stockholders and until their successors, if any, are duly elected and qualified or appointed, or their earlier death, resignation, or removal, as follows:</w:t>
      </w:r>
      <w:r>
        <w:rPr>
          <w:rFonts w:ascii="Times New Roman" w:hAnsi="Times New Roman"/>
          <w:sz w:val="20"/>
        </w:rPr>
        <w:t xml:space="preserve"> </w:t>
      </w:r>
    </w:p>
    <w:p>
      <w:pPr>
        <w:pStyle w:val="TextBody"/>
        <w:bidi w:val="0"/>
        <w:spacing w:before="0" w:after="0"/>
        <w:jc w:val="left"/>
        <w:rPr/>
      </w:pPr>
      <w:r>
        <w:rPr/>
        <w:t> </w:t>
      </w:r>
    </w:p>
    <w:tbl>
      <w:tblPr>
        <w:tblW w:w="6635" w:type="dxa"/>
        <w:jc w:val="left"/>
        <w:tblInd w:w="0" w:type="dxa"/>
        <w:tblLayout w:type="fixed"/>
        <w:tblCellMar>
          <w:top w:w="28" w:type="dxa"/>
          <w:left w:w="28" w:type="dxa"/>
          <w:bottom w:w="28" w:type="dxa"/>
          <w:right w:w="28" w:type="dxa"/>
        </w:tblCellMar>
      </w:tblPr>
      <w:tblGrid>
        <w:gridCol w:w="2476"/>
        <w:gridCol w:w="109"/>
        <w:gridCol w:w="1036"/>
        <w:gridCol w:w="109"/>
        <w:gridCol w:w="1216"/>
        <w:gridCol w:w="109"/>
        <w:gridCol w:w="109"/>
        <w:gridCol w:w="1471"/>
      </w:tblGrid>
      <w:tr>
        <w:trPr/>
        <w:tc>
          <w:tcPr>
            <w:tcW w:w="2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247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Votes For</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Votes Withheld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71" w:type="dxa"/>
            <w:tcBorders>
              <w:bottom w:val="single" w:sz="8"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Broker Non-Votes</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Frank Thomas</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27,741,876</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8,159,372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4,876,931</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Carole S. Ben-Maimon, M.D.</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27,757,513</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8,143,735</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4,876,931</w:t>
            </w:r>
          </w:p>
        </w:tc>
      </w:tr>
      <w:tr>
        <w:trPr/>
        <w:tc>
          <w:tcPr>
            <w:tcW w:w="24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Joseph Truitt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27,378,190</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8,523,058</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71"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4,876,931</w:t>
            </w:r>
          </w:p>
        </w:tc>
      </w:tr>
      <w:tr>
        <w:trPr/>
        <w:tc>
          <w:tcPr>
            <w:tcW w:w="247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2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71" w:type="dxa"/>
            <w:tcBorders/>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Proposal 2 – Approval, on an advisory basis, of the compensation of the Company’s named executive officers in 2022.</w:t>
      </w:r>
      <w:r>
        <w:rPr>
          <w:rFonts w:ascii="Times New Roman" w:hAnsi="Times New Roman"/>
          <w:sz w:val="20"/>
        </w:rPr>
        <w:t xml:space="preserve"> </w:t>
      </w:r>
      <w:r>
        <w:rPr>
          <w:rFonts w:ascii="Times New Roman;serif" w:hAnsi="Times New Roman;serif"/>
          <w:b w:val="false"/>
          <w:sz w:val="20"/>
        </w:rPr>
        <w:t>The stockholders approved, on an advisory basis, the compensation of the Company’s named executive officers in 2022, as follows:</w:t>
      </w:r>
    </w:p>
    <w:p>
      <w:pPr>
        <w:pStyle w:val="TextBody"/>
        <w:bidi w:val="0"/>
        <w:spacing w:before="0" w:after="0"/>
        <w:jc w:val="left"/>
        <w:rPr/>
      </w:pPr>
      <w:r>
        <w:rPr/>
        <w:t> </w:t>
      </w:r>
    </w:p>
    <w:tbl>
      <w:tblPr>
        <w:tblW w:w="5449" w:type="dxa"/>
        <w:jc w:val="left"/>
        <w:tblInd w:w="0" w:type="dxa"/>
        <w:tblLayout w:type="fixed"/>
        <w:tblCellMar>
          <w:top w:w="28" w:type="dxa"/>
          <w:left w:w="28" w:type="dxa"/>
          <w:bottom w:w="28" w:type="dxa"/>
          <w:right w:w="28" w:type="dxa"/>
        </w:tblCellMar>
      </w:tblPr>
      <w:tblGrid>
        <w:gridCol w:w="124"/>
        <w:gridCol w:w="1036"/>
        <w:gridCol w:w="109"/>
        <w:gridCol w:w="109"/>
        <w:gridCol w:w="136"/>
        <w:gridCol w:w="974"/>
        <w:gridCol w:w="109"/>
        <w:gridCol w:w="109"/>
        <w:gridCol w:w="131"/>
        <w:gridCol w:w="815"/>
        <w:gridCol w:w="109"/>
        <w:gridCol w:w="109"/>
        <w:gridCol w:w="149"/>
        <w:gridCol w:w="12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Votes For</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1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Votes</w:t>
            </w:r>
            <w:r>
              <w:rPr>
                <w:rFonts w:ascii="Times New Roman" w:hAnsi="Times New Roman"/>
                <w:sz w:val="16"/>
              </w:rPr>
              <w:t xml:space="preserve"> </w:t>
            </w:r>
            <w:r>
              <w:rPr>
                <w:rFonts w:ascii="Times New Roman;serif" w:hAnsi="Times New Roman;serif"/>
                <w:b/>
                <w:sz w:val="16"/>
              </w:rPr>
              <w:t>Against</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6"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Abstentions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25"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Broker</w:t>
            </w:r>
            <w:r>
              <w:rPr>
                <w:rFonts w:ascii="Times New Roman" w:hAnsi="Times New Roman"/>
                <w:sz w:val="16"/>
              </w:rPr>
              <w:t xml:space="preserve"> </w:t>
            </w:r>
            <w:r>
              <w:rPr>
                <w:rFonts w:ascii="Times New Roman;serif" w:hAnsi="Times New Roman;serif"/>
                <w:b/>
                <w:sz w:val="16"/>
              </w:rPr>
              <w:t>Non-Votes</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35,507,612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4"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337,895</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1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55,741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7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4,876,931</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i/>
          <w:sz w:val="20"/>
        </w:rPr>
        <w:t>Proposal 3 – Ratification of Independent Registered Public Accountant.</w:t>
      </w:r>
      <w:r>
        <w:rPr>
          <w:rFonts w:ascii="Times New Roman" w:hAnsi="Times New Roman"/>
          <w:sz w:val="20"/>
        </w:rPr>
        <w:t xml:space="preserve"> </w:t>
      </w:r>
      <w:r>
        <w:rPr>
          <w:rFonts w:ascii="Times New Roman;serif" w:hAnsi="Times New Roman;serif"/>
          <w:b w:val="false"/>
          <w:sz w:val="20"/>
        </w:rPr>
        <w:t>The appointment of PricewaterhouseCoopers LLP as the Company’s independent registered public accounting firm for the 2023 fiscal year was ratified, as follows:</w:t>
      </w:r>
    </w:p>
    <w:p>
      <w:pPr>
        <w:pStyle w:val="TextBody"/>
        <w:bidi w:val="0"/>
        <w:spacing w:before="0" w:after="0"/>
        <w:jc w:val="left"/>
        <w:rPr/>
      </w:pPr>
      <w:r>
        <w:rPr/>
        <w:t> </w:t>
      </w:r>
    </w:p>
    <w:tbl>
      <w:tblPr>
        <w:tblW w:w="5449" w:type="dxa"/>
        <w:jc w:val="left"/>
        <w:tblInd w:w="0" w:type="dxa"/>
        <w:tblLayout w:type="fixed"/>
        <w:tblCellMar>
          <w:top w:w="28" w:type="dxa"/>
          <w:left w:w="28" w:type="dxa"/>
          <w:bottom w:w="28" w:type="dxa"/>
          <w:right w:w="28" w:type="dxa"/>
        </w:tblCellMar>
      </w:tblPr>
      <w:tblGrid>
        <w:gridCol w:w="124"/>
        <w:gridCol w:w="1036"/>
        <w:gridCol w:w="109"/>
        <w:gridCol w:w="109"/>
        <w:gridCol w:w="178"/>
        <w:gridCol w:w="932"/>
        <w:gridCol w:w="109"/>
        <w:gridCol w:w="109"/>
        <w:gridCol w:w="151"/>
        <w:gridCol w:w="795"/>
        <w:gridCol w:w="109"/>
        <w:gridCol w:w="109"/>
        <w:gridCol w:w="484"/>
        <w:gridCol w:w="941"/>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6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Votes For</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1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Votes</w:t>
            </w:r>
            <w:r>
              <w:rPr>
                <w:rFonts w:ascii="Times New Roman" w:hAnsi="Times New Roman"/>
                <w:sz w:val="16"/>
              </w:rPr>
              <w:t xml:space="preserve"> </w:t>
            </w:r>
            <w:r>
              <w:rPr>
                <w:rFonts w:ascii="Times New Roman;serif" w:hAnsi="Times New Roman;serif"/>
                <w:b/>
                <w:sz w:val="16"/>
              </w:rPr>
              <w:t>Against</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6"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Abstentions</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425"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Broker</w:t>
            </w:r>
            <w:r>
              <w:rPr>
                <w:rFonts w:ascii="Times New Roman" w:hAnsi="Times New Roman"/>
                <w:sz w:val="16"/>
              </w:rPr>
              <w:t xml:space="preserve"> </w:t>
            </w:r>
            <w:r>
              <w:rPr>
                <w:rFonts w:ascii="Times New Roman;serif" w:hAnsi="Times New Roman;serif"/>
                <w:b/>
                <w:sz w:val="16"/>
              </w:rPr>
              <w:t>Non-Votes</w:t>
            </w:r>
          </w:p>
        </w:tc>
        <w:tc>
          <w:tcPr>
            <w:tcW w:w="15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40,769,530</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8"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2"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6,201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op w:val="single" w:sz="2" w:space="0" w:color="000000"/>
            </w:tcBorders>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5"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2,448</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48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41"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w:t>
            </w:r>
          </w:p>
        </w:tc>
        <w:tc>
          <w:tcPr>
            <w:tcW w:w="15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serif" w:hAnsi="Times New Roman;serif"/>
          <w:b/>
          <w:sz w:val="20"/>
        </w:rPr>
      </w:pPr>
      <w:r>
        <w:rPr>
          <w:rFonts w:ascii="Times New Roman;serif" w:hAnsi="Times New Roman;serif"/>
          <w:b/>
          <w:sz w:val="20"/>
        </w:rPr>
        <w:t>SIGNATURES</w:t>
      </w:r>
    </w:p>
    <w:p>
      <w:pPr>
        <w:pStyle w:val="TextBody"/>
        <w:bidi w:val="0"/>
        <w:spacing w:before="0" w:after="187"/>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5974" w:type="dxa"/>
        <w:jc w:val="left"/>
        <w:tblInd w:w="0" w:type="dxa"/>
        <w:tblLayout w:type="fixed"/>
        <w:tblCellMar>
          <w:top w:w="28" w:type="dxa"/>
          <w:left w:w="28" w:type="dxa"/>
          <w:bottom w:w="28" w:type="dxa"/>
          <w:right w:w="28" w:type="dxa"/>
        </w:tblCellMar>
      </w:tblPr>
      <w:tblGrid>
        <w:gridCol w:w="556"/>
        <w:gridCol w:w="1246"/>
        <w:gridCol w:w="451"/>
        <w:gridCol w:w="372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21" w:type="dxa"/>
            <w:tcBorders/>
            <w:tcMar>
              <w:top w:w="0" w:type="dxa"/>
              <w:left w:w="0" w:type="dxa"/>
              <w:bottom w:w="0" w:type="dxa"/>
              <w:right w:w="0" w:type="dxa"/>
            </w:tcMar>
            <w:vAlign w:val="center"/>
          </w:tcPr>
          <w:p>
            <w:pPr>
              <w:pStyle w:val="TableContents"/>
              <w:bidi w:val="0"/>
              <w:spacing w:before="86" w:after="86"/>
              <w:ind w:left="0" w:right="0" w:hanging="0"/>
              <w:jc w:val="left"/>
              <w:rPr>
                <w:rFonts w:ascii="Times New Roman;serif" w:hAnsi="Times New Roman;serif"/>
                <w:b w:val="false"/>
                <w:sz w:val="20"/>
              </w:rPr>
            </w:pPr>
            <w:r>
              <w:rPr>
                <w:rFonts w:ascii="Times New Roman;serif" w:hAnsi="Times New Roman;serif"/>
                <w:b w:val="false"/>
                <w:sz w:val="20"/>
              </w:rPr>
              <w:t>Larimar Therapeutics, Inc.</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2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Date:</w:t>
            </w:r>
          </w:p>
        </w:tc>
        <w:tc>
          <w:tcPr>
            <w:tcW w:w="1246"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May 12, 2023</w:t>
            </w:r>
          </w:p>
        </w:tc>
        <w:tc>
          <w:tcPr>
            <w:tcW w:w="451" w:type="dxa"/>
            <w:tcBorders/>
            <w:tcMar>
              <w:top w:w="0" w:type="dxa"/>
              <w:left w:w="0" w:type="dxa"/>
              <w:bottom w:w="0" w:type="dxa"/>
              <w:right w:w="0" w:type="dxa"/>
            </w:tcMar>
            <w:vAlign w:val="center"/>
          </w:tcPr>
          <w:p>
            <w:pPr>
              <w:pStyle w:val="TableContents"/>
              <w:bidi w:val="0"/>
              <w:spacing w:before="86" w:after="0"/>
              <w:ind w:left="0" w:right="0" w:hanging="0"/>
              <w:jc w:val="left"/>
              <w:rPr>
                <w:rFonts w:ascii="Times New Roman" w:hAnsi="Times New Roman"/>
                <w:sz w:val="20"/>
              </w:rPr>
            </w:pPr>
            <w:r>
              <w:rPr>
                <w:rFonts w:ascii="Times New Roman;serif" w:hAnsi="Times New Roman;serif"/>
                <w:b w:val="false"/>
                <w:sz w:val="20"/>
              </w:rPr>
              <w:t>By:</w:t>
            </w:r>
            <w:r>
              <w:rPr>
                <w:rFonts w:ascii="Times New Roman" w:hAnsi="Times New Roman"/>
                <w:sz w:val="20"/>
              </w:rPr>
              <w:t xml:space="preserve"> </w:t>
            </w:r>
          </w:p>
        </w:tc>
        <w:tc>
          <w:tcPr>
            <w:tcW w:w="3721" w:type="dxa"/>
            <w:tcBorders>
              <w:bottom w:val="single" w:sz="2" w:space="0" w:color="000000"/>
            </w:tcBorders>
            <w:tcMar>
              <w:top w:w="0" w:type="dxa"/>
              <w:left w:w="0" w:type="dxa"/>
              <w:right w:w="0" w:type="dxa"/>
            </w:tcMar>
            <w:vAlign w:val="center"/>
          </w:tcPr>
          <w:p>
            <w:pPr>
              <w:pStyle w:val="TableContents"/>
              <w:bidi w:val="0"/>
              <w:spacing w:before="86" w:after="0"/>
              <w:ind w:left="0" w:right="0" w:hanging="0"/>
              <w:jc w:val="left"/>
              <w:rPr>
                <w:rFonts w:ascii="Times New Roman;serif" w:hAnsi="Times New Roman;serif"/>
                <w:b w:val="false"/>
                <w:sz w:val="20"/>
              </w:rPr>
            </w:pPr>
            <w:r>
              <w:rPr>
                <w:rFonts w:ascii="Times New Roman;serif" w:hAnsi="Times New Roman;serif"/>
                <w:b w:val="false"/>
                <w:sz w:val="20"/>
              </w:rPr>
              <w:t>/s/ Carole S. Ben-Maimon, M.D.</w:t>
            </w:r>
          </w:p>
        </w:tc>
      </w:tr>
      <w:tr>
        <w:trPr/>
        <w:tc>
          <w:tcPr>
            <w:tcW w:w="55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2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5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721" w:type="dxa"/>
            <w:tcBorders/>
            <w:tcMar>
              <w:top w:w="0" w:type="dxa"/>
              <w:left w:w="0" w:type="dxa"/>
              <w:bottom w:w="0" w:type="dxa"/>
              <w:right w:w="0" w:type="dxa"/>
            </w:tcMar>
            <w:vAlign w:val="center"/>
          </w:tcPr>
          <w:p>
            <w:pPr>
              <w:pStyle w:val="TableContents"/>
              <w:bidi w:val="0"/>
              <w:spacing w:before="14" w:after="187"/>
              <w:ind w:left="0" w:right="0" w:hanging="0"/>
              <w:jc w:val="left"/>
              <w:rPr>
                <w:rFonts w:ascii="Times New Roman;serif" w:hAnsi="Times New Roman;serif"/>
                <w:b w:val="false"/>
                <w:i/>
                <w:sz w:val="20"/>
              </w:rPr>
            </w:pPr>
            <w:r>
              <w:rPr>
                <w:rFonts w:ascii="Times New Roman;serif" w:hAnsi="Times New Roman;serif"/>
                <w:b w:val="false"/>
                <w:i/>
                <w:sz w:val="20"/>
              </w:rPr>
              <w:t>Name: Carole S. Ben-Maimon, M.D.</w:t>
              <w:br/>
              <w:t>Title: President and Chief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647</Words>
  <Characters>3624</Characters>
  <CharactersWithSpaces>4245</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