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Three Bala Plaza East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LRMR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On November 5, 2025, Larimar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announced its financial results and operational highlights for the third quarter ended September 30, 2025. A copy of the press release is being furnished as Exhibit 99.1 to this Current Report on Form 8-K and is incorporated herein by reference.</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bottom w:val="single" w:sz="8" w:color="auto"/>
            </w:tcBorders>
            <w:gridSpan w:val="2"/>
          </w:tcPr>
          <w:p>
            <w:pPr>
              <w:ind w:left="454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36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issued by Larimar Therapeutics, Inc. on November 5, 2025*</w:t>
            </w:r>
          </w:p>
        </w:tc>
        <w:tc>
          <w:tcPr>
            <w:tcW w:w="4380" w:type="dxa"/>
            <w:vAlign w:val="bottom"/>
          </w:tcPr>
          <w:p>
            <w:pPr>
              <w:spacing w:after="0"/>
              <w:rPr>
                <w:sz w:val="14"/>
                <w:szCs w:val="14"/>
                <w:color w:val="auto"/>
              </w:rPr>
            </w:pPr>
          </w:p>
        </w:tc>
      </w:tr>
    </w:tbl>
    <w:p>
      <w:pPr>
        <w:spacing w:after="0" w:line="9" w:lineRule="exact"/>
        <w:rPr>
          <w:sz w:val="20"/>
          <w:szCs w:val="20"/>
          <w:color w:val="auto"/>
        </w:rPr>
      </w:pPr>
    </w:p>
    <w:p>
      <w:pPr>
        <w:ind w:right="3980" w:firstLine="8"/>
        <w:spacing w:after="0" w:line="407" w:lineRule="auto"/>
        <w:tabs>
          <w:tab w:leader="none" w:pos="14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137985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8006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Larimar Therapeutics Reports Third Quarter 2025 Financial Results</w:t>
      </w:r>
    </w:p>
    <w:p>
      <w:pPr>
        <w:spacing w:after="0" w:line="195" w:lineRule="exact"/>
        <w:rPr>
          <w:sz w:val="20"/>
          <w:szCs w:val="20"/>
          <w:color w:val="auto"/>
        </w:rPr>
      </w:pPr>
    </w:p>
    <w:p>
      <w:pPr>
        <w:ind w:left="760" w:right="18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 the open label (OL) study, after 6-months of daily nomlabofusp administration, 100% of participants (n = 10) achieved skin FXN levels similar to asymptomatic carriers</w:t>
      </w:r>
    </w:p>
    <w:p>
      <w:pPr>
        <w:spacing w:after="0" w:line="184" w:lineRule="exact"/>
        <w:rPr>
          <w:rFonts w:ascii="Times New Roman" w:cs="Times New Roman" w:eastAsia="Times New Roman" w:hAnsi="Times New Roman"/>
          <w:sz w:val="18"/>
          <w:szCs w:val="18"/>
          <w:color w:val="auto"/>
        </w:rPr>
      </w:pPr>
    </w:p>
    <w:p>
      <w:pPr>
        <w:ind w:left="760" w:right="180" w:hanging="378"/>
        <w:spacing w:after="0" w:line="298" w:lineRule="auto"/>
        <w:tabs>
          <w:tab w:leader="none" w:pos="76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Consistent directional improvement across mFARS, FARS-ADL, 9-HPT and MFIS after 1-year in OL study reinforces the potential of nomlabofusp to alter FA’s disease course relative to a worsening in a FACOMS natural history study reference population</w:t>
      </w:r>
    </w:p>
    <w:p>
      <w:pPr>
        <w:spacing w:after="0" w:line="121" w:lineRule="exact"/>
        <w:rPr>
          <w:rFonts w:ascii="Times New Roman" w:cs="Times New Roman" w:eastAsia="Times New Roman" w:hAnsi="Times New Roman"/>
          <w:sz w:val="17"/>
          <w:szCs w:val="17"/>
          <w:color w:val="auto"/>
        </w:rPr>
      </w:pPr>
    </w:p>
    <w:p>
      <w:pPr>
        <w:ind w:left="760" w:right="160" w:hanging="378"/>
        <w:spacing w:after="0" w:line="251"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Of 39 participants in OL study (and of 65 total participants who received at least 1 dose in all nomlabofusp studies), 7 experienced anaphylaxis in the first 6 weeks of dosing and returned to usual state of health after standard treatment; excluding these events, long term dosing of nomlabofusp was generally well tolerated including 8 participants on treatment for over 1 year</w:t>
      </w:r>
    </w:p>
    <w:p>
      <w:pPr>
        <w:spacing w:after="0" w:line="198" w:lineRule="exact"/>
        <w:rPr>
          <w:rFonts w:ascii="Times New Roman" w:cs="Times New Roman" w:eastAsia="Times New Roman" w:hAnsi="Times New Roman"/>
          <w:sz w:val="18"/>
          <w:szCs w:val="18"/>
          <w:color w:val="auto"/>
        </w:rPr>
      </w:pPr>
    </w:p>
    <w:p>
      <w:pPr>
        <w:ind w:left="760" w:right="12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Anaphylaxis is more common upon re-exposure to a drug after a gap in dosing; in the OL study, of the 10 participants who had not had prior exposure to nomlabofusp only 1 experienced anaphylaxis (this reaction was one of the 7 events discussed above).</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Implementing a modified starting dose regimen designed to mitigate the risk of anaphylaxis events as agreed to by the FDA</w:t>
      </w:r>
    </w:p>
    <w:p>
      <w:pPr>
        <w:spacing w:after="0" w:line="197" w:lineRule="exact"/>
        <w:rPr>
          <w:rFonts w:ascii="Times New Roman" w:cs="Times New Roman" w:eastAsia="Times New Roman" w:hAnsi="Times New Roman"/>
          <w:sz w:val="18"/>
          <w:szCs w:val="18"/>
          <w:color w:val="auto"/>
        </w:rPr>
      </w:pPr>
    </w:p>
    <w:p>
      <w:pPr>
        <w:ind w:left="760" w:right="34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Modified starting dose regimen is also being incorporated into the Phase 3 protocol; Larimar continues to qualify global Phase 3 sites and prepare for study initiation and patient enrollment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BLA submission seeking accelerated approval targeted in the second quarter of 2026</w:t>
      </w:r>
    </w:p>
    <w:p>
      <w:pPr>
        <w:spacing w:after="0" w:line="197" w:lineRule="exact"/>
        <w:rPr>
          <w:rFonts w:ascii="Times New Roman" w:cs="Times New Roman" w:eastAsia="Times New Roman" w:hAnsi="Times New Roman"/>
          <w:sz w:val="18"/>
          <w:szCs w:val="18"/>
          <w:color w:val="auto"/>
        </w:rPr>
      </w:pPr>
    </w:p>
    <w:p>
      <w:pPr>
        <w:ind w:left="760" w:right="18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$175.4 million in cash, cash equivalents and marketable securities as of September 30, 2025, with projected cash runway into the fourth quarter of 2026</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Bala Cynwyd, PA, </w:t>
      </w:r>
      <w:r>
        <w:rPr>
          <w:rFonts w:ascii="Arial" w:cs="Arial" w:eastAsia="Arial" w:hAnsi="Arial"/>
          <w:sz w:val="18"/>
          <w:szCs w:val="18"/>
          <w:color w:val="auto"/>
        </w:rPr>
        <w:t>November 5, 2025 – Larimar Therapeutics, Inc. (Larimar) (Nasdaq: LRMR), a clinical-stage biotechnology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developing treatments for complex rare diseases, today reported its third quarter 2025 operating and financial results.</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were pleased to recently share exciting long-term data from our open label study showing consistent directional improvement across four key clinical outcome measures relative to a Friedrich’s Ataxia Clinical Outcomes Measure Study (FACOMS) reference population, and increased skin frataxin (FXN) levels similar to asymptomatic carriers. These findings underscore the potential of daily nomlabofusp treatment to help change the disease course of patients living with Friedreich’s ataxia (FA), including those with advanced disease,” said Carole Ben-Maimon, MD, President, and Chief Executive Officer of Larimar. “We are implementing a modification to the starting dose regimen to help mitigate the risk of occurrence of anaphylactic reactions which seem to be more common in participants with prior exposure to nomlabofusp. Long-term treatment with daily nomlabofusp, including 8 participants for over 1 year, was generally well-tolerated.”</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Dr. Ben-Maimon continued, “With this positive data in hand, and a targeted path to registration, we continue to target our Biologics License Application (BLA) submission in the second quarter of 2026 seeking accelerated approval. We plan to provide a nomlabofusp development program update that will include status on our regulatory discussions and OL study in the first quarter of 2026. We are focused on execution of our near-term milestones that will advance nomlabofusp as the first potential disease modifying therapy designed to address the root cause of 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1259840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Highlights</w:t>
      </w:r>
    </w:p>
    <w:p>
      <w:pPr>
        <w:spacing w:after="0" w:line="198" w:lineRule="exact"/>
        <w:rPr>
          <w:sz w:val="20"/>
          <w:szCs w:val="20"/>
          <w:color w:val="auto"/>
        </w:rPr>
      </w:pPr>
    </w:p>
    <w:p>
      <w:pPr>
        <w:ind w:left="760" w:right="20"/>
        <w:spacing w:after="0" w:line="238" w:lineRule="auto"/>
        <w:rPr>
          <w:sz w:val="20"/>
          <w:szCs w:val="20"/>
          <w:color w:val="auto"/>
        </w:rPr>
      </w:pPr>
      <w:r>
        <w:rPr>
          <w:rFonts w:ascii="Arial" w:cs="Arial" w:eastAsia="Arial" w:hAnsi="Arial"/>
          <w:sz w:val="18"/>
          <w:szCs w:val="18"/>
          <w:b w:val="1"/>
          <w:bCs w:val="1"/>
          <w:color w:val="auto"/>
        </w:rPr>
        <w:t xml:space="preserve">Positive 50 mg Data from the Ongoing OL Study: </w:t>
      </w:r>
      <w:r>
        <w:rPr>
          <w:rFonts w:ascii="Arial" w:cs="Arial" w:eastAsia="Arial" w:hAnsi="Arial"/>
          <w:sz w:val="18"/>
          <w:szCs w:val="18"/>
          <w:color w:val="auto"/>
        </w:rPr>
        <w:t>In September, Larimar presented long-term data from the OL study showing</w:t>
      </w:r>
      <w:r>
        <w:rPr>
          <w:rFonts w:ascii="Arial" w:cs="Arial" w:eastAsia="Arial" w:hAnsi="Arial"/>
          <w:sz w:val="18"/>
          <w:szCs w:val="18"/>
          <w:b w:val="1"/>
          <w:bCs w:val="1"/>
          <w:color w:val="auto"/>
        </w:rPr>
        <w:t xml:space="preserve"> </w:t>
      </w:r>
      <w:r>
        <w:rPr>
          <w:rFonts w:ascii="Arial" w:cs="Arial" w:eastAsia="Arial" w:hAnsi="Arial"/>
          <w:sz w:val="18"/>
          <w:szCs w:val="18"/>
          <w:color w:val="auto"/>
        </w:rPr>
        <w:t>100% of participants (n=10) with data at 6 months achieved skin FXN levels over 50% of median levels in healthy volunteers (which is similar to levels in asymptomatic carriers). A 2.25 median improvement in modified Friedreich Ataxia Rating Scale (mFARS) score, a primary outcome measure in other clinical studies, was observed in participants after 1 year relative to a worsening of a median 1.00 observed in a FACOMS natural history reference population. Additionally, consistent directional improvements observed after 1 year across 4 key clinical outcomes (mFARS, FARS-Activities of Daily Living (ADL), 9 Hole Peg Test (9-HPT), and Modified Fatigue Impact Scale (MFIS)) suggest potential for clinical benefit relative to a worsening in the FACOMS reference population. Of the 39 participants in the OL study (and of 65 total participants who received at least 1 dose in all nomlabofusp studies), 7 experienced anaphylaxis in the first 6 weeks of dosing and returned to their usual state of health after standard treatment. Anaphylaxis is more common upon re-exposure to a drug after a gap in dosing; in the OL study, of the 10 participants who had not had prior exposure to nomlabofusp only 1 experienced anaphylaxis (this reaction was one of the 7 events discussed above). Excluding these events, long term dosing of nomlabofusp was generally well tolerated including 14 on treatment for at least 6 months and 8 on treatment for over 1 year.</w:t>
      </w:r>
    </w:p>
    <w:p>
      <w:pPr>
        <w:spacing w:after="0" w:line="207" w:lineRule="exact"/>
        <w:rPr>
          <w:sz w:val="20"/>
          <w:szCs w:val="20"/>
          <w:color w:val="auto"/>
        </w:rPr>
      </w:pPr>
    </w:p>
    <w:p>
      <w:pPr>
        <w:jc w:val="both"/>
        <w:ind w:left="760" w:right="18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Similar PK and Exposure in Adolescents and Adults: </w:t>
      </w:r>
      <w:r>
        <w:rPr>
          <w:rFonts w:ascii="Arial" w:cs="Arial" w:eastAsia="Arial" w:hAnsi="Arial"/>
          <w:sz w:val="18"/>
          <w:szCs w:val="18"/>
          <w:color w:val="auto"/>
        </w:rPr>
        <w:t>Exposure and PK in 14 adolescents spanning 12 to 17 years of age (n =</w:t>
      </w:r>
      <w:r>
        <w:rPr>
          <w:rFonts w:ascii="Arial" w:cs="Arial" w:eastAsia="Arial" w:hAnsi="Arial"/>
          <w:sz w:val="18"/>
          <w:szCs w:val="18"/>
          <w:b w:val="1"/>
          <w:bCs w:val="1"/>
          <w:color w:val="auto"/>
        </w:rPr>
        <w:t xml:space="preserve"> </w:t>
      </w:r>
      <w:r>
        <w:rPr>
          <w:rFonts w:ascii="Arial" w:cs="Arial" w:eastAsia="Arial" w:hAnsi="Arial"/>
          <w:sz w:val="18"/>
          <w:szCs w:val="18"/>
          <w:color w:val="auto"/>
        </w:rPr>
        <w:t>14, 9 on nomlabofusp, 5 on placebo) who received a weight-based equivalent of 50 mg for 7 days were similar to adults on 50 mg of nomlabofusp.</w:t>
      </w:r>
    </w:p>
    <w:p>
      <w:pPr>
        <w:spacing w:after="0" w:line="197" w:lineRule="exact"/>
        <w:rPr>
          <w:rFonts w:ascii="Times New Roman" w:cs="Times New Roman" w:eastAsia="Times New Roman" w:hAnsi="Times New Roman"/>
          <w:sz w:val="18"/>
          <w:szCs w:val="18"/>
          <w:color w:val="auto"/>
        </w:rPr>
      </w:pPr>
    </w:p>
    <w:p>
      <w:pPr>
        <w:ind w:left="760" w:right="60" w:hanging="378"/>
        <w:spacing w:after="0" w:line="246"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Modifying Starting Dose Regimen: </w:t>
      </w:r>
      <w:r>
        <w:rPr>
          <w:rFonts w:ascii="Arial" w:cs="Arial" w:eastAsia="Arial" w:hAnsi="Arial"/>
          <w:sz w:val="18"/>
          <w:szCs w:val="18"/>
          <w:color w:val="auto"/>
        </w:rPr>
        <w:t>Larimar is implementing a modified starting dose regimen that is designed to mitigate the risk</w:t>
      </w:r>
      <w:r>
        <w:rPr>
          <w:rFonts w:ascii="Arial" w:cs="Arial" w:eastAsia="Arial" w:hAnsi="Arial"/>
          <w:sz w:val="18"/>
          <w:szCs w:val="18"/>
          <w:b w:val="1"/>
          <w:bCs w:val="1"/>
          <w:color w:val="auto"/>
        </w:rPr>
        <w:t xml:space="preserve"> </w:t>
      </w:r>
      <w:r>
        <w:rPr>
          <w:rFonts w:ascii="Arial" w:cs="Arial" w:eastAsia="Arial" w:hAnsi="Arial"/>
          <w:sz w:val="18"/>
          <w:szCs w:val="18"/>
          <w:color w:val="auto"/>
        </w:rPr>
        <w:t>of anaphylactic reactions. The new dosing regimen includes a 5 mg test dose followed by a 25 mg dose one hour later under observation. Nomlabofusp 25 mg will then be administered once daily through Day 30 and then the dose will be increased to 50 mg once daily.</w:t>
      </w:r>
    </w:p>
    <w:p>
      <w:pPr>
        <w:spacing w:after="0" w:line="163" w:lineRule="exact"/>
        <w:rPr>
          <w:rFonts w:ascii="Times New Roman" w:cs="Times New Roman" w:eastAsia="Times New Roman" w:hAnsi="Times New Roman"/>
          <w:sz w:val="18"/>
          <w:szCs w:val="18"/>
          <w:color w:val="auto"/>
        </w:rPr>
      </w:pPr>
    </w:p>
    <w:p>
      <w:pPr>
        <w:ind w:left="760" w:right="140" w:hanging="378"/>
        <w:spacing w:after="0" w:line="246"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Expanding Enrollment of OL Study: </w:t>
      </w:r>
      <w:r>
        <w:rPr>
          <w:rFonts w:ascii="Arial" w:cs="Arial" w:eastAsia="Arial" w:hAnsi="Arial"/>
          <w:sz w:val="18"/>
          <w:szCs w:val="18"/>
          <w:color w:val="auto"/>
        </w:rPr>
        <w:t>Participants who completed treatment in a Phase 1 or Phase 2 study evaluating</w:t>
      </w:r>
      <w:r>
        <w:rPr>
          <w:rFonts w:ascii="Arial" w:cs="Arial" w:eastAsia="Arial" w:hAnsi="Arial"/>
          <w:sz w:val="18"/>
          <w:szCs w:val="18"/>
          <w:b w:val="1"/>
          <w:bCs w:val="1"/>
          <w:color w:val="auto"/>
        </w:rPr>
        <w:t xml:space="preserve"> </w:t>
      </w:r>
      <w:r>
        <w:rPr>
          <w:rFonts w:ascii="Arial" w:cs="Arial" w:eastAsia="Arial" w:hAnsi="Arial"/>
          <w:sz w:val="18"/>
          <w:szCs w:val="18"/>
          <w:color w:val="auto"/>
        </w:rPr>
        <w:t>nomlabofusp were the first group of eligible patients to screen for the OL study. The OL study protocol has now been amended to include adolescent and adult patients who have not participated in a prior nomlabofusp study. Larimar plans to enroll children (2 to 11 years of age) directly into the open label study.</w:t>
      </w:r>
    </w:p>
    <w:p>
      <w:pPr>
        <w:spacing w:after="0" w:line="16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Amending Phase 3 Protocol and Qualifying Global Sites: </w:t>
      </w:r>
      <w:r>
        <w:rPr>
          <w:rFonts w:ascii="Arial" w:cs="Arial" w:eastAsia="Arial" w:hAnsi="Arial"/>
          <w:sz w:val="18"/>
          <w:szCs w:val="18"/>
          <w:color w:val="auto"/>
        </w:rPr>
        <w:t>The modified starting dose regimen is being incorporated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Phase 3 protocol. Larimar continues to qualify sites globally and prepare for study initiation and patient enrollment.</w:t>
      </w:r>
    </w:p>
    <w:p>
      <w:pPr>
        <w:spacing w:after="0" w:line="181"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Advancing Chemistry Manufacturing and Control (CMC): </w:t>
      </w:r>
      <w:r>
        <w:rPr>
          <w:rFonts w:ascii="Arial" w:cs="Arial" w:eastAsia="Arial" w:hAnsi="Arial"/>
          <w:sz w:val="18"/>
          <w:szCs w:val="18"/>
          <w:color w:val="auto"/>
        </w:rPr>
        <w:t>Received agreement from FDA on analytical testing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potency testing of nomlabofusp. Process performance qualification (PPQ) on the commercial scale drug substance is planned in the fourth quarter of 2025, in preparation of data for BLA submission. Drug substance manufactured during PPQ activities are expected to be used as the initial commercial launch supply.</w:t>
      </w:r>
    </w:p>
    <w:p>
      <w:pPr>
        <w:spacing w:after="0" w:line="163" w:lineRule="exact"/>
        <w:rPr>
          <w:rFonts w:ascii="Times New Roman" w:cs="Times New Roman" w:eastAsia="Times New Roman" w:hAnsi="Times New Roman"/>
          <w:sz w:val="18"/>
          <w:szCs w:val="18"/>
          <w:color w:val="auto"/>
        </w:rPr>
      </w:pPr>
    </w:p>
    <w:p>
      <w:pPr>
        <w:ind w:left="760" w:right="24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Nomlabofusp Program Update in the First Quarter of 2026</w:t>
      </w:r>
      <w:r>
        <w:rPr>
          <w:rFonts w:ascii="Arial" w:cs="Arial" w:eastAsia="Arial" w:hAnsi="Arial"/>
          <w:sz w:val="18"/>
          <w:szCs w:val="18"/>
          <w:color w:val="auto"/>
        </w:rPr>
        <w:t>: Larimar plans to provide an update on regulatory discussions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open label study status in the first quarter of 2026.</w:t>
      </w:r>
    </w:p>
    <w:p>
      <w:pPr>
        <w:spacing w:after="0" w:line="140" w:lineRule="exact"/>
        <w:rPr>
          <w:rFonts w:ascii="Times New Roman" w:cs="Times New Roman" w:eastAsia="Times New Roman" w:hAnsi="Times New Roman"/>
          <w:sz w:val="18"/>
          <w:szCs w:val="18"/>
          <w:color w:val="auto"/>
        </w:rPr>
      </w:pPr>
    </w:p>
    <w:p>
      <w:pPr>
        <w:ind w:left="760" w:right="30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BLA Submission on Track: </w:t>
      </w:r>
      <w:r>
        <w:rPr>
          <w:rFonts w:ascii="Arial" w:cs="Arial" w:eastAsia="Arial" w:hAnsi="Arial"/>
          <w:sz w:val="18"/>
          <w:szCs w:val="18"/>
          <w:color w:val="auto"/>
        </w:rPr>
        <w:t>BLA seeking accelerated approval targeted in the second quarter of 2026; U.S. launch targeted for</w:t>
      </w:r>
      <w:r>
        <w:rPr>
          <w:rFonts w:ascii="Arial" w:cs="Arial" w:eastAsia="Arial" w:hAnsi="Arial"/>
          <w:sz w:val="18"/>
          <w:szCs w:val="18"/>
          <w:b w:val="1"/>
          <w:bCs w:val="1"/>
          <w:color w:val="auto"/>
        </w:rPr>
        <w:t xml:space="preserve"> </w:t>
      </w:r>
      <w:r>
        <w:rPr>
          <w:rFonts w:ascii="Arial" w:cs="Arial" w:eastAsia="Arial" w:hAnsi="Arial"/>
          <w:sz w:val="18"/>
          <w:szCs w:val="18"/>
          <w:color w:val="auto"/>
        </w:rPr>
        <w:t>early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1374775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Third Quarter 2025 Financial Results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2025, the Company had cash, cash equivalents and marketable securities totaling $175.4 million with a projected cash runway into the fourth quarter of 2026. Cash includes the $65.0 million net proceeds from the Company’s July 2025 common stock public offering.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Third quarter of 2025 compared to the third quarter of 2024</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reported a net loss for the third quarter of 2025 of $47.7 million, or $0.61 per share, compared to a net loss of $15.5 million, or $0.24 per share, for the third quarter of 2024.</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Research and development expenses for the third quarter of 2025 were $44.9 million compared to $13.9 million for the third quarter of 2024. The increase in research and development expenses was primarily attributable to an increase of $25.8 million in nomlabofusp manufacturing costs, an increase of $1.8 million in professional consulting fees associated with ongoing clinical studies and worldwide regulatory activities, an increase of $1.5 million in clinical costs primarily associated with the start of an anticipated global confirmatory study that would be required as part of an accelerated approval of our planned BLA submission expected in the second quarter of 2026, an increase of $1.0 million in personnel costs associated with increased headcount and an increase of $0.9 million in nonclinical costs related to assay development.</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General and administrative expenses were $4.6 million in the third quarter of 2025 compared to $4.3 million in the third quarter of 2024. The increase in general and administrative expenses was primarily due to an increase of $0.3 million of personnel costs associated with increased headcount and an increase of $0.3 million in professional service expenses primarily related to legal services performed, partially offset by a decrease of $0.2 million in stock compensation costs related to the full vesting of stock options granted at higher value stock options.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2025, compared to the nine months ended September 30, 2024</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reported a net loss for the first nine months of 2025 of $103.2 million, or $1.50 per share, compared to a net loss of $51.8 million, or $0.86 per share, for the first nine months of 2024.</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Research and development expenses for the nine months ended September 30, 2025, were $94.9 million compared to $46.5 million for the nine months ended September 30, 2024. The increase in research and development expenses was primarily attributable to an increase of $32.9 million in nomlabofusp manufacturing costs, an increase of $5.4 million in professional consulting fees associated with ongoing clinical studies and worldwide regulatory activities, an increase of $4.8 million in clinical costs primarily associated with the start of an anticipated global confirmatory study that would be required as part of an accelerated approval of our planned BLA submission expected in the second quarter of 2026, an increase of $3.9 million in personnel costs associated with increased headcount and an increase of $1.7 million in nonclinical costs related to assay development, and partially offset by a decrease of $0.8 million in costs incurred under the TRACK-FA program.</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 and administrative expenses were $13.6 million for the first nine months of 2025 compared to $13.1 million for the nine months ended September 30, 2024. The increase in general and administrative expenses was primarily due to an increase of $1.1 million of personnel costs associated with increased headcount and an increase of $0.5 million in professional service expenses, partially offset by a decrease of $0.8 million in stock compensation costs related to the full vesting of stock options granted at higher value stock options.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Larimar Therapeutics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any other planned product candidates, Larimar’s planned research and development efforts, including the timing of its nomlabofusp clinical trials, interactions and filings with the FDA, expectations regarding the timing of the BLA submission, the expectations of the timing of, and potential for, accelerated approval or accelerated access, time to launch and market and overall development plans and other matters regarding Larimar’s business strategies, ability to raise capital, use of capital, results of operations and financial position, and plans and objectives for future operations.</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and Larimar’s ability to timely implement the revised dosing regimen in its clinical program for nomlabofusp;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5620" w:type="dxa"/>
            <w:vAlign w:val="bottom"/>
            <w:tcBorders>
              <w:top w:val="single" w:sz="8" w:color="auto"/>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Investor Contact:</w:t>
            </w:r>
          </w:p>
        </w:tc>
        <w:tc>
          <w:tcPr>
            <w:tcW w:w="5620" w:type="dxa"/>
            <w:vAlign w:val="bottom"/>
            <w:tcBorders>
              <w:top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b w:val="1"/>
                <w:bCs w:val="1"/>
                <w:color w:val="auto"/>
              </w:rPr>
              <w:t>Company Contact:</w:t>
            </w:r>
          </w:p>
        </w:tc>
      </w:tr>
      <w:tr>
        <w:trPr>
          <w:trHeight w:val="203"/>
        </w:trPr>
        <w:tc>
          <w:tcPr>
            <w:tcW w:w="56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Joyce Allaire</w:t>
            </w:r>
          </w:p>
        </w:tc>
        <w:tc>
          <w:tcPr>
            <w:tcW w:w="56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Michael Celano</w:t>
            </w:r>
          </w:p>
        </w:tc>
      </w:tr>
      <w:tr>
        <w:trPr>
          <w:trHeight w:val="203"/>
        </w:trPr>
        <w:tc>
          <w:tcPr>
            <w:tcW w:w="56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LifeSci Advisors</w:t>
            </w:r>
          </w:p>
        </w:tc>
        <w:tc>
          <w:tcPr>
            <w:tcW w:w="56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56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jallaire@lifesciadvisors.com</w:t>
            </w:r>
          </w:p>
        </w:tc>
        <w:tc>
          <w:tcPr>
            <w:tcW w:w="56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mcelano@larimartx.com</w:t>
            </w:r>
          </w:p>
        </w:tc>
      </w:tr>
      <w:tr>
        <w:trPr>
          <w:trHeight w:val="218"/>
        </w:trPr>
        <w:tc>
          <w:tcPr>
            <w:tcW w:w="5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(212) 915-2569</w:t>
            </w:r>
          </w:p>
        </w:tc>
        <w:tc>
          <w:tcPr>
            <w:tcW w:w="5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(484) 414-2715</w:t>
            </w:r>
          </w:p>
        </w:tc>
      </w:tr>
      <w:tr>
        <w:trPr>
          <w:trHeight w:val="1624"/>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1379855" cy="480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8006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Larimar Therapeutics,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2340" w:type="dxa"/>
            <w:vAlign w:val="bottom"/>
            <w:gridSpan w:val="2"/>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90,140</w:t>
            </w:r>
          </w:p>
        </w:tc>
        <w:tc>
          <w:tcPr>
            <w:tcW w:w="11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33,218</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85,295</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150,236</w:t>
            </w:r>
          </w:p>
        </w:tc>
        <w:tc>
          <w:tcPr>
            <w:tcW w:w="0" w:type="dxa"/>
            <w:vAlign w:val="bottom"/>
          </w:tcPr>
          <w:p>
            <w:pPr>
              <w:spacing w:after="0"/>
              <w:rPr>
                <w:sz w:val="1"/>
                <w:szCs w:val="1"/>
                <w:color w:val="auto"/>
              </w:rPr>
            </w:pPr>
          </w:p>
        </w:tc>
      </w:tr>
      <w:tr>
        <w:trPr>
          <w:trHeight w:val="216"/>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7,788</w:t>
            </w: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11,850</w:t>
            </w: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183,223</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195,304</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709</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9"/>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2,270</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2,838</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606</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49"/>
        </w:trPr>
        <w:tc>
          <w:tcPr>
            <w:tcW w:w="60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187,350</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200,225</w:t>
            </w:r>
          </w:p>
        </w:tc>
        <w:tc>
          <w:tcPr>
            <w:tcW w:w="0" w:type="dxa"/>
            <w:vAlign w:val="bottom"/>
          </w:tcPr>
          <w:p>
            <w:pPr>
              <w:spacing w:after="0"/>
              <w:rPr>
                <w:sz w:val="1"/>
                <w:szCs w:val="1"/>
                <w:color w:val="auto"/>
              </w:rPr>
            </w:pPr>
          </w:p>
        </w:tc>
      </w:tr>
      <w:tr>
        <w:trPr>
          <w:trHeight w:val="221"/>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2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11,100</w:t>
            </w:r>
          </w:p>
        </w:tc>
        <w:tc>
          <w:tcPr>
            <w:tcW w:w="11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32,865</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20,872</w:t>
            </w:r>
          </w:p>
        </w:tc>
        <w:tc>
          <w:tcPr>
            <w:tcW w:w="0" w:type="dxa"/>
            <w:vAlign w:val="bottom"/>
          </w:tcPr>
          <w:p>
            <w:pPr>
              <w:spacing w:after="0"/>
              <w:rPr>
                <w:sz w:val="1"/>
                <w:szCs w:val="1"/>
                <w:color w:val="auto"/>
              </w:rPr>
            </w:pPr>
          </w:p>
        </w:tc>
      </w:tr>
      <w:tr>
        <w:trPr>
          <w:trHeight w:val="216"/>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1,151</w:t>
            </w: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45,116</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24,356</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3,196</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48,312</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28,413</w:t>
            </w:r>
          </w:p>
        </w:tc>
        <w:tc>
          <w:tcPr>
            <w:tcW w:w="0" w:type="dxa"/>
            <w:vAlign w:val="bottom"/>
          </w:tcPr>
          <w:p>
            <w:pPr>
              <w:spacing w:after="0"/>
              <w:rPr>
                <w:sz w:val="1"/>
                <w:szCs w:val="1"/>
                <w:color w:val="auto"/>
              </w:rPr>
            </w:pPr>
          </w:p>
        </w:tc>
      </w:tr>
      <w:tr>
        <w:trPr>
          <w:trHeight w:val="223"/>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per share; 5,000,000 shares authorized as of</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September 30, 2025 and December 31, 2024; no shares issued and outstanding</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of September 30, 2025 and December 31, 2024</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20" w:type="dxa"/>
            <w:vAlign w:val="bottom"/>
            <w:shd w:val="clear" w:color="auto" w:fill="CFF0FC"/>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115,000,000 shares authorized as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of September 30, 2025 and December 31, 2024; 85,590,392 and 63,815,065</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issued and outstanding as of September 30, 2025 and December 31, 2024,</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4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511,219</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440,758</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(372,333)</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(269,158)</w:t>
            </w: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139,038</w:t>
            </w:r>
          </w:p>
        </w:tc>
        <w:tc>
          <w:tcPr>
            <w:tcW w:w="2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171,812</w:t>
            </w:r>
          </w:p>
        </w:tc>
        <w:tc>
          <w:tcPr>
            <w:tcW w:w="0" w:type="dxa"/>
            <w:vAlign w:val="bottom"/>
          </w:tcPr>
          <w:p>
            <w:pPr>
              <w:spacing w:after="0"/>
              <w:rPr>
                <w:sz w:val="1"/>
                <w:szCs w:val="1"/>
                <w:color w:val="auto"/>
              </w:rPr>
            </w:pPr>
          </w:p>
        </w:tc>
      </w:tr>
      <w:tr>
        <w:trPr>
          <w:trHeight w:val="20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spacing w:after="0"/>
              <w:rPr>
                <w:sz w:val="18"/>
                <w:szCs w:val="18"/>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187,350</w:t>
            </w:r>
          </w:p>
        </w:tc>
        <w:tc>
          <w:tcPr>
            <w:tcW w:w="260" w:type="dxa"/>
            <w:vAlign w:val="bottom"/>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200,225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8"/>
        </w:trPr>
        <w:tc>
          <w:tcPr>
            <w:tcW w:w="6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-4319905</wp:posOffset>
            </wp:positionV>
            <wp:extent cx="1625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-4302760</wp:posOffset>
            </wp:positionV>
            <wp:extent cx="1625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-4465320</wp:posOffset>
            </wp:positionV>
            <wp:extent cx="1625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5478780</wp:posOffset>
            </wp:positionH>
            <wp:positionV relativeFrom="paragraph">
              <wp:posOffset>-3277870</wp:posOffset>
            </wp:positionV>
            <wp:extent cx="18796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7960" cy="1797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1379855" cy="480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80060"/>
                    </a:xfrm>
                    <a:prstGeom prst="rect">
                      <a:avLst/>
                    </a:prstGeom>
                    <a:noFill/>
                  </pic:spPr>
                </pic:pic>
              </a:graphicData>
            </a:graphic>
          </wp:anchor>
        </w:drawing>
      </w:r>
    </w:p>
    <w:p>
      <w:pPr>
        <w:jc w:val="center"/>
        <w:ind w:right="660"/>
        <w:spacing w:after="0"/>
        <w:rPr>
          <w:sz w:val="20"/>
          <w:szCs w:val="20"/>
          <w:color w:val="auto"/>
        </w:rPr>
      </w:pPr>
      <w:r>
        <w:rPr>
          <w:rFonts w:ascii="Times New Roman" w:cs="Times New Roman" w:eastAsia="Times New Roman" w:hAnsi="Times New Roman"/>
          <w:sz w:val="22"/>
          <w:szCs w:val="22"/>
          <w:b w:val="1"/>
          <w:bCs w:val="1"/>
          <w:color w:val="auto"/>
        </w:rPr>
        <w:t>Larimar Therapeutics, Inc.</w:t>
      </w:r>
    </w:p>
    <w:p>
      <w:pPr>
        <w:spacing w:after="0" w:line="3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1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31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6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Pr>
          <w:p>
            <w:pPr>
              <w:spacing w:after="0"/>
              <w:rPr>
                <w:sz w:val="15"/>
                <w:szCs w:val="15"/>
                <w:color w:val="auto"/>
              </w:rPr>
            </w:pPr>
          </w:p>
        </w:tc>
      </w:tr>
      <w:tr>
        <w:trPr>
          <w:trHeight w:val="196"/>
        </w:trPr>
        <w:tc>
          <w:tcPr>
            <w:tcW w:w="4520" w:type="dxa"/>
            <w:vAlign w:val="bottom"/>
          </w:tcPr>
          <w:p>
            <w:pPr>
              <w:spacing w:after="0"/>
              <w:rPr>
                <w:sz w:val="17"/>
                <w:szCs w:val="17"/>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gridSpan w:val="2"/>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7"/>
                <w:szCs w:val="17"/>
                <w:color w:val="auto"/>
              </w:rPr>
            </w:pPr>
          </w:p>
        </w:tc>
      </w:tr>
      <w:tr>
        <w:trPr>
          <w:trHeight w:val="223"/>
        </w:trPr>
        <w:tc>
          <w:tcPr>
            <w:tcW w:w="4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680" w:type="dxa"/>
            <w:vAlign w:val="bottom"/>
          </w:tcPr>
          <w:p>
            <w:pPr>
              <w:spacing w:after="0"/>
              <w:rPr>
                <w:sz w:val="19"/>
                <w:szCs w:val="19"/>
                <w:color w:val="auto"/>
              </w:rPr>
            </w:pPr>
          </w:p>
        </w:tc>
      </w:tr>
      <w:tr>
        <w:trPr>
          <w:trHeight w:val="198"/>
        </w:trPr>
        <w:tc>
          <w:tcPr>
            <w:tcW w:w="45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tcPr>
          <w:p>
            <w:pPr>
              <w:jc w:val="right"/>
              <w:ind w:right="7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7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93"/>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7"/>
                <w:szCs w:val="17"/>
                <w:color w:val="auto"/>
              </w:rPr>
            </w:pPr>
          </w:p>
        </w:tc>
      </w:tr>
      <w:tr>
        <w:trPr>
          <w:trHeight w:val="234"/>
        </w:trPr>
        <w:tc>
          <w:tcPr>
            <w:tcW w:w="4520" w:type="dxa"/>
            <w:vAlign w:val="bottom"/>
          </w:tcPr>
          <w:p>
            <w:pPr>
              <w:spacing w:after="0"/>
              <w:rPr>
                <w:sz w:val="20"/>
                <w:szCs w:val="20"/>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44,931</w:t>
            </w: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13,919</w:t>
            </w:r>
          </w:p>
        </w:tc>
        <w:tc>
          <w:tcPr>
            <w:tcW w:w="14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94,851</w:t>
            </w: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46,540</w:t>
            </w:r>
          </w:p>
        </w:tc>
        <w:tc>
          <w:tcPr>
            <w:tcW w:w="680" w:type="dxa"/>
            <w:vAlign w:val="bottom"/>
          </w:tcPr>
          <w:p>
            <w:pPr>
              <w:spacing w:after="0"/>
              <w:rPr>
                <w:sz w:val="20"/>
                <w:szCs w:val="20"/>
                <w:color w:val="auto"/>
              </w:rPr>
            </w:pPr>
          </w:p>
        </w:tc>
      </w:tr>
      <w:tr>
        <w:trPr>
          <w:trHeight w:val="198"/>
        </w:trPr>
        <w:tc>
          <w:tcPr>
            <w:tcW w:w="452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shd w:val="clear" w:color="auto" w:fill="CFF0FC"/>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168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4,3</w:t>
            </w:r>
          </w:p>
        </w:tc>
        <w:tc>
          <w:tcPr>
            <w:tcW w:w="1460" w:type="dxa"/>
            <w:vAlign w:val="bottom"/>
            <w:gridSpan w:val="2"/>
            <w:shd w:val="clear" w:color="auto" w:fill="CFF0FC"/>
          </w:tcPr>
          <w:p>
            <w:pPr>
              <w:jc w:val="right"/>
              <w:ind w:right="13"/>
              <w:spacing w:after="0" w:line="198" w:lineRule="exact"/>
              <w:rPr>
                <w:sz w:val="20"/>
                <w:szCs w:val="20"/>
                <w:color w:val="auto"/>
              </w:rPr>
            </w:pPr>
            <w:r>
              <w:rPr>
                <w:rFonts w:ascii="Times New Roman" w:cs="Times New Roman" w:eastAsia="Times New Roman" w:hAnsi="Times New Roman"/>
                <w:sz w:val="18"/>
                <w:szCs w:val="18"/>
                <w:color w:val="auto"/>
              </w:rPr>
              <w:t>13,6</w:t>
            </w:r>
          </w:p>
        </w:tc>
        <w:tc>
          <w:tcPr>
            <w:tcW w:w="1460" w:type="dxa"/>
            <w:vAlign w:val="bottom"/>
            <w:gridSpan w:val="2"/>
            <w:shd w:val="clear" w:color="auto" w:fill="CFF0FC"/>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13,0</w:t>
            </w:r>
          </w:p>
        </w:tc>
        <w:tc>
          <w:tcPr>
            <w:tcW w:w="680" w:type="dxa"/>
            <w:vAlign w:val="bottom"/>
          </w:tcPr>
          <w:p>
            <w:pPr>
              <w:spacing w:after="0"/>
              <w:rPr>
                <w:sz w:val="17"/>
                <w:szCs w:val="17"/>
                <w:color w:val="auto"/>
              </w:rPr>
            </w:pPr>
          </w:p>
        </w:tc>
      </w:tr>
      <w:tr>
        <w:trPr>
          <w:trHeight w:val="234"/>
        </w:trPr>
        <w:tc>
          <w:tcPr>
            <w:tcW w:w="45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680" w:type="dxa"/>
            <w:vAlign w:val="bottom"/>
          </w:tcPr>
          <w:p>
            <w:pPr>
              <w:spacing w:after="0"/>
              <w:rPr>
                <w:sz w:val="20"/>
                <w:szCs w:val="20"/>
                <w:color w:val="auto"/>
              </w:rPr>
            </w:pPr>
          </w:p>
        </w:tc>
      </w:tr>
      <w:tr>
        <w:trPr>
          <w:trHeight w:val="191"/>
        </w:trPr>
        <w:tc>
          <w:tcPr>
            <w:tcW w:w="4520" w:type="dxa"/>
            <w:vAlign w:val="bottom"/>
          </w:tcPr>
          <w:p>
            <w:pPr>
              <w:ind w:left="400"/>
              <w:spacing w:after="0" w:line="191" w:lineRule="exact"/>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49,4</w:t>
            </w:r>
          </w:p>
        </w:tc>
        <w:tc>
          <w:tcPr>
            <w:tcW w:w="16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18,2</w:t>
            </w:r>
          </w:p>
        </w:tc>
        <w:tc>
          <w:tcPr>
            <w:tcW w:w="1460" w:type="dxa"/>
            <w:vAlign w:val="bottom"/>
            <w:gridSpan w:val="2"/>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108,4</w:t>
            </w:r>
          </w:p>
        </w:tc>
        <w:tc>
          <w:tcPr>
            <w:tcW w:w="146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59,5</w:t>
            </w:r>
          </w:p>
        </w:tc>
        <w:tc>
          <w:tcPr>
            <w:tcW w:w="680" w:type="dxa"/>
            <w:vAlign w:val="bottom"/>
          </w:tcPr>
          <w:p>
            <w:pPr>
              <w:spacing w:after="0"/>
              <w:rPr>
                <w:sz w:val="16"/>
                <w:szCs w:val="16"/>
                <w:color w:val="auto"/>
              </w:rPr>
            </w:pPr>
          </w:p>
        </w:tc>
      </w:tr>
      <w:tr>
        <w:trPr>
          <w:trHeight w:val="234"/>
        </w:trPr>
        <w:tc>
          <w:tcPr>
            <w:tcW w:w="4520" w:type="dxa"/>
            <w:vAlign w:val="bottom"/>
          </w:tcPr>
          <w:p>
            <w:pPr>
              <w:spacing w:after="0"/>
              <w:rPr>
                <w:sz w:val="20"/>
                <w:szCs w:val="20"/>
                <w:color w:val="auto"/>
              </w:rPr>
            </w:pPr>
          </w:p>
        </w:tc>
        <w:tc>
          <w:tcPr>
            <w:tcW w:w="1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680" w:type="dxa"/>
            <w:vAlign w:val="bottom"/>
          </w:tcPr>
          <w:p>
            <w:pPr>
              <w:spacing w:after="0"/>
              <w:rPr>
                <w:sz w:val="20"/>
                <w:szCs w:val="20"/>
                <w:color w:val="auto"/>
              </w:rPr>
            </w:pPr>
          </w:p>
        </w:tc>
      </w:tr>
      <w:tr>
        <w:trPr>
          <w:trHeight w:val="191"/>
        </w:trPr>
        <w:tc>
          <w:tcPr>
            <w:tcW w:w="45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Loss from operations</w:t>
            </w:r>
          </w:p>
        </w:tc>
        <w:tc>
          <w:tcPr>
            <w:tcW w:w="1440" w:type="dxa"/>
            <w:vAlign w:val="bottom"/>
            <w:shd w:val="clear" w:color="auto" w:fill="CFF0FC"/>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(49,49</w:t>
            </w:r>
          </w:p>
        </w:tc>
        <w:tc>
          <w:tcPr>
            <w:tcW w:w="16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(18,26</w:t>
            </w:r>
          </w:p>
        </w:tc>
        <w:tc>
          <w:tcPr>
            <w:tcW w:w="146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(108,47</w:t>
            </w:r>
          </w:p>
        </w:tc>
        <w:tc>
          <w:tcPr>
            <w:tcW w:w="1460" w:type="dxa"/>
            <w:vAlign w:val="bottom"/>
            <w:gridSpan w:val="2"/>
            <w:shd w:val="clear" w:color="auto" w:fill="CFF0FC"/>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(59,59</w:t>
            </w:r>
          </w:p>
        </w:tc>
        <w:tc>
          <w:tcPr>
            <w:tcW w:w="680" w:type="dxa"/>
            <w:vAlign w:val="bottom"/>
          </w:tcPr>
          <w:p>
            <w:pPr>
              <w:spacing w:after="0"/>
              <w:rPr>
                <w:sz w:val="16"/>
                <w:szCs w:val="16"/>
                <w:color w:val="auto"/>
              </w:rPr>
            </w:pPr>
          </w:p>
        </w:tc>
      </w:tr>
      <w:tr>
        <w:trPr>
          <w:trHeight w:val="234"/>
        </w:trPr>
        <w:tc>
          <w:tcPr>
            <w:tcW w:w="45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tcPr>
          <w:p>
            <w:pPr>
              <w:spacing w:after="0"/>
              <w:rPr>
                <w:sz w:val="20"/>
                <w:szCs w:val="20"/>
                <w:color w:val="auto"/>
              </w:rPr>
            </w:pPr>
          </w:p>
        </w:tc>
      </w:tr>
      <w:tr>
        <w:trPr>
          <w:trHeight w:val="198"/>
        </w:trPr>
        <w:tc>
          <w:tcPr>
            <w:tcW w:w="45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Other income, net</w:t>
            </w:r>
          </w:p>
        </w:tc>
        <w:tc>
          <w:tcPr>
            <w:tcW w:w="1440" w:type="dxa"/>
            <w:vAlign w:val="bottom"/>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1,7</w:t>
            </w:r>
          </w:p>
        </w:tc>
        <w:tc>
          <w:tcPr>
            <w:tcW w:w="16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2,7</w:t>
            </w:r>
          </w:p>
        </w:tc>
        <w:tc>
          <w:tcPr>
            <w:tcW w:w="1460" w:type="dxa"/>
            <w:vAlign w:val="bottom"/>
            <w:gridSpan w:val="2"/>
          </w:tcPr>
          <w:p>
            <w:pPr>
              <w:jc w:val="right"/>
              <w:ind w:right="13"/>
              <w:spacing w:after="0" w:line="198" w:lineRule="exact"/>
              <w:rPr>
                <w:sz w:val="20"/>
                <w:szCs w:val="20"/>
                <w:color w:val="auto"/>
              </w:rPr>
            </w:pPr>
            <w:r>
              <w:rPr>
                <w:rFonts w:ascii="Times New Roman" w:cs="Times New Roman" w:eastAsia="Times New Roman" w:hAnsi="Times New Roman"/>
                <w:sz w:val="18"/>
                <w:szCs w:val="18"/>
                <w:color w:val="auto"/>
              </w:rPr>
              <w:t>5,3</w:t>
            </w:r>
          </w:p>
        </w:tc>
        <w:tc>
          <w:tcPr>
            <w:tcW w:w="146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7,8</w:t>
            </w:r>
          </w:p>
        </w:tc>
        <w:tc>
          <w:tcPr>
            <w:tcW w:w="680" w:type="dxa"/>
            <w:vAlign w:val="bottom"/>
          </w:tcPr>
          <w:p>
            <w:pPr>
              <w:spacing w:after="0"/>
              <w:rPr>
                <w:sz w:val="17"/>
                <w:szCs w:val="17"/>
                <w:color w:val="auto"/>
              </w:rPr>
            </w:pPr>
          </w:p>
        </w:tc>
      </w:tr>
      <w:tr>
        <w:trPr>
          <w:trHeight w:val="234"/>
        </w:trPr>
        <w:tc>
          <w:tcPr>
            <w:tcW w:w="4520" w:type="dxa"/>
            <w:vAlign w:val="bottom"/>
          </w:tcPr>
          <w:p>
            <w:pPr>
              <w:spacing w:after="0"/>
              <w:rPr>
                <w:sz w:val="20"/>
                <w:szCs w:val="20"/>
                <w:color w:val="auto"/>
              </w:rPr>
            </w:pPr>
          </w:p>
        </w:tc>
        <w:tc>
          <w:tcPr>
            <w:tcW w:w="1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680" w:type="dxa"/>
            <w:vAlign w:val="bottom"/>
          </w:tcPr>
          <w:p>
            <w:pPr>
              <w:spacing w:after="0"/>
              <w:rPr>
                <w:sz w:val="20"/>
                <w:szCs w:val="20"/>
                <w:color w:val="auto"/>
              </w:rPr>
            </w:pPr>
          </w:p>
        </w:tc>
      </w:tr>
      <w:tr>
        <w:trPr>
          <w:trHeight w:val="191"/>
        </w:trPr>
        <w:tc>
          <w:tcPr>
            <w:tcW w:w="45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loss</w:t>
            </w:r>
          </w:p>
        </w:tc>
        <w:tc>
          <w:tcPr>
            <w:tcW w:w="1440" w:type="dxa"/>
            <w:vAlign w:val="bottom"/>
            <w:shd w:val="clear" w:color="auto" w:fill="CFF0FC"/>
          </w:tcPr>
          <w:p>
            <w:pPr>
              <w:jc w:val="right"/>
              <w:ind w:right="632"/>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6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73"/>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6"/>
                <w:szCs w:val="16"/>
                <w:color w:val="auto"/>
              </w:rPr>
            </w:pPr>
          </w:p>
        </w:tc>
      </w:tr>
      <w:tr>
        <w:trPr>
          <w:trHeight w:val="274"/>
        </w:trPr>
        <w:tc>
          <w:tcPr>
            <w:tcW w:w="45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(47,712)</w:t>
            </w:r>
          </w:p>
        </w:tc>
        <w:tc>
          <w:tcPr>
            <w:tcW w:w="24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2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(103,175)</w:t>
            </w:r>
          </w:p>
        </w:tc>
        <w:tc>
          <w:tcPr>
            <w:tcW w:w="24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(51,780)</w:t>
            </w:r>
          </w:p>
        </w:tc>
        <w:tc>
          <w:tcPr>
            <w:tcW w:w="680" w:type="dxa"/>
            <w:vAlign w:val="bottom"/>
          </w:tcPr>
          <w:p>
            <w:pPr>
              <w:spacing w:after="0"/>
              <w:rPr>
                <w:sz w:val="23"/>
                <w:szCs w:val="23"/>
                <w:color w:val="auto"/>
              </w:rPr>
            </w:pPr>
          </w:p>
        </w:tc>
      </w:tr>
      <w:tr>
        <w:trPr>
          <w:trHeight w:val="178"/>
        </w:trPr>
        <w:tc>
          <w:tcPr>
            <w:tcW w:w="4520" w:type="dxa"/>
            <w:vAlign w:val="bottom"/>
          </w:tcPr>
          <w:p>
            <w:pPr>
              <w:ind w:left="100"/>
              <w:spacing w:after="0" w:line="178"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440" w:type="dxa"/>
            <w:vAlign w:val="bottom"/>
          </w:tcPr>
          <w:p>
            <w:pPr>
              <w:ind w:left="4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810"/>
              <w:spacing w:after="0" w:line="178"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33"/>
              <w:spacing w:after="0" w:line="178"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50"/>
              <w:spacing w:after="0" w:line="17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r>
      <w:tr>
        <w:trPr>
          <w:trHeight w:val="234"/>
        </w:trPr>
        <w:tc>
          <w:tcPr>
            <w:tcW w:w="452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c>
          <w:tcPr>
            <w:tcW w:w="680" w:type="dxa"/>
            <w:vAlign w:val="bottom"/>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8"/>
        </w:trPr>
        <w:tc>
          <w:tcPr>
            <w:tcW w:w="4520" w:type="dxa"/>
            <w:vAlign w:val="bottom"/>
            <w:shd w:val="clear" w:color="auto" w:fill="CFF0FC"/>
          </w:tcPr>
          <w:p>
            <w:pPr>
              <w:ind w:left="100"/>
              <w:spacing w:after="0" w:line="178"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440" w:type="dxa"/>
            <w:vAlign w:val="bottom"/>
            <w:shd w:val="clear" w:color="auto" w:fill="CFF0FC"/>
          </w:tcPr>
          <w:p>
            <w:pPr>
              <w:jc w:val="right"/>
              <w:ind w:right="12"/>
              <w:spacing w:after="0" w:line="178" w:lineRule="exact"/>
              <w:rPr>
                <w:sz w:val="20"/>
                <w:szCs w:val="20"/>
                <w:color w:val="auto"/>
              </w:rPr>
            </w:pPr>
            <w:r>
              <w:rPr>
                <w:rFonts w:ascii="Times New Roman" w:cs="Times New Roman" w:eastAsia="Times New Roman" w:hAnsi="Times New Roman"/>
                <w:sz w:val="18"/>
                <w:szCs w:val="18"/>
                <w:color w:val="auto"/>
              </w:rPr>
              <w:t>78,324,7</w:t>
            </w:r>
          </w:p>
        </w:tc>
        <w:tc>
          <w:tcPr>
            <w:tcW w:w="1680" w:type="dxa"/>
            <w:vAlign w:val="bottom"/>
            <w:gridSpan w:val="2"/>
            <w:shd w:val="clear" w:color="auto" w:fill="CFF0FC"/>
          </w:tcPr>
          <w:p>
            <w:pPr>
              <w:jc w:val="right"/>
              <w:ind w:right="10"/>
              <w:spacing w:after="0" w:line="178" w:lineRule="exact"/>
              <w:rPr>
                <w:sz w:val="20"/>
                <w:szCs w:val="20"/>
                <w:color w:val="auto"/>
              </w:rPr>
            </w:pPr>
            <w:r>
              <w:rPr>
                <w:rFonts w:ascii="Times New Roman" w:cs="Times New Roman" w:eastAsia="Times New Roman" w:hAnsi="Times New Roman"/>
                <w:sz w:val="18"/>
                <w:szCs w:val="18"/>
                <w:color w:val="auto"/>
              </w:rPr>
              <w:t>63,806,1</w:t>
            </w:r>
          </w:p>
        </w:tc>
        <w:tc>
          <w:tcPr>
            <w:tcW w:w="1460" w:type="dxa"/>
            <w:vAlign w:val="bottom"/>
            <w:gridSpan w:val="2"/>
            <w:shd w:val="clear" w:color="auto" w:fill="CFF0FC"/>
          </w:tcPr>
          <w:p>
            <w:pPr>
              <w:jc w:val="right"/>
              <w:ind w:right="13"/>
              <w:spacing w:after="0" w:line="178" w:lineRule="exact"/>
              <w:rPr>
                <w:sz w:val="20"/>
                <w:szCs w:val="20"/>
                <w:color w:val="auto"/>
              </w:rPr>
            </w:pPr>
            <w:r>
              <w:rPr>
                <w:rFonts w:ascii="Times New Roman" w:cs="Times New Roman" w:eastAsia="Times New Roman" w:hAnsi="Times New Roman"/>
                <w:sz w:val="18"/>
                <w:szCs w:val="18"/>
                <w:color w:val="auto"/>
              </w:rPr>
              <w:t>68,824,8</w:t>
            </w:r>
          </w:p>
        </w:tc>
        <w:tc>
          <w:tcPr>
            <w:tcW w:w="1460" w:type="dxa"/>
            <w:vAlign w:val="bottom"/>
            <w:gridSpan w:val="2"/>
            <w:shd w:val="clear" w:color="auto" w:fill="CFF0FC"/>
          </w:tcPr>
          <w:p>
            <w:pPr>
              <w:jc w:val="right"/>
              <w:ind w:right="10"/>
              <w:spacing w:after="0" w:line="178" w:lineRule="exact"/>
              <w:rPr>
                <w:sz w:val="20"/>
                <w:szCs w:val="20"/>
                <w:color w:val="auto"/>
              </w:rPr>
            </w:pPr>
            <w:r>
              <w:rPr>
                <w:rFonts w:ascii="Times New Roman" w:cs="Times New Roman" w:eastAsia="Times New Roman" w:hAnsi="Times New Roman"/>
                <w:sz w:val="18"/>
                <w:szCs w:val="18"/>
                <w:color w:val="auto"/>
              </w:rPr>
              <w:t>60,399,6</w:t>
            </w:r>
          </w:p>
        </w:tc>
        <w:tc>
          <w:tcPr>
            <w:tcW w:w="680" w:type="dxa"/>
            <w:vAlign w:val="bottom"/>
          </w:tcPr>
          <w:p>
            <w:pPr>
              <w:spacing w:after="0"/>
              <w:rPr>
                <w:sz w:val="15"/>
                <w:szCs w:val="15"/>
                <w:color w:val="auto"/>
              </w:rPr>
            </w:pPr>
          </w:p>
        </w:tc>
      </w:tr>
      <w:tr>
        <w:trPr>
          <w:trHeight w:val="274"/>
        </w:trPr>
        <w:tc>
          <w:tcPr>
            <w:tcW w:w="4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diluted</w:t>
            </w: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16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680" w:type="dxa"/>
            <w:vAlign w:val="bottom"/>
          </w:tcPr>
          <w:p>
            <w:pPr>
              <w:spacing w:after="0"/>
              <w:rPr>
                <w:sz w:val="23"/>
                <w:szCs w:val="23"/>
                <w:color w:val="auto"/>
              </w:rPr>
            </w:pPr>
          </w:p>
        </w:tc>
      </w:tr>
      <w:tr>
        <w:trPr>
          <w:trHeight w:val="219"/>
        </w:trPr>
        <w:tc>
          <w:tcPr>
            <w:tcW w:w="452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Comprehensive loss:</w:t>
            </w:r>
          </w:p>
        </w:tc>
        <w:tc>
          <w:tcPr>
            <w:tcW w:w="14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r>
      <w:tr>
        <w:trPr>
          <w:trHeight w:val="202"/>
        </w:trPr>
        <w:tc>
          <w:tcPr>
            <w:tcW w:w="4520" w:type="dxa"/>
            <w:vAlign w:val="bottom"/>
            <w:shd w:val="clear" w:color="auto" w:fill="CFF0FC"/>
          </w:tcPr>
          <w:p>
            <w:pPr>
              <w:ind w:left="10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440" w:type="dxa"/>
            <w:vAlign w:val="bottom"/>
            <w:shd w:val="clear" w:color="auto" w:fill="CFF0FC"/>
          </w:tcPr>
          <w:p>
            <w:pPr>
              <w:jc w:val="right"/>
              <w:ind w:right="632"/>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6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73"/>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7"/>
                <w:szCs w:val="17"/>
                <w:color w:val="auto"/>
              </w:rPr>
            </w:pPr>
          </w:p>
        </w:tc>
      </w:tr>
      <w:tr>
        <w:trPr>
          <w:trHeight w:val="234"/>
        </w:trPr>
        <w:tc>
          <w:tcPr>
            <w:tcW w:w="45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(47,712)</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(103,175)</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(51,780)</w:t>
            </w:r>
          </w:p>
        </w:tc>
        <w:tc>
          <w:tcPr>
            <w:tcW w:w="680" w:type="dxa"/>
            <w:vAlign w:val="bottom"/>
          </w:tcPr>
          <w:p>
            <w:pPr>
              <w:spacing w:after="0"/>
              <w:rPr>
                <w:sz w:val="20"/>
                <w:szCs w:val="20"/>
                <w:color w:val="auto"/>
              </w:rPr>
            </w:pPr>
          </w:p>
        </w:tc>
      </w:tr>
      <w:tr>
        <w:trPr>
          <w:trHeight w:val="230"/>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98"/>
        </w:trPr>
        <w:tc>
          <w:tcPr>
            <w:tcW w:w="452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4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w:t>
            </w:r>
          </w:p>
        </w:tc>
        <w:tc>
          <w:tcPr>
            <w:tcW w:w="146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(8</w:t>
            </w:r>
          </w:p>
        </w:tc>
        <w:tc>
          <w:tcPr>
            <w:tcW w:w="1460" w:type="dxa"/>
            <w:vAlign w:val="bottom"/>
            <w:gridSpan w:val="2"/>
            <w:shd w:val="clear" w:color="auto" w:fill="CFF0FC"/>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7"/>
                <w:szCs w:val="17"/>
                <w:color w:val="auto"/>
              </w:rPr>
            </w:pPr>
          </w:p>
        </w:tc>
      </w:tr>
      <w:tr>
        <w:trPr>
          <w:trHeight w:val="234"/>
        </w:trPr>
        <w:tc>
          <w:tcPr>
            <w:tcW w:w="45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75</w:t>
            </w:r>
          </w:p>
        </w:tc>
        <w:tc>
          <w:tcPr>
            <w:tcW w:w="16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680" w:type="dxa"/>
            <w:vAlign w:val="bottom"/>
          </w:tcPr>
          <w:p>
            <w:pPr>
              <w:spacing w:after="0"/>
              <w:rPr>
                <w:sz w:val="20"/>
                <w:szCs w:val="20"/>
                <w:color w:val="auto"/>
              </w:rPr>
            </w:pPr>
          </w:p>
        </w:tc>
      </w:tr>
      <w:tr>
        <w:trPr>
          <w:trHeight w:val="191"/>
        </w:trPr>
        <w:tc>
          <w:tcPr>
            <w:tcW w:w="4520" w:type="dxa"/>
            <w:vAlign w:val="bottom"/>
          </w:tcPr>
          <w:p>
            <w:pPr>
              <w:ind w:left="400"/>
              <w:spacing w:after="0" w:line="191" w:lineRule="exact"/>
              <w:rPr>
                <w:sz w:val="20"/>
                <w:szCs w:val="20"/>
                <w:color w:val="auto"/>
              </w:rPr>
            </w:pPr>
            <w:r>
              <w:rPr>
                <w:rFonts w:ascii="Times New Roman" w:cs="Times New Roman" w:eastAsia="Times New Roman" w:hAnsi="Times New Roman"/>
                <w:sz w:val="18"/>
                <w:szCs w:val="18"/>
                <w:color w:val="auto"/>
              </w:rPr>
              <w:t>Total other comprehensive gain (loss)</w:t>
            </w:r>
          </w:p>
        </w:tc>
        <w:tc>
          <w:tcPr>
            <w:tcW w:w="14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6"/>
                <w:szCs w:val="16"/>
                <w:color w:val="auto"/>
              </w:rPr>
            </w:pPr>
          </w:p>
        </w:tc>
        <w:tc>
          <w:tcPr>
            <w:tcW w:w="122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6"/>
                <w:szCs w:val="16"/>
                <w:color w:val="auto"/>
              </w:rPr>
            </w:pPr>
          </w:p>
        </w:tc>
      </w:tr>
      <w:tr>
        <w:trPr>
          <w:trHeight w:val="234"/>
        </w:trPr>
        <w:tc>
          <w:tcPr>
            <w:tcW w:w="4520" w:type="dxa"/>
            <w:vAlign w:val="bottom"/>
          </w:tcPr>
          <w:p>
            <w:pPr>
              <w:spacing w:after="0"/>
              <w:rPr>
                <w:sz w:val="20"/>
                <w:szCs w:val="20"/>
                <w:color w:val="auto"/>
              </w:rPr>
            </w:pPr>
          </w:p>
        </w:tc>
        <w:tc>
          <w:tcPr>
            <w:tcW w:w="1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680" w:type="dxa"/>
            <w:vAlign w:val="bottom"/>
          </w:tcPr>
          <w:p>
            <w:pPr>
              <w:spacing w:after="0"/>
              <w:rPr>
                <w:sz w:val="20"/>
                <w:szCs w:val="20"/>
                <w:color w:val="auto"/>
              </w:rPr>
            </w:pPr>
          </w:p>
        </w:tc>
      </w:tr>
      <w:tr>
        <w:trPr>
          <w:trHeight w:val="191"/>
        </w:trPr>
        <w:tc>
          <w:tcPr>
            <w:tcW w:w="45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comprehensive loss</w:t>
            </w:r>
          </w:p>
        </w:tc>
        <w:tc>
          <w:tcPr>
            <w:tcW w:w="1440" w:type="dxa"/>
            <w:vAlign w:val="bottom"/>
            <w:shd w:val="clear" w:color="auto" w:fill="CFF0FC"/>
          </w:tcPr>
          <w:p>
            <w:pPr>
              <w:jc w:val="right"/>
              <w:ind w:right="632"/>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6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73"/>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6"/>
                <w:szCs w:val="16"/>
                <w:color w:val="auto"/>
              </w:rPr>
            </w:pPr>
          </w:p>
        </w:tc>
      </w:tr>
      <w:tr>
        <w:trPr>
          <w:trHeight w:val="274"/>
        </w:trPr>
        <w:tc>
          <w:tcPr>
            <w:tcW w:w="4520" w:type="dxa"/>
            <w:vAlign w:val="bottom"/>
            <w:shd w:val="clear" w:color="auto" w:fill="CFF0FC"/>
          </w:tcPr>
          <w:p>
            <w:pPr>
              <w:spacing w:after="0"/>
              <w:rPr>
                <w:sz w:val="23"/>
                <w:szCs w:val="23"/>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(47,637)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(103,257)</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(51,503)</w:t>
            </w:r>
          </w:p>
        </w:tc>
        <w:tc>
          <w:tcPr>
            <w:tcW w:w="680" w:type="dxa"/>
            <w:vAlign w:val="bottom"/>
          </w:tcPr>
          <w:p>
            <w:pPr>
              <w:spacing w:after="0"/>
              <w:rPr>
                <w:sz w:val="23"/>
                <w:szCs w:val="23"/>
                <w:color w:val="auto"/>
              </w:rPr>
            </w:pPr>
          </w:p>
        </w:tc>
      </w:tr>
      <w:tr>
        <w:trPr>
          <w:trHeight w:val="1608"/>
        </w:trPr>
        <w:tc>
          <w:tcPr>
            <w:tcW w:w="4520" w:type="dxa"/>
            <w:vAlign w:val="bottom"/>
            <w:tcBorders>
              <w:top w:val="single" w:sz="8" w:color="CFF0FC"/>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220" w:type="dxa"/>
            <w:vAlign w:val="bottom"/>
            <w:tcBorders>
              <w:top w:val="single" w:sz="8" w:color="auto"/>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-4234180</wp:posOffset>
            </wp:positionV>
            <wp:extent cx="1543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-4234180</wp:posOffset>
            </wp:positionV>
            <wp:extent cx="1543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-4234180</wp:posOffset>
            </wp:positionV>
            <wp:extent cx="1543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-3110865</wp:posOffset>
            </wp:positionV>
            <wp:extent cx="1543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-3093720</wp:posOffset>
            </wp:positionV>
            <wp:extent cx="1543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-3110865</wp:posOffset>
            </wp:positionV>
            <wp:extent cx="154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-3093720</wp:posOffset>
            </wp:positionV>
            <wp:extent cx="154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-3110865</wp:posOffset>
            </wp:positionV>
            <wp:extent cx="154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-3093720</wp:posOffset>
            </wp:positionV>
            <wp:extent cx="1543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-2510790</wp:posOffset>
            </wp:positionV>
            <wp:extent cx="1543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-2493645</wp:posOffset>
            </wp:positionV>
            <wp:extent cx="1543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-2510790</wp:posOffset>
            </wp:positionV>
            <wp:extent cx="1543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-2493645</wp:posOffset>
            </wp:positionV>
            <wp:extent cx="154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-2510790</wp:posOffset>
            </wp:positionV>
            <wp:extent cx="1543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-2493645</wp:posOffset>
            </wp:positionV>
            <wp:extent cx="154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-1649095</wp:posOffset>
            </wp:positionV>
            <wp:extent cx="179705" cy="316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9705" cy="316865"/>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-1649095</wp:posOffset>
            </wp:positionV>
            <wp:extent cx="179705" cy="316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9705" cy="31686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-1649095</wp:posOffset>
            </wp:positionV>
            <wp:extent cx="179705" cy="316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9705" cy="31686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-1071245</wp:posOffset>
            </wp:positionV>
            <wp:extent cx="1543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-1053465</wp:posOffset>
            </wp:positionV>
            <wp:extent cx="1543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-1071245</wp:posOffset>
            </wp:positionV>
            <wp:extent cx="154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-1053465</wp:posOffset>
            </wp:positionV>
            <wp:extent cx="154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-1071245</wp:posOffset>
            </wp:positionV>
            <wp:extent cx="1543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-1053465</wp:posOffset>
            </wp:positionV>
            <wp:extent cx="1543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2025-11-05T06:13:08Z</dcterms:created>
  <dcterms:modified xsi:type="dcterms:W3CDTF">2025-11-05T06:13:08Z</dcterms:modified>
</cp:coreProperties>
</file>