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107315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135255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3"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5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7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 w:lineRule="exact"/>
        <w:rPr>
          <w:sz w:val="24"/>
          <w:szCs w:val="24"/>
          <w:color w:val="auto"/>
        </w:rPr>
      </w:pPr>
    </w:p>
    <w:tbl>
      <w:tblPr>
        <w:tblLayout w:type="fixed"/>
        <w:tblInd w:w="374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6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640" w:type="dxa"/>
            <w:vAlign w:val="bottom"/>
            <w:tcBorders>
              <w:bottom w:val="single" w:sz="8" w:color="auto"/>
            </w:tcBorders>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71"/>
        </w:trPr>
        <w:tc>
          <w:tcPr>
            <w:tcW w:w="3860" w:type="dxa"/>
            <w:vAlign w:val="bottom"/>
            <w:gridSpan w:val="4"/>
          </w:tcPr>
          <w:p>
            <w:pPr>
              <w:ind w:left="720"/>
              <w:spacing w:after="0"/>
              <w:rPr>
                <w:sz w:val="20"/>
                <w:szCs w:val="20"/>
                <w:color w:val="auto"/>
              </w:rPr>
            </w:pPr>
            <w:r>
              <w:rPr>
                <w:rFonts w:ascii="Arial" w:cs="Arial" w:eastAsia="Arial" w:hAnsi="Arial"/>
                <w:sz w:val="16"/>
                <w:szCs w:val="16"/>
                <w:b w:val="1"/>
                <w:bCs w:val="1"/>
                <w:color w:val="auto"/>
              </w:rPr>
              <w:t>Commission File Number 001-36510</w:t>
            </w:r>
          </w:p>
        </w:tc>
        <w:tc>
          <w:tcPr>
            <w:tcW w:w="8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115570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6" w:lineRule="exact"/>
        <w:rPr>
          <w:sz w:val="24"/>
          <w:szCs w:val="24"/>
          <w:color w:val="auto"/>
        </w:rPr>
      </w:pPr>
    </w:p>
    <w:tbl>
      <w:tblPr>
        <w:tblLayout w:type="fixed"/>
        <w:tblInd w:w="540" w:type="dxa"/>
        <w:tblCellMar>
          <w:top w:w="0" w:type="dxa"/>
          <w:left w:w="0" w:type="dxa"/>
          <w:bottom w:w="0" w:type="dxa"/>
          <w:right w:w="0" w:type="dxa"/>
        </w:tblCellMar>
      </w:tblPr>
      <w:tr>
        <w:trPr>
          <w:trHeight w:val="529"/>
        </w:trPr>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0" w:type="dxa"/>
            <w:vAlign w:val="bottom"/>
            <w:gridSpan w:val="4"/>
          </w:tcPr>
          <w:p>
            <w:pPr>
              <w:jc w:val="center"/>
              <w:ind w:right="210"/>
              <w:spacing w:after="0"/>
              <w:rPr>
                <w:sz w:val="20"/>
                <w:szCs w:val="20"/>
                <w:color w:val="auto"/>
              </w:rPr>
            </w:pPr>
            <w:r>
              <w:rPr>
                <w:rFonts w:ascii="Arial" w:cs="Arial" w:eastAsia="Arial" w:hAnsi="Arial"/>
                <w:sz w:val="43"/>
                <w:szCs w:val="43"/>
                <w:b w:val="1"/>
                <w:bCs w:val="1"/>
                <w:color w:val="auto"/>
              </w:rPr>
              <w:t>ZAFGEN, INC.</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0" w:type="dxa"/>
            <w:vAlign w:val="bottom"/>
            <w:gridSpan w:val="4"/>
          </w:tcPr>
          <w:p>
            <w:pPr>
              <w:jc w:val="center"/>
              <w:ind w:right="23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tcPr>
          <w:p>
            <w:pPr>
              <w:spacing w:after="0"/>
              <w:rPr>
                <w:sz w:val="16"/>
                <w:szCs w:val="16"/>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70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restart"/>
          </w:tcPr>
          <w:p>
            <w:pPr>
              <w:jc w:val="center"/>
              <w:ind w:right="28"/>
              <w:spacing w:after="0"/>
              <w:rPr>
                <w:sz w:val="20"/>
                <w:szCs w:val="20"/>
                <w:color w:val="auto"/>
              </w:rPr>
            </w:pPr>
            <w:r>
              <w:rPr>
                <w:rFonts w:ascii="Arial" w:cs="Arial" w:eastAsia="Arial" w:hAnsi="Arial"/>
                <w:sz w:val="16"/>
                <w:szCs w:val="16"/>
                <w:b w:val="1"/>
                <w:bCs w:val="1"/>
                <w:color w:val="auto"/>
                <w:w w:val="91"/>
              </w:rPr>
              <w:t>20-3857670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520" w:type="dxa"/>
            <w:vAlign w:val="bottom"/>
          </w:tcPr>
          <w:p>
            <w:pPr>
              <w:spacing w:after="0"/>
              <w:rPr>
                <w:sz w:val="23"/>
                <w:szCs w:val="23"/>
                <w:color w:val="auto"/>
              </w:rPr>
            </w:pPr>
          </w:p>
        </w:tc>
        <w:tc>
          <w:tcPr>
            <w:tcW w:w="1800" w:type="dxa"/>
            <w:vAlign w:val="bottom"/>
            <w:vMerge w:val="continue"/>
          </w:tcPr>
          <w:p>
            <w:pPr>
              <w:spacing w:after="0"/>
              <w:rPr>
                <w:sz w:val="23"/>
                <w:szCs w:val="23"/>
                <w:color w:val="auto"/>
              </w:rPr>
            </w:pPr>
          </w:p>
        </w:tc>
        <w:tc>
          <w:tcPr>
            <w:tcW w:w="7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7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2"/>
          </w:tcPr>
          <w:p>
            <w:pPr>
              <w:jc w:val="center"/>
              <w:ind w:right="683"/>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88"/>
              </w:rPr>
              <w:t>incorporation or organization)</w:t>
            </w:r>
          </w:p>
        </w:tc>
        <w:tc>
          <w:tcPr>
            <w:tcW w:w="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2"/>
          </w:tcPr>
          <w:p>
            <w:pPr>
              <w:jc w:val="center"/>
              <w:ind w:right="663"/>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299"/>
        </w:trPr>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00" w:type="dxa"/>
            <w:vAlign w:val="bottom"/>
            <w:gridSpan w:val="3"/>
          </w:tcPr>
          <w:p>
            <w:pPr>
              <w:jc w:val="center"/>
              <w:ind w:right="910"/>
              <w:spacing w:after="0"/>
              <w:rPr>
                <w:sz w:val="20"/>
                <w:szCs w:val="20"/>
                <w:color w:val="auto"/>
              </w:rPr>
            </w:pPr>
            <w:r>
              <w:rPr>
                <w:rFonts w:ascii="Arial" w:cs="Arial" w:eastAsia="Arial" w:hAnsi="Arial"/>
                <w:sz w:val="16"/>
                <w:szCs w:val="16"/>
                <w:b w:val="1"/>
                <w:bCs w:val="1"/>
                <w:color w:val="auto"/>
                <w:w w:val="94"/>
              </w:rPr>
              <w:t>Zafgen, Inc.</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00" w:type="dxa"/>
            <w:vAlign w:val="bottom"/>
            <w:gridSpan w:val="3"/>
          </w:tcPr>
          <w:p>
            <w:pPr>
              <w:jc w:val="center"/>
              <w:ind w:right="910"/>
              <w:spacing w:after="0"/>
              <w:rPr>
                <w:sz w:val="20"/>
                <w:szCs w:val="20"/>
                <w:color w:val="auto"/>
              </w:rPr>
            </w:pPr>
            <w:r>
              <w:rPr>
                <w:rFonts w:ascii="Arial" w:cs="Arial" w:eastAsia="Arial" w:hAnsi="Arial"/>
                <w:sz w:val="16"/>
                <w:szCs w:val="16"/>
                <w:b w:val="1"/>
                <w:bCs w:val="1"/>
                <w:color w:val="auto"/>
                <w:w w:val="93"/>
              </w:rPr>
              <w:t>175 Portland Street, 4th Floor</w:t>
            </w:r>
          </w:p>
        </w:tc>
        <w:tc>
          <w:tcPr>
            <w:tcW w:w="1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00" w:type="dxa"/>
            <w:vAlign w:val="bottom"/>
            <w:gridSpan w:val="3"/>
          </w:tcPr>
          <w:p>
            <w:pPr>
              <w:jc w:val="center"/>
              <w:ind w:right="910"/>
              <w:spacing w:after="0"/>
              <w:rPr>
                <w:sz w:val="20"/>
                <w:szCs w:val="20"/>
                <w:color w:val="auto"/>
              </w:rPr>
            </w:pPr>
            <w:r>
              <w:rPr>
                <w:rFonts w:ascii="Arial" w:cs="Arial" w:eastAsia="Arial" w:hAnsi="Arial"/>
                <w:sz w:val="16"/>
                <w:szCs w:val="16"/>
                <w:b w:val="1"/>
                <w:bCs w:val="1"/>
                <w:color w:val="auto"/>
                <w:w w:val="87"/>
              </w:rPr>
              <w:t>Boston, Massachusetts 02114</w:t>
            </w:r>
          </w:p>
        </w:tc>
        <w:tc>
          <w:tcPr>
            <w:tcW w:w="1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00" w:type="dxa"/>
            <w:vAlign w:val="bottom"/>
            <w:gridSpan w:val="4"/>
          </w:tcPr>
          <w:p>
            <w:pPr>
              <w:jc w:val="center"/>
              <w:ind w:right="210"/>
              <w:spacing w:after="0"/>
              <w:rPr>
                <w:sz w:val="20"/>
                <w:szCs w:val="20"/>
                <w:color w:val="auto"/>
              </w:rPr>
            </w:pPr>
            <w:r>
              <w:rPr>
                <w:rFonts w:ascii="Arial" w:cs="Arial" w:eastAsia="Arial" w:hAnsi="Arial"/>
                <w:sz w:val="13"/>
                <w:szCs w:val="13"/>
                <w:b w:val="1"/>
                <w:bCs w:val="1"/>
                <w:color w:val="auto"/>
                <w:w w:val="85"/>
              </w:rPr>
              <w:t>(Address of principal executive offices, including zip code)</w:t>
            </w: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520" w:type="dxa"/>
            <w:vAlign w:val="bottom"/>
          </w:tcPr>
          <w:p>
            <w:pPr>
              <w:spacing w:after="0"/>
              <w:rPr>
                <w:sz w:val="20"/>
                <w:szCs w:val="20"/>
                <w:color w:val="auto"/>
              </w:rPr>
            </w:pPr>
          </w:p>
        </w:tc>
        <w:tc>
          <w:tcPr>
            <w:tcW w:w="5800" w:type="dxa"/>
            <w:vAlign w:val="bottom"/>
            <w:gridSpan w:val="5"/>
          </w:tcPr>
          <w:p>
            <w:pPr>
              <w:jc w:val="center"/>
              <w:ind w:left="1425"/>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1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0" w:type="dxa"/>
            <w:vAlign w:val="bottom"/>
            <w:gridSpan w:val="2"/>
          </w:tcPr>
          <w:p>
            <w:pPr>
              <w:jc w:val="center"/>
              <w:ind w:left="590"/>
              <w:spacing w:after="0"/>
              <w:rPr>
                <w:sz w:val="20"/>
                <w:szCs w:val="20"/>
                <w:color w:val="auto"/>
              </w:rPr>
            </w:pPr>
            <w:r>
              <w:rPr>
                <w:rFonts w:ascii="Arial" w:cs="Arial" w:eastAsia="Arial" w:hAnsi="Arial"/>
                <w:sz w:val="16"/>
                <w:szCs w:val="16"/>
                <w:b w:val="1"/>
                <w:bCs w:val="1"/>
                <w:color w:val="auto"/>
                <w:w w:val="93"/>
              </w:rPr>
              <w:t>(617) 622-4003</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2"/>
                <w:szCs w:val="22"/>
                <w:color w:val="auto"/>
              </w:rPr>
            </w:pPr>
          </w:p>
        </w:tc>
        <w:tc>
          <w:tcPr>
            <w:tcW w:w="5800" w:type="dxa"/>
            <w:vAlign w:val="bottom"/>
            <w:gridSpan w:val="5"/>
          </w:tcPr>
          <w:p>
            <w:pPr>
              <w:jc w:val="center"/>
              <w:ind w:left="1445"/>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320" w:type="dxa"/>
            <w:vAlign w:val="bottom"/>
            <w:gridSpan w:val="2"/>
          </w:tcPr>
          <w:p>
            <w:pPr>
              <w:jc w:val="center"/>
              <w:ind w:left="1448"/>
              <w:spacing w:after="0"/>
              <w:rPr>
                <w:sz w:val="20"/>
                <w:szCs w:val="20"/>
                <w:color w:val="auto"/>
              </w:rPr>
            </w:pPr>
            <w:r>
              <w:rPr>
                <w:rFonts w:ascii="Arial" w:cs="Arial" w:eastAsia="Arial" w:hAnsi="Arial"/>
                <w:sz w:val="13"/>
                <w:szCs w:val="13"/>
                <w:b w:val="1"/>
                <w:bCs w:val="1"/>
                <w:color w:val="auto"/>
                <w:w w:val="87"/>
              </w:rPr>
              <w:t xml:space="preserve">Common Stock, </w:t>
            </w:r>
            <w:r>
              <w:rPr>
                <w:rFonts w:ascii="Arial" w:cs="Arial" w:eastAsia="Arial" w:hAnsi="Arial"/>
                <w:sz w:val="13"/>
                <w:szCs w:val="13"/>
                <w:b w:val="1"/>
                <w:bCs w:val="1"/>
                <w:u w:val="single" w:color="auto"/>
                <w:color w:val="auto"/>
                <w:w w:val="87"/>
              </w:rPr>
              <w:t>$</w:t>
            </w:r>
            <w:r>
              <w:rPr>
                <w:rFonts w:ascii="Arial" w:cs="Arial" w:eastAsia="Arial" w:hAnsi="Arial"/>
                <w:sz w:val="13"/>
                <w:szCs w:val="13"/>
                <w:b w:val="1"/>
                <w:bCs w:val="1"/>
                <w:color w:val="auto"/>
                <w:w w:val="87"/>
              </w:rPr>
              <w:t>0.001 Par Value</w:t>
            </w:r>
          </w:p>
        </w:tc>
        <w:tc>
          <w:tcPr>
            <w:tcW w:w="7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60" w:type="dxa"/>
            <w:vAlign w:val="bottom"/>
            <w:gridSpan w:val="3"/>
          </w:tcPr>
          <w:p>
            <w:pPr>
              <w:jc w:val="center"/>
              <w:ind w:right="583"/>
              <w:spacing w:after="0"/>
              <w:rPr>
                <w:sz w:val="20"/>
                <w:szCs w:val="20"/>
                <w:color w:val="auto"/>
              </w:rPr>
            </w:pPr>
            <w:r>
              <w:rPr>
                <w:rFonts w:ascii="Arial" w:cs="Arial" w:eastAsia="Arial" w:hAnsi="Arial"/>
                <w:sz w:val="13"/>
                <w:szCs w:val="13"/>
                <w:b w:val="1"/>
                <w:bCs w:val="1"/>
                <w:color w:val="auto"/>
                <w:w w:val="92"/>
              </w:rPr>
              <w:t>The NASDAQ Global Market</w:t>
            </w:r>
          </w:p>
        </w:tc>
        <w:tc>
          <w:tcPr>
            <w:tcW w:w="0" w:type="dxa"/>
            <w:vAlign w:val="bottom"/>
          </w:tcPr>
          <w:p>
            <w:pPr>
              <w:spacing w:after="0"/>
              <w:rPr>
                <w:sz w:val="1"/>
                <w:szCs w:val="1"/>
                <w:color w:val="auto"/>
              </w:rPr>
            </w:pPr>
          </w:p>
        </w:tc>
      </w:tr>
      <w:tr>
        <w:trPr>
          <w:trHeight w:val="31"/>
        </w:trPr>
        <w:tc>
          <w:tcPr>
            <w:tcW w:w="1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(Name of</w:t>
            </w:r>
          </w:p>
        </w:tc>
        <w:tc>
          <w:tcPr>
            <w:tcW w:w="1600" w:type="dxa"/>
            <w:vAlign w:val="bottom"/>
            <w:tcBorders>
              <w:bottom w:val="single" w:sz="8" w:color="auto"/>
            </w:tcBorders>
            <w:gridSpan w:val="2"/>
          </w:tcPr>
          <w:p>
            <w:pPr>
              <w:spacing w:after="0"/>
              <w:rPr>
                <w:sz w:val="2"/>
                <w:szCs w:val="2"/>
                <w:color w:val="auto"/>
              </w:rPr>
            </w:pPr>
          </w:p>
        </w:tc>
        <w:tc>
          <w:tcPr>
            <w:tcW w:w="660" w:type="dxa"/>
            <w:vAlign w:val="bottom"/>
            <w:vMerge w:val="restart"/>
          </w:tcPr>
          <w:p>
            <w:pPr>
              <w:spacing w:after="0"/>
              <w:rPr>
                <w:sz w:val="20"/>
                <w:szCs w:val="20"/>
                <w:color w:val="auto"/>
              </w:rPr>
            </w:pPr>
            <w:r>
              <w:rPr>
                <w:rFonts w:ascii="Arial" w:cs="Arial" w:eastAsia="Arial" w:hAnsi="Arial"/>
                <w:sz w:val="15"/>
                <w:szCs w:val="15"/>
                <w:b w:val="1"/>
                <w:bCs w:val="1"/>
                <w:color w:val="auto"/>
                <w:w w:val="82"/>
              </w:rPr>
              <w:t>registered)</w:t>
            </w: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89"/>
              </w:rPr>
              <w:t>(Title of each class)</w:t>
            </w:r>
          </w:p>
        </w:tc>
        <w:tc>
          <w:tcPr>
            <w:tcW w:w="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89"/>
              </w:rPr>
              <w:t>each exchange on which</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520" w:type="dxa"/>
            <w:vAlign w:val="bottom"/>
          </w:tcPr>
          <w:p>
            <w:pPr>
              <w:spacing w:after="0"/>
              <w:rPr>
                <w:sz w:val="17"/>
                <w:szCs w:val="17"/>
                <w:color w:val="auto"/>
              </w:rPr>
            </w:pPr>
          </w:p>
        </w:tc>
        <w:tc>
          <w:tcPr>
            <w:tcW w:w="5800" w:type="dxa"/>
            <w:vAlign w:val="bottom"/>
            <w:gridSpan w:val="5"/>
          </w:tcPr>
          <w:p>
            <w:pPr>
              <w:jc w:val="center"/>
              <w:ind w:left="1425"/>
              <w:spacing w:after="0"/>
              <w:rPr>
                <w:sz w:val="20"/>
                <w:szCs w:val="20"/>
                <w:color w:val="auto"/>
              </w:rPr>
            </w:pPr>
            <w:r>
              <w:rPr>
                <w:rFonts w:ascii="Arial" w:cs="Arial" w:eastAsia="Arial" w:hAnsi="Arial"/>
                <w:sz w:val="15"/>
                <w:szCs w:val="15"/>
                <w:b w:val="1"/>
                <w:bCs w:val="1"/>
                <w:color w:val="auto"/>
                <w:w w:val="91"/>
              </w:rPr>
              <w:t>Securities registered pursuant to Section 12(g) of the Act: NONE</w:t>
            </w:r>
          </w:p>
        </w:tc>
        <w:tc>
          <w:tcPr>
            <w:tcW w:w="1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2500" w:type="dxa"/>
            <w:vAlign w:val="bottom"/>
            <w:gridSpan w:val="2"/>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2"/>
            <w:vMerge w:val="restart"/>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58"/>
        </w:trPr>
        <w:tc>
          <w:tcPr>
            <w:tcW w:w="7320" w:type="dxa"/>
            <w:vAlign w:val="bottom"/>
            <w:gridSpan w:val="6"/>
          </w:tcPr>
          <w:p>
            <w:pPr>
              <w:spacing w:after="0"/>
              <w:rPr>
                <w:sz w:val="20"/>
                <w:szCs w:val="20"/>
                <w:color w:val="auto"/>
              </w:rPr>
            </w:pPr>
            <w:r>
              <w:rPr>
                <w:rFonts w:ascii="Arial" w:cs="Arial" w:eastAsia="Arial" w:hAnsi="Arial"/>
                <w:sz w:val="15"/>
                <w:szCs w:val="15"/>
                <w:color w:val="auto"/>
                <w:w w:val="94"/>
              </w:rPr>
              <w:t>Indicate by check mark if the registrant is a well-known seasoned issuer, as defined in Rule 405 of the Securities Act.</w:t>
            </w:r>
          </w:p>
        </w:tc>
        <w:tc>
          <w:tcPr>
            <w:tcW w:w="21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20" w:type="dxa"/>
            <w:vAlign w:val="bottom"/>
            <w:gridSpan w:val="6"/>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2180" w:type="dxa"/>
            <w:vAlign w:val="bottom"/>
            <w:gridSpan w:val="2"/>
          </w:tcPr>
          <w:p>
            <w:pPr>
              <w:ind w:left="1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firstLine="331"/>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left="200" w:right="100" w:firstLine="331"/>
        <w:spacing w:after="0" w:line="276"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w:t>
      </w:r>
    </w:p>
    <w:p>
      <w:pPr>
        <w:ind w:left="200"/>
        <w:spacing w:after="0" w:line="173" w:lineRule="exact"/>
        <w:tabs>
          <w:tab w:leader="none" w:pos="1560" w:val="left"/>
          <w:tab w:leader="none" w:pos="2100" w:val="left"/>
        </w:tabs>
        <w:rPr>
          <w:sz w:val="20"/>
          <w:szCs w:val="20"/>
          <w:color w:val="auto"/>
        </w:rPr>
      </w:pPr>
      <w:r>
        <w:rPr>
          <w:rFonts w:ascii="Arial" w:cs="Arial" w:eastAsia="Arial" w:hAnsi="Arial"/>
          <w:sz w:val="15"/>
          <w:szCs w:val="15"/>
          <w:color w:val="auto"/>
        </w:rPr>
        <w:t>and post such files).</w:t>
        <w:tab/>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51" w:lineRule="exact"/>
        <w:rPr>
          <w:sz w:val="24"/>
          <w:szCs w:val="24"/>
          <w:color w:val="auto"/>
        </w:rPr>
      </w:pPr>
    </w:p>
    <w:p>
      <w:pPr>
        <w:ind w:left="200" w:right="160" w:firstLine="331"/>
        <w:spacing w:after="0" w:line="193"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0" w:lineRule="exact"/>
        <w:rPr>
          <w:sz w:val="24"/>
          <w:szCs w:val="24"/>
          <w:color w:val="auto"/>
        </w:rPr>
      </w:pPr>
    </w:p>
    <w:p>
      <w:pPr>
        <w:ind w:left="200" w:right="260" w:firstLine="331"/>
        <w:spacing w:after="0" w:line="30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40"/>
        </w:trPr>
        <w:tc>
          <w:tcPr>
            <w:tcW w:w="20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49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3620" w:type="dxa"/>
            <w:vAlign w:val="bottom"/>
          </w:tcPr>
          <w:p>
            <w:pPr>
              <w:ind w:left="1620"/>
              <w:spacing w:after="0"/>
              <w:rPr>
                <w:sz w:val="20"/>
                <w:szCs w:val="20"/>
                <w:color w:val="auto"/>
              </w:rPr>
            </w:pPr>
            <w:r>
              <w:rPr>
                <w:rFonts w:ascii="Arial" w:cs="Arial" w:eastAsia="Arial" w:hAnsi="Arial"/>
                <w:sz w:val="15"/>
                <w:szCs w:val="15"/>
                <w:color w:val="auto"/>
              </w:rPr>
              <w:t>Accelerated filer</w:t>
            </w:r>
          </w:p>
        </w:tc>
        <w:tc>
          <w:tcPr>
            <w:tcW w:w="440" w:type="dxa"/>
            <w:vAlign w:val="bottom"/>
          </w:tcPr>
          <w:p>
            <w:pPr>
              <w:ind w:left="3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7"/>
        </w:trPr>
        <w:tc>
          <w:tcPr>
            <w:tcW w:w="2000" w:type="dxa"/>
            <w:vAlign w:val="bottom"/>
          </w:tcPr>
          <w:p>
            <w:pPr>
              <w:spacing w:after="0"/>
              <w:rPr>
                <w:sz w:val="20"/>
                <w:szCs w:val="20"/>
                <w:color w:val="auto"/>
              </w:rPr>
            </w:pPr>
            <w:r>
              <w:rPr>
                <w:rFonts w:ascii="Arial" w:cs="Arial" w:eastAsia="Arial" w:hAnsi="Arial"/>
                <w:sz w:val="15"/>
                <w:szCs w:val="15"/>
                <w:color w:val="auto"/>
              </w:rPr>
              <w:t>Non-accelerated filer</w:t>
            </w:r>
          </w:p>
        </w:tc>
        <w:tc>
          <w:tcPr>
            <w:tcW w:w="4960" w:type="dxa"/>
            <w:vAlign w:val="bottom"/>
          </w:tcPr>
          <w:p>
            <w:pPr>
              <w:ind w:left="3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3620" w:type="dxa"/>
            <w:vAlign w:val="bottom"/>
          </w:tcPr>
          <w:p>
            <w:pPr>
              <w:ind w:left="1620"/>
              <w:spacing w:after="0"/>
              <w:rPr>
                <w:sz w:val="20"/>
                <w:szCs w:val="20"/>
                <w:color w:val="auto"/>
              </w:rPr>
            </w:pPr>
            <w:r>
              <w:rPr>
                <w:rFonts w:ascii="Arial" w:cs="Arial" w:eastAsia="Arial" w:hAnsi="Arial"/>
                <w:sz w:val="15"/>
                <w:szCs w:val="15"/>
                <w:color w:val="auto"/>
              </w:rPr>
              <w:t>Emerging growth company</w:t>
            </w:r>
          </w:p>
        </w:tc>
        <w:tc>
          <w:tcPr>
            <w:tcW w:w="440" w:type="dxa"/>
            <w:vAlign w:val="bottom"/>
          </w:tcPr>
          <w:p>
            <w:pPr>
              <w:ind w:left="3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7"/>
        </w:trPr>
        <w:tc>
          <w:tcPr>
            <w:tcW w:w="2000" w:type="dxa"/>
            <w:vAlign w:val="bottom"/>
          </w:tcPr>
          <w:p>
            <w:pPr>
              <w:spacing w:after="0"/>
              <w:rPr>
                <w:sz w:val="20"/>
                <w:szCs w:val="20"/>
                <w:color w:val="auto"/>
              </w:rPr>
            </w:pPr>
            <w:r>
              <w:rPr>
                <w:rFonts w:ascii="Arial" w:cs="Arial" w:eastAsia="Arial" w:hAnsi="Arial"/>
                <w:sz w:val="15"/>
                <w:szCs w:val="15"/>
                <w:color w:val="auto"/>
              </w:rPr>
              <w:t>Smaller reporting company</w:t>
            </w:r>
          </w:p>
        </w:tc>
        <w:tc>
          <w:tcPr>
            <w:tcW w:w="49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36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9" w:lineRule="exact"/>
        <w:rPr>
          <w:sz w:val="24"/>
          <w:szCs w:val="24"/>
          <w:color w:val="auto"/>
        </w:rPr>
      </w:pPr>
    </w:p>
    <w:p>
      <w:pPr>
        <w:ind w:left="200" w:right="60" w:firstLine="331"/>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 w:lineRule="exact"/>
        <w:rPr>
          <w:sz w:val="24"/>
          <w:szCs w:val="24"/>
          <w:color w:val="auto"/>
        </w:rPr>
      </w:pPr>
    </w:p>
    <w:p>
      <w:pPr>
        <w:ind w:left="540"/>
        <w:spacing w:after="0" w:line="173" w:lineRule="exact"/>
        <w:tabs>
          <w:tab w:leader="none" w:pos="7620" w:val="left"/>
          <w:tab w:leader="none" w:pos="81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7" w:lineRule="exact"/>
        <w:rPr>
          <w:sz w:val="24"/>
          <w:szCs w:val="24"/>
          <w:color w:val="auto"/>
        </w:rPr>
      </w:pPr>
    </w:p>
    <w:p>
      <w:pPr>
        <w:ind w:left="200" w:right="140" w:firstLine="331"/>
        <w:spacing w:after="0" w:line="266" w:lineRule="auto"/>
        <w:rPr>
          <w:sz w:val="20"/>
          <w:szCs w:val="20"/>
          <w:color w:val="auto"/>
        </w:rPr>
      </w:pPr>
      <w:r>
        <w:rPr>
          <w:rFonts w:ascii="Arial" w:cs="Arial" w:eastAsia="Arial" w:hAnsi="Arial"/>
          <w:sz w:val="14"/>
          <w:szCs w:val="14"/>
          <w:color w:val="auto"/>
        </w:rPr>
        <w:t>The aggregate market value of Common Stock held by non-affiliates of the registrant computed by reference to the price of the registrant’s Common Stock as of June 30, 2017, the last business day of the registrant’s most recently completed second fiscal quarter, was approximately $64.9 million (based on the last reported sale price on the Nasdaq Global Market as of such date). As of March 1, 2018, there were 27,558,883 shares of the registrant’s Common Stock, $0.001 par value per share, outstanding.</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DOCUMENTS INCORPORATED BY REFERENCE</w:t>
      </w:r>
    </w:p>
    <w:p>
      <w:pPr>
        <w:spacing w:after="0" w:line="48" w:lineRule="exact"/>
        <w:rPr>
          <w:sz w:val="24"/>
          <w:szCs w:val="24"/>
          <w:color w:val="auto"/>
        </w:rPr>
      </w:pPr>
    </w:p>
    <w:p>
      <w:pPr>
        <w:ind w:left="200" w:right="20" w:firstLine="331"/>
        <w:spacing w:after="0" w:line="255" w:lineRule="auto"/>
        <w:rPr>
          <w:sz w:val="20"/>
          <w:szCs w:val="20"/>
          <w:color w:val="auto"/>
        </w:rPr>
      </w:pPr>
      <w:r>
        <w:rPr>
          <w:rFonts w:ascii="Arial" w:cs="Arial" w:eastAsia="Arial" w:hAnsi="Arial"/>
          <w:sz w:val="15"/>
          <w:szCs w:val="15"/>
          <w:color w:val="auto"/>
        </w:rPr>
        <w:t>The registrant intends to file a definitive proxy statement pursuant to Regulation 14A within 120 days of the end of the fiscal year ended December 31, 2017. Portions of such definitive proxy statement are incorporated by reference into Part III of this Annual Report on Form 10-K.</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90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rPr>
              <w:t>ZAFGEN, INC.</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6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w w:val="99"/>
              </w:rPr>
              <w:t>ANNUAL REPORT ON FORM 10-K</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6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w w:val="90"/>
              </w:rPr>
              <w:t>For the Year Ended December 31, 2017</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40" w:type="dxa"/>
            <w:vAlign w:val="bottom"/>
            <w:gridSpan w:val="2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1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9640" w:type="dxa"/>
            <w:vAlign w:val="bottom"/>
            <w:gridSpan w:val="27"/>
            <w:vMerge w:val="continue"/>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Item 1. Business</w:t>
              </w:r>
            </w:hyperlink>
          </w:p>
        </w:tc>
        <w:tc>
          <w:tcPr>
            <w:tcW w:w="8440" w:type="dxa"/>
            <w:vAlign w:val="bottom"/>
            <w:gridSpan w:val="20"/>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1A. Risk Factors</w:t>
              </w:r>
            </w:hyperlink>
          </w:p>
        </w:tc>
        <w:tc>
          <w:tcPr>
            <w:tcW w:w="8040" w:type="dxa"/>
            <w:vAlign w:val="bottom"/>
            <w:gridSpan w:val="18"/>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640" w:type="dxa"/>
            <w:vAlign w:val="bottom"/>
            <w:gridSpan w:val="2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1B. Unresolved Staff Comments</w:t>
              </w:r>
            </w:hyperlink>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2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2. Properties</w:t>
              </w:r>
            </w:hyperlink>
          </w:p>
        </w:tc>
        <w:tc>
          <w:tcPr>
            <w:tcW w:w="6920" w:type="dxa"/>
            <w:vAlign w:val="bottom"/>
            <w:gridSpan w:val="11"/>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Item 3. Legal Proceedings</w:t>
              </w:r>
            </w:hyperlink>
          </w:p>
        </w:tc>
        <w:tc>
          <w:tcPr>
            <w:tcW w:w="7740" w:type="dxa"/>
            <w:vAlign w:val="bottom"/>
            <w:gridSpan w:val="17"/>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964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4. Mine Safety Disclosures</w:t>
              </w:r>
            </w:hyperlink>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99"/>
              </w:rPr>
            </w:pPr>
            <w:hyperlink w:anchor="page63">
              <w:r>
                <w:rPr>
                  <w:rFonts w:ascii="Arial" w:cs="Arial" w:eastAsia="Arial" w:hAnsi="Arial"/>
                  <w:sz w:val="18"/>
                  <w:szCs w:val="18"/>
                  <w:b w:val="1"/>
                  <w:bCs w:val="1"/>
                  <w:color w:val="0000EE"/>
                  <w:w w:val="99"/>
                </w:rPr>
                <w:t>PART II</w:t>
              </w:r>
            </w:hyperlink>
          </w:p>
        </w:tc>
        <w:tc>
          <w:tcPr>
            <w:tcW w:w="1660" w:type="dxa"/>
            <w:vAlign w:val="bottom"/>
            <w:tcBorders>
              <w:top w:val="single" w:sz="8" w:color="0000EE"/>
            </w:tcBorders>
            <w:gridSpan w:val="10"/>
          </w:tcPr>
          <w:p>
            <w:pPr>
              <w:spacing w:after="0"/>
              <w:rPr>
                <w:sz w:val="17"/>
                <w:szCs w:val="17"/>
                <w:color w:val="auto"/>
              </w:rPr>
            </w:pPr>
          </w:p>
        </w:tc>
        <w:tc>
          <w:tcPr>
            <w:tcW w:w="7320" w:type="dxa"/>
            <w:vAlign w:val="bottom"/>
            <w:gridSpan w:val="14"/>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Item</w:t>
              </w:r>
            </w:hyperlink>
          </w:p>
        </w:tc>
        <w:tc>
          <w:tcPr>
            <w:tcW w:w="9260" w:type="dxa"/>
            <w:vAlign w:val="bottom"/>
            <w:gridSpan w:val="26"/>
          </w:tcPr>
          <w:p>
            <w:pPr>
              <w:ind w:left="40"/>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5. Market for Registrant’s Common Equity, Related Stockholder Matters and Issuer Purchases of Equity Securities</w:t>
              </w:r>
            </w:hyperlink>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86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6. Selected Financial Data</w:t>
              </w:r>
            </w:hyperlink>
          </w:p>
        </w:tc>
        <w:tc>
          <w:tcPr>
            <w:tcW w:w="960" w:type="dxa"/>
            <w:vAlign w:val="bottom"/>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w:t>
              </w:r>
            </w:hyperlink>
          </w:p>
        </w:tc>
        <w:tc>
          <w:tcPr>
            <w:tcW w:w="9260" w:type="dxa"/>
            <w:vAlign w:val="bottom"/>
            <w:gridSpan w:val="26"/>
          </w:tcPr>
          <w:p>
            <w:pPr>
              <w:ind w:left="4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7. Management’s Discussion and Analysis of Financial Condition and Results of Operations</w:t>
              </w:r>
            </w:hyperlink>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70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7A. Quantitative and Qualitative Disclosures About Market Risk</w:t>
              </w:r>
            </w:hyperlink>
          </w:p>
        </w:tc>
        <w:tc>
          <w:tcPr>
            <w:tcW w:w="2580" w:type="dxa"/>
            <w:vAlign w:val="bottom"/>
            <w:gridSpan w:val="4"/>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50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8. Financial Statements and Supplementary Data</w:t>
              </w:r>
            </w:hyperlink>
          </w:p>
        </w:tc>
        <w:tc>
          <w:tcPr>
            <w:tcW w:w="4600" w:type="dxa"/>
            <w:vAlign w:val="bottom"/>
            <w:gridSpan w:val="6"/>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Item</w:t>
              </w:r>
            </w:hyperlink>
          </w:p>
        </w:tc>
        <w:tc>
          <w:tcPr>
            <w:tcW w:w="9260" w:type="dxa"/>
            <w:vAlign w:val="bottom"/>
            <w:gridSpan w:val="26"/>
          </w:tcPr>
          <w:p>
            <w:pPr>
              <w:ind w:left="4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9. Changes in and Disagreements with Accountants on Accounting and Financial Disclosure</w:t>
              </w:r>
            </w:hyperlink>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Item 9A. Controls and Procedures</w:t>
              </w:r>
            </w:hyperlink>
          </w:p>
        </w:tc>
        <w:tc>
          <w:tcPr>
            <w:tcW w:w="4620" w:type="dxa"/>
            <w:vAlign w:val="bottom"/>
            <w:tcBorders>
              <w:top w:val="single" w:sz="8" w:color="0000EE"/>
            </w:tcBorders>
            <w:gridSpan w:val="9"/>
          </w:tcPr>
          <w:p>
            <w:pPr>
              <w:spacing w:after="0"/>
              <w:rPr>
                <w:sz w:val="17"/>
                <w:szCs w:val="17"/>
                <w:color w:val="auto"/>
              </w:rPr>
            </w:pPr>
          </w:p>
        </w:tc>
        <w:tc>
          <w:tcPr>
            <w:tcW w:w="2560" w:type="dxa"/>
            <w:vAlign w:val="bottom"/>
            <w:gridSpan w:val="3"/>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Item 9B. Other Information</w:t>
              </w:r>
            </w:hyperlink>
          </w:p>
        </w:tc>
        <w:tc>
          <w:tcPr>
            <w:tcW w:w="7640" w:type="dxa"/>
            <w:vAlign w:val="bottom"/>
            <w:gridSpan w:val="16"/>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PART III</w:t>
              </w:r>
            </w:hyperlink>
          </w:p>
        </w:tc>
        <w:tc>
          <w:tcPr>
            <w:tcW w:w="8900" w:type="dxa"/>
            <w:vAlign w:val="bottom"/>
            <w:gridSpan w:val="22"/>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40" w:type="dxa"/>
            <w:vAlign w:val="bottom"/>
            <w:gridSpan w:val="2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 10. Directors, Executive Officers and Corporate Governance</w:t>
              </w:r>
            </w:hyperlink>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47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 11. Executive Compensation</w:t>
              </w:r>
            </w:hyperlink>
          </w:p>
        </w:tc>
        <w:tc>
          <w:tcPr>
            <w:tcW w:w="4900" w:type="dxa"/>
            <w:vAlign w:val="bottom"/>
            <w:gridSpan w:val="7"/>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w:t>
              </w:r>
            </w:hyperlink>
          </w:p>
        </w:tc>
        <w:tc>
          <w:tcPr>
            <w:tcW w:w="9260" w:type="dxa"/>
            <w:vAlign w:val="bottom"/>
            <w:gridSpan w:val="26"/>
          </w:tcPr>
          <w:p>
            <w:pPr>
              <w:ind w:left="40"/>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12. Security Ownership of Certain Beneficial Owners and Management and Related Stockholder Matters</w:t>
              </w:r>
            </w:hyperlink>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380" w:type="dxa"/>
            <w:vAlign w:val="bottom"/>
            <w:tcBorders>
              <w:top w:val="single" w:sz="8" w:color="0000EE"/>
            </w:tcBorders>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w:t>
              </w:r>
            </w:hyperlink>
          </w:p>
        </w:tc>
        <w:tc>
          <w:tcPr>
            <w:tcW w:w="7600" w:type="dxa"/>
            <w:vAlign w:val="bottom"/>
            <w:tcBorders>
              <w:top w:val="single" w:sz="8" w:color="0000EE"/>
            </w:tcBorders>
            <w:gridSpan w:val="24"/>
          </w:tcPr>
          <w:p>
            <w:pPr>
              <w:ind w:left="40"/>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13. Certain Relationships and Related Transactions, and Director Independence</w:t>
              </w:r>
            </w:hyperlink>
          </w:p>
        </w:tc>
        <w:tc>
          <w:tcPr>
            <w:tcW w:w="1660" w:type="dxa"/>
            <w:vAlign w:val="bottom"/>
            <w:gridSpan w:val="2"/>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Item 14. Principal Accounting Fees and Services</w:t>
              </w:r>
            </w:hyperlink>
          </w:p>
        </w:tc>
        <w:tc>
          <w:tcPr>
            <w:tcW w:w="2620" w:type="dxa"/>
            <w:vAlign w:val="bottom"/>
            <w:tcBorders>
              <w:top w:val="single" w:sz="8" w:color="0000EE"/>
            </w:tcBorders>
            <w:gridSpan w:val="5"/>
          </w:tcPr>
          <w:p>
            <w:pPr>
              <w:spacing w:after="0"/>
              <w:rPr>
                <w:sz w:val="17"/>
                <w:szCs w:val="17"/>
                <w:color w:val="auto"/>
              </w:rPr>
            </w:pPr>
          </w:p>
        </w:tc>
        <w:tc>
          <w:tcPr>
            <w:tcW w:w="3500" w:type="dxa"/>
            <w:vAlign w:val="bottom"/>
            <w:gridSpan w:val="5"/>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8"/>
              </w:rPr>
            </w:pPr>
            <w:hyperlink w:anchor="page112">
              <w:r>
                <w:rPr>
                  <w:rFonts w:ascii="Arial" w:cs="Arial" w:eastAsia="Arial" w:hAnsi="Arial"/>
                  <w:sz w:val="18"/>
                  <w:szCs w:val="18"/>
                  <w:b w:val="1"/>
                  <w:bCs w:val="1"/>
                  <w:color w:val="0000EE"/>
                  <w:w w:val="98"/>
                </w:rPr>
                <w:t>PART IV</w:t>
              </w:r>
            </w:hyperlink>
          </w:p>
        </w:tc>
        <w:tc>
          <w:tcPr>
            <w:tcW w:w="8920" w:type="dxa"/>
            <w:vAlign w:val="bottom"/>
            <w:gridSpan w:val="23"/>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40" w:type="dxa"/>
            <w:vAlign w:val="bottom"/>
            <w:gridSpan w:val="27"/>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Item 15. Exhibits, Financial Statement Schedules</w:t>
              </w:r>
            </w:hyperlink>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2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Item 16. Form 10-K Summary</w:t>
              </w:r>
            </w:hyperlink>
          </w:p>
        </w:tc>
        <w:tc>
          <w:tcPr>
            <w:tcW w:w="1280" w:type="dxa"/>
            <w:vAlign w:val="bottom"/>
            <w:tcBorders>
              <w:top w:val="single" w:sz="8" w:color="0000EE"/>
            </w:tcBorders>
            <w:gridSpan w:val="6"/>
          </w:tcPr>
          <w:p>
            <w:pPr>
              <w:spacing w:after="0"/>
              <w:rPr>
                <w:sz w:val="17"/>
                <w:szCs w:val="17"/>
                <w:color w:val="auto"/>
              </w:rPr>
            </w:pPr>
          </w:p>
        </w:tc>
        <w:tc>
          <w:tcPr>
            <w:tcW w:w="6100" w:type="dxa"/>
            <w:vAlign w:val="bottom"/>
            <w:gridSpan w:val="9"/>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9640" w:type="dxa"/>
            <w:vAlign w:val="bottom"/>
            <w:gridSpan w:val="27"/>
          </w:tcPr>
          <w:p>
            <w:pPr>
              <w:spacing w:after="0" w:line="196" w:lineRule="exact"/>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SIGNATURES</w:t>
              </w:r>
            </w:hyperlink>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99" w:lineRule="exact"/>
        <w:rPr>
          <w:sz w:val="20"/>
          <w:szCs w:val="20"/>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commercialize ZGN-1061 as a treatment for metabolic diseases including type 2 diabetes and obesity, either alone or through a strategic partner;</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the Phase 2 clinical trial of ZGN-1061, and successfully advance ZGN-1061 into later-stage clinical trials, including in the United States through the filing on an Investigational New Drug, or IND, application;</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file and have our IND application for ZGN-1258 go into effect and to successfully advance ZGN-1258 into clinical trials;</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dissociate effects of methionine aminopeptidase 2, or MetAP2, inhibitors from pro-thrombotic effects or other adverse events observed in clinical development of our first-generation compound, beloranib;</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distinguish ZGN-1061 and other novel MetAP2 inhibitors relative to our first-generation compound;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are a biopharmaceutical company dedicated to significantly improving the health and well-being of patients affected by both rare and prevalent metabolic diseases including type 2 diabetes, Prader-Willi syndrome, or PWS, and potentially other metabolically related disorders. We have pioneered the study of methionine aminopeptidase 2, or MetAP2, inhibitors and are focused on developing novel therapeutics that treat biological mechanisms that underlie metabolic disorders through the MetAP2 pathway.</w:t>
      </w:r>
    </w:p>
    <w:p>
      <w:pPr>
        <w:spacing w:after="0" w:line="18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lead product candidate is ZGN-1061, a novel fumagillin-class MetAP2 inhibitor administered by subcutaneous injection, which is currently being profiled for its utility in the treatment of type 2 diabetes. Type 2 diabetes is a prevalent, chronic, progressive, multifactorial disorder that leads to increased microvascular and macrovascular disease, and as such increases risk of death from cardiovascular disease, stroke, and kidney failure. Type 2 diabetes is also a leading cause of amputation and blindness. Existing agents, while effective in reducing blood glucose levels, fail to reduce progression of the disease, which is driven by loss of function of insulin-producing beta cells and by loss of sensitivity to insulin action. New therapies are needed to improve glycemic control and reduce comorbidities of type 2 diabetes.</w:t>
      </w:r>
    </w:p>
    <w:p>
      <w:pPr>
        <w:spacing w:after="0" w:line="17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completed a Phase 1 clinical trial of ZGN-1061 in the Netherlands, which demonstrated rapid drug absorption and clearance in line with pre-specified criteria established for the molecule. In addition, ZGN-1061 was well-tolerated, with no evidence of pro-thrombotic effects or other safety signals. We are currently conducting a Phase 2 clinical trial in Australia and New Zealand of ZGN-1061, which is designed to evaluate safety, tolerability, and glucose-lowering efficacy in patients with type 2 diabetes otherwise poorly controlled with non-insulin agents.</w:t>
      </w:r>
    </w:p>
    <w:p>
      <w:pPr>
        <w:spacing w:after="0" w:line="17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reported results of an interim analysis of this clinical trial on March 6, 2018, expect to report full results of the core part of this clinical trial mid-year 2018, and the results of the entire trial including the additional arm recently added to the trial early in 2019.</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also have initiated development of a second, highly-optimized MetAP2 development candidate, ZGN-1258, administered by subcutaneous injection. We expect that our initial indication for ZGN-1258 will be PWS. PWS is a rare and complex genetic disorder characterized by physiologic, cognitive and behavioral symptoms including hyperphagia, uncontrollable hunger and its related behaviors, and obesity. Published population studies estimate that the prevalence of PWS in the United States and in the European Union ranges from 1 in 8,000 to 1 in 50,000. The physiological drive to eat in patients with PWS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patient with PWS is morbidly obese and, based on evaluation of published survival data, has an average life expectancy of 32 years of age. Unfortunately, neither dietary intervention nor currently available pharmaceutical therapies bring meaningful benefit to patients with PWS and, as a result, they experience severe and life-threatening consequences of their condition. Furthermore, existing surgical techniques such as bariatric surgery are contraindicated in PWS, as patients with PWS often overeat to a point whereby they can rupture their stomachs, which is frequently a cause of death.</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We initiated Investigational New Drug, or IND, application enabling nonclinical activities in the first quarter of 2018, in preparation for filing an IND with the U.S. Food and Drug Administration, or FDA, and plan to begin Phase 1 clinical development by the end of 2018. We anticipate our Phase 1 clinical trial of ZGN-1258 will be focused on evaluation of drug exposure, safety and tolerability following single doses in normal weight and otherwise healthy subjects, and understanding the dose-responsiveness of changes following repeat dosing for circulating biomarkers of drug effect, body weight change, and changes in hunger-related parameters in obese but otherwise healthy subjects. Providing the results of this clinical trial are supportive of further development, subsequent clinical trials are anticipated to evaluate the effects of treatment with ZGN-1258 on core therapeutic endpoints in PWS such as improvement of hyperphagia-related behaviors and/or obesity. We expect to conduct a multinational PWS natural history study, which we plan to begin in mid-year 2018. The study will inform our development program and provide important insights into the medical and clinical history of people with PWS.</w:t>
      </w:r>
    </w:p>
    <w:p>
      <w:pPr>
        <w:spacing w:after="0" w:line="19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Both ZGN-1061 and ZGN-1258 were discovered by our researchers as part of a multi-year campaign to identify highly potent and effective novel compounds with nonclinical safety profiles supportive of continued development. One core element of focus for optimization was to reduce or eliminate the potential for pro-thrombotic effects, a limiting factor that led to termination of development of our first-generation compound. To date, both new compounds have similar intrinsic potency against the MetAP2 pathway and display appropriate activity in animal models of type 2 diabetes and obesity. Both compounds display improved safety profiles relative to beloranib for effects on thrombosis.</w:t>
      </w:r>
    </w:p>
    <w:p>
      <w:pPr>
        <w:spacing w:after="0" w:line="173"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ZGN-1061 and ZGN-1258 are differentiated with respect to their tissue distribution and predominant sites of action in animal models. While treatment with both compounds leads to target engagement and MetAP2 inhibition in key organs of relevance to the treatment of type 2 diabetes and obesity, ZGN-1258 also displays enhanced uptake into the brain and displays greater potency and activity in animal models of hyperphagic behaviors than does ZGN-1061. These differences support the use of ZGN-1061 in the treatment of type 2 diabetes, in which metabolic effects related to liver, adipose tissue, and muscle effects are likely to be important, and ZGN-1258 in higher need indications such as PWS, in which brain activity is likely to be more important for therapeutic effects.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Populations of Interest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Type 2 Diabetes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According to the International Diabetes Federation, in 2017, 425 million people worldwide were living with type 2 diabetes and that number is projected to increase to 693 million by 2045. In the United States alone, the Center for Disease Control estimated that there were 23 million people living with diabetes and an estimated 84 million people who were pre-diabetic in 2015. Standard therapies for type 2 diabetes include physician recommended diet and exercise, oral hypoglycemic drugs such as biguanides (metformin), through to a number of insulin options. Metformin is most often the first line pharmacotherapy for the treatment of type 2 diabetes primarily due to the extensive experience, low cost and favorable benefit risk associated with it. While metformin is likely to remain the initial choice for the treatment of type 2 diabetes, patients then often progress to additional treatment with oral anti-diabetes medications, such as sulfonylureas, DPP4 inhibitors or SGLT2 inhibitors as second line agents; injectable therapeutics, such as GLP-1 receptor agonists and insulin are often added as third/fourth line agents, along with various combination products. We expect that ZGN-1061, if approved, will compete within the type 2 diabetes injectable space with third line agents. It is estimated that 40-45% of patients progress to needing insulin (estimated to be a $15 billion market) and that therapeutics have attained an 80% penetration rate into the diagnosed group of patients. The objective of each is to maintain a daily blood glucose level range recommended by a physician, and to reach a therapeutic target of 7%, which is the U.S. goal (6.5% in Europe) glycated hemoglobin A1C, or A1C. Each of the current therapies alone has its limitations including numerous side effects. These side effects and the availability of a high number of treatment options, combined with the difficulty in daily management of glucose levels despite these treatments, creates a number of opportunities for a new third line agent to positively impact unmet medical need.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believe the diabetes drug market is estimated to be $35 billion and is on pace to grow to more than $71 billion by 2024. Pharmaceutical companies have been investigating new approaches to treating diabetes and market value has been maintained in the industry due to the introduction of these new products. We believe that ZGN-1061 MetAP2 inhibition serves the purpose of re-establishing balance to the ways the body stores and metabolizes fat and glucose. MetAP2 inhibitors reduce the production of new fatty acid molecules by the liver and help convert stored fats into useful energy, while reducing hunger. In the setting of type 2 diabetes, these processes lead to improvement of glycemic control.</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current pharmacological treatments for the treatment of type 2 diabetes: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Treatment</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A1C</w:t>
            </w:r>
          </w:p>
        </w:tc>
        <w:tc>
          <w:tcPr>
            <w:tcW w:w="3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Key Advantages</w:t>
            </w:r>
          </w:p>
        </w:tc>
        <w:tc>
          <w:tcPr>
            <w:tcW w:w="100" w:type="dxa"/>
            <w:vAlign w:val="bottom"/>
          </w:tcPr>
          <w:p>
            <w:pPr>
              <w:spacing w:after="0"/>
              <w:rPr>
                <w:sz w:val="14"/>
                <w:szCs w:val="14"/>
                <w:color w:val="auto"/>
              </w:rPr>
            </w:pPr>
          </w:p>
        </w:tc>
        <w:tc>
          <w:tcPr>
            <w:tcW w:w="3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Product Limitations</w:t>
            </w:r>
          </w:p>
        </w:tc>
        <w:tc>
          <w:tcPr>
            <w:tcW w:w="0" w:type="dxa"/>
            <w:vAlign w:val="bottom"/>
          </w:tcPr>
          <w:p>
            <w:pPr>
              <w:spacing w:after="0"/>
              <w:rPr>
                <w:sz w:val="1"/>
                <w:szCs w:val="1"/>
                <w:color w:val="auto"/>
              </w:rPr>
            </w:pPr>
          </w:p>
        </w:tc>
      </w:tr>
      <w:tr>
        <w:trPr>
          <w:trHeight w:val="178"/>
        </w:trPr>
        <w:tc>
          <w:tcPr>
            <w:tcW w:w="2980" w:type="dxa"/>
            <w:vAlign w:val="bottom"/>
            <w:gridSpan w:val="3"/>
            <w:vMerge w:val="continue"/>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Reduction</w:t>
            </w:r>
          </w:p>
        </w:tc>
        <w:tc>
          <w:tcPr>
            <w:tcW w:w="3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First line</w:t>
            </w:r>
          </w:p>
        </w:tc>
        <w:tc>
          <w:tcPr>
            <w:tcW w:w="23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980" w:type="dxa"/>
            <w:vAlign w:val="bottom"/>
            <w:gridSpan w:val="3"/>
          </w:tcPr>
          <w:p>
            <w:pPr>
              <w:spacing w:after="0"/>
              <w:rPr>
                <w:sz w:val="20"/>
                <w:szCs w:val="20"/>
                <w:color w:val="auto"/>
              </w:rPr>
            </w:pPr>
            <w:r>
              <w:rPr>
                <w:rFonts w:ascii="Arial" w:cs="Arial" w:eastAsia="Arial" w:hAnsi="Arial"/>
                <w:sz w:val="18"/>
                <w:szCs w:val="18"/>
                <w:color w:val="auto"/>
              </w:rPr>
              <w:t>biguanide (metformin)</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1-1.5%</w:t>
            </w:r>
          </w:p>
        </w:tc>
        <w:tc>
          <w:tcPr>
            <w:tcW w:w="120" w:type="dxa"/>
            <w:vAlign w:val="bottom"/>
          </w:tcPr>
          <w:p>
            <w:pPr>
              <w:spacing w:after="0"/>
              <w:rPr>
                <w:sz w:val="22"/>
                <w:szCs w:val="22"/>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Inexpensive, weight loss (up to ~3 kg from</w:t>
            </w:r>
          </w:p>
        </w:tc>
        <w:tc>
          <w:tcPr>
            <w:tcW w:w="100" w:type="dxa"/>
            <w:vAlign w:val="bottom"/>
          </w:tcPr>
          <w:p>
            <w:pPr>
              <w:spacing w:after="0"/>
              <w:rPr>
                <w:sz w:val="22"/>
                <w:szCs w:val="22"/>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Gastrointestinal effects, lactic acidosis,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baseline), extensive experience</w:t>
            </w:r>
          </w:p>
        </w:tc>
        <w:tc>
          <w:tcPr>
            <w:tcW w:w="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vitamin B-12 deficiency</w:t>
            </w:r>
          </w:p>
        </w:tc>
        <w:tc>
          <w:tcPr>
            <w:tcW w:w="0" w:type="dxa"/>
            <w:vAlign w:val="bottom"/>
          </w:tcPr>
          <w:p>
            <w:pPr>
              <w:spacing w:after="0"/>
              <w:rPr>
                <w:sz w:val="1"/>
                <w:szCs w:val="1"/>
                <w:color w:val="auto"/>
              </w:rPr>
            </w:pPr>
          </w:p>
        </w:tc>
      </w:tr>
      <w:tr>
        <w:trPr>
          <w:trHeight w:val="324"/>
        </w:trPr>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Second line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980" w:type="dxa"/>
            <w:vAlign w:val="bottom"/>
            <w:gridSpan w:val="3"/>
          </w:tcPr>
          <w:p>
            <w:pPr>
              <w:spacing w:after="0"/>
              <w:rPr>
                <w:sz w:val="20"/>
                <w:szCs w:val="20"/>
                <w:color w:val="auto"/>
              </w:rPr>
            </w:pPr>
            <w:r>
              <w:rPr>
                <w:rFonts w:ascii="Arial" w:cs="Arial" w:eastAsia="Arial" w:hAnsi="Arial"/>
                <w:sz w:val="18"/>
                <w:szCs w:val="18"/>
                <w:color w:val="auto"/>
              </w:rPr>
              <w:t>sulfonylurea (glimepiride, glipizide,</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1-1.5%</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Inexpensive, extensive experience</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Hypoglycemia and weight gain</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glyburide)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80" w:type="dxa"/>
            <w:vAlign w:val="bottom"/>
            <w:gridSpan w:val="3"/>
          </w:tcPr>
          <w:p>
            <w:pPr>
              <w:spacing w:after="0"/>
              <w:rPr>
                <w:sz w:val="20"/>
                <w:szCs w:val="20"/>
                <w:color w:val="auto"/>
              </w:rPr>
            </w:pPr>
            <w:r>
              <w:rPr>
                <w:rFonts w:ascii="Arial" w:cs="Arial" w:eastAsia="Arial" w:hAnsi="Arial"/>
                <w:sz w:val="18"/>
                <w:szCs w:val="18"/>
                <w:color w:val="auto"/>
                <w:w w:val="98"/>
              </w:rPr>
              <w:t>GLP-1 Receptor Agonists (albiglutide,</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1-1.6%</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Weight loss (up to ~ 3.5 kg from baseline), rare</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Injection administration, gastrointestinal</w:t>
            </w:r>
          </w:p>
        </w:tc>
        <w:tc>
          <w:tcPr>
            <w:tcW w:w="0" w:type="dxa"/>
            <w:vAlign w:val="bottom"/>
          </w:tcPr>
          <w:p>
            <w:pPr>
              <w:spacing w:after="0"/>
              <w:rPr>
                <w:sz w:val="1"/>
                <w:szCs w:val="1"/>
                <w:color w:val="auto"/>
              </w:rPr>
            </w:pP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color w:val="auto"/>
              </w:rPr>
              <w:t>dulaglutide, exenatide, liraglutide,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hypoglycemia, improvement in cardiovascular</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effects, risk of thyroid c-cell tumors</w:t>
            </w:r>
          </w:p>
        </w:tc>
        <w:tc>
          <w:tcPr>
            <w:tcW w:w="0" w:type="dxa"/>
            <w:vAlign w:val="bottom"/>
          </w:tcPr>
          <w:p>
            <w:pPr>
              <w:spacing w:after="0"/>
              <w:rPr>
                <w:sz w:val="1"/>
                <w:szCs w:val="1"/>
                <w:color w:val="auto"/>
              </w:rPr>
            </w:pP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color w:val="auto"/>
              </w:rPr>
              <w:t>lixisenatide, semaglutide)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risk factors, improvement in cardiovascular</w:t>
            </w: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mortality (liraglutide), improved postprandial</w:t>
            </w: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glucose excursions</w:t>
            </w: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80" w:type="dxa"/>
            <w:vAlign w:val="bottom"/>
            <w:gridSpan w:val="3"/>
          </w:tcPr>
          <w:p>
            <w:pPr>
              <w:spacing w:after="0"/>
              <w:rPr>
                <w:sz w:val="20"/>
                <w:szCs w:val="20"/>
                <w:color w:val="auto"/>
              </w:rPr>
            </w:pPr>
            <w:r>
              <w:rPr>
                <w:rFonts w:ascii="Arial" w:cs="Arial" w:eastAsia="Arial" w:hAnsi="Arial"/>
                <w:sz w:val="18"/>
                <w:szCs w:val="18"/>
                <w:color w:val="auto"/>
                <w:w w:val="99"/>
              </w:rPr>
              <w:t>DPP4 Inhibitors (alogliptin, linagliptin,</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0.5-1%</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Rare hypoglycemia, well tolerated</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Immune-mediated dermatological effects</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saxagliptin, sitagliptin)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80" w:type="dxa"/>
            <w:vAlign w:val="bottom"/>
            <w:gridSpan w:val="3"/>
          </w:tcPr>
          <w:p>
            <w:pPr>
              <w:spacing w:after="0"/>
              <w:rPr>
                <w:sz w:val="20"/>
                <w:szCs w:val="20"/>
                <w:color w:val="auto"/>
              </w:rPr>
            </w:pPr>
            <w:r>
              <w:rPr>
                <w:rFonts w:ascii="Arial" w:cs="Arial" w:eastAsia="Arial" w:hAnsi="Arial"/>
                <w:sz w:val="18"/>
                <w:szCs w:val="18"/>
                <w:color w:val="auto"/>
              </w:rPr>
              <w:t>SGLT2 Inhibitors (canagliflozin,</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0.5-1.5%</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Weight loss (up to ~3 kg from baseline), rare</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Genitourinary infections, hypotension,</w:t>
            </w:r>
          </w:p>
        </w:tc>
        <w:tc>
          <w:tcPr>
            <w:tcW w:w="0" w:type="dxa"/>
            <w:vAlign w:val="bottom"/>
          </w:tcPr>
          <w:p>
            <w:pPr>
              <w:spacing w:after="0"/>
              <w:rPr>
                <w:sz w:val="1"/>
                <w:szCs w:val="1"/>
                <w:color w:val="auto"/>
              </w:rPr>
            </w:pP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color w:val="auto"/>
              </w:rPr>
              <w:t>dapagliflozin, empagliflozin,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hypoglycemia, improvement in cardiovascular</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increase in low density lipoproteins, diabetic</w:t>
            </w:r>
          </w:p>
        </w:tc>
        <w:tc>
          <w:tcPr>
            <w:tcW w:w="0" w:type="dxa"/>
            <w:vAlign w:val="bottom"/>
          </w:tcPr>
          <w:p>
            <w:pPr>
              <w:spacing w:after="0"/>
              <w:rPr>
                <w:sz w:val="1"/>
                <w:szCs w:val="1"/>
                <w:color w:val="auto"/>
              </w:rPr>
            </w:pP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color w:val="auto"/>
              </w:rPr>
              <w:t>ertugliflozin)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risk factors, improvement in cardiovascular</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ketoacidosis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mortality (empagliflozin)</w:t>
            </w: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80" w:type="dxa"/>
            <w:vAlign w:val="bottom"/>
            <w:gridSpan w:val="3"/>
          </w:tcPr>
          <w:p>
            <w:pPr>
              <w:spacing w:after="0"/>
              <w:rPr>
                <w:sz w:val="20"/>
                <w:szCs w:val="20"/>
                <w:color w:val="auto"/>
              </w:rPr>
            </w:pPr>
            <w:r>
              <w:rPr>
                <w:rFonts w:ascii="Arial" w:cs="Arial" w:eastAsia="Arial" w:hAnsi="Arial"/>
                <w:sz w:val="18"/>
                <w:szCs w:val="18"/>
                <w:color w:val="auto"/>
              </w:rPr>
              <w:t>thiazolidinediones (pioglitazone,</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1-1.5%</w:t>
            </w: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Rare hypoglycemia, improvement in</w:t>
            </w: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0"/>
              </w:rPr>
              <w:t>Weight gain, edema/heart failure, bone fracture</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rosiglitazone)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triglycerides and cardiovascular events</w:t>
            </w: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Insulins (under some circumstances may be first or second line)</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Regular and Rapid-acting Insulins</w:t>
            </w:r>
          </w:p>
        </w:tc>
        <w:tc>
          <w:tcPr>
            <w:tcW w:w="980" w:type="dxa"/>
            <w:vAlign w:val="bottom"/>
          </w:tcPr>
          <w:p>
            <w:pPr>
              <w:ind w:left="200"/>
              <w:spacing w:after="0"/>
              <w:rPr>
                <w:sz w:val="20"/>
                <w:szCs w:val="20"/>
                <w:color w:val="auto"/>
              </w:rPr>
            </w:pPr>
            <w:r>
              <w:rPr>
                <w:rFonts w:ascii="Arial" w:cs="Arial" w:eastAsia="Arial" w:hAnsi="Arial"/>
                <w:sz w:val="18"/>
                <w:szCs w:val="18"/>
                <w:color w:val="auto"/>
              </w:rPr>
              <w:t>Varied</w:t>
            </w: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Established standard of care and directly</w:t>
            </w:r>
          </w:p>
        </w:tc>
        <w:tc>
          <w:tcPr>
            <w:tcW w:w="3220" w:type="dxa"/>
            <w:vAlign w:val="bottom"/>
          </w:tcPr>
          <w:p>
            <w:pPr>
              <w:jc w:val="center"/>
              <w:ind w:left="250"/>
              <w:spacing w:after="0"/>
              <w:rPr>
                <w:sz w:val="20"/>
                <w:szCs w:val="20"/>
                <w:color w:val="auto"/>
              </w:rPr>
            </w:pPr>
            <w:r>
              <w:rPr>
                <w:rFonts w:ascii="Arial" w:cs="Arial" w:eastAsia="Arial" w:hAnsi="Arial"/>
                <w:sz w:val="18"/>
                <w:szCs w:val="18"/>
                <w:color w:val="auto"/>
                <w:w w:val="93"/>
              </w:rPr>
              <w:t>Largely injection administration,</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(aspart, glulisine, lispro, inhaled</w:t>
            </w:r>
          </w:p>
        </w:tc>
        <w:tc>
          <w:tcPr>
            <w:tcW w:w="9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addresses insulin insufficiency</w:t>
            </w:r>
          </w:p>
        </w:tc>
        <w:tc>
          <w:tcPr>
            <w:tcW w:w="3220" w:type="dxa"/>
            <w:vAlign w:val="bottom"/>
          </w:tcPr>
          <w:p>
            <w:pPr>
              <w:jc w:val="center"/>
              <w:ind w:left="250"/>
              <w:spacing w:after="0"/>
              <w:rPr>
                <w:sz w:val="20"/>
                <w:szCs w:val="20"/>
                <w:color w:val="auto"/>
              </w:rPr>
            </w:pPr>
            <w:r>
              <w:rPr>
                <w:rFonts w:ascii="Arial" w:cs="Arial" w:eastAsia="Arial" w:hAnsi="Arial"/>
                <w:sz w:val="18"/>
                <w:szCs w:val="18"/>
                <w:color w:val="auto"/>
                <w:w w:val="92"/>
              </w:rPr>
              <w:t>hypoglycemia, weight gain</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insulin, Humulin R, Novolin R)</w:t>
            </w:r>
          </w:p>
        </w:tc>
        <w:tc>
          <w:tcPr>
            <w:tcW w:w="9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rPr>
              <w:t>Intermediate-acting Insulins (Humulin</w:t>
            </w:r>
          </w:p>
        </w:tc>
        <w:tc>
          <w:tcPr>
            <w:tcW w:w="980" w:type="dxa"/>
            <w:vAlign w:val="bottom"/>
          </w:tcPr>
          <w:p>
            <w:pPr>
              <w:ind w:left="200"/>
              <w:spacing w:after="0"/>
              <w:rPr>
                <w:sz w:val="20"/>
                <w:szCs w:val="20"/>
                <w:color w:val="auto"/>
              </w:rPr>
            </w:pPr>
            <w:r>
              <w:rPr>
                <w:rFonts w:ascii="Arial" w:cs="Arial" w:eastAsia="Arial" w:hAnsi="Arial"/>
                <w:sz w:val="18"/>
                <w:szCs w:val="18"/>
                <w:color w:val="auto"/>
              </w:rPr>
              <w:t>Varied</w:t>
            </w: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Established standard of care and directly</w:t>
            </w:r>
          </w:p>
        </w:tc>
        <w:tc>
          <w:tcPr>
            <w:tcW w:w="3220" w:type="dxa"/>
            <w:vAlign w:val="bottom"/>
          </w:tcPr>
          <w:p>
            <w:pPr>
              <w:jc w:val="center"/>
              <w:ind w:left="250"/>
              <w:spacing w:after="0"/>
              <w:rPr>
                <w:sz w:val="20"/>
                <w:szCs w:val="20"/>
                <w:color w:val="auto"/>
              </w:rPr>
            </w:pPr>
            <w:r>
              <w:rPr>
                <w:rFonts w:ascii="Arial" w:cs="Arial" w:eastAsia="Arial" w:hAnsi="Arial"/>
                <w:sz w:val="18"/>
                <w:szCs w:val="18"/>
                <w:color w:val="auto"/>
                <w:w w:val="93"/>
              </w:rPr>
              <w:t>Injection administration, hypoglycemia,</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N, Novolin N)</w:t>
            </w:r>
          </w:p>
        </w:tc>
        <w:tc>
          <w:tcPr>
            <w:tcW w:w="98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addresses insulin insufficiency</w:t>
            </w:r>
          </w:p>
        </w:tc>
        <w:tc>
          <w:tcPr>
            <w:tcW w:w="3220" w:type="dxa"/>
            <w:vAlign w:val="bottom"/>
          </w:tcPr>
          <w:p>
            <w:pPr>
              <w:jc w:val="center"/>
              <w:ind w:left="250"/>
              <w:spacing w:after="0"/>
              <w:rPr>
                <w:sz w:val="20"/>
                <w:szCs w:val="20"/>
                <w:color w:val="auto"/>
              </w:rPr>
            </w:pPr>
            <w:r>
              <w:rPr>
                <w:rFonts w:ascii="Arial" w:cs="Arial" w:eastAsia="Arial" w:hAnsi="Arial"/>
                <w:sz w:val="18"/>
                <w:szCs w:val="18"/>
                <w:color w:val="auto"/>
                <w:w w:val="92"/>
              </w:rPr>
              <w:t>weight gain</w:t>
            </w: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w w:val="97"/>
              </w:rPr>
              <w:t>Longer-acting Insulins (NPH, glargine,</w:t>
            </w:r>
          </w:p>
        </w:tc>
        <w:tc>
          <w:tcPr>
            <w:tcW w:w="980" w:type="dxa"/>
            <w:vAlign w:val="bottom"/>
          </w:tcPr>
          <w:p>
            <w:pPr>
              <w:ind w:left="200"/>
              <w:spacing w:after="0"/>
              <w:rPr>
                <w:sz w:val="20"/>
                <w:szCs w:val="20"/>
                <w:color w:val="auto"/>
              </w:rPr>
            </w:pPr>
            <w:r>
              <w:rPr>
                <w:rFonts w:ascii="Arial" w:cs="Arial" w:eastAsia="Arial" w:hAnsi="Arial"/>
                <w:sz w:val="18"/>
                <w:szCs w:val="18"/>
                <w:color w:val="auto"/>
              </w:rPr>
              <w:t>Varied</w:t>
            </w: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Established standard of care and directly</w:t>
            </w:r>
          </w:p>
        </w:tc>
        <w:tc>
          <w:tcPr>
            <w:tcW w:w="3220" w:type="dxa"/>
            <w:vAlign w:val="bottom"/>
          </w:tcPr>
          <w:p>
            <w:pPr>
              <w:jc w:val="center"/>
              <w:ind w:left="250"/>
              <w:spacing w:after="0"/>
              <w:rPr>
                <w:sz w:val="20"/>
                <w:szCs w:val="20"/>
                <w:color w:val="auto"/>
              </w:rPr>
            </w:pPr>
            <w:r>
              <w:rPr>
                <w:rFonts w:ascii="Arial" w:cs="Arial" w:eastAsia="Arial" w:hAnsi="Arial"/>
                <w:sz w:val="18"/>
                <w:szCs w:val="18"/>
                <w:color w:val="auto"/>
                <w:w w:val="93"/>
              </w:rPr>
              <w:t>Injection administration, hypoglycemia,</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detemir, degludec)</w:t>
            </w:r>
          </w:p>
        </w:tc>
        <w:tc>
          <w:tcPr>
            <w:tcW w:w="98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addresses insulin insufficiency</w:t>
            </w:r>
          </w:p>
        </w:tc>
        <w:tc>
          <w:tcPr>
            <w:tcW w:w="3220" w:type="dxa"/>
            <w:vAlign w:val="bottom"/>
          </w:tcPr>
          <w:p>
            <w:pPr>
              <w:jc w:val="center"/>
              <w:ind w:left="250"/>
              <w:spacing w:after="0"/>
              <w:rPr>
                <w:sz w:val="20"/>
                <w:szCs w:val="20"/>
                <w:color w:val="auto"/>
              </w:rPr>
            </w:pPr>
            <w:r>
              <w:rPr>
                <w:rFonts w:ascii="Arial" w:cs="Arial" w:eastAsia="Arial" w:hAnsi="Arial"/>
                <w:sz w:val="18"/>
                <w:szCs w:val="18"/>
                <w:color w:val="auto"/>
                <w:w w:val="92"/>
              </w:rPr>
              <w:t>weight gain</w:t>
            </w:r>
          </w:p>
        </w:tc>
      </w:tr>
      <w:tr>
        <w:trPr>
          <w:trHeight w:val="365"/>
        </w:trPr>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60" w:type="dxa"/>
            <w:vAlign w:val="bottom"/>
          </w:tcPr>
          <w:p>
            <w:pPr>
              <w:jc w:val="right"/>
              <w:ind w:right="1890"/>
              <w:spacing w:after="0"/>
              <w:rPr>
                <w:sz w:val="20"/>
                <w:szCs w:val="20"/>
                <w:color w:val="auto"/>
              </w:rPr>
            </w:pPr>
            <w:r>
              <w:rPr>
                <w:rFonts w:ascii="Arial" w:cs="Arial" w:eastAsia="Arial" w:hAnsi="Arial"/>
                <w:sz w:val="18"/>
                <w:szCs w:val="18"/>
                <w:color w:val="auto"/>
              </w:rPr>
              <w:t>6</w:t>
            </w:r>
          </w:p>
        </w:tc>
        <w:tc>
          <w:tcPr>
            <w:tcW w:w="3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00" w:right="480"/>
        <w:spacing w:after="0" w:line="282" w:lineRule="auto"/>
        <w:rPr>
          <w:sz w:val="20"/>
          <w:szCs w:val="20"/>
          <w:color w:val="auto"/>
        </w:rPr>
      </w:pPr>
      <w:r>
        <w:rPr>
          <w:rFonts w:ascii="Arial" w:cs="Arial" w:eastAsia="Arial" w:hAnsi="Arial"/>
          <w:sz w:val="18"/>
          <w:szCs w:val="18"/>
          <w:b w:val="1"/>
          <w:bCs w:val="1"/>
          <w:color w:val="auto"/>
        </w:rPr>
        <w:t xml:space="preserve">Available combination products include: </w:t>
      </w:r>
      <w:r>
        <w:rPr>
          <w:rFonts w:ascii="Arial" w:cs="Arial" w:eastAsia="Arial" w:hAnsi="Arial"/>
          <w:sz w:val="18"/>
          <w:szCs w:val="18"/>
          <w:color w:val="auto"/>
        </w:rPr>
        <w:t>biguanide/sulfonylurea, biguanide/meglitinide, biguanide/thazolidinedione, biguanide/DPP4 inhibitor,</w:t>
      </w:r>
      <w:r>
        <w:rPr>
          <w:rFonts w:ascii="Arial" w:cs="Arial" w:eastAsia="Arial" w:hAnsi="Arial"/>
          <w:sz w:val="18"/>
          <w:szCs w:val="18"/>
          <w:b w:val="1"/>
          <w:bCs w:val="1"/>
          <w:color w:val="auto"/>
        </w:rPr>
        <w:t xml:space="preserve"> </w:t>
      </w:r>
      <w:r>
        <w:rPr>
          <w:rFonts w:ascii="Arial" w:cs="Arial" w:eastAsia="Arial" w:hAnsi="Arial"/>
          <w:sz w:val="18"/>
          <w:szCs w:val="18"/>
          <w:color w:val="auto"/>
        </w:rPr>
        <w:t>biguanide/SGLT2 inhibitor, SGLT2 inhibitor/DPP4 inhibitor, long acting insulin/GLP-1 receptor agonist</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 included in ADA Primary Treatment Algorithm but may be used under specific circumstances</w:t>
      </w:r>
    </w:p>
    <w:p>
      <w:pPr>
        <w:sectPr>
          <w:pgSz w:w="11900" w:h="16838" w:orient="portrait"/>
          <w:cols w:equalWidth="0" w:num="1">
            <w:col w:w="11180"/>
          </w:cols>
          <w:pgMar w:left="240" w:top="459" w:right="479" w:bottom="1440" w:gutter="0" w:footer="0" w:header="0"/>
        </w:sect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Meglitinides (nateglinide, repaglinide)</w:t>
      </w:r>
    </w:p>
    <w:p>
      <w:pPr>
        <w:spacing w:after="0" w:line="23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Alpha-glucosidase inhibitors (acarbose, miglitol)</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Dopamine-2 agonist (bromocriptine)</w:t>
      </w: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Amylin mimetics (pramlintide)</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Bile acid sequestrant (colesevelam)</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80" w:type="dxa"/>
            <w:vAlign w:val="bottom"/>
            <w:vMerge w:val="restart"/>
          </w:tcPr>
          <w:p>
            <w:pPr>
              <w:jc w:val="center"/>
              <w:ind w:right="130"/>
              <w:spacing w:after="0"/>
              <w:rPr>
                <w:sz w:val="20"/>
                <w:szCs w:val="20"/>
                <w:color w:val="auto"/>
              </w:rPr>
            </w:pPr>
            <w:r>
              <w:rPr>
                <w:rFonts w:ascii="Arial" w:cs="Arial" w:eastAsia="Arial" w:hAnsi="Arial"/>
                <w:sz w:val="18"/>
                <w:szCs w:val="18"/>
                <w:color w:val="auto"/>
                <w:w w:val="91"/>
              </w:rPr>
              <w:t>0.5-1%</w:t>
            </w: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Improved postprandial glucose</w:t>
            </w:r>
          </w:p>
        </w:tc>
        <w:tc>
          <w:tcPr>
            <w:tcW w:w="3240" w:type="dxa"/>
            <w:vAlign w:val="bottom"/>
            <w:vMerge w:val="restart"/>
          </w:tcPr>
          <w:p>
            <w:pPr>
              <w:jc w:val="center"/>
              <w:ind w:left="90"/>
              <w:spacing w:after="0"/>
              <w:rPr>
                <w:sz w:val="20"/>
                <w:szCs w:val="20"/>
                <w:color w:val="auto"/>
              </w:rPr>
            </w:pPr>
            <w:r>
              <w:rPr>
                <w:rFonts w:ascii="Arial" w:cs="Arial" w:eastAsia="Arial" w:hAnsi="Arial"/>
                <w:sz w:val="18"/>
                <w:szCs w:val="18"/>
                <w:color w:val="auto"/>
                <w:w w:val="92"/>
              </w:rPr>
              <w:t>Hypoglycemia, increased weight</w:t>
            </w: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0"/>
              </w:rPr>
              <w:t>excursions</w:t>
            </w:r>
          </w:p>
        </w:tc>
        <w:tc>
          <w:tcPr>
            <w:tcW w:w="3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9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0.25-1%</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Rare hypoglycemia, improved postprandial</w:t>
            </w:r>
          </w:p>
        </w:tc>
        <w:tc>
          <w:tcPr>
            <w:tcW w:w="3240" w:type="dxa"/>
            <w:vAlign w:val="bottom"/>
          </w:tcPr>
          <w:p>
            <w:pPr>
              <w:jc w:val="center"/>
              <w:ind w:left="90"/>
              <w:spacing w:after="0"/>
              <w:rPr>
                <w:sz w:val="20"/>
                <w:szCs w:val="20"/>
                <w:color w:val="auto"/>
              </w:rPr>
            </w:pPr>
            <w:r>
              <w:rPr>
                <w:rFonts w:ascii="Arial" w:cs="Arial" w:eastAsia="Arial" w:hAnsi="Arial"/>
                <w:sz w:val="18"/>
                <w:szCs w:val="18"/>
                <w:color w:val="auto"/>
                <w:w w:val="90"/>
              </w:rPr>
              <w:t>Modest efficacy, gastrointestinal side</w:t>
            </w: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89"/>
              </w:rPr>
              <w:t>glucose excursions, nonsystemic</w:t>
            </w:r>
          </w:p>
        </w:tc>
        <w:tc>
          <w:tcPr>
            <w:tcW w:w="3240" w:type="dxa"/>
            <w:vAlign w:val="bottom"/>
            <w:vMerge w:val="restart"/>
          </w:tcPr>
          <w:p>
            <w:pPr>
              <w:jc w:val="center"/>
              <w:ind w:left="90"/>
              <w:spacing w:after="0"/>
              <w:rPr>
                <w:sz w:val="20"/>
                <w:szCs w:val="20"/>
                <w:color w:val="auto"/>
              </w:rPr>
            </w:pPr>
            <w:r>
              <w:rPr>
                <w:rFonts w:ascii="Arial" w:cs="Arial" w:eastAsia="Arial" w:hAnsi="Arial"/>
                <w:sz w:val="18"/>
                <w:szCs w:val="18"/>
                <w:color w:val="auto"/>
                <w:w w:val="86"/>
              </w:rPr>
              <w:t>effects</w:t>
            </w: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3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0.5%</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Rare hypoglycemia, improvement in</w:t>
            </w:r>
          </w:p>
        </w:tc>
        <w:tc>
          <w:tcPr>
            <w:tcW w:w="3240" w:type="dxa"/>
            <w:vAlign w:val="bottom"/>
          </w:tcPr>
          <w:p>
            <w:pPr>
              <w:jc w:val="center"/>
              <w:ind w:left="90"/>
              <w:spacing w:after="0"/>
              <w:rPr>
                <w:sz w:val="20"/>
                <w:szCs w:val="20"/>
                <w:color w:val="auto"/>
              </w:rPr>
            </w:pPr>
            <w:r>
              <w:rPr>
                <w:rFonts w:ascii="Arial" w:cs="Arial" w:eastAsia="Arial" w:hAnsi="Arial"/>
                <w:sz w:val="18"/>
                <w:szCs w:val="18"/>
                <w:color w:val="auto"/>
                <w:w w:val="90"/>
              </w:rPr>
              <w:t>Modest efficacy, dizziness/syncope,</w:t>
            </w: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89"/>
              </w:rPr>
              <w:t>cardiovascular events</w:t>
            </w:r>
          </w:p>
        </w:tc>
        <w:tc>
          <w:tcPr>
            <w:tcW w:w="3240" w:type="dxa"/>
            <w:vAlign w:val="bottom"/>
            <w:vMerge w:val="restart"/>
          </w:tcPr>
          <w:p>
            <w:pPr>
              <w:jc w:val="center"/>
              <w:ind w:left="110"/>
              <w:spacing w:after="0"/>
              <w:rPr>
                <w:sz w:val="20"/>
                <w:szCs w:val="20"/>
                <w:color w:val="auto"/>
              </w:rPr>
            </w:pPr>
            <w:r>
              <w:rPr>
                <w:rFonts w:ascii="Arial" w:cs="Arial" w:eastAsia="Arial" w:hAnsi="Arial"/>
                <w:sz w:val="18"/>
                <w:szCs w:val="18"/>
                <w:color w:val="auto"/>
                <w:w w:val="88"/>
              </w:rPr>
              <w:t>hypotension, nausea, fatigue, somnolence</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2"/>
              </w:rPr>
              <w:t>Weight loss (up to ~2.5 kg from</w:t>
            </w:r>
          </w:p>
        </w:tc>
        <w:tc>
          <w:tcPr>
            <w:tcW w:w="3240" w:type="dxa"/>
            <w:vAlign w:val="bottom"/>
          </w:tcPr>
          <w:p>
            <w:pPr>
              <w:jc w:val="center"/>
              <w:ind w:left="90"/>
              <w:spacing w:after="0"/>
              <w:rPr>
                <w:sz w:val="20"/>
                <w:szCs w:val="20"/>
                <w:color w:val="auto"/>
              </w:rPr>
            </w:pPr>
            <w:r>
              <w:rPr>
                <w:rFonts w:ascii="Arial" w:cs="Arial" w:eastAsia="Arial" w:hAnsi="Arial"/>
                <w:sz w:val="18"/>
                <w:szCs w:val="18"/>
                <w:color w:val="auto"/>
                <w:w w:val="91"/>
              </w:rPr>
              <w:t>Injection administration, modest efficacy,</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3240" w:type="dxa"/>
            <w:vAlign w:val="bottom"/>
            <w:vMerge w:val="restart"/>
          </w:tcPr>
          <w:p>
            <w:pPr>
              <w:jc w:val="center"/>
              <w:ind w:left="90"/>
              <w:spacing w:after="0"/>
              <w:rPr>
                <w:sz w:val="20"/>
                <w:szCs w:val="20"/>
                <w:color w:val="auto"/>
              </w:rPr>
            </w:pPr>
            <w:r>
              <w:rPr>
                <w:rFonts w:ascii="Arial" w:cs="Arial" w:eastAsia="Arial" w:hAnsi="Arial"/>
                <w:sz w:val="18"/>
                <w:szCs w:val="18"/>
                <w:color w:val="auto"/>
                <w:w w:val="90"/>
              </w:rPr>
              <w:t>gastrointestinal side effects, hypoglycemia</w:t>
            </w:r>
          </w:p>
        </w:tc>
        <w:tc>
          <w:tcPr>
            <w:tcW w:w="0" w:type="dxa"/>
            <w:vAlign w:val="bottom"/>
          </w:tcPr>
          <w:p>
            <w:pPr>
              <w:spacing w:after="0"/>
              <w:rPr>
                <w:sz w:val="1"/>
                <w:szCs w:val="1"/>
                <w:color w:val="auto"/>
              </w:rPr>
            </w:pPr>
          </w:p>
        </w:tc>
      </w:tr>
      <w:tr>
        <w:trPr>
          <w:trHeight w:val="108"/>
        </w:trPr>
        <w:tc>
          <w:tcPr>
            <w:tcW w:w="9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0.25-0.5%</w:t>
            </w:r>
          </w:p>
        </w:tc>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1"/>
              </w:rPr>
              <w:t>baseline), improved postprandial</w:t>
            </w: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vMerge w:val="continue"/>
          </w:tcPr>
          <w:p>
            <w:pPr>
              <w:spacing w:after="0"/>
              <w:rPr>
                <w:sz w:val="9"/>
                <w:szCs w:val="9"/>
                <w:color w:val="auto"/>
              </w:rPr>
            </w:pPr>
          </w:p>
        </w:tc>
        <w:tc>
          <w:tcPr>
            <w:tcW w:w="3520" w:type="dxa"/>
            <w:vAlign w:val="bottom"/>
            <w:vMerge w:val="continue"/>
          </w:tcPr>
          <w:p>
            <w:pPr>
              <w:spacing w:after="0"/>
              <w:rPr>
                <w:sz w:val="9"/>
                <w:szCs w:val="9"/>
                <w:color w:val="auto"/>
              </w:rPr>
            </w:pPr>
          </w:p>
        </w:tc>
        <w:tc>
          <w:tcPr>
            <w:tcW w:w="324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under some conditions, for use with</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0"/>
              </w:rPr>
              <w:t>excursion</w:t>
            </w: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3240" w:type="dxa"/>
            <w:vAlign w:val="bottom"/>
            <w:vMerge w:val="restart"/>
          </w:tcPr>
          <w:p>
            <w:pPr>
              <w:jc w:val="center"/>
              <w:ind w:left="90"/>
              <w:spacing w:after="0"/>
              <w:rPr>
                <w:sz w:val="20"/>
                <w:szCs w:val="20"/>
                <w:color w:val="auto"/>
              </w:rPr>
            </w:pPr>
            <w:r>
              <w:rPr>
                <w:rFonts w:ascii="Arial" w:cs="Arial" w:eastAsia="Arial" w:hAnsi="Arial"/>
                <w:sz w:val="18"/>
                <w:szCs w:val="18"/>
                <w:color w:val="auto"/>
                <w:w w:val="94"/>
              </w:rPr>
              <w:t>mealtime insulin only</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9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0.5%</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Rare hypoglycemia, decreased</w:t>
            </w:r>
          </w:p>
        </w:tc>
        <w:tc>
          <w:tcPr>
            <w:tcW w:w="3240" w:type="dxa"/>
            <w:vAlign w:val="bottom"/>
          </w:tcPr>
          <w:p>
            <w:pPr>
              <w:jc w:val="center"/>
              <w:ind w:left="90"/>
              <w:spacing w:after="0"/>
              <w:rPr>
                <w:sz w:val="20"/>
                <w:szCs w:val="20"/>
                <w:color w:val="auto"/>
              </w:rPr>
            </w:pPr>
            <w:r>
              <w:rPr>
                <w:rFonts w:ascii="Arial" w:cs="Arial" w:eastAsia="Arial" w:hAnsi="Arial"/>
                <w:sz w:val="18"/>
                <w:szCs w:val="18"/>
                <w:color w:val="auto"/>
                <w:w w:val="91"/>
              </w:rPr>
              <w:t>Modest efficacy, constipation, drug</w:t>
            </w: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3"/>
              </w:rPr>
              <w:t>low density lipoproteins</w:t>
            </w:r>
          </w:p>
        </w:tc>
        <w:tc>
          <w:tcPr>
            <w:tcW w:w="324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interaction, increased triglycerides</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60" w:space="360"/>
            <w:col w:w="7760"/>
          </w:cols>
          <w:pgMar w:left="240" w:top="459" w:right="479" w:bottom="1440" w:gutter="0" w:footer="0" w:header="0"/>
          <w:type w:val="continuous"/>
        </w:sectPr>
      </w:pPr>
    </w:p>
    <w:p>
      <w:pPr>
        <w:spacing w:after="0" w:line="2"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Details derived from the American Diabetes Association, or ADA, Standards of Medical Care in Diabetes-2017: Pharmacologic Approaches to Diabetes Treatment, Diabetes Care 2017;40(Suppl. 1): S64–S74 with supplementary information from The Medical Letter on Drugs and Therapeutics: Drugs for Type 2 Diabetes, January 2017. A1C reduction estimates reflect changes following long-term therapy and are taken from the package inserts.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PWS</w:t>
      </w:r>
    </w:p>
    <w:p>
      <w:pPr>
        <w:spacing w:after="0" w:line="121"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PWS is the most common known genetic cause of life-threatening obesity. PWS is a rare and complex non-inherited genetic disorder, which results from abnormalities of the fifteenth chromosome. Symptoms associated with PWS are believed to result, in part, from a defect in the hypothalamus, an important supervisory center in the brain that controls many important bodily functions, such as hunger, metabolism of fats and carbohydrates, regulation of the sleep-wake cycle and expression of emotions.</w:t>
      </w:r>
    </w:p>
    <w:p>
      <w:pPr>
        <w:spacing w:after="0" w:line="187"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Beginning in childhood, the brain of a patient with PWS fails to regulate metabolism and appetite normally. As a result, the vast majority of patients with PWS suffer from hyperphagia and obesity. Patients with PWS are constantly preoccupied with food and an unrelenting and overriding physiological drive to eat. Hyperphagia, a leading symptom of PWS, has a significant negative impact on the patients’ quality of life and drives obesity and a range of associated co-morbidities. Normal satiety, or the feeling of fullness after eating, does not exist in a person with PWS. The physiological drive to eat is so powerful and overwhelming that most patients with PWS will go to great lengths to eat large quantities of food, even if it is spoiled, indigestible, or unpalatable to others. Furthermore, patients with PWS have a reduced propensity for nausea and vomiting. In addition to obesity, a variety of other symptoms can be associated with PWS, including cognitive challenges, intellectual disabilities, growth hormone deficiency/short stature, low sensitivity to pain, hypersomnolence, or excessive sleepiness, and infertility due to hypogonadism, or insufficient production of sex hormones.</w:t>
      </w:r>
    </w:p>
    <w:p>
      <w:pPr>
        <w:spacing w:after="0" w:line="19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Hyperphagia impairs a patient with PWS’s ability to live independently, requiring costly and constant supervision to prevent overeating. Without supervision, patients with PWS are likely to die prematurely as 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result of choking, stomach rupture or tissue necrosis, or from complications caused by morbid obesity, such as right heart failure and respiratory failure; in addition, preliminary data suggests that patients with PWS may be at a higher risk of death from pulmonary embolism than the general population. Based on our evaluation of published survival data, the average life expectancy of patients with PWS is approximately 32 years of age. While a small number of patients with PWS are cared for in costly group homes, the majority of patients with PWS live in environments where caregivers often place locks and alarms on cabinets and refrigerators that contain food to impede a PWS patient’s efforts to obtain food at all times. We estimate the typical annual cost of treating a patient with PWS is $100,000 to $200,000, excluding the often significant costs of drug therapies related to other medical and psychological conditions, and the costs of any lost time from work experienced by their families due to responsibilities related to the care of a patient with PWS.</w:t>
      </w:r>
    </w:p>
    <w:p>
      <w:pPr>
        <w:spacing w:after="0" w:line="192"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Published population studies estimate that the prevalence of PWS in the United States and in the European Union ranges from 1 in 8,000 to 1 in 50,000. PWS is diagnosed at an early age, typically in the first year of life, and we believe that, due to the severity of the condition and its unique attributes, the vast majority of patients affected by PWS are therefore diagnosed. We believe that approximately 40-50% of patients with PWS are 12 years of age or older.</w:t>
      </w:r>
    </w:p>
    <w:p>
      <w:pPr>
        <w:spacing w:after="0" w:line="187"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Although there are pharmacological treatments for various symptoms of PWS, such as replacement of human growth hormone in patients with PWS that are deficient in growth hormone, based on our discussions with physicians who treat patients with PWS, there are currently no effective pharmacological treatments for obesity and hyperphagia in PWS. Furthermore, bariatric surgery is contraindicated in patients with PWS due to poor outcomes related to an increased risk of rupture of the reduced stomach in the setting of sleeve gastrectomy or gastric bypass procedures, or rupture of the restricted esophagus in the setting of gastric banding procedures with the consequence of life-threatening gastric perforation. Apart from restricted access to food and constant supervision to prevent both life-threatening overeating and morbid obesity, there is currently no treatment for obesity and hyperphagia in patients with PWS.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strategy is to significantly improve the health and well-being of patients affected by both prevalent metabolic and rare diseases including type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 diabetes, PWS and potentially other metabolically related disorders. Key elements of our strategy include:</w:t>
      </w:r>
    </w:p>
    <w:p>
      <w:pPr>
        <w:spacing w:after="0" w:line="116" w:lineRule="exact"/>
        <w:rPr>
          <w:sz w:val="20"/>
          <w:szCs w:val="20"/>
          <w:color w:val="auto"/>
        </w:rPr>
      </w:pPr>
    </w:p>
    <w:p>
      <w:pPr>
        <w:ind w:left="1060" w:hanging="316"/>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the clinical development of MetAP2 inhibitors for the treatment of type 2 diabetes. </w:t>
      </w:r>
      <w:r>
        <w:rPr>
          <w:rFonts w:ascii="Arial" w:cs="Arial" w:eastAsia="Arial" w:hAnsi="Arial"/>
          <w:sz w:val="18"/>
          <w:szCs w:val="18"/>
          <w:color w:val="auto"/>
        </w:rPr>
        <w:t>We believe the patient population of type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diabetes would benefit from MetAP2 inhibitor treatment through concomitant improvements in glycemic control, plasma lipid fractions, and body weight. These benefits were noted in our Phase 2b clinical trial ZAF-203, which studied our first-generation compound in patients with type 2 diabetes.</w:t>
      </w:r>
    </w:p>
    <w:p>
      <w:pPr>
        <w:spacing w:after="0" w:line="92" w:lineRule="exact"/>
        <w:rPr>
          <w:rFonts w:ascii="Arial" w:cs="Arial" w:eastAsia="Arial" w:hAnsi="Arial"/>
          <w:sz w:val="18"/>
          <w:szCs w:val="18"/>
          <w:color w:val="auto"/>
        </w:rPr>
      </w:pPr>
    </w:p>
    <w:p>
      <w:pPr>
        <w:ind w:left="1060" w:right="100" w:hanging="316"/>
        <w:spacing w:after="0" w:line="316" w:lineRule="auto"/>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Advance the clinical development of ZGN-1258 in rare conditions in which profound hyperphagia and obesity are central morbidities associated with underlying genetic conditions</w:t>
      </w:r>
      <w:r>
        <w:rPr>
          <w:rFonts w:ascii="Arial" w:cs="Arial" w:eastAsia="Arial" w:hAnsi="Arial"/>
          <w:sz w:val="15"/>
          <w:szCs w:val="15"/>
          <w:i w:val="1"/>
          <w:iCs w:val="1"/>
          <w:u w:val="single" w:color="auto"/>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believe that rare conditions such as PWS afford us an opportunity to efficiently develop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commercialize ZGN-1258. We believe ZGN-1258 is well-suited for patients with hyperphagia and obesity that is caused by the failure of hypothalamic food intake control mechanisms, in particular the control of insatiable life-threatening hunger and hunger-related behavior. In January 2018, we announced our advancement of ZGN-1258 into development for this rare disease indication and in the first quarter of 2018 have begun work in preparation of filing an IND application for ZGN-1258 to begin Phase 1 clinical development by the end of 2018.</w:t>
      </w:r>
    </w:p>
    <w:p>
      <w:pPr>
        <w:spacing w:after="0" w:line="55" w:lineRule="exact"/>
        <w:rPr>
          <w:rFonts w:ascii="Arial" w:cs="Arial" w:eastAsia="Arial" w:hAnsi="Arial"/>
          <w:sz w:val="15"/>
          <w:szCs w:val="15"/>
          <w:color w:val="auto"/>
        </w:rPr>
      </w:pPr>
    </w:p>
    <w:p>
      <w:pPr>
        <w:ind w:left="1060" w:right="20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the knowledge of our experienced team of drug developers that have deep expertise in the function of MetAP2 inhibitors and metabolic diseases. </w:t>
      </w:r>
      <w:r>
        <w:rPr>
          <w:rFonts w:ascii="Arial" w:cs="Arial" w:eastAsia="Arial" w:hAnsi="Arial"/>
          <w:sz w:val="18"/>
          <w:szCs w:val="18"/>
          <w:color w:val="auto"/>
        </w:rPr>
        <w:t>Our management team has deep expertise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80"/>
        <w:spacing w:after="0" w:line="297" w:lineRule="auto"/>
        <w:rPr>
          <w:sz w:val="20"/>
          <w:szCs w:val="20"/>
          <w:color w:val="auto"/>
        </w:rPr>
      </w:pPr>
      <w:r>
        <w:rPr>
          <w:rFonts w:ascii="Arial" w:cs="Arial" w:eastAsia="Arial" w:hAnsi="Arial"/>
          <w:sz w:val="16"/>
          <w:szCs w:val="16"/>
          <w:color w:val="auto"/>
        </w:rPr>
        <w:t>type 2 diabetes, PWS, obesity and related metabolic diseases, the function of MetAP2 inhibitors, the strengths and weaknesses of current treatments for type 2 diabetes and obesity and the ability to recognize the potential of novel therapies for the treatment of type 2 diabetes and obesity. Our team is complemented by highly experienced external consultants and collaborators in the areas of drug discovery, development and regulatory approval. Based on our experience in MetAP2 inhibitor development, we are exploring new chemical approaches to identify new molecules targeting the liver for treatment of metabolic liver diseases such as non-alcoholic steatohepatitis.</w:t>
      </w:r>
    </w:p>
    <w:p>
      <w:pPr>
        <w:spacing w:after="0" w:line="64" w:lineRule="exact"/>
        <w:rPr>
          <w:sz w:val="20"/>
          <w:szCs w:val="20"/>
          <w:color w:val="auto"/>
        </w:rPr>
      </w:pPr>
    </w:p>
    <w:p>
      <w:pPr>
        <w:ind w:left="1060" w:right="40" w:hanging="316"/>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flexibility in commercializing and maximizing the value of our research programs. </w:t>
      </w:r>
      <w:r>
        <w:rPr>
          <w:rFonts w:ascii="Arial" w:cs="Arial" w:eastAsia="Arial" w:hAnsi="Arial"/>
          <w:sz w:val="18"/>
          <w:szCs w:val="18"/>
          <w:color w:val="auto"/>
        </w:rPr>
        <w:t>While we intend to develop ZGN-1061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indications such as type 2 diabetes and other metabolically related disorders, we may enter into strategic relationships with biotechnology or pharmaceutical companies to realize the full value of ZGN-1061. We intend to develop and commercialize ZGN-1258 in the United States and other major market countries for PWS.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ZGN-1061</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ZGN-1061 was discovered by our researchers as part of a multi-year campaign to identify novel compounds that avoided limiting nonclinical safety concerns observed with our first-generation compound. The compound has similar potency, and range of desired pharmacological activities in animal models as other MetAP2 inhibitors, including beloranib. ZGN-1061 displays broadly improved safety margins in nonclinical studies, supporting the value of the compound as a more highly optimized drug product candidate.</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ZGN-1061 acts through potent inhibition of MetAP2, an enzyme that modulates the activity of key cellular processes that control metabolism. MetAP2 inhibitors work, at least in part, by directing MetAP2 binding to cellular stress and growth factor mediators, thereby reducing the tone of signals that drive lipid synthesis by the liver and fat storage throughout the body. In this manner, MetAP2 inhibition serves the purpose of re-establishing balance to the ways the body stores and metabolizes fat and glucose. MetAP2 inhibitors reduce the production of new fatty acid molecules by the liver and help convert stored fats into useful energy, while stimulating use of glucose and fats as an energy source. In the setting of type 2 diabetes, these processes lead to improvement of glycemic control.</w:t>
      </w:r>
    </w:p>
    <w:p>
      <w:pPr>
        <w:spacing w:after="0" w:line="19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During nonclinical development of ZGN-1061, we conducted research to understand the imbalance of thrombotic events observed in the course of beloranib clinical development. This research identified biomarkers associated with activation of blood clotting that subsequently were confirmed to be impacted in the setting of beloranib treatment in animals and cultured human endothelial cells. Further, beloranib was found to be tightly cell-associated in cultured endothelial cells, an effect that is related to the nature of the side chain of the compound. Modifying the side chain, as was done with ZGN-1061, leads to altered endothelial cell residence time and greatly reduces the ability of the compounds to impact endothelial cell replication and the display of pro-and anti-coagulant factors, particularly following short-term exposure. Before committing ZGN-1061 to clinical development, the compound was evaluated for its potential to augment blood clotting in these same models and was found to be inactive with respect to thrombosis at doses leading to exposures over 100 times the anticipated clinical exposure.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ZGN-1258</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ZGN-1258 was also discovered by our researchers as part of a multi-year campaign to identify novel compounds that avoided limiting nonclinical safety concerns observed with our first-generation compound. The compound has similar potency, and range of desired pharmacological activities in animal models as other MetAP2 inhibitors, including beloranib. ZGN-1258 displays broadly improved safety margins in nonclinical studies, supporting the value of the compound as a more highly optimized drug product candidate.</w:t>
      </w:r>
    </w:p>
    <w:p>
      <w:pPr>
        <w:spacing w:after="0" w:line="18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ZGN-1258 acts through potent inhibition of MetAP2. Like other MetAP2 inhibitors, ZGN-1258 modulates the activity of key cellular processes that control metabolism and impact lipid synthesis and storage throughout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57" w:lineRule="auto"/>
        <w:rPr>
          <w:sz w:val="20"/>
          <w:szCs w:val="20"/>
          <w:color w:val="auto"/>
        </w:rPr>
      </w:pPr>
      <w:r>
        <w:rPr>
          <w:rFonts w:ascii="Arial" w:cs="Arial" w:eastAsia="Arial" w:hAnsi="Arial"/>
          <w:sz w:val="18"/>
          <w:szCs w:val="18"/>
          <w:color w:val="auto"/>
        </w:rPr>
        <w:t>the body and leads to increased use of stored fats as an energy source. ZGN-1258 displays enhanced uptake into the brain and displays greater potency and activity in animal models of hyperphagic behaviors relative to other MetAP2 inhibitors, including ZGN-1061. These differences support the use of ZGN-1258 in higher need indications such as PWS, in which brain activity is likely to be more important for therapeutic effect. Treatment of obese and hyperphagic animals with ZGN-1258 leads to reduction in both pathologic food intake and rapid body weight loss, making it of interest in the treatment of severe forms of human obesity.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Mechanism of Action</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 xml:space="preserve">First-generation MetAP2 inhibitors, such as beloranib, were evaluated for their potential for treating obesity following publication of studies in the </w:t>
      </w:r>
      <w:r>
        <w:rPr>
          <w:rFonts w:ascii="Arial" w:cs="Arial" w:eastAsia="Arial" w:hAnsi="Arial"/>
          <w:sz w:val="16"/>
          <w:szCs w:val="16"/>
          <w:i w:val="1"/>
          <w:iCs w:val="1"/>
          <w:color w:val="auto"/>
        </w:rPr>
        <w:t xml:space="preserve">Proceedings of the National Academy of Sciences </w:t>
      </w:r>
      <w:r>
        <w:rPr>
          <w:rFonts w:ascii="Arial" w:cs="Arial" w:eastAsia="Arial" w:hAnsi="Arial"/>
          <w:sz w:val="16"/>
          <w:szCs w:val="16"/>
          <w:color w:val="auto"/>
        </w:rPr>
        <w:t>in 2002 showing anti-obesity efficacy in animals treated with a prototype MetAP2 inhibitor. These</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showed that MetAP2 inhibitor treatment was associated with loss of fat tissue accompanied by an increase in fat oxidation, indicating a redirection of fuel usage toward utilization of stored fats as a source of energy. Reduced food intake also was observed in treated animals, suggesting either direct effects of the agent on central feeding regulation or activation of a feedback loop linking the release and oxidation of stored fat to appetite.</w:t>
      </w:r>
    </w:p>
    <w:p>
      <w:pPr>
        <w:spacing w:after="0" w:line="15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 xml:space="preserve">The MetAP2 inhibitor fumagillin was shown in 2004 to induce a novel protein-protein interaction involving MetAP2 and extracellular-signal-regulated kinase 1, or ERK1, a cell stress- and growth factor-stimulated kinase. This complex reduces the activation state of ERK1. A 2005 publication in </w:t>
      </w:r>
      <w:r>
        <w:rPr>
          <w:rFonts w:ascii="Arial" w:cs="Arial" w:eastAsia="Arial" w:hAnsi="Arial"/>
          <w:sz w:val="16"/>
          <w:szCs w:val="16"/>
          <w:i w:val="1"/>
          <w:iCs w:val="1"/>
          <w:color w:val="auto"/>
        </w:rPr>
        <w:t>Diabetes</w:t>
      </w:r>
      <w:r>
        <w:rPr>
          <w:rFonts w:ascii="Arial" w:cs="Arial" w:eastAsia="Arial" w:hAnsi="Arial"/>
          <w:sz w:val="16"/>
          <w:szCs w:val="16"/>
          <w:color w:val="auto"/>
        </w:rPr>
        <w:t xml:space="preserve"> showed that animals lacking ERK1 resist both high fat diet-induced obesity and insulin resistance, supporting the hypothesis that attenuation of ERK activity could be an important component of the beneficial metabolic effects of MetAP2 inhibitor treatment. Additionally, several hormones well-documented to be involved in energy metabolism are affected by MetAP2 inhibitors, including leptin, adiponectin and fibroblast growth factor-21, or FGF-21. These hormones are thought to contribute to the weight-reducing effects of MetAP2 inhibitors like ZGN-1061, and also are known to be involved in control of body weight, fat metabolism and glucose metabolism. This series of mechanistic effects leads to rapid and sustained reduction of excess body weight with ZGN-1061 treatment, such as has been observed in animal studies and our clinical trial experience to date.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illustration of the MetAP2 inhibitor mechanism of action and therapeutic effects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169545</wp:posOffset>
            </wp:positionV>
            <wp:extent cx="4733925" cy="1809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3392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the figure above, LDLc means low density lipoprotein and CRP means C-reactive protein.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Clinical Trials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Below is a summary of the Phase 1 clinical trial that was completed with ZGN-1061, and the Phase 2 clinical trial that is ongoing with ZGN-1061 as of the date of this Annual Report.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Phase 1 Clinical Trial</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ZGN-1061 Phase 1 clinical trial, ZAF-1061-101, was a randomized, double-blind (subject, principal investigator and site staff), placebo-controlled trial consisting of a single ascending dose, or SAD, phase and a multiple ascending dose, or MAD, phase. The SAD phase was designed to assess effects of ZGN-1061 at six ascending dose levels relative to placebo in male or female healthy volunteers with a BMI of 23 to &lt;30 kg/m</w:t>
      </w:r>
      <w:r>
        <w:rPr>
          <w:rFonts w:ascii="Arial" w:cs="Arial" w:eastAsia="Arial" w:hAnsi="Arial"/>
          <w:sz w:val="15"/>
          <w:szCs w:val="15"/>
          <w:color w:val="auto"/>
        </w:rPr>
        <w:t>2</w:t>
      </w:r>
      <w:r>
        <w:rPr>
          <w:rFonts w:ascii="Arial" w:cs="Arial" w:eastAsia="Arial" w:hAnsi="Arial"/>
          <w:sz w:val="18"/>
          <w:szCs w:val="18"/>
          <w:color w:val="auto"/>
        </w:rPr>
        <w:t xml:space="preserve"> (normal weight or overweight individuals). The MAD phase assessed effects of twice-weekly subcutaneous injections (eight doses in total) of ZGN-1061 over four weeks at three ascending dose levels relative to placebo, in male or female healthy volunteers with BMI 27-40 kg/m</w:t>
      </w:r>
      <w:r>
        <w:rPr>
          <w:rFonts w:ascii="Arial" w:cs="Arial" w:eastAsia="Arial" w:hAnsi="Arial"/>
          <w:sz w:val="15"/>
          <w:szCs w:val="15"/>
          <w:color w:val="auto"/>
        </w:rPr>
        <w:t>2</w:t>
      </w:r>
      <w:r>
        <w:rPr>
          <w:rFonts w:ascii="Arial" w:cs="Arial" w:eastAsia="Arial" w:hAnsi="Arial"/>
          <w:sz w:val="18"/>
          <w:szCs w:val="18"/>
          <w:color w:val="auto"/>
        </w:rPr>
        <w:t xml:space="preserve"> (overweight or obese individuals). In addition to conventional safety and pharmacokinetic assessments, exploratory pharmacodynamic endpoints were also assessed. These measures were intended to provide a preliminary assessment of the potential of ZGN-1061 for weight management and inform the Phase 2 clinical trial design.</w:t>
      </w:r>
    </w:p>
    <w:p>
      <w:pPr>
        <w:spacing w:after="0" w:line="19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this clinical trial, ZGN-1061 was rapidly absorbed and cleared with no evidence of pro-thrombotic effects. ZGN-1061 was well-tolerated, with no serious adverse events, or SAEs, and no severe adverse events, or AEs. There were no AEs leading to early withdrawal from the clinical trial. Treatment with ZGN-1061 resulted in improvements across multiple metabolic measures. On average, patients treated with ZGN-1061 for four weeks lost weight relative to placebo-treated patients (-4.6 lbs, -2.2 lbs, and -3.8 lbs for 0.2 mg, 0.6 mg, and 1.8 mg, respectively vs. -0.51 lbs for placebo-treated patients). Body weight loss was steady and progressive during treatment with ZGN-1061 and rebounded post-treatment, supporting a drug effect. The clinical trial demonstrated trends for reductions in LDL-cholesterol and high-sensitivity C-reactive protein, or hsCRP.</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Phase 2 Clinical Trial</w:t>
      </w:r>
    </w:p>
    <w:p>
      <w:pPr>
        <w:spacing w:after="0" w:line="117" w:lineRule="exact"/>
        <w:rPr>
          <w:sz w:val="20"/>
          <w:szCs w:val="20"/>
          <w:color w:val="auto"/>
        </w:rPr>
      </w:pPr>
    </w:p>
    <w:p>
      <w:pPr>
        <w:ind w:left="200" w:right="300" w:firstLine="441"/>
        <w:spacing w:after="0" w:line="291" w:lineRule="auto"/>
        <w:rPr>
          <w:sz w:val="20"/>
          <w:szCs w:val="20"/>
          <w:color w:val="auto"/>
        </w:rPr>
      </w:pPr>
      <w:r>
        <w:rPr>
          <w:rFonts w:ascii="Arial" w:cs="Arial" w:eastAsia="Arial" w:hAnsi="Arial"/>
          <w:sz w:val="16"/>
          <w:szCs w:val="16"/>
          <w:color w:val="auto"/>
        </w:rPr>
        <w:t>The ongoing ZGN-1061 Phase 2 clinical trial, ZAF-1061-201, is a randomized, double blinded, placebo-controlled trial with a core study consisting of three doses (0.05 mg, 0.3 mg and 0.9 mg) administered subcutaneously every three days of ZGN-1061 vs. placebo in a 1:1:1:1 ratio for</w:t>
      </w:r>
    </w:p>
    <w:p>
      <w:pPr>
        <w:ind w:left="200" w:right="100"/>
        <w:spacing w:after="0" w:line="323" w:lineRule="auto"/>
        <w:rPr>
          <w:sz w:val="20"/>
          <w:szCs w:val="20"/>
          <w:color w:val="auto"/>
        </w:rPr>
      </w:pPr>
      <w:r>
        <w:rPr>
          <w:rFonts w:ascii="Arial" w:cs="Arial" w:eastAsia="Arial" w:hAnsi="Arial"/>
          <w:sz w:val="16"/>
          <w:szCs w:val="16"/>
          <w:color w:val="auto"/>
        </w:rPr>
        <w:t>12 weeks. The clinical trial is being conducted in 23 study sites in Australia and New Zealand. In addition to the primary objectives of assessing safety, tolerability and glycemic control, the effects of ZGN-1061 on multiple metabolic measures and cardiovascular risk factors will be evaluated.</w:t>
      </w:r>
    </w:p>
    <w:p>
      <w:pPr>
        <w:spacing w:after="0" w:line="139"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order to guide business decisions and to understand more fully the dose responsive effects of ZGN-1061, we conducted an interim analysis at the end of February 2018, using data derived from randomized patients at 8 weeks of treatment with the study drug (n = 57). This analysis was performed principally to confirm expectations of safety and tolerability of the drug, and to assess whether clear evidence of a pharmacological effect could be observed at one or more doses of the drug, with A1C as the key endpoint. The interim analysis was pre-specified in the statistical analysis plan.</w:t>
      </w:r>
    </w:p>
    <w:p>
      <w:pPr>
        <w:spacing w:after="0" w:line="154"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ZGN-1061 appears to be safe and well-tolerated, with the frequency and types of reported adverse events being generally comparable to those observed in the placebo group. There were no severe or serious adverse events. No patients in this interim dataset withdrew from the clinical trial due to adverse events. No treatment-related alterations were observed for circulating d-dimer, a robust and validated biomarker of blood clotting, or any other markers of coagulation. No venous thromboembolism events or occurrences of superficial thrombophlebitis were observed or reported.</w:t>
      </w:r>
    </w:p>
    <w:p>
      <w:pPr>
        <w:spacing w:after="0" w:line="15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With respect to A1C, 8 weeks of treatment with 0.9 mg ZGN-1061 resulted in a 0.41% reduction from a baseline of 8.55% and a -0.57% placebo adjusted change in A1C, which was statistically significant with a p-value of less than 0.05, with 13 patients in the placebo arm and 13 patients in the 0.9 mg ZGN-1061 arm.</w:t>
      </w:r>
    </w:p>
    <w:p>
      <w:pPr>
        <w:spacing w:after="0" w:line="18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Though the interim analysis focused on 8 week data, a number of patients in the interim analysis had also completed 12 weeks in the trial, including eight and twelve patients in the 0.9 mg ZGN-1061 and placebo arms, respectively, and were assessed through a preliminary analysis. The placebo-adjusted difference in A1C</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auto"/>
        </w:rPr>
        <w:t>increased to -0.86% at 12 weeks of treatment with 0.9 mg ZGN-1061, which was associated with a p-value of less than 0.005 in the analysis. These preliminary A1C changes are approaching the magnitude of A1C changes seen with our prior MetAP2 compound at 12 weeks.</w:t>
      </w:r>
    </w:p>
    <w:p>
      <w:pPr>
        <w:spacing w:after="0" w:line="14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increased A1C effect of 0.9 mg ZGN-1061 observed in the preliminary assessment at 12 weeks compared to 8 weeks was comprised by a decline, of 0.45% in A1C in the 0.9 mg arm, as well as an increase in A1C levels in the placebo arm of 0.41% from baseline. Though not typical, A1C increases were seen across the trial from weeks 8 to 12 in the placebo, 0.05 and 0.3mg dose arms in this preliminary analysis. A mixed-effect model for repeated measures analysis, or MMRM, was employed for the interim analysis and is the pre-specified primary efficacy analysis method established for analysis of A1C responses in the full clinical trial.</w:t>
      </w:r>
    </w:p>
    <w:p>
      <w:pPr>
        <w:spacing w:after="0" w:line="188"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Multiple secondary endpoint metabolic biomarkers, including body weight, showed some degree of positive response in the 0.9 mg dose arm of ZGN-1061, with varying degrees of significance, and will be saved to be presented at a later date as part of the full trial results.</w:t>
      </w:r>
    </w:p>
    <w:p>
      <w:pPr>
        <w:spacing w:after="0" w:line="14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Together, the early safety and preliminary efficacy readout from this interim analysis indicate that 0.9 mg ZGN-1061 lacked untoward safety signals, was well-tolerated, and effective in improving glycemic control. Based on these findings, we have decided to further explore the higher end of therapeutic range of the drug by amending the study protocol to add an additional arm to the trial to evaluate the effects of a higher dose of ZGN-1061. This trial arm will include an additional 40 patients to be randomized to be treated with 1.8 mg ZGN-1061, 0.9 mg ZGN-1061, or placebo in a 2:1:1 ratio. This selection of doses is being implemented to maximize overlap with the core clinical trial, evaluating placebo, 0.05 mg, 0.3 mg, and 0.9 mg, and the new arm which will also evaluate the 1.8 mg dose level. Based on exposure data and target engagement results from the previously completed Phase 1 clinical trial with ZGN-1061, we anticipate that the 1.8 mg dose should lead to nearly maximum engagement of the MetAP2 target and allow for a more fulsome evaluation of the compound’s effective dose range as we have observed in animal models treated with doses leading to similar exposures and target engagement. We believe the additional data generated by the 1.8 mg dose arm will be informative as we set doses for subsequent clinical trials, particularly for the planned Phase 2b trial. The additional 1.8 mg dose arm is expected to run in parallel with the completion of Phase 2b-enabling long-term toxicology studies and IND application preparations. We do not expect it to materially affect the initiation of the Phase 2b trial with ZGN-1061. We expect to report full results of the core part of this clinical trial mid-year 2018, and the results of the entire trial including the additional arm early in 2019.</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plan to submit an IND application to the FDA after completion of our Phase 2 clinical trial, ZAF-1061-201, in support of additional clinical trials to be conducted in the United States.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Nonclinical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ZGN-1061</w:t>
      </w:r>
    </w:p>
    <w:p>
      <w:pPr>
        <w:spacing w:after="0" w:line="117"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We have conducted toxicology studies of ZGN-1061 in support of clinical development. Based on the nonclinical assessment, ZGN-1061 is not genotoxic. Dose selection and precautions for our completed Phase 1 and ongoing Phase 2 clinical trials have been informed by nonclinical toxicology studies. Toxicological studies of up to three months in multiple species using intermittent dosing have established no observed adverse effect levels at higher exposures relative to the anticipated human doses. At higher doses, the findings of toxicological importance were primarily injection site reactions in rodents at high doses, as well as minimal/mild changes in the spinal cord and peripheral nerve at higher doses in larger animal species. Six and nine month studies in multiple species, respectively, are in-progress and will be completed prior to the start of clinical trial programs of longer than three months duration. Embryofetal toxicity studies in multiple species have also been completed and suggest that there is a potential risk for the developing embryo or fetus to patients who are pregnant at exposure above that anticipated in the clinic; therefore, appropriate birth control and avoidance of pregnant persons within the clinical trial is mandatory.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ZGN-1258</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initiated GLP toxicology studies to support filing an IND application with the FDA for ZGN-1258. These studies are in progress and will be completed prior to submission of an IND application during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Future Product Candidates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currently evaluating liver-targeted MetAP2 inhibitors as potential development candidates for the treatment of hepatic disorders. These studies involve screening compounds with insights learned in our thrombosis investigations. We anticipate nominating one or more of these candidates for future development later in 2018.</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For information regarding amounts spent during each of the last three fiscal years on company-sponsored research and development activities, see Part II “Item 6—Selected Financial Data” of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ZGN-1061 is a small molecule drug that is chemically synthesized from raw materials. The current process to produce ZGN-1061 drug product for Phase 2 clinical trials involves sterile filtration and lyophilization that is reconstituted prior to administration. The Phase 2 drug product has been manufactured and released at our drug product contract manufacturing organization, or CMO. The manufacturing processes for both drug substance and drug product are under active development and optimization and are not yet validated for commercialization. We control our clinical trial supply chain by periodically meeting to assess clinical trial material needs and status of supply. The clinical supply forecast is managed internally by a cross functional working group and is used to aid in decision making for production planning.</w:t>
      </w:r>
    </w:p>
    <w:p>
      <w:pPr>
        <w:spacing w:after="0" w:line="17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ZGN-1258 is a small molecule drug that is chemically synthesized from raw materials. The current process to produce ZGN-1258 for Phase 1 clinical trials involves synthesis of drug substance and production of sterile liquid drug product which can be stored frozen. The Phase 2 drug product will be developed as a sterile, lyophilized product for reconstitution prior to administration.</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currently have no manufacturing facilities and limited personnel with manufacturing experience. We rely on contract manufacturers to produce both drug substance and drug product required for our clinical trials. Any delays encountered with manufacturing activities, CMO scheduling or raw material supply could delay the manufacturing of finished drug product. No long-term supply agreements are in place with our contractors, and each batch is individually contracted under a work order, which is governed by a quality agreement. We plan to continue to rely upon contract manufacturers and, potentially, collaboration partners to manufacture commercial quantities of ZGN-1061 and ZGN-1258, if approved, or if we elect to commercialize these product candidates on our own. Our current scale of manufacturing is adequate to support all of our current needs for clinical trial supplies. For commercial quantities for larger populations, we will need to identify contract manufacturers or partners to produce ZGN-1061 on a larger scale.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Based on our early stage of development, we have not yet established a commercial organization or distribution capabilities, nor have we entered into any partnership or co-promotion arrangements with an established pharmaceutical or biotechnology company. To develop the appropriate commercial infrastructure to launch ZGN-1258, we may either do so on our own or by establishing alliances with one or more pharmaceutical or other biotechnology company collaborators, depending on, among other things, the applicable indications, the related development costs and our available resources.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CKD License</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July 2009, we entered into an Exclusive License Agreement with Chong Kun Dang Pharmaceutical Corp. of South Korea, or CKD, pursuant to which we exclusively licensed beloranib from CKD on a worldwide basis, with the exception of South Korea. In consideration of such exclusive license, we paid an initial license fee to CKD, paid a one-time fee following initiation of a proof of concept trial, agreed to make milestone payments of up to $30.0 million (of which $7.5 million has been paid, including $3.3 million that was paid in the form of our common stock (valued at $3.6 million) as a result of an amendment to our license agreement and entry into a subscription agreement with CKD) to CKD upon the achievement of certain specified events, and agreed to pay a portion of sublicensing income to CKD. Furthermore, if we receive marketing approval for beloranib, we will pay single-digit royalties to CKD based on annual net sales of beloranib on a country-by-country and product-by-product basis until the later to occur of (i) the expiration of the last to expire patent in such country within the CKD patent rights containing a valid claim covering beloranib or its use for which regulatory approval has been obtained in such country, or (ii) ten years from the first commercial sale of beloranib in such country. Pursuant to this agreement, we committed to using commercially reasonable efforts to develop and commercialize beloranib. This agreement will remain in effect on a country-by-country and product-by-product basis until royalties are no longer due in such country, subject to earlier termination by either party upon mutual consent, or in the event of uncured breach or insolvency on the part of the other party, or by us for any reason up to 60 days’ prior notice.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Children’s License</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January 2007, we entered into an Exclusive License Agreement with Children’s Medical Center Corporation, or Children’s, pursuant to which we exclusively licensed certain patent rights from Children’s on a worldwide basis. The licensed patent rights relate to decreasing the growth of fat tissue, and thereby cover the use of ZGN-1061 and related molecules as anti-obesity agents. In consideration of such exclusive license, we paid an initial license fee upon execution of the license to Children’s and annual maintenance fees through the fifth anniversary of the date of the license. We also agreed to make milestone payments to Children’s of up to $2.7 million (of which $0.4 million has been paid) with respect to the first licensed product and up to $1.3 million with respect to each subsequent licensed product, if any, that is a new chemical entity upon the achievement of certain specified events and to pay a portion of sublicensing income to Children’s. If we receive marketing approval for ZGN-1061, we will pay single-digit royalties to Children’s based on net sales of ZGN-1061 until the later to occur of (i) the expiration of the last to expire patent in such country within the licensed patents containing a valid claim covering ZGN-1061 or (ii) 15 years from the date of the agreement. This agreement will remain in effect for the longer of (i) 15 years and (ii) the life of the last expiring licensed patent, subject to earlier termination (x) by Children’s in the event of our insolvency or our failure to cure a breach within 60 days (30 days in the case of non-payment) of receiving written notice thereof, or (y) by us for any reason upon 120 days’ prior written notice.</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and maintaining patents intended to cover our products and compositions, their methods of use and any other inventions that are important to the development of our business.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We also rely on know-how, continuing technological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innovation and in-licensing opportunities to develop, strengthen and maintain the proprietary position of ZGN-1061 and our other development programs.</w:t>
      </w:r>
    </w:p>
    <w:p>
      <w:pPr>
        <w:spacing w:after="0" w:line="170"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As of March 1, 2018, we own one issued U.S. Patent, two pending U.S. patent applications, with pending foreign counterpart patent applications, one pending Patent Cooperation Treaty, or PCT, patent application, as well as two pending U.S. provisional patent applications that relate to ZGN-1061.</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March 1, 2018, we own two pending U.S. patent applications, and related worldwide patent applications, that relate to ZGN-1258.</w:t>
      </w:r>
    </w:p>
    <w:p>
      <w:pPr>
        <w:spacing w:after="0" w:line="23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March 1, 2018, we own 19 issued U.S. patents, and 9 pending U.S. patent applications with pending foreign counterpart applications, all of which relate to our internal efforts to discover novel MetAP2 inhibitors.</w:t>
      </w:r>
    </w:p>
    <w:p>
      <w:pPr>
        <w:spacing w:after="0" w:line="170"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date of filing the non-provisional application. In the United States, a patent’s term may be lengthened by patent term adjustment, which compensates a patentee for administrative delays by the U.S. Patent and Trademark Office, or U.S. PTO, in granting a patent, or may be shortened if a patent is terminally disclaimed over an earlier-filed patent. In addition, in certain instances, a patent term can be extended to recapture a portion of the term effectively lost as a result of the FDA regulatory review period. However, the restoration period cannot be longer than five years and the total patent term including the restoration period must not exceed 14 years following FDA approval. The duration of foreign patents varies in accordance with provisions of applicable local law, but typically is also twenty years from the earliest effective filing date. Our issued patents will expire on dates ranging from 2020 to 2036. However, the actual protection afforded by a patent varies on a claim by claim and country to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w:t>
      </w:r>
    </w:p>
    <w:p>
      <w:pPr>
        <w:spacing w:after="0" w:line="16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Furthermore, the patent positions of biotechnology and pharmaceutical products and processes like those we intend to develop and commercialize are generally uncertain and involve complex legal and factual questions. No consistent policy regarding the breadth of claims allowed in such patents has emerged to date in the United States. The patent situation outside the United States is even more uncertain. Changes in either the patent laws or in interpretations of patent laws in the United States and other countries can diminish our ability to protect our inventions, and enforce our intellectual property rights and more generally, could affect the value of intellectual property. Accordingly, we cannot predict the breadth of claims that may be allowed or enforced in our patents or in third-party patents.</w:t>
      </w:r>
    </w:p>
    <w:p>
      <w:pPr>
        <w:spacing w:after="0" w:line="19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Our ability to maintain and solidify our proprietary position for our drugs and technology will depend on our success in obtaining effective claims and enforcing those claims once granted. We do not know whether any of the patent applications that we may file or license from third parties will result in the issuance of any patents. The issued patents that we own or may receive in the future, may be challenged, invalidated or circumvented, and the rights granted under any issued patents may not provide us with proprietary protection or competitive advantages against competitors with similar technology. Furthermore, our competitors may be able to independently develop and commercialize similar drugs or duplicate our technology, business model or strategy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w:t>
      </w:r>
    </w:p>
    <w:p>
      <w:pPr>
        <w:spacing w:after="0" w:line="182"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As a result of the America Invents Act of 2011, the United States transitioned to a first-inventor-to-file system in March 2013, under which, assuming the other requirements for patentability are met, the first inventor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 file a patent application will be entitled to the patent. This will require us to minimize the time from invention to the filing of a patent application.</w:t>
      </w:r>
    </w:p>
    <w:p>
      <w:pPr>
        <w:spacing w:after="0" w:line="23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may rely, in some circumstances, on trade secrets and unpatented know-how to protect our technology. However, trade secrets can be difficult to protect. We seek to protect our proprietary technology and processes, in part, by entering into confidentiality agreements with our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 For more information, see “Risk Factors—Risks Related to our Intellectual Property.”</w:t>
      </w:r>
    </w:p>
    <w:p>
      <w:pPr>
        <w:spacing w:after="0" w:line="166"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Our commercial success will also depend in part on not infringing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 material adverse impact on us. If third parties prepare and file patent applications in the United States that also claim technology to which we have rights, we may have to participate in interference proceedings in the U.S. PTO, to determine priority of invention.</w:t>
      </w:r>
    </w:p>
    <w:p>
      <w:pPr>
        <w:spacing w:after="0" w:line="15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substantial scientific and commercial research has been conducted for many years in the areas in which we have focused our development efforts, which has resulted in third parties having a number of issued patents and pending patent applications. Patent applications in the United States and elsewhere are published only after 18 months from the priority date. The publication of discoveries in the scientific or patent literature frequently occurs substantially later than the date on which the underlying discoveries were made. Therefore, patent applications relating to drugs similar to ZGN-1061, ZGN-1258 and any future drugs, discoveries or technologies we might develop may have already been filed by others without our knowledge.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competitors may develop and introduce products and processes comparable or superior to ours.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Existing Type 2 Diabetes Drugs</w:t>
      </w:r>
    </w:p>
    <w:p>
      <w:pPr>
        <w:spacing w:after="0" w:line="117"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Biguanides (metformin) is first line pharmacotherapy for the treatment of type 2 diabetes primarily due to the extensive experience, low cost and favorable benefit risk associated with it. While metformin is likely to remain the initial choice for the treatment of type 2 diabetes, ZGN-1061 will compete with sulfonylureas, GLP-1 receptor agonists, DPP4 inhibitors, SGLT2 inhibitors, thiazoladinediones, insulin, and various combination products. Although these pharmacotherapies are all effective to some extent in the treatment of type 2 diabetes, they each have notable limitations, and have not been found to halt the progression of type 2 diabetes. Therefore, additional effective and durable options are needed.</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There are a number of pharmaceutical and biotechnology companies that have type 2 diabetes drugs that are pursuing products with unique mechanisms of action for the treatment of type 2 diabetes.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PWS Drugs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There are no current pharmacological treatments for regulating hunger and hyperphagia-related behaviors of patients with PWS, and bariatric surgery is contraindicated in patients with PWS. Multiple products are currently under investigation for treatment of hyperphagia and/or obesity in individuals with PWS including assessment of diazoxide choline controlled-release for treatment of hyperphagia by Soleno Therapeutics, Inc., intranasal carbetocin for treatment of hyperphagia by Levo Therapeutics Inc., and liraglutide for weight management by Novo Nordisk. These three investigational products are either under Phase 3 assessment or are preparing for Phase 3 assessment. Several products are being explored in various stages of Phase 1 and Phase 2 of development. No products under investigation by other companies are MetAP2 inhibitors and the safety and efficacy of their product candidates have not yet been established.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ZGN-1061 and ZGN-1258.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17"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untitled or warning letters, voluntary product recalls,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66"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Our product candidates must be approved by the FDA through the New Drug Application, or NDA, process before they may be legally marketed in the United States. The process required by the FDA before a drug may be marketed in the United States generally involves the following:</w:t>
      </w:r>
    </w:p>
    <w:p>
      <w:pPr>
        <w:spacing w:after="0" w:line="29" w:lineRule="exact"/>
        <w:rPr>
          <w:sz w:val="20"/>
          <w:szCs w:val="20"/>
          <w:color w:val="auto"/>
        </w:rPr>
      </w:pPr>
    </w:p>
    <w:p>
      <w:pPr>
        <w:ind w:left="1060" w:right="640" w:hanging="316"/>
        <w:spacing w:after="0" w:line="308"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Completion of extensive nonclinical, sometimes referred to as nonclinical laboratory tests, animal studies and formulation studies in accordance with applicable regulations, including the FDA’s Good Laboratory Practice, or GLP, regulations;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60" w:right="540" w:hanging="316"/>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130" w:lineRule="exact"/>
        <w:rPr>
          <w:rFonts w:ascii="Arial" w:cs="Arial" w:eastAsia="Arial" w:hAnsi="Arial"/>
          <w:sz w:val="18"/>
          <w:szCs w:val="18"/>
          <w:color w:val="auto"/>
        </w:rPr>
      </w:pPr>
    </w:p>
    <w:p>
      <w:pPr>
        <w:jc w:val="both"/>
        <w:ind w:left="1060" w:right="200" w:hanging="316"/>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the FDA’s current good manufacturing practice, or cGMP, requirements to assure that the facilities, methods and controls are adequate to preserve the drug’s identity, strength, quality and purity;</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FDA audit of the nonclinical study and/or clinical trial sites that generated the data in support of the NDA;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225"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clinical trial to be suspended or terminated.</w:t>
      </w:r>
    </w:p>
    <w:p>
      <w:pPr>
        <w:spacing w:after="0" w:line="18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clinical stage of development involves the administration of the drug candidate to healthy volunteers or patients under the supervision of qualified investigators, generally physicians not employed by or under the clinical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clinical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83"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Clinical trials are generally conducted in three sequential phases that may overlap, known as Phase 1, Phase 2 and Phase 3 clinical trials. 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(from several hundred to several thousand subjects) and are designed to provide the data</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necessary to demonstrate the efficacy of the product for its intended use, its safety in use, and to establish the overall benefit/risk relationship of the product and provide an adequate basis for physician labeling. Phase 3 clinical trials may include comparisons with placebo and/or other comparator treatments. The duration of treatment is often extended to mimic the actual use of a product during marketing. Generally, two adequate and well-controlled Phase 3 clinical trials are required by the FDA for approval of an NDA, although additional Phase 3 clinical trials may be required for certain indications.</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clinical trials are used to gain additional experience from the treatment of patients in the intended therapeutic indication. In certain instances, the FDA may mandate the performance of Phase 4 clinical trials.</w:t>
      </w:r>
    </w:p>
    <w:p>
      <w:pPr>
        <w:spacing w:after="0" w:line="18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written IND safety reports must be submitted to the FDA and the investigators for serious and unexpected suspected adverse events, findings from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or other studies that suggest a significant risk for human subjects and any clinically important increase in the rate of a serious suspected adverse reaction over that listed in the protocol or investigator brochure.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clinical trial may move forward at designated check points based on access to certain data from the clinical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manufacturers, among other things,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Following clinical trial completion, clinical trial data are analyzed to assess safety and efficacy. The results of nonclinical studies and clinical trials are then submitted to the FDA as part of an NDA, along with proposed labeling for the product and information about the manufacturing process and facilities that will be used to ensure product quality, results of analytical testing conducted on the chemistry of the drug, and other relevant information. The NDA is a request for approval to market the drug and must contain proof of safety and efficacy, which is demonstrated by extensive nonclinical and clinical testing. The application includes both negative or ambiguous results of nonclinical studies and clinical trials as well as positive findings. Data may come from company-sponsored clinical trials intended to test the safety and efficacy of a use of a product,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Under the Prescription Drug User Fee Act, or PDUFA, as amended, each NDA must be accompanied by a user fee. The FDA adjusts the PDUFA user fees on an annual basis. According to the FDA’s fee schedule for fiscal year 2018, the user fee for an application requiring clinical data, such as an NDA, is $2,421,495. PDUFA also imposes an annual prescription drug product program fee for human drugs of $304,162.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5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new molecular-entity NDA and respond to the applicant, and six months from the filing date for a priority new molecular-entity NDA. The FDA does not always meet its PDUFA goal dates for standard and priority NDAs, and the review process is often significantly extended by FDA requests for additional information or clarification.</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179"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6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condition the approval of the NDA on other changes to the proposed labeling, development of adequate controls and specifications, or a commitment to conduct post-market testing or clinical trials and surveillance to monitor the effects of approved products. For example, the FDA may require Phase 4 testing which involves clinical trials designed to further assess drug safety and effectiveness and may require testing and surveillance programs to monitor the safety of approved products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5"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drugs and biological products that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w:t>
      </w:r>
    </w:p>
    <w:p>
      <w:pPr>
        <w:spacing w:after="0" w:line="170"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Any product is eligible for priority review if it treats a serious or life-threatening condition and, if approved, would provide a significant improvement in safety and effectiveness compared to available therapies. The FDA will attempt to direct additional resources to the evaluation of an application for a new drug or biologic designated for priority review in an effort to facilitate the review.</w:t>
      </w:r>
    </w:p>
    <w:p>
      <w:pPr>
        <w:spacing w:after="0" w:line="18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that can be measured earlier than irreversible morbidity or mortality, or IMM, that is reasonably likely to predict an effect on IMM or other clinical benefit. As a condition of approval, the FDA may require that a sponsor of a drug or biological product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98"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distribution restricted to certain facilities or physicians with special training or experience;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distribution conditioned on the performance of specified medical procedures.</w:t>
      </w:r>
    </w:p>
    <w:p>
      <w:pPr>
        <w:spacing w:after="0" w:line="225"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Additionally, a drug or biological product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Pediatric Clinical Trials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the Pediatric Research Equity Act, or PREA, as amended,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data or full or partial waivers. The FDCA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development programs. Submission of a PSP as defined in FDASIA is not required for programs with orphan drug designation.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Following approval of a new product, a pharmaceutical or biotechnology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and requirements for promotional activities involving the internet. The FDA also imposes limitations on industry-sponsored scientific and educational activities Although physicians may prescribe legally available drugs for off-label uses, manufacturers may not market or promote such off-label uses Prescription drug promotional materials must be submitted to the FDA in conjunction with their first use. Modifications or enhancements to the product or its labeling or changes of the site of manufacture are often subject to the approval of the FDA and other regulators, which may or may not be received or may result in a lengthy review process.</w:t>
      </w:r>
    </w:p>
    <w:p>
      <w:pPr>
        <w:spacing w:after="0" w:line="17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Any distribution of prescription drug products and pharmaceutical samples must comply with the U.S. Prescription Drug Marketing Act, or the PDMA, a part of the FDCA.</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the United States, once a product is approved, its manufacture is subject to comprehensive and continuing regulation by the FDA. The FDA regulations require that products be manufactured in specific facilities, which are inspected as part of the FDA’s review of the NDA, and in accordance with cGMP.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voluntary recall or withdrawal of the product from the market.</w:t>
      </w:r>
    </w:p>
    <w:p>
      <w:pPr>
        <w:spacing w:after="0" w:line="18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FDA also may require post-approval testing, sometimes referred to as Phase 4 testing, risk minimization action plans and post-marketing surveillance to monitor the effects of an approved product or place conditions on an approval that could restrict the distribution or use of the product. Discovery of previously unknown problems with a product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resulting from new legislation, may be established, or the FDA’s policies may change, which could delay or prevent regulatory approval of our products under development.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17"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w:t>
      </w:r>
    </w:p>
    <w:p>
      <w:pPr>
        <w:spacing w:after="0" w:line="46" w:lineRule="exact"/>
        <w:rPr>
          <w:sz w:val="20"/>
          <w:szCs w:val="20"/>
          <w:color w:val="auto"/>
        </w:rPr>
      </w:pPr>
    </w:p>
    <w:p>
      <w:pPr>
        <w:ind w:left="200" w:right="320" w:firstLine="4"/>
        <w:spacing w:after="0" w:line="255"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manufacturing arrangements; (ii) additions or modifications to product labeling; (iii) the voluntary recall or discontinuation of our products; or (iv) additional record-keeping requirements. If any such changes were to be imposed, they could adversely affect the operation of our business.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minus any time the applicant did not act with due diligence. Only one patent applicable to an approved drug is eligible for the extension and the application for the extension must be submitted prior to the expiration of the patent. The U.S. PTO, in consultation with the FDA, reviews and approves the application for any patent term extension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24"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clinical trial.</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Similar to the United States, the various phases of nonclinical and clinical research in the European Union are subject to significant regulatory controls. Although the EU Clinical Trials Directive 2001/20/EC has sought to harmonize the European Union clinical trials regulatory framework, setting out common rules for the control and authorization of clinical trials in the European Union, the European Union Member States have transposed and applied the provisions of the Directive differently. This has led to significant variations in the member state regimes. Under the current regime, before a clinical trial can be initiated it must be approved in each of the European Union countries where the clinical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 In April 2014, the European Union adopted a new Clinical Trials Regulation (EU) No 536/2014, which is set to replace the current Clinical Trials Directive 2001/20/EC. It is expected that the new Clinical Trials Regulation will apply in 2019. It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 entry point and strictly defined deadlines for the assessment of clinical trial applications.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16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69"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Union New Chemical Entity Exclusivity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Union Orphan Designation and Exclusivity</w:t>
      </w:r>
    </w:p>
    <w:p>
      <w:pPr>
        <w:spacing w:after="0" w:line="117"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In the European Union, the European Commission, upon the recommendation of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and for which no satisfactory method of</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18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18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which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3" w:lineRule="exact"/>
        <w:rPr>
          <w:sz w:val="20"/>
          <w:szCs w:val="20"/>
          <w:color w:val="auto"/>
        </w:rPr>
      </w:pPr>
    </w:p>
    <w:p>
      <w:pPr>
        <w:ind w:left="200" w:right="280" w:firstLine="441"/>
        <w:spacing w:after="0" w:line="255" w:lineRule="auto"/>
        <w:rPr>
          <w:sz w:val="20"/>
          <w:szCs w:val="20"/>
          <w:color w:val="auto"/>
        </w:rPr>
      </w:pPr>
      <w:r>
        <w:rPr>
          <w:rFonts w:ascii="Arial" w:cs="Arial" w:eastAsia="Arial" w:hAnsi="Arial"/>
          <w:sz w:val="18"/>
          <w:szCs w:val="18"/>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product candidates, if any such product or the condition that it is intended to treat is the subject of a trial. It is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also possible that comparative effectiveness research demonstrating benefits in a competitor’s product could adversely affect the sales of our product candidates.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8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of 2010, or collectively the ACA, enacted in March 2010, has a significant impact on the health care industry. The ACA is intended to expand coverage for the uninsured while at the same time containing overall healthcare costs. With regard to pharmaceutical products, among other things, the ACA expands and increases industry rebates for drugs covered under Medicaid programs and makes changes to the coverage requirements under the Medicare Part D program. Pharmaceutical manufacturers are required to track certain financial arrangements with physicians and teaching hospitals, including any “transfer of value” made or distributed to such entities, as well as any investment interests held by physicians and their immediate family members. Manufacturers are required to annually report this information to The Center for Medicare and Medicaid services, or CMS, which posts the information on its website.</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Since its enactment, there have been challenges to numerous aspects of the ACA, including efforts to repeal and replace the ACA, and the ACA has been modified in a number of respects.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devises. On October 13, 2017, President Trump signed an Executive Order terminating the cost-sharing subsidies that reimburse the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cannot predict how the ACA, its possible repeal or replacement, any further action to modify the ACA, or the political uncertainty surrounding the ACA will affect our business.</w:t>
      </w:r>
    </w:p>
    <w:p>
      <w:pPr>
        <w:spacing w:after="0" w:line="18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then President Obama signed into law the American Taxpayer Relief Act of 2012, or the ATRA,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83"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6" w:lineRule="auto"/>
        <w:rPr>
          <w:sz w:val="20"/>
          <w:szCs w:val="20"/>
          <w:color w:val="auto"/>
        </w:rPr>
      </w:pPr>
      <w:r>
        <w:rPr>
          <w:rFonts w:ascii="Arial" w:cs="Arial" w:eastAsia="Arial" w:hAnsi="Arial"/>
          <w:sz w:val="17"/>
          <w:szCs w:val="17"/>
          <w:color w:val="auto"/>
        </w:rPr>
        <w:t>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tend to be significantly lower.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If we obtain regulatory approval of our products,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92" w:lineRule="exact"/>
        <w:rPr>
          <w:sz w:val="20"/>
          <w:szCs w:val="20"/>
          <w:color w:val="auto"/>
        </w:rPr>
      </w:pPr>
    </w:p>
    <w:p>
      <w:pPr>
        <w:jc w:val="both"/>
        <w:ind w:left="1060" w:right="20" w:hanging="316"/>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cash or in kind, to induce or reward, or in return for, either the referral of an individual for, or the purchase, order, or recommendation of, an item or service reimbursable under a federal healthcare program, such as the Medicare and Medicaid programs;</w:t>
      </w:r>
    </w:p>
    <w:p>
      <w:pPr>
        <w:spacing w:after="0" w:line="92" w:lineRule="exact"/>
        <w:rPr>
          <w:rFonts w:ascii="Arial" w:cs="Arial" w:eastAsia="Arial" w:hAnsi="Arial"/>
          <w:sz w:val="18"/>
          <w:szCs w:val="18"/>
          <w:color w:val="auto"/>
        </w:rPr>
      </w:pPr>
    </w:p>
    <w:p>
      <w:pPr>
        <w:jc w:val="both"/>
        <w:ind w:left="1060" w:hanging="316"/>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or making a false statement or record material to payment of a false claim or avoiding, decreasing, or concealing an obligation to pay money to the federal government;</w:t>
      </w:r>
    </w:p>
    <w:p>
      <w:pPr>
        <w:spacing w:after="0" w:line="92" w:lineRule="exact"/>
        <w:rPr>
          <w:rFonts w:ascii="Arial" w:cs="Arial" w:eastAsia="Arial" w:hAnsi="Arial"/>
          <w:sz w:val="18"/>
          <w:szCs w:val="18"/>
          <w:color w:val="auto"/>
        </w:rPr>
      </w:pPr>
    </w:p>
    <w:p>
      <w:pPr>
        <w:ind w:left="1060" w:right="20" w:hanging="316"/>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HIPPA, which created new federal criminal statutes that prohibit executing a scheme to defraud any healthcare benefit program and making false statements relating to healthcare matters;</w:t>
      </w:r>
    </w:p>
    <w:p>
      <w:pPr>
        <w:spacing w:after="0" w:line="51" w:lineRule="exact"/>
        <w:rPr>
          <w:rFonts w:ascii="Arial" w:cs="Arial" w:eastAsia="Arial" w:hAnsi="Arial"/>
          <w:sz w:val="17"/>
          <w:szCs w:val="17"/>
          <w:color w:val="auto"/>
        </w:rPr>
      </w:pPr>
    </w:p>
    <w:p>
      <w:pPr>
        <w:ind w:left="1060" w:right="320" w:hanging="316"/>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transparency laws, including the federal Physician Payment Sunshine Act, which is part of the ACA, that requires applicable manufacturers of covered drugs and biologics to disclose payments and other transfers of value provided to physicians and teaching hospitals and physician ownership and investment interests;</w:t>
      </w:r>
    </w:p>
    <w:p>
      <w:pPr>
        <w:spacing w:after="0" w:line="86" w:lineRule="exact"/>
        <w:rPr>
          <w:rFonts w:ascii="Arial" w:cs="Arial" w:eastAsia="Arial" w:hAnsi="Arial"/>
          <w:sz w:val="18"/>
          <w:szCs w:val="18"/>
          <w:color w:val="auto"/>
        </w:rPr>
      </w:pPr>
    </w:p>
    <w:p>
      <w:pPr>
        <w:ind w:left="1060" w:right="140" w:hanging="316"/>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HIPPA, as amended by the Health Information Technology for Economic and Clinical Health Act and its implementing regulations, which imposes certain requirements relating to the privacy, security and transmission of individually identifiable health information; and</w:t>
      </w:r>
    </w:p>
    <w:p>
      <w:pPr>
        <w:spacing w:after="0" w:line="29" w:lineRule="exact"/>
        <w:rPr>
          <w:rFonts w:ascii="Arial" w:cs="Arial" w:eastAsia="Arial" w:hAnsi="Arial"/>
          <w:sz w:val="16"/>
          <w:szCs w:val="16"/>
          <w:color w:val="auto"/>
        </w:rPr>
      </w:pPr>
    </w:p>
    <w:p>
      <w:pPr>
        <w:ind w:left="1060" w:right="20" w:hanging="316"/>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 of March 1, 2018, we employed 35 full-time employees, including 29 in research and development and 6 in general and administrative. We have never had a work stoppage, and none of our employees is represented by a labor organization or under any collective-bargaining arrangements. We consider our employee relations to be good.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were incorporated under the laws of the State of Delaware in 2005. Our principal executive offices are located at 175 Portland Street,</w:t>
      </w:r>
    </w:p>
    <w:p>
      <w:pPr>
        <w:spacing w:after="0" w:line="35"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4th Floor, Boston, MA 02114, and our telephone number is (617) 622-4003. Our website address is www.zafgen.com. We may post material information on our website, therefore please check our website to see if we have posted any material information.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make available free of charge through our website our annual report on Form 10-K, quarterly reports on Form 10-Q, current reports on Form 8-K and amendments to those reports filed or furnished pursuant to Sections 13(a) and 15(d) of the Securities Exchange Act of 1934, as amended, or the Exchange Act. We make these reports available through our website as soon as reasonably practicable after we electronically file such reports with, or furnish such reports to, the SEC. You can find, copy and inspect information we file at the SEC’s public reference room, which is located at 100 F Street, N.E., Room 1580, Washington, DC 20549. Please call the SEC at 1-800-SEC-0330 for more information about the operation of the SEC’s public reference room.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w:t>
      </w:r>
    </w:p>
    <w:p>
      <w:pPr>
        <w:spacing w:after="0" w:line="31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Annual Report on Form 10-K, or Annual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Annual Report and in our other public filings. The trading price of our common stock could decline due to any of these risks, and as a result, you may lose all or part of your investment.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left="200" w:right="560"/>
        <w:spacing w:after="0" w:line="264" w:lineRule="auto"/>
        <w:rPr>
          <w:sz w:val="20"/>
          <w:szCs w:val="20"/>
          <w:color w:val="auto"/>
        </w:rPr>
      </w:pPr>
      <w:r>
        <w:rPr>
          <w:rFonts w:ascii="Arial" w:cs="Arial" w:eastAsia="Arial" w:hAnsi="Arial"/>
          <w:sz w:val="18"/>
          <w:szCs w:val="18"/>
          <w:b w:val="1"/>
          <w:bCs w:val="1"/>
          <w:i w:val="1"/>
          <w:iCs w:val="1"/>
          <w:color w:val="auto"/>
        </w:rPr>
        <w:t>We currently depend primarily on the success of one product candidate, ZGN-1061, which has completed Phase 1 and is currently in Phase 2 clinical development. We cannot be certain that we will be able to obtain regulatory approval for ZGN-1061, or successfully commercialize ZGN-1061 if approved.</w:t>
      </w:r>
    </w:p>
    <w:p>
      <w:pPr>
        <w:spacing w:after="0" w:line="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currently have only one product candidate in clinical development, ZGN-1061, which has completed Phase 1 clinical development in the Netherlands and is in Phase 2 clinical development in Australia and New Zealand, and our business currently depends primarily on its successful clinical development, regulatory approval and commercialization. We currently have no drug products for sale and may never be able to develop marketable drug products. In order to conduct clinical trials in the United States we need to file an Investigational New Drug, or IND, application with the U.S. Food and Drug Administration, or FDA. Because our business is primarily dependent upon this one product candidate, any setback in our pursuit of regulatory approval for ZGN-1061 would have a material adverse effect on our business and prospects.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for the commercial sale of any product candidate, we must demonstrate through nonclinical testing and clinical trials that the product candidate is safe and effective for use in each target indication. This process can take many years and will likely include post-marketing studies, or PMS, post-marketing requirements, or PMRs, and surveillance such as Risk Evaluation and Mitigation Strategies, or REMS, which will require the expenditure of substantial resources beyond the proceeds we currently have on hand.</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Furthermore, we are not permitted to market ZGN-1061 in the United States until we receive approval of a New Drug Application, or NDA, from the FDA, or in any foreign countries until we receive the requisite marketing approval from such countries. Development of diabetes drugs requires approximately 2,500 subjects randomized to active doses of the product with 1,300 to 1,500 subjects exposed for a year and 300 to 500 subjects exposed for 18 months in order to estimate the safety of the drug in an NDA. In addition, it is anticipated that the FDA may require that their guidance for assessment of cardiovascular risk with diabetes products be followed which may require testing of 5,000 to 10,000 subjects. Meeting the requirements of the FDA or certain European regulatory authorities may require that we conduct additional pivotal clinical trials. Accordingly, obtaining approval of an NDA or Marketing Authorization Application, or MAA, is a complex, lengthy, expensive and uncertain process.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FDA and certain European regulatory authorities may delay, limit or deny approval of ZGN-1061 for many reasons, including, among others:</w:t>
      </w:r>
    </w:p>
    <w:p>
      <w:pPr>
        <w:spacing w:after="0" w:line="154"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may not accept our IND application for ZGN-1061 or may put it on clinical hold;</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demonstrate that ZGN-1061 is safe and effective to the satisfaction of the FDA and the European Medicines Agency, or EMA;</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and EMA for marketing approval;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and EMA may disagree with the number, design, size, duration, conduct or implementation of our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and EMA may require that we conduct additional clinical trials or nonclinical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and EMA may not approve the formulation, labeling or specifications of ZGN-1061;</w:t>
      </w:r>
    </w:p>
    <w:p>
      <w:pPr>
        <w:spacing w:after="0" w:line="130"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and EMA may find the data from nonclinical studies and clinical trials insufficient to demonstrate that ZGN-1061’s clinical and other benefits outweigh its safety risks;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and EMA may disagree with our interpretation of data from our nonclinical studies and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and EMA may not accept data generated at our clinical trial sites;</w:t>
      </w:r>
    </w:p>
    <w:p>
      <w:pPr>
        <w:spacing w:after="0" w:line="130"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when our NDA is submitted and is determined to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86" w:lineRule="exact"/>
        <w:rPr>
          <w:rFonts w:ascii="Arial" w:cs="Arial" w:eastAsia="Arial" w:hAnsi="Arial"/>
          <w:sz w:val="18"/>
          <w:szCs w:val="18"/>
          <w:color w:val="auto"/>
        </w:rPr>
      </w:pPr>
    </w:p>
    <w:p>
      <w:pPr>
        <w:ind w:left="1060" w:right="120" w:hanging="316"/>
        <w:spacing w:after="0" w:line="308"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FDA could require development of a REMS as a condition of approval or post-approval, or may not agree with our proposed REMS, or may impose additional requirements that limit the promotion, advertising, distribution, or sales of ZGN-1061;</w:t>
      </w:r>
    </w:p>
    <w:p>
      <w:pPr>
        <w:spacing w:after="0" w:line="51" w:lineRule="exact"/>
        <w:rPr>
          <w:rFonts w:ascii="Arial" w:cs="Arial" w:eastAsia="Arial" w:hAnsi="Arial"/>
          <w:sz w:val="17"/>
          <w:szCs w:val="17"/>
          <w:color w:val="auto"/>
        </w:rPr>
      </w:pPr>
    </w:p>
    <w:p>
      <w:pPr>
        <w:ind w:left="1060" w:right="3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and EMA may find deficiencies with or not approve the manufacturing processes or facilities of third-party manufacturers with which we contract;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and EMA may change their approval policies or adopt new regulations.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Any of these factors, many of which are beyond our control, could jeopardize our ability to obtain and/or maintain regulatory approval for and successfully market ZGN-1061. Of the large number of drugs in development in the United States, only a small percentage will successfully complete the FDA regulatory approval process and be commercialized. Accordingly, even if we are able to obtain the requisite financing to continue to fund our development and clinical trials, we cannot assure you that ZGN-1061 or any other of our product candidates will be successfully developed or commercialized.</w:t>
      </w:r>
    </w:p>
    <w:p>
      <w:pPr>
        <w:spacing w:after="0" w:line="296"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We cannot be certain that we will be able to successfully complete clinical trials for our product candidates, obtain regulatory approval for our product candidates or successfully commercialize our product candidates, if approved.</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currently have only one product candidate in clinical development, ZGN-1061, which has completed Phase 1 clinical development in the Netherlands and is in Phase 2 clinical development in Australia and New Zealand, and our business currently depends primarily on its successful clinical development, regulatory approval and commercialization. We recently announced a new product candidate, ZGN-1258, which is in nonclinical development. We expect to initially develop ZGN-1258 as a treatment for Prader-Willi syndrome, or PWS. Before our product candidates can be marketed, our IND application must go into effect permitting the conduct of clinical trials, then we must successfully complete human testing. The FDA and other comparable foreign regulatory agencies must approve our NDA or comparable regulatory submissions. Even after successful completion of clinical testing, there is a risk that the FDA may request further information from us, disagree with our findings or otherwise undertake a lengthy review of our submission. Even if the FDA approves our NDA, we may be unable to successfully commercialize our product candidates.</w:t>
      </w:r>
    </w:p>
    <w:p>
      <w:pPr>
        <w:spacing w:after="0" w:line="166"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It is possible, that the FDA will not approve any application that we may submit. It is possible that our product candidates may not obtain appropriate regulatory approvals necessary for us to commence clinical trials for our product candidates. Any delay or failure in obtaining required approvals could have a material adverse effect on our business. This process can take many years and will likely require the expenditure of substantial resources beyond the proceeds we currently have on hand.</w:t>
      </w:r>
    </w:p>
    <w:p>
      <w:pPr>
        <w:spacing w:after="0" w:line="295"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b w:val="1"/>
          <w:bCs w:val="1"/>
          <w:i w:val="1"/>
          <w:iCs w:val="1"/>
          <w:color w:val="auto"/>
        </w:rPr>
        <w:t>Favorable results from nonclinical studies, our Phase 1 clinical trial of ZGN-1061 and interim analysis of our Phase 2 clinical trial of ZGN-1061 are not necessarily predictive of the results of additional nonclinical studies or later-stage clinical trials of ZGN-1061. Given the thrombosis findings in humans treated with beloranib, development costs for ZGN-1061 may be higher and we may be unable to successfully develop, obtain regulatory approval for and commercialize ZGN-1061.</w:t>
      </w:r>
    </w:p>
    <w:p>
      <w:pPr>
        <w:spacing w:after="0" w:line="79"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Favorable results from our nonclinical studies of ZGN-1061, our Phase 1 clinical trial and interim analysis of our Phase 2 clinical trial of ZGN-1061 may not necessarily be predictive of the results from ongoing and later-stage clinical trials. To date we have shown that ZGN-1061 has similar potency against the MetAP2 target and similar activity in rodent models of obesity compared to beloranib. Toxicology studies in multiple species have shown that ZGN-1061 is not exhibiting any testicular safety signals or activation of thrombosis-related biochemical markers, and displays an appreciable margin for embryofetal toxicity, testicular toxicity, pro-thrombotic effects and other previously observed issues for MetAP2 inhibitors such as hematological and neuronal toxicities with a small therapeutic margin and no margin for embryofetal toxicity. Further in our Phase 1 clinical trial, ZGN-1061 demonstrated rapid drug absorption and clearance in line with criteria established in advance for the molecule, and has a favorable tolerability profile with no safety signals identified, including no evidence of pro-thrombotic effects. The data show that ZGN-1061 causes improvements across multiple metabolic measures consistent with MetAP2 inhibition, and patients in the clinical trial experienced mean weight loss of up to approximately one pound per week. In addition, data from the interim analysis of the Phase 2 clinical trial of ZGN-1061 demonstrated a favorable glycated hemoglobin A1C, or A1C, effect at the 0.9 mg dose of ZGN-1061. However, we can provide no assurance that the results of our nonclinical studies, Phase 1 clinical trial of ZGN-1061 and interim analysis of our Phase 2 clinical trial of ZGN-1061 will be replicated in ongoing or later-stage clinical trials of ZGN-1061 or other nonclinical studies.</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clinical trials after achieving positive results in nonclinical and early-stage clinical development. In particular, we have suffered significant setbacks in later-stage clinical trials of our former lead product candidate, beloranib, after achieving positive results in nonclinical and clinical development, and we cannot be certain that we will not face similar setbacks in our development of ZGN-1061. The setbacks in later-stage clinical development have been caused by, among other things, nonclinical findings made while clinical trials were underway or safety or efficacy observations made in clinical trials, including previously unreported or understood adverse events. Moreover, nonclinical and clinical data are often susceptible to varying interpretations and analyses, and many companies that believed their product candidates performed satisfactorily in nonclinical studies and clinical trials nonetheless failed to obtain FDA and/or EMA approval. If we fail to produce positive results in our later-stage clinical trials of ZGN-1061, the development timeline and regulatory approval and commercialization prospects for our lead product candidate, and, correspondingly, our business and financial prospects, would be materially adversely affected.</w:t>
      </w:r>
    </w:p>
    <w:p>
      <w:pPr>
        <w:spacing w:after="0" w:line="303"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such as the FDA to interrupt, delay or halt clinical trials and could result in a more restrictive label or the delay or denial of regulatory approval by the FDA or other regulatory authorities. For example, common adverse events observed in patients treated with our first-generation MetAP2 inhibitor, beloranib, versus placebo included diarrhea, injection site bruising, dizziness, decreased appetite, anxiety and sleep disturbances (insomnia principally manifested as delayed onset of sleep and abnormal dreams), among others. In addition, an imbalance in the number of thrombotic events observed in patients treated with beloranib as compared to patients on placebo in our clinical trials was observed. We may see similar adverse events with ZGN-1061 or ZGN-1258 as we saw with beloranib, and therefore, we will study these parameters in nonclinical and clinical development of ZGN-1061 and ZGN-1258. In our Phase 1 clinical trial of ZGN-1061, the most common adverse events reported were mild gastrointestinal issues (comparable between ZGN-1061 and placebo groups), headache and procedural-related irritation. In addition, data from the interim analysis of the Phase 2 clinical trial of ZGN-1061 demonstrated an increase in A1C in some treatment groups between 8 weeks and 12 weeks, and it is unknown whether this effect would continue or worsen during the remainder of this clinical trial.</w:t>
      </w:r>
    </w:p>
    <w:p>
      <w:pPr>
        <w:spacing w:after="0" w:line="183"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Further, if ZGN-1061 or ZGN-1258 receive marketing approval and we or others identify undesirable side effects caused by the product (or any other similar product) after the approval, a number of potentially significant negative consequences could result, including:</w:t>
      </w:r>
    </w:p>
    <w:p>
      <w:pPr>
        <w:spacing w:after="0" w:line="52" w:lineRule="exact"/>
        <w:rPr>
          <w:sz w:val="20"/>
          <w:szCs w:val="20"/>
          <w:color w:val="auto"/>
        </w:rPr>
      </w:pPr>
    </w:p>
    <w:p>
      <w:pPr>
        <w:ind w:left="1060" w:right="4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request that we withdraw the product from the market or may limit their approval of the product through labeling or other means;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“black box” warning or a contraindication or a precaution;</w:t>
      </w:r>
    </w:p>
    <w:p>
      <w:pPr>
        <w:spacing w:after="0" w:line="153" w:lineRule="exact"/>
        <w:rPr>
          <w:rFonts w:ascii="Arial" w:cs="Arial" w:eastAsia="Arial" w:hAnsi="Arial"/>
          <w:sz w:val="16"/>
          <w:szCs w:val="16"/>
          <w:color w:val="auto"/>
        </w:rPr>
      </w:pPr>
    </w:p>
    <w:p>
      <w:pPr>
        <w:ind w:left="1060" w:right="1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marketplace;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ZGN-1061 or ZGN-1258 could result in increased costs to us and could delay, prevent or limit our ability to generate revenue and continue our business.</w:t>
      </w:r>
    </w:p>
    <w:p>
      <w:pPr>
        <w:spacing w:after="0" w:line="62"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ZGN-1061 has completed Phase 1 clinical development in the Netherlands and is in Phase 2 clinical development in Australia and New Zealand and will require substantial further clinical development before we can submit an NDA to the FDA or an MAA to the EMA for its marketing approval. ZGN-1258 is still in nonclinical development, and additional nonclinical work must be completed prior to filing the IND application with the FDA.</w:t>
      </w:r>
    </w:p>
    <w:p>
      <w:pPr>
        <w:spacing w:after="0" w:line="14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Despite the guidance we may receive from the FDA, the EMA, or other applicable regulatory authorities including Australia and New Zealand, any of these regulatory authorities can change their positions on the acceptability of our clinical trial designs or the clinical endpoints selected, which may require us to complete additional clinical trials or impose stricter approval conditions than we currently expect. Successful completion of such clinical trials is a prerequisite to submitting an NDA to the FDA and an MAA to the EMA and, consequently, the ultimate approval and commercial marketing of ZGN-1061 or ZGN-1258. We do not know whether any clinical trials for ZGN-1061 or ZGN-1258 will begin or be completed on schedule, if at all, as the commencement and completion of clinical trials can be delayed or prevented for a number of reasons, including, among others:</w:t>
      </w:r>
    </w:p>
    <w:p>
      <w:pPr>
        <w:spacing w:after="0" w:line="70" w:lineRule="exact"/>
        <w:rPr>
          <w:sz w:val="20"/>
          <w:szCs w:val="20"/>
          <w:color w:val="auto"/>
        </w:rPr>
      </w:pPr>
    </w:p>
    <w:p>
      <w:pPr>
        <w:ind w:left="1060" w:right="8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EMA or other governing bodies in Europe or Australia and New Zealand may deny permission to begin or continue clinical trials, including for certain indications, we want to conduct;</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regulatory filings or receiving regulatory authorizations of IND applications, or clinical trial authorization applications, or CTAs, that may be required;</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results from our nonclinical studies, thus the FDA, the EMA or the applicable regulatory authorities in Australia or New Zealand, may require additional nonclinical and /or nonclinical studies;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and/or ethics committee approval to conduct a clinical trial at a prospective site or sites in the United States, the European Union, Australia or New Zealand;</w:t>
      </w:r>
    </w:p>
    <w:p>
      <w:pPr>
        <w:spacing w:after="0" w:line="75" w:lineRule="exact"/>
        <w:rPr>
          <w:rFonts w:ascii="Arial" w:cs="Arial" w:eastAsia="Arial" w:hAnsi="Arial"/>
          <w:sz w:val="18"/>
          <w:szCs w:val="18"/>
          <w:color w:val="auto"/>
        </w:rPr>
      </w:pPr>
    </w:p>
    <w:p>
      <w:pPr>
        <w:ind w:left="1060" w:right="220" w:hanging="316"/>
        <w:spacing w:after="0" w:line="31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52" w:lineRule="exact"/>
        <w:rPr>
          <w:rFonts w:ascii="Arial" w:cs="Arial" w:eastAsia="Arial" w:hAnsi="Arial"/>
          <w:sz w:val="16"/>
          <w:szCs w:val="16"/>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and/or patients in our ongoing or future clinical trials;</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 including side effects previously identified in our previous clinical trials for beloranib;</w:t>
      </w:r>
    </w:p>
    <w:p>
      <w:pPr>
        <w:spacing w:after="0" w:line="75"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the EMA, or the applicable regulatory authorities in Australia and New Zealand may disagree with our clinical trial designs, our interpretation of data from clinical trials, or may change the requirements for approval even after it has reviewed and commented on the design for our clinical trials;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reports from nonclinical, nonclinical or clinical testing of other weight loss therapies that raise safety or efficacy concerns.</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other regulatory authorities, the IRBs or ethics committees, at the sites where the IRBs or ethics committees are overseeing a clinical trial, a data monitoring committee, or DMC, overseeing the clinical trial at issue or other regulatory authorities due to a number of factors, including, among others:</w:t>
      </w:r>
    </w:p>
    <w:p>
      <w:pPr>
        <w:spacing w:after="0" w:line="92"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30" w:lineRule="exact"/>
        <w:rPr>
          <w:rFonts w:ascii="Arial" w:cs="Arial" w:eastAsia="Arial" w:hAnsi="Arial"/>
          <w:sz w:val="18"/>
          <w:szCs w:val="18"/>
          <w:color w:val="auto"/>
        </w:rPr>
      </w:pPr>
    </w:p>
    <w:p>
      <w:pPr>
        <w:ind w:left="1060" w:right="240" w:hanging="316"/>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the applicable regulatory authorities in Australia and New Zealand that reveals deficiencies or violations that require us to undertake corrective action, including the imposition of a partial clinical hold or a full clinical hold;</w:t>
      </w:r>
    </w:p>
    <w:p>
      <w:pPr>
        <w:spacing w:after="0" w:line="86"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nonclinical or nonclinical studies, adverse side effects or lack of effectiveness;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333"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guidance from EMA, Australia or New Zealand or unanticipated events during our clinical trials of ZGN-1061 or ZGN-1258, may occur, which may result in changes to clinical trial protocols or additional clinical trial requirements, which could result in increased costs to us and could delay our development timeline.</w:t>
      </w:r>
    </w:p>
    <w:p>
      <w:pPr>
        <w:spacing w:after="0" w:line="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Changes in regulatory requirements, FDA guidance or guidance from EMA or unanticipated events during our clinical trials may force us to adjust our clinical program. The FDA, the EMA, or the applicable regulatory authorities in Australia and New Zealand may impose additional clinical trial and/or nonclinical study requirements. For instance, the FDA issued draft guidance on developing products for weight management in February 2007 and issued draft guidance on developing products for the treatment of diabetes in February 2008 but these guidance documents may be revised at any time. In December 2008, FDA established guidance on evaluating cardiovascular risk of new therapies for the treatment of type 2 diabetes. Amendments to our clinical trial protocols would require resubmission to the FDA, the EMA, or the applicable regulatory authorities in Australia and New Zealand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nonclinical studies, the commercial prospects for ZGN-1061 or ZGN-1258 may be harmed and our ability to generate product revenue will be delayed.</w:t>
      </w:r>
    </w:p>
    <w:p>
      <w:pPr>
        <w:spacing w:after="0" w:line="275" w:lineRule="exact"/>
        <w:rPr>
          <w:sz w:val="20"/>
          <w:szCs w:val="20"/>
          <w:color w:val="auto"/>
        </w:rPr>
      </w:pPr>
    </w:p>
    <w:p>
      <w:pPr>
        <w:ind w:left="200" w:right="300"/>
        <w:spacing w:after="0" w:line="286" w:lineRule="auto"/>
        <w:rPr>
          <w:sz w:val="20"/>
          <w:szCs w:val="20"/>
          <w:color w:val="auto"/>
        </w:rPr>
      </w:pPr>
      <w:r>
        <w:rPr>
          <w:rFonts w:ascii="Arial" w:cs="Arial" w:eastAsia="Arial" w:hAnsi="Arial"/>
          <w:sz w:val="17"/>
          <w:szCs w:val="17"/>
          <w:b w:val="1"/>
          <w:bCs w:val="1"/>
          <w:i w:val="1"/>
          <w:iCs w:val="1"/>
          <w:color w:val="auto"/>
        </w:rPr>
        <w:t>We rely, and expect that we will continue to rely, on third parties to conduct any future clinical trials for ZGN-1061 and ZGN-1258. If these third parties do not successfully carry out their contractual duties or meet expected deadlines, we may not be able to develop and obtain regulatory approval for or commercialize ZGN-1061 or ZGN-1258, and our business could be substantially harmed.</w:t>
      </w:r>
    </w:p>
    <w:p>
      <w:pPr>
        <w:spacing w:after="0" w:line="5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enter into agreements with third-party CROs to provide monitors for and to manage data for our ongoing clinical trials. We rely heavily on these parties for execution of clinical trials for ZGN-1061 and will continue to rely on these parties for clinical trials for ZGN-1258, but we only control certain aspects of their activities. As a result, we have less direct control over the conduct, timing and completion of these clinical trials and the management of data developed through the clinical trials than would be the case if we were relying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entirely upon our own staff. Communicating with outside parties can also be challenging, potentially leading to mistakes as well as difficulties in coordinating activities. Outside parties may:</w:t>
      </w:r>
    </w:p>
    <w:p>
      <w:pPr>
        <w:spacing w:after="0" w:line="76"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are required to comply with requirements for Good Clinical Practice, or GCPs, which are legal requirements enforced by the FDA, the Competent Authorities of 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GCPs. In addition, our clinical trials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7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Although we design our clinical trials, investigators and CROs conduct all of the clinical trials. As a result, many important aspects of our drug development programs are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investigators or CROs do not perform clinical trials in a satisfactory manner, breach their obligations to us, or fail to comply with regulatory requirements, the development and commercialization of ZGN-1061 or ZGN-1258 may be delayed or our development program materially and irreversibly harmed. We cannot control the amount and timing of resources these investigators or CROs devote to our program, ZGN-1061, or will devote to ZGN-1258.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ZGN-1061 or ZGN-1258. As a result, our financial results and the commercial prospects for ZGN-1061 or ZGN-1258 in the subject indications would be harmed, our costs could increase and our ability to generate revenue could be delayed.</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b w:val="1"/>
          <w:bCs w:val="1"/>
          <w:i w:val="1"/>
          <w:iCs w:val="1"/>
          <w:color w:val="auto"/>
        </w:rPr>
        <w:t>The number of patients suffering from PWS is small and has not been established with precision. If the actual number of patients with this condition is smaller than we estimate or if any approval that we obtain is based on a narrower definition of this patient population, our revenue and ability to achieve profitability for ZGN-1258 will be adversely affected, possibly materially.</w:t>
      </w:r>
    </w:p>
    <w:p>
      <w:pPr>
        <w:spacing w:after="0" w:line="5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There is no current comprehensive patient registry or other method of establishing with precision the actual number of patients with PWS in any geography. Published population studies estimate that the prevalence of PWS in the United States and in the European Union ranges from 1 in 8,000 to 1 in 50,000. If the actual number of patients with PWS is lower than we believe or if any approval that we obtain is based on a narrower definition of these patient populations, than the potential market for ZGN-1258 for these indications will be smaller than we anticipate. If our IND goes into effect, our inability to enroll a sufficient number of patients for our clinical trials could result in significant delays or may require us to abandon one or more clinical trials altogether. Enrollment delays in our clinical trials may result in increased development costs for ZGN-1258,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our product candidates, which could cause the value of our company to decline and limit our ability to obtain additional financing, if needed.</w:t>
      </w:r>
    </w:p>
    <w:p>
      <w:pPr>
        <w:spacing w:after="0" w:line="286"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b w:val="1"/>
          <w:bCs w:val="1"/>
          <w:i w:val="1"/>
          <w:iCs w:val="1"/>
          <w:color w:val="auto"/>
        </w:rPr>
        <w:t>We rely completely on third-party suppliers to manufacture our clinical drug supplies for ZGN-1061 and ZGN-1258, and to the extent we elect to commercialize ZGN-1061 or ZGN-1258 on our own, we intend to rely on third parties to produce commercial supplies of such products, and nonclinical, clinical and commercial supplies of any future product candidate.</w:t>
      </w:r>
    </w:p>
    <w:p>
      <w:pPr>
        <w:spacing w:after="0" w:line="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do not currently have, nor do we currently plan to acquire, the infrastructure or capability to internally manufacture our clinical drug supply of ZGN-1061, ZGN-1258, or any future product candidates, for use in the conduct of our nonclinical studies and clinical trials, and we lack the internal resources and the capability to manufacture any product candidates on a clinical or commercial scale. The CMOs used to manufacture the active drug substance and final drug product must be approved by our quality assurance unit and inspected by the FDA and other comparable foreign regulatory agencies.</w:t>
      </w:r>
    </w:p>
    <w:p>
      <w:pPr>
        <w:spacing w:after="0" w:line="188"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auto"/>
        </w:rPr>
        <w:t>We rely on our CMOs to comply with cGMPs for manufacture of raw materials, active drug substance and finished drug products. If our CMOs cannot successfully manufacture material that conforms to our specifications and the regulatory requirements of the FDA or applicable foreign regulatory agencies, the CMOs will not be able to secure and/or maintain regulatory approval for their manufacturing facilities or regulatory agencies may find deficiencies with their facilities and refuse to approve our marketing applications. While we manage our quality expectations through an audit program for our vendors and suppliers, we have no direct control over our CMOs’ ability to maintain adequate quality control, quality assurance and qualified personnel. Furthermore, our CMOs are engaged with third party vendors to supply and/or manufacture starting materials or components for them, which exposes our CMOs to regulatory risks for the production of such materials and components. As a result, failure to satisfy the regulatory requirements for the production of those materials and components may affect the regulatory clearance of our CMOs’ facilities generally. If the FDA or an applicable foreign regulatory agency finds deficiencies with or does not approve these facilities for the manufacture of our product candidates or if it withdraws its approval in the future, we may need to find alternative manufacturing facilities, which would adversely impact our ability to develop, obtain regulatory approval for or market our product candidates.</w:t>
      </w:r>
    </w:p>
    <w:p>
      <w:pPr>
        <w:spacing w:after="0" w:line="183" w:lineRule="exact"/>
        <w:rPr>
          <w:sz w:val="20"/>
          <w:szCs w:val="20"/>
          <w:color w:val="auto"/>
        </w:rPr>
      </w:pPr>
    </w:p>
    <w:p>
      <w:pPr>
        <w:jc w:val="both"/>
        <w:ind w:left="200" w:right="340" w:firstLine="441"/>
        <w:spacing w:after="0" w:line="279" w:lineRule="auto"/>
        <w:rPr>
          <w:sz w:val="20"/>
          <w:szCs w:val="20"/>
          <w:color w:val="auto"/>
        </w:rPr>
      </w:pPr>
      <w:r>
        <w:rPr>
          <w:rFonts w:ascii="Arial" w:cs="Arial" w:eastAsia="Arial" w:hAnsi="Arial"/>
          <w:sz w:val="17"/>
          <w:szCs w:val="17"/>
          <w:color w:val="auto"/>
        </w:rPr>
        <w:t>We rely completely on third-party suppliers to manufacture our nonclinical and clinical drug supplies for ZGN-1061 and our nonclinical drug supplies and future clinical drug supplies for ZGN-1258. Currently each batch of ZGN-1061 and ZGN-1258 is individually contracted under a work order, which is governed by a quality and service agreement. The current drug substance manufacturing process will support nonclinical studies and early clinical trials and will be further optimized to support advanced clinical development and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20"/>
        <w:spacing w:after="0" w:line="308" w:lineRule="auto"/>
        <w:rPr>
          <w:sz w:val="20"/>
          <w:szCs w:val="20"/>
          <w:color w:val="auto"/>
        </w:rPr>
      </w:pPr>
      <w:r>
        <w:rPr>
          <w:rFonts w:ascii="Arial" w:cs="Arial" w:eastAsia="Arial" w:hAnsi="Arial"/>
          <w:sz w:val="17"/>
          <w:szCs w:val="17"/>
          <w:color w:val="auto"/>
        </w:rPr>
        <w:t>commercialization. Current drug substance, including key starting material, in inventory, is expected to support Phase 2 clinical trials. A new formulation with longer shelf life has been developed and manufactured to support Phase 2 clinical development for ZGN-1061.</w:t>
      </w:r>
    </w:p>
    <w:p>
      <w:pPr>
        <w:spacing w:after="0" w:line="25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in the United States, we may never receive regulatory approval to market such product candidate outside of the United States.</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may pursue marketing approval for certain of our product candidates in the United States, the European Union and in other countries worldwide. In order to market any product outside of the United States, we must establish and comply with the numerous and varying safety, efficacy and other regulatory requirements of other countries, including potential additional clinical trials and/or nonclinical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March 20, 2017, the United Kingdom government started the process to leave the European Union by April 2019, or Brexit. The effects of Brexit will depend on any agreements the United Kingdom makes to retain access to European Union markets either during a transitional period or more permanently. Brexit could lead to legal uncertainty and potentially divergent national laws and regulation as the United Kingdom determines which European Union laws to replace or replicate.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results of operations and prospects.</w:t>
      </w:r>
    </w:p>
    <w:p>
      <w:pPr>
        <w:spacing w:after="0" w:line="27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it may not achieve broad market acceptance, which would limit the revenue that we generate from its sales.</w:t>
      </w:r>
    </w:p>
    <w:p>
      <w:pPr>
        <w:spacing w:after="0" w:line="62"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commercial success of a product candidate, if developed and approved for marketing by the FDA or EMA or other applicable regulatory authorities, will depend upon the awareness and acceptance of our product candidates among the medical community, including physicians, patients, advocacy groups and healthcare payors. Market acceptance of a product candidate, if approved, will depend on a number of factors, including, among others:</w:t>
      </w:r>
    </w:p>
    <w:p>
      <w:pPr>
        <w:spacing w:after="0" w:line="92"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relative convenience and ease of subcutaneous injections as the necessary method of administration of our product candidates;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 product candidate;</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 product candidate by the FDA, EMA, or other regulatory authorities, such as a “black box” warning;</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 number of competitive type 2 diabetes therapies already approved or expected to be commercially launched in the near future;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increase awareness of a product candidate through marketing efforts;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30" w:lineRule="exact"/>
        <w:rPr>
          <w:rFonts w:ascii="Arial" w:cs="Arial" w:eastAsia="Arial" w:hAnsi="Arial"/>
          <w:sz w:val="18"/>
          <w:szCs w:val="18"/>
          <w:color w:val="auto"/>
        </w:rPr>
      </w:pPr>
    </w:p>
    <w:p>
      <w:pPr>
        <w:ind w:left="1060" w:hanging="316"/>
        <w:spacing w:after="0" w:line="342"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2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If a product candidate is approved but does not achieve an adequate level of acceptance by patients, advocacy groups, physicians and payors, we may not generate sufficient revenue from a product candidate to become or remain profitable. Before granting reimbursement approval, healthcare payors may require us to demonstrate that, in addition to treating type 2 diabetes in patients, a product candidate also provides incremental health benefits to patients. Our efforts to educate the medical community and third-party payors about the benefits of a product candidate may require significant resources and may never be successful.</w:t>
      </w:r>
    </w:p>
    <w:p>
      <w:pPr>
        <w:spacing w:after="0" w:line="29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a product candidate, we may not be able to generate any revenue.</w:t>
      </w:r>
    </w:p>
    <w:p>
      <w:pPr>
        <w:spacing w:after="0" w:line="62"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We do not currently have an established infrastructure for the sales, marketing and distribution of pharmaceutical products. In order to market a product candidate,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 if we receive marketing approval for a product candidate, we may still face future development and regulatory difficulties.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Even if we receive marketing approval for a product candidate, regulatory authorities may still impose significant restrictions on our product candidates’ indicated uses or marketing or impose ongoing requirements for potentially costly post-approval studies. a product candidate will also be subject to ongoing FDA and EMA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 Additionally, the FDA may require a PMS and/or PMRs, that could represent and result in additional restrictions and/or limitations for the product.</w:t>
      </w:r>
    </w:p>
    <w:p>
      <w:pPr>
        <w:spacing w:after="0" w:line="18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a product candidate, such as adverse events of unanticipated severity or frequency, or problems with the facility where a product candidate is manufactured, a regulatory agency may impose restrictions on a product candidate, the manufacturer or us, including requiring withdrawal of a product candidate from the market or suspension of manufacturing. If we or the manufacturing facilities for a product candidate fail to comply with applicable regulatory requirements, a regulatory agency may, among other things:</w:t>
      </w:r>
    </w:p>
    <w:p>
      <w:pPr>
        <w:spacing w:after="0" w:line="99"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w:t>
      </w:r>
    </w:p>
    <w:p>
      <w:pPr>
        <w:spacing w:after="0" w:line="333"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Competing technologies could emerge, including devices and surgical procedures, adversely affecting our opportunity to generate revenue from the sale of ZGN-1061 or ZGN-1258.</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novel compounds that could make ZGN-1061 or ZGN-1258 obsolete or uneconomical. Any new product that 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ZGN-1061 or ZGN-1258. If we are not able to compete effectively against our current and future competitors, our business will not grow and our financial condition and operations will suffer.</w:t>
      </w:r>
    </w:p>
    <w:p>
      <w:pPr>
        <w:spacing w:after="0" w:line="2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6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future profitability will depend, in part, on our ability to commercialize a product candidate in foreign markets for which we may rely on collaborations with third parties. If we commercialize a product candidate in foreign markets, we would be subject to additional risks and uncertainties, including:</w:t>
      </w:r>
    </w:p>
    <w:p>
      <w:pPr>
        <w:spacing w:after="0" w:line="87"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a product candidate in foreign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62"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Healthcare providers, physicians and others will play a primary role in the recommendation and prescription of ZGN-1061 or ZGN-1258, if approved. Our future arrangements with third-party payors will expose us to broadly applicable fraud and abuse and other healthcare laws and regulations that may constrain the business or financial arrangements and relationships through which we market, sell and distribute ZGN-1061 or ZGN-1258, if we obtain marketing approval. In addition, we may be subject to patient privacy regulation by both the federal government and the states in which we conduct our business. Restrictions under applicable federal and state healthcare laws and regulations include the following:</w:t>
      </w:r>
    </w:p>
    <w:p>
      <w:pPr>
        <w:spacing w:after="0" w:line="64" w:lineRule="exact"/>
        <w:rPr>
          <w:sz w:val="20"/>
          <w:szCs w:val="20"/>
          <w:color w:val="auto"/>
        </w:rPr>
      </w:pPr>
    </w:p>
    <w:p>
      <w:pPr>
        <w:ind w:left="1060" w:right="40" w:hanging="316"/>
        <w:spacing w:after="0" w:line="259"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92"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1060" w:right="280" w:hanging="316"/>
        <w:spacing w:after="0" w:line="308"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1060" w:right="100" w:hanging="316"/>
        <w:spacing w:after="0" w:line="286"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70" w:lineRule="exact"/>
        <w:rPr>
          <w:rFonts w:ascii="Arial" w:cs="Arial" w:eastAsia="Arial" w:hAnsi="Arial"/>
          <w:sz w:val="17"/>
          <w:szCs w:val="17"/>
          <w:color w:val="auto"/>
        </w:rPr>
      </w:pPr>
    </w:p>
    <w:p>
      <w:pPr>
        <w:ind w:left="1060" w:right="120" w:hanging="316"/>
        <w:spacing w:after="0" w:line="30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0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60" w:right="60" w:hanging="316"/>
        <w:spacing w:after="0" w:line="297"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8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ZGN-1061 or ZGN-1258, if approved. If we receive marketing approval for ZGN-1061 or ZGN-1258,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or OIG. The FDA has also requested that companies enter into consent decrees or permanent injunctions under which specified promotional conduct is changed or curtailed. If we cannot successfully manage the promotion of ZGN-1061 or ZGN-1258, if approved, we could become subject to significant liability, which would materially adversely affect our business and financial condition.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product candidates that we elect to sell on our own.</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product candidates that we elect to sell on our own and, if reimbursement is available, the level of such reimbursement. Reimbursement may impact the demand for, or the price of, product candidates that we elect to sell on our own. If reimbursement is not available or is available only at limited levels, we may not be able to successfully commercialize product candidates that we elect to sell on our own.</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regulatory approval of and commercialize our drug candidates and affect the prices we may obtain.</w:t>
      </w:r>
    </w:p>
    <w:p>
      <w:pPr>
        <w:spacing w:after="0" w:line="62"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The ACA has a significant impact on the health 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new presidential administration has indicated that enacting changes to the ACA is a legislative priority and has alternatively discussed repealing and replacing the ACA.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do not know at this time what implications these changes and other, proposed changes, if enacted, would have on the ACA’s current requirements or on our future business. Changes to the ACA or other existing health care regulations could significantly impact our business and the pharmaceutical industry.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and we may be unsuccessful.</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As part of our business strategy, we may seek to obtain orphan drug designation for certain of our product candidates in the United States and the European Union. We may be unsuccessful in obtaining orphan drug designation, and if we do, we may not receive orphan drug exclusivity for these products.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chemical entity and is intended for the same use as the drug in question. A designated orphan drug may not receive orphan drug exclusivity if it is approved for a use that is broader than the indication for which it received orphan designation.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w:t>
      </w:r>
    </w:p>
    <w:p>
      <w:pPr>
        <w:spacing w:after="0" w:line="193"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European Union, orphan drug designation also entitles a party to financial incentives such as reduction of fees or fee waivers. In addition, ten years of market exclusivity is granted following drug product approval, meaning that another application for marketing authorization of a later similar medicinal product for the same therapeutic indication will generally not be approved in the European Union. This period may be reduced to six years if the orphan drug designation criteria are no longer met, including where it is shown that the product is sufficiently profitable to not justify maintenance of market exclusivity.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Our development programs for our product candidates, which are primarily related to ZGN-1061 and ZGN-1258, may require substantial financial resources and may ultimately be unsuccessful.</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lead product candidate ZGN-1061 has completed Phase 1 clinical development and is currently in Phase 2 clinical development, and there are a number of FDA and certain European regulatory requirements that we must satisfy before we can commence late-stage clinical trials of ZGN-1061. Satisfaction of these requirements will entail substantial time, effort and financial resources. We may never satisfy these requirements. ZGN-1258 is still in nonclinical development. We believe that our cash, cash equivalents and marketable securities will be sufficient to fund operations for a period of at least one year from the issuance date of this Annual Report, but we will need to raise more funds to continue development and commercialization of ZGN-1061, ZGN-1258 and our other product candidates, which may not be easily available. Furthermore, any time, effort and financial resources we expend on our other early-stage development programs may adversely affect our ability to continue development and commercialization of ZGN-1061 and ZGN-1258, and we may never commence clinical trials of such development programs despite expending significant resources in pursuit of their development. If we do commence clinical trials of our other potential product candidates, such product candidates may never be approved by the FDA or other regulatory authorities.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Intellectual Property Rights</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ZGN-1061, ZGN-1258, or future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 Our owned patent application relates to compositions of matter and methods of use of ZGN-1061.</w:t>
      </w:r>
    </w:p>
    <w:p>
      <w:pPr>
        <w:spacing w:after="0" w:line="154"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As of March 1, 2018, we own one issued U.S patent, two pending U.S. patent applications, with pending foreign counterpart patent applications, one pending Patent Cooperation Treaty, or PCT, patent application, as well as two pending U.S. provisional patent applications that relate to ZGN-1061.</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March 1, 2018, we own two pending U.S. patent applications, and related worldwide patent applications, that relate to ZGN-1258.</w:t>
      </w:r>
    </w:p>
    <w:p>
      <w:pPr>
        <w:spacing w:after="0" w:line="23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of March 1, 2018, we own 19 issued U.S. patents, and 9 pending U.S. patent applications with pending foreign counterpart applications, all of which relate to our internal efforts to discover novel MetAP2 inhibitors.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We cannot provide any assurances that any of our pending patent applications that mature into issued patents will include claims with a scope sufficient to protect ZGN-1061 and our other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 xml:space="preserve">ex parte </w:t>
      </w:r>
      <w:r>
        <w:rPr>
          <w:rFonts w:ascii="Arial" w:cs="Arial" w:eastAsia="Arial" w:hAnsi="Arial"/>
          <w:sz w:val="16"/>
          <w:szCs w:val="16"/>
          <w:color w:val="auto"/>
        </w:rPr>
        <w:t>reexamination, or</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proceedings, supplemental examination and challenges in district court. Patents may be subjected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opposition, post-grant review, or comparable proceedings lodged in various foreign, both national and regional, patent offices. These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ZGN-1061 and our other product candidates.</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93"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3"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ZGN-1061 are invalidated or found unenforceable, our financial position and results of operations would be materially and adversely impacted. In addition, if a court found that valid, enforceable patents held by third parties covered ZGN-1061, our financial position and results of operations would also be materially and adversely impacted.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31" w:lineRule="exact"/>
        <w:rPr>
          <w:sz w:val="20"/>
          <w:szCs w:val="20"/>
          <w:color w:val="auto"/>
        </w:rPr>
      </w:pPr>
    </w:p>
    <w:p>
      <w:pPr>
        <w:ind w:left="1060" w:right="14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ZGN-1061, ZGN-1258 or any other products or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will be able to successfully develop and commercialize ZGN-1061 or ZGN-1258, if approved, before our relevant patents expire;</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30"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of others.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60"/>
          </w:cols>
          <w:pgMar w:left="24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75" w:lineRule="exact"/>
        <w:rPr>
          <w:sz w:val="20"/>
          <w:szCs w:val="20"/>
          <w:color w:val="auto"/>
        </w:rPr>
      </w:pPr>
    </w:p>
    <w:p>
      <w:pPr>
        <w:ind w:left="200" w:right="920"/>
        <w:spacing w:after="0" w:line="308" w:lineRule="auto"/>
        <w:rPr>
          <w:sz w:val="20"/>
          <w:szCs w:val="20"/>
          <w:color w:val="auto"/>
        </w:rPr>
      </w:pPr>
      <w:r>
        <w:rPr>
          <w:rFonts w:ascii="Arial" w:cs="Arial" w:eastAsia="Arial" w:hAnsi="Arial"/>
          <w:sz w:val="17"/>
          <w:szCs w:val="17"/>
          <w:b w:val="1"/>
          <w:bCs w:val="1"/>
          <w:i w:val="1"/>
          <w:iCs w:val="1"/>
          <w:color w:val="auto"/>
        </w:rPr>
        <w:t>We may infringe the intellectual property rights of others, which may prevent or delay our product development efforts and stop us from commercializing or increase the costs of commercializing ZGN-1061 or ZGN-1258, if approved.</w:t>
      </w:r>
    </w:p>
    <w:p>
      <w:pPr>
        <w:spacing w:after="0" w:line="38" w:lineRule="exact"/>
        <w:rPr>
          <w:sz w:val="20"/>
          <w:szCs w:val="20"/>
          <w:color w:val="auto"/>
        </w:rPr>
      </w:pPr>
    </w:p>
    <w:p>
      <w:pPr>
        <w:jc w:val="both"/>
        <w:ind w:left="200" w:right="320" w:firstLine="441"/>
        <w:spacing w:after="0" w:line="34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2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pharmaceutical industry is characterized by extensive litigation regarding patents and other intellectual property rights. Other parties may allege that ZGN-1061, ZGN-1258,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ZGN-1061 or ZGN-1258.</w:t>
      </w:r>
    </w:p>
    <w:p>
      <w:pPr>
        <w:spacing w:after="0" w:line="179"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94"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ZGN-1061;</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preparations or developing ZGN-1258;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153" w:lineRule="exact"/>
        <w:rPr>
          <w:rFonts w:ascii="Arial" w:cs="Arial" w:eastAsia="Arial" w:hAnsi="Arial"/>
          <w:sz w:val="16"/>
          <w:szCs w:val="16"/>
          <w:color w:val="auto"/>
        </w:rPr>
      </w:pPr>
    </w:p>
    <w:p>
      <w:pPr>
        <w:ind w:left="1060" w:right="640" w:hanging="316"/>
        <w:spacing w:after="0" w:line="342"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24"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Any of these risks coming to fruition could have a material adverse effect on our business, results of operations, financial condition and prospects. 46</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1"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8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8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1" w:lineRule="exact"/>
        <w:rPr>
          <w:sz w:val="20"/>
          <w:szCs w:val="20"/>
          <w:color w:val="auto"/>
        </w:rPr>
      </w:pPr>
    </w:p>
    <w:p>
      <w:pPr>
        <w:ind w:left="200" w:right="280"/>
        <w:spacing w:after="0" w:line="308" w:lineRule="auto"/>
        <w:rPr>
          <w:sz w:val="20"/>
          <w:szCs w:val="20"/>
          <w:color w:val="auto"/>
        </w:rPr>
      </w:pPr>
      <w:r>
        <w:rPr>
          <w:rFonts w:ascii="Arial" w:cs="Arial" w:eastAsia="Arial" w:hAnsi="Arial"/>
          <w:sz w:val="17"/>
          <w:szCs w:val="17"/>
          <w:b w:val="1"/>
          <w:bCs w:val="1"/>
          <w:i w:val="1"/>
          <w:iCs w:val="1"/>
          <w:color w:val="auto"/>
        </w:rPr>
        <w:t>We are dependent on licensed intellectual property for certain early-stage product candidates. If we were to lose our rights to licensed intellectual property, we may not be able to continue developing or commercializing such product candidates, if approved.</w:t>
      </w:r>
    </w:p>
    <w:p>
      <w:pPr>
        <w:spacing w:after="0" w:line="3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have an exclusive license with Children’s Medical Center Corporation, pursuant to which we exclusively licensed certain patent rights relating to decreasing the growth of fat tissue, on a worldwide basis. We may enter into additional licenses to third-party intellectual property that are necessary or useful to our business.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95"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ZGN-1061 or ZGN-1258 and failure to secure such registrations could adversely affect our business.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have not yet registered trademarks for a commercial trade name for ZGN-1061 or ZGN-1258. Any future trademark applications may be rejected during trademark registration proceedings. Although we would be given an 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75"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ZGN-1061, our business may be materially harmed.</w:t>
      </w:r>
    </w:p>
    <w:p>
      <w:pPr>
        <w:spacing w:after="0" w:line="6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Depending upon the timing, duration and specifics of development and FDA marketing approval of ZGN-1061 or ZGN-1258, one or more of our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United States has recently enacted and is currently implementing the America Invents Act of 2011, which is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62"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ZGN-1061 or ZGN-1258 and other product candidates, which would materially adversely affect our business, financial condition and results of operations.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Company-Related Risks</w:t>
      </w:r>
    </w:p>
    <w:p>
      <w:pPr>
        <w:spacing w:after="0" w:line="121"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b w:val="1"/>
          <w:bCs w:val="1"/>
          <w:i w:val="1"/>
          <w:iCs w:val="1"/>
          <w:color w:val="auto"/>
        </w:rPr>
        <w:t>In 2016, we reduced the size of our organization, and we may encounter difficulties in managing this development and restructuring, which could disrupt our operations. In addition, we may not achieve anticipated benefits and savings from the reduction.</w:t>
      </w:r>
    </w:p>
    <w:p>
      <w:pPr>
        <w:spacing w:after="0" w:line="38"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In July 2016, our board of directors approved the suspension of further development of beloranib and a restructuring plan, pursuant to which our workforce was reduced by approximately 31% as of December 2016. The workforce reduction resulted in the loss of longer-term employees, the loss of institutional knowledge and expertise and the reallocation and combination of certain roles and responsibilities across the organization, all of which could adversely affect our operations. Given the complexity of our business, we must continue to implement and improve our managerial, operational and financial systems, manage our facilities and continue to recruit and retain qualified personnel. This will be made more challenging given the workforce reduction described above. As a result, our management may need to divert a disproportionate amount of its attention away from our day-to-day activities, and devote a substantial amount of time to managing these activities. Further, the restructuring and possible additional cost containment measures may yield unintended consequences, such as attrition beyond our intended workforce reduction and reduced employee morale. In addition, we may not achieve anticipated benefits from the workforce reduction.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and regulatory functions, which would have a negative impact on our ability to successfully develop, and ultimately, commercialize ZGN-1061 or ZGN-1258. If our management is unable to effectively manage this transition and workforce reduction and additional cost containment measures, our expenses may be more than expected and we may not be able to implement our business strategy. As a result, our future financial performance and our ability to commercialize ZGN-1061 or ZGN-1258 successfully would be negatively affected.</w:t>
      </w:r>
    </w:p>
    <w:p>
      <w:pPr>
        <w:spacing w:after="0" w:line="289"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particularly our current Chief Executive Officer and President and Chief Scientific Officer, and to attract, retain and motivate qualified personnel.</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highly dependent on Mr. Jeffrey Hatfield, our Chief Executive Officer and Dr. Thomas E. Hughes, our President and Chief Scientific Officer. We have entered into a severance and change in control agreement with each of Mr. Hatfield and Dr. Hughes, but either executive may terminate his employment with us at any time. Although we do not have any reason to believe that we will lose the services of Mr. Hatfield or Dr. Hughes in the foreseeable future, the loss of either executive’s services might impede the achievement of our research, development and commercialization objectives. We also do not have any key-man life insurance on Mr. Hatfield or Dr. Hughes.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Our success also depends upon the principal members of our executive, medical and development teams. We have entered into a severance and change in control agreement with our executive officers and department vice president level employees, but they may terminate their employment with us at any time. The loss of the services of any of these persons might impede the achievement of our development and commercialization objectives.</w:t>
      </w:r>
    </w:p>
    <w:p>
      <w:pPr>
        <w:spacing w:after="0" w:line="14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With any change in leadership, there is also a risk to retention of employees, as well as the potential for disruption to business operations, initiatives, plans and strategies.</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our standard non-compete agreements. Recruiting and retaining qualified scientific personnel and sales and marketing personnel will also be critical to our success. We may not be able to attract and retain these personnel on acceptable terms given the workforce reduction and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spacing w:after="0" w:line="275"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use of ZGN-1061 and ZGN-1258 in clinical trials and the sale of ZGN-1061 and ZGN-1258, if developed and approved, exposes us to the risk of product liability claims. Product liability claims might be brought against us by patients, healthcare providers or others selling or otherwise coming into contact with ZGN-1061 or ZGN-1258.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incur substantial liabilities. In addition, regardless of merit or eventual outcome, product liability claims may result in, among other things:</w:t>
      </w:r>
    </w:p>
    <w:p>
      <w:pPr>
        <w:spacing w:after="0" w:line="131"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ZGN-1061, ZGN-1258, or any future product candidates following marketing approval, if obtained;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successfully commercialize ZGN-1061 or any future product candidates, if approved.</w:t>
      </w:r>
    </w:p>
    <w:p>
      <w:pPr>
        <w:spacing w:after="0" w:line="22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maintain product liability insurance coverage for our clinical trials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ZGN-1061 or ZGN-1258,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86"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3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currently are an “emerging growth company,” as defined in the Jumpstart our Business Startups Act of 2012, or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w:t>
      </w:r>
    </w:p>
    <w:p>
      <w:pPr>
        <w:spacing w:after="0" w:line="14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respond to the increased regulatory compliance and reporting requirements that are applicable to us as a public company. If we fail to staff our accounting and finance function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On December 22, 2017, President Trump signed into law the “Tax Cuts and Jobs Act,” or the TCJA, that significantly reforms the Internal Revenue Code of 1986, as amended, or the Code. The TCJA, among other things, contains significant changes to corporate taxation, including reduction of the corporate tax rate, limitation of the tax deduction for interest expense, limitation of the deduction for net operating losses and elimination of net operating loss carrybacks and modifying or repealing many business deductions and credits (including reducing the business tax credit for certain clinical testing expenses incurred in the testing of certain drugs for rare diseases or conditions generally referred to as “orphan drugs”). Our net deferred tax assets and liabilities were revalued at the newly enacted U.S. corporate rate. We continue to examine the impact this tax reform legislation may have on our business. The overall impact of the TCJA is uncertain and our business and financial condition could be adversely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and other transactions that have occurred since our inception, may trigger such an ownership change pursuant to Section 382. Any such limitation, whether as the result of our follow-on public offering, IPO, prior private placements,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42" w:lineRule="auto"/>
        <w:rPr>
          <w:sz w:val="20"/>
          <w:szCs w:val="20"/>
          <w:color w:val="auto"/>
        </w:rPr>
      </w:pPr>
      <w:r>
        <w:rPr>
          <w:rFonts w:ascii="Arial" w:cs="Arial" w:eastAsia="Arial" w:hAnsi="Arial"/>
          <w:sz w:val="16"/>
          <w:szCs w:val="16"/>
          <w:color w:val="auto"/>
        </w:rPr>
        <w:t>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32" w:lineRule="exact"/>
        <w:rPr>
          <w:sz w:val="20"/>
          <w:szCs w:val="20"/>
          <w:color w:val="auto"/>
        </w:rPr>
      </w:pPr>
    </w:p>
    <w:p>
      <w:pPr>
        <w:ind w:left="200" w:right="32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third-party CROs or other contractors or consultants, may fail or suffer security breaches, which could result in a material disruption of our ZGN-1061, ZGN-1258, or other product candidate development programs.</w:t>
      </w:r>
    </w:p>
    <w:p>
      <w:pPr>
        <w:spacing w:after="0" w:line="16"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or accident, if such an event were to occur and cause interruptions in our operations, it could result in a material disruption of our programs. For example, the loss of clinical trial data for ZGN-1061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ZGN-1061 could be delayed.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success of our business depends primarily upon our ability to identify, develop and commercialize products based on our MetAP2 platform. Although ZGN-1061 is currently in clinical development, and we have begun preparations for filing an IND for ZGN-1258,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95"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in some or all markets.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or unwilling to do so, we may have to curtail the development of the product candidate for which we are seeking to collaborate, reduce or delay its development program or one or more of our other development programs, delay its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18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6"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6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we will achieve the expected synergies to justify the transaction.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6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Our operations to date have been limited primarily to organizing and staffing our company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conducting research and development activities for beloranib, ZGN-1061, ZGN-839, ZGN-1258, and additional MetAP2 inhibitors. We have never generated any revenue from product sales. We have not obtained regulatory approvals for any of our product candidates.</w:t>
      </w:r>
    </w:p>
    <w:p>
      <w:pPr>
        <w:spacing w:after="0" w:line="17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Since our inception and until July 2016, we focused substantially all of our efforts and financial resources on developing beloranib, which was in Phase 3 clinical development for our lead indication of the treatment of hyperphagia and obesity in patients with PWS and Phase 2 clinical development for the treatment of obesity in patients with hypothalamic injury-associated obesity, or HIAO. In December 2015, the FDA put the beloranib IND application on full clinical hold. Due to the 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and development of novel and highly differentiated MetAP2 inhibitors. In 2018, we announced that we are returning to the rare metabolic disease space with a second highly optimized MetAP2 development candidate, ZGN-1258, targeting an initial indication of PWS.</w:t>
      </w:r>
    </w:p>
    <w:p>
      <w:pPr>
        <w:spacing w:after="0" w:line="17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have funded our operations to date through proceeds from sales of redeemable convertible preferred stock, convertible debt and proceeds from our IPO and follow-on public offering, and have incurred losses in each year since our inception. Our net losses were $52.0 million for the year ended December 31, 2017 and $57.9 million for the year ended December 31, 2016. As of December 31, 2017, we had an accumulated deficit of</w:t>
      </w:r>
    </w:p>
    <w:p>
      <w:pPr>
        <w:ind w:left="200"/>
        <w:spacing w:after="0" w:line="267" w:lineRule="auto"/>
        <w:rPr>
          <w:sz w:val="20"/>
          <w:szCs w:val="20"/>
          <w:color w:val="auto"/>
        </w:rPr>
      </w:pPr>
      <w:r>
        <w:rPr>
          <w:rFonts w:ascii="Arial" w:cs="Arial" w:eastAsia="Arial" w:hAnsi="Arial"/>
          <w:sz w:val="17"/>
          <w:szCs w:val="17"/>
          <w:color w:val="auto"/>
        </w:rPr>
        <w:t>$289.6 million. Substantially all of our operating losses resulted from costs incurred in connection with our development programs for beloranib, ZGN-1061, ZGN-1258 and ZGN-839, early research activities, licensing milestone fees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will increase over time in connection with our clinical trials of ZGN-1061, and of any other product candidates we may choose to pursue, including ZGN-1258. In addition, if and when we obtain marketing approval for ZGN-1061 or ZGN-1258 we will incur significant sales, marketing and outsourced manufacturing expenses. We will continue to incur additional costs associated with operating as a public company. As a result, we expect to continue to incur significant operating losses that would increase over time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our product candidates. Our ability to generate revenue depends on a number of factors, including, but not limited to, our ability to:</w:t>
      </w:r>
    </w:p>
    <w:p>
      <w:pPr>
        <w:spacing w:after="0" w:line="92"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and successfully file an IND application as required to obtain FDA approval for ZGN-1258 clinical trials;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ZGN-1061 in the indications we are pursuing;</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commercialize our product candidates, if developed and approved, by developing a sales force or entering into collaborations with third parties;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Absent our entering into a collaboration or partnership agreement, we expect to incur significant sales and marketing costs when we prepare to commercialize our product candidates. Even if we initiate and successfully complete our clinical trials of our product candidates, and our product candidates are approved for commercial sale, and despite expending these costs, our product candidates may not be commercially successful drugs. We may not achieve profitability soon after generating product sales, if ever. If we are unable to generate sufficient product revenue, we will not become profitable and may be unable to continue operations without continued funding.</w:t>
      </w:r>
    </w:p>
    <w:p>
      <w:pPr>
        <w:spacing w:after="0" w:line="281"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3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Developing small molecule products is expensive, and we expect our research and development expenses to increase substantially in connection with our ongoing activities, particularly as we advance ZGN-1061 into later stage clinical trials and as we continue our preparations for filing an IND application for ZGN-1258 with the FDA and advance into the clinical trial stage. Depending on the status of regulatory approval or, if approved, commercialization of ZGN-1061, ZGN-1258, or any of our other product candidates, as well as the progress we make in selling ZGN-1061 or any of our other product candidates, we will require additional capital to fund operating needs thereafter. We may also need to raise additional funds sooner if we choose to pursue additional indications and/or geographies for ZGN-1061, ZGN-1258, or our other product candidates or otherwise expand more rapidly than we presently anticipate.</w:t>
      </w:r>
    </w:p>
    <w:p>
      <w:pPr>
        <w:spacing w:after="0" w:line="18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of December 31, 2017, our cash, cash equivalents and marketable securities were $102.1 million. We expect that our cash, cash equivalents and marketable securities will be sufficient to fund our current operations for a period of at least one year from the issuance date of this Annual Report.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8"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stockholders, restrict our operations or require us to relinquish rights.</w:t>
      </w:r>
    </w:p>
    <w:p>
      <w:pPr>
        <w:spacing w:after="0" w:line="12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ZGN-1061, ZGN-1258, or other product candidates, our intellectual property, future revenue streams or grant licenses on terms that are not favorable to 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expect that our stock price will continue to fluctuate significantly.</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market price of shares of our common stock, similar to the market price of shares of common stock of other biopharmaceutical companies, is subject to wide fluctuations. From January 1, 2017 to December 31, 2017 the daily closing price of our common stock on the NASDAQ Global Market ranged from a high of $5.08 to a low of $3.24 and will continue to be subject to wide fluctuations in response to many risk factors listed in this section, and others beyond our control, including:</w:t>
      </w:r>
    </w:p>
    <w:p>
      <w:pPr>
        <w:spacing w:after="0" w:line="92"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plans for, progress of, or results from nonclinical studies and clinical trials of ZGN-1061, ZGN-1258, and/or other product candidates;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the FDA to accept our IND for ZGN-1061 or for ZGN-1258;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the FDA or the EMA to approve ZGN-1061 or ZGN-1258;</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 adequate safety margin and profile for ZGN-1061, ZGN-1258, or other product candidates, including risk of serious thromboembolic events;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of new products, technologies, commercial relationships, acquisitions or other events by us or our competitors;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or failure of other type 2 diabetes or PWS therapies;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ZGN-1061 or ZGN-1258, if successfully developed and approved, to achieve commercial success;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240" w:top="459"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193"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On October 21, 2015, a purported stockholder of the Company filed a putative class action lawsuit in the U.S. District Court for the District of Massachusetts, against the Company and Thomas E. Hughes, captioned Aviad Bessler v. Zafgen, Inc. and Thomas E. Hughes, No. 1:15-cv-13618. An amended complaint was filed on February 22, 2016. The amended complaint alleges violations of Sections 10(b) and 20(a) of the Securities Exchange Act of 1934 and SEC Rule 10b-5 based on allegedly false and misleading statements and omissions regarding our clinical trials for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executive officers, directors, and principal stockholders exercise significant control over our company.</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As of March 1, 2018, the existing holdings of our executive officers, directors, principal stockholders and their affiliates, including investment funds affiliated with Atlas Ventures, or Atlas, and entities affiliated with Fidelity Investment (FMR LLC), or Fidelity, represent beneficial ownership, in the aggregate, of approximately 38.4%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0"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w:t>
      </w:r>
    </w:p>
    <w:p>
      <w:pPr>
        <w:spacing w:after="0" w:line="18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October 21, 2015, a purported stockholder of the Company filed a putative class action lawsuit in the U.S. District Court for the District of Massachusetts, against the Company and Thomas E. Hughes, captioned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Aviad Bessler v. Zafgen, Inc. and Thomas E. Hughes, No. 1:15-cv-13618. An amended complaint was filed on February 22, 2016. The amended complaint alleges violations of Sections 10(b) and 20(a) of the Securities Exchange Act of 1934 and SEC Rule 10b-5 based on allegedly false and misleading statements and omissions regarding our clinical trials for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296"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have availed ourselves of reduced disclosure requirements applicable to emerging growth companies, which could make our common stock less attractive to investors.</w:t>
      </w:r>
    </w:p>
    <w:p>
      <w:pPr>
        <w:spacing w:after="0" w:line="62"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We are an “emerging growth company,” as defined in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cannot predict if investors will find our common stock less attractive because we may rely on any of the exemptions available under the JOBS Act.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 of $1.0 billion or more; (ii) December 31, 2019; (iii) the date on which we have issued more than $1.0 billion in nonconvertible debt during the previous three years; and (iv) the date on which we are deemed to be a large accelerated filer under the rules of the SEC.</w:t>
      </w:r>
    </w:p>
    <w:p>
      <w:pPr>
        <w:spacing w:after="0" w:line="286"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16"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29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87"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3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have leased approximately 5,952 square feet of office space at 175 Portland Street, 4th Floor, Boston, Massachusetts from May 15, 2014 to July 31, 2017, with an option to extend for three additional years. We have also leased an additional approximately 2,976 square feet of office space on the second floor of the same location from April 15, 2015 to July 31, 2017, with two options to extend the lease for three additional years each. In January 2017, we extended the leases for both office spaces in Boston, Massachusetts with new terms expiring on July 31, 2020. In addition, with the landlord’s consent, we have subleased the 2,976 square feet of office space on the second floor to an unrelated third party beginning on January 1, 2017 and expiring on December 31, 2018. We have also leased 3,079 square feet of office space in San Diego, California, from October 1, 2015 to September 30, 2019, with an option to extend the lease for five additional years. We believe that our existing facilities are adequate for our current needs. When our leases expire, we may renew the existing leases or look for additional or alternate space for our operations. We believe that any additional space we may require will be available on commercially reasonable terms.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240" w:top="459"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On October 21, 2015, a purported stockholder of the Company filed a putative class action lawsuit in the U.S. District Court for the District of Massachusetts, against the Company and Thomas E. Hughes, captioned Aviad Bessler v. Zafgen, Inc. and Thomas E. Hughes, No. 1:15-cv-13618. An amended complaint was filed on February 22, 2016. The amended complaint alleges violations of Sections 10(b) and 20(a) of the Securities Exchange Act of 1934 and SEC Rule 10b-5 based on allegedly false and misleading statements and omissions regarding our clinical trials for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165"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240" w:top="459" w:right="6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right="1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common stock commenced trading under the symbol “ZFGN” on the NASDAQ Global Market on June 19, 2014. Prior to that time, there was no public market for our common stock. Our common stock in our initial public offering, or IPO, priced at $16.00 per share on June 18, 2014. The following table sets forth on a per share basis, for the periods indicated, the low and high prices of our common stock as reported by the NASDAQ Global Market.</w:t>
      </w:r>
    </w:p>
    <w:p>
      <w:pPr>
        <w:spacing w:after="0" w:line="206"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High</w:t>
            </w:r>
          </w:p>
        </w:tc>
        <w:tc>
          <w:tcPr>
            <w:tcW w:w="560" w:type="dxa"/>
            <w:vAlign w:val="bottom"/>
          </w:tcPr>
          <w:p>
            <w:pPr>
              <w:spacing w:after="0"/>
              <w:rPr>
                <w:sz w:val="14"/>
                <w:szCs w:val="14"/>
                <w:color w:val="auto"/>
              </w:rPr>
            </w:pPr>
          </w:p>
        </w:tc>
        <w:tc>
          <w:tcPr>
            <w:tcW w:w="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jc w:val="right"/>
              <w:ind w:right="3550"/>
              <w:spacing w:after="0" w:line="196" w:lineRule="exact"/>
              <w:rPr>
                <w:sz w:val="20"/>
                <w:szCs w:val="20"/>
                <w:color w:val="auto"/>
              </w:rPr>
            </w:pPr>
            <w:r>
              <w:rPr>
                <w:rFonts w:ascii="Arial" w:cs="Arial" w:eastAsia="Arial" w:hAnsi="Arial"/>
                <w:sz w:val="18"/>
                <w:szCs w:val="18"/>
                <w:b w:val="1"/>
                <w:bCs w:val="1"/>
                <w:color w:val="auto"/>
                <w:w w:val="79"/>
              </w:rPr>
              <w:t>2016</w:t>
            </w:r>
          </w:p>
        </w:tc>
        <w:tc>
          <w:tcPr>
            <w:tcW w:w="2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First Quarter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12.18</w:t>
            </w:r>
          </w:p>
        </w:tc>
        <w:tc>
          <w:tcPr>
            <w:tcW w:w="98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$5.34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98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$5.54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Third Quarter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7.10</w:t>
            </w:r>
          </w:p>
        </w:tc>
        <w:tc>
          <w:tcPr>
            <w:tcW w:w="98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$2.90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98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$2.89</w:t>
            </w:r>
          </w:p>
        </w:tc>
        <w:tc>
          <w:tcPr>
            <w:tcW w:w="40" w:type="dxa"/>
            <w:vAlign w:val="bottom"/>
            <w:shd w:val="clear" w:color="auto" w:fill="CCEEFF"/>
          </w:tcPr>
          <w:p>
            <w:pPr>
              <w:spacing w:after="0"/>
              <w:rPr>
                <w:sz w:val="18"/>
                <w:szCs w:val="18"/>
                <w:color w:val="auto"/>
              </w:rPr>
            </w:pPr>
          </w:p>
        </w:tc>
      </w:tr>
      <w:tr>
        <w:trPr>
          <w:trHeight w:val="324"/>
        </w:trPr>
        <w:tc>
          <w:tcPr>
            <w:tcW w:w="4000" w:type="dxa"/>
            <w:vAlign w:val="bottom"/>
            <w:gridSpan w:val="2"/>
          </w:tcPr>
          <w:p>
            <w:pPr>
              <w:jc w:val="right"/>
              <w:ind w:right="3550"/>
              <w:spacing w:after="0"/>
              <w:rPr>
                <w:sz w:val="20"/>
                <w:szCs w:val="20"/>
                <w:color w:val="auto"/>
              </w:rPr>
            </w:pPr>
            <w:r>
              <w:rPr>
                <w:rFonts w:ascii="Arial" w:cs="Arial" w:eastAsia="Arial" w:hAnsi="Arial"/>
                <w:sz w:val="18"/>
                <w:szCs w:val="18"/>
                <w:b w:val="1"/>
                <w:bCs w:val="1"/>
                <w:color w:val="auto"/>
                <w:w w:val="84"/>
              </w:rPr>
              <w:t>2017</w:t>
            </w: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98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$3.18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Second Quarter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5.46</w:t>
            </w:r>
          </w:p>
        </w:tc>
        <w:tc>
          <w:tcPr>
            <w:tcW w:w="98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$3.35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98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$3.21</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Fourth Quarter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4.83</w:t>
            </w:r>
          </w:p>
        </w:tc>
        <w:tc>
          <w:tcPr>
            <w:tcW w:w="98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$3.34</w:t>
            </w:r>
          </w:p>
        </w:tc>
        <w:tc>
          <w:tcPr>
            <w:tcW w:w="40" w:type="dxa"/>
            <w:vAlign w:val="bottom"/>
          </w:tcPr>
          <w:p>
            <w:pPr>
              <w:spacing w:after="0"/>
              <w:rPr>
                <w:sz w:val="20"/>
                <w:szCs w:val="20"/>
                <w:color w:val="auto"/>
              </w:rPr>
            </w:pPr>
          </w:p>
        </w:tc>
      </w:tr>
    </w:tbl>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On March 1, 2018, the last reported sales price of our common stock on the Nasdaq Global Market was $7.77 and as of March 1, 2018, there were approximately 28 holders of record of our common stock. However, because many of our outstanding shares are held in accounts with brokers and other institutions, we believe we have more beneficial owners.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outstanding indebtedness restrict our ability to pay dividends, and any future indebtedness that we may incur could preclude us from paying dividends.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This graph is not “soliciting material,” is not deemed “filed” with the SEC and is not to be incorporated by reference into any of our filings under the Securities Act of 1933, as amended, or the Securities Exchange Act of 1934, as amended, whether made before or after the date hereof and irrespective of any general incorporation language in any such filing.</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following graph shows the total stockholder return of an investment of $100 in cash on June 19, 2014 (the first day of trading of our common stock), through December 31, 2017 for (i) our common stock, (ii) the NASDAQ Composite Index and (iii) the NASDAQ Biotechnology Index. Pursuant to applicable Securities and Exchange Commission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135890</wp:posOffset>
            </wp:positionV>
            <wp:extent cx="5188585" cy="3344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8858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For information regarding securities authorized for issuance under equity compensation plans, see Part III “Item 12—Security Ownership of Certain Beneficial Owners and Management and Related Stockholder Matters.”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Issuer Purchases of Equity Securities by the Issuer and Affiliated Purchasers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selected financial data set forth below has been derived from our audited consolidated financial statements. The information set forth below should be read in conjunction with “Management’s Discussion and Analysis of Financial Condition and Results of Operations” and the audited consolidated financial statements, and the notes thereto, and other financial information included herein. Our historical results are not necessarily indicative of our future results.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0"/>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gridSpan w:val="10"/>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40,839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(52,999)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(58,225)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(73,813)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(35,532)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(13,780)</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(52,028)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(57,878)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(74,286)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w w:val="95"/>
              </w:rPr>
              <w:t>Accretion of redeemable convertible preferred stock to redemption value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(52,028)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(57,878)</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(74,286)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(36,570)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(14,240)</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w w:val="96"/>
              </w:rPr>
              <w:t>Net loss per share attributable to common stockholders, basic and diluted (1)</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102,052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129,194</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$185,079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115,462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121,005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171,567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110,297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105,510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131,621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189,106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117,519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 long-term</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121,727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169,110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104,441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(68,574)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480" w:hanging="436"/>
        <w:spacing w:after="0" w:line="258"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 Note 9 to our consolidated financial statements for further details on the calculation of basic and diluted net loss per share attributable to common stockholders.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“Selected Financial Data” and our consolidated financial statements, related notes and other financial information included elsewhere in this Annual Report on Form 10-K, or Annual Report. This discussion contains forward-looking statements that involve risks and uncertainties. Our actual results could differ materially from the results described, in or implied by, these forward-looking statements. Factors that could cause or contribute to those differences include, but are not limited to, those identified below and those discussed above in the section entitled “Risk Factors.”</w:t>
      </w:r>
    </w:p>
    <w:p>
      <w:pPr>
        <w:spacing w:after="0" w:line="173"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i w:val="1"/>
          <w:iCs w:val="1"/>
          <w:color w:val="auto"/>
        </w:rPr>
        <w:t>We caution readers not to place undue reliance on any forward-looking statements made by us, which speak only as of the date they are made. We disclaim any obligation, except as specifically required by law and the rules of the Securities and Exchange Commission, or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We are a biopharmaceutical company dedicated to significantly improving the health and well-being of patients affected by type 2 diabetes, Prader-Willi syndrome, or PWS, and potentially other metabolically related disorders. We are focused on developing novel therapeutics that treat the underlying biological mechanisms through the methionine aminopeptidase 2, or MetAP2, pathway. We have pioneered the study of MetAP2 inhibitors in both common and rare forms of obesity. Our lead product candidate is ZGN-1061, a novel fumagillin-class MetAP2 inhibitor administered by subcutaneous injection, which is currently being profiled for its utility in the treatment of type 2 diabetes and other related metabolic disorders. We have completed a Phase 1 clinical trial of ZGN-1061 in the Netherlands, which was comprised of a single ascending dose, or SAD, portion and a multiple ascending dose, or MAD, portion. This clinical trial evaluated ZGN-1061 for safety, tolerability and pharmacokinetics while also gaining an early indication of efficacy over four weeks of treatment. We reported positive top line results from this clinical trial in May 2017 and presented the full data package at the American Diabetes Association’s 77th Annual Scientific Sessions in June 2017. In this Phase 1 assessment ZGN-1061 demonstrated rapid drug absorption and clearance in line with criteria established in advance for the molecule, and had a favorable tolerability profile with no safety signals identified, including no evidence of pro-thrombotic effects. The data show that ZGN-1061 treatment causes improvements across multiple metabolic measures consistent with MetAP2 inhibition, and patients in the clinical trial experienced mean weight loss of up to approximately one pound per week. In the third quarter of 2017, we advanced ZGN-1061 into a Phase 2 clinical trial in both Australia and New Zealand, in patients with type 2 diabetes who are obese and are failing to respond adequately to current therapies. In March 2018, we reported results of an interim analysis of this clinical trial. We expect to report full results of the core part of this clinical trial mid-year 2018, and the results of the entire trial, including the additional arm recently added to the trial, early in 2019. In January 2018, we announced advancement of our highly optimized MetAP2 development candidate ZGN-1258, and in the first quarter of 2018, initiated investigational new drug, or IND, application enabling nonclinical efforts for evaluation in the treatment of people affected by PWS. We anticipate filing an IND application with the U.S. Food and Drug Administration, or FDA, and beginning Phase 1 clinical development by the end of 2018.</w:t>
      </w:r>
    </w:p>
    <w:p>
      <w:pPr>
        <w:spacing w:after="0" w:line="19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ZGN-1061 was discovered by our researchers as part of a multi-year campaign to identify novel compounds that avoided limiting nonclinical safety concerns observed with our first-generation compound. The compound has similar potency, and range of desired pharmacological activities in animal models as other MetAP2 inhibitors, including beloranib. ZGN-1061 displays broadly improved safety margins in nonclinical studies, supporting the value of the compound as a more highly optimized drug product candidate.</w:t>
      </w:r>
    </w:p>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ZGN-1061 acts through potent inhibition of MetAP2, an enzyme that modulates the activity of key cellular processes that control metabolism. MetAP2 inhibitors work, at least in part, by directing MetAP2 binding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cellular stress and growth factor mediators, thereby reducing the tone of signals that drive lipid synthesis by the liver and fat storage throughout the body. In this manner, MetAP2 inhibition serves the purpose of re-establishing balance to the ways the body stores and metabolizes fat and glucose. MetAP2 inhibitors reduce the production of new fatty acid molecules by the liver and help convert stored fats into useful energy, while stimulating use of glucose and fats as an energy source. In the setting of type 2 diabetes, these processes lead to improvement of glycemic control.</w:t>
      </w:r>
    </w:p>
    <w:p>
      <w:pPr>
        <w:spacing w:after="0" w:line="15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ZGN-1258 was also discovered by our researchers as part of a multi-year campaign to identify novel compounds that avoided limiting nonclinical safety concerns observed with our first-generation compound. The compound has similar potency, and range of desired pharmacological activities in animal models as other MetAP2 inhibitors, including beloranib. ZGN-1258 displays broadly improved safety margins in nonclinical studies, supporting the value of the compound as a more highly optimized drug product candidate.</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ZGN-1258 acts through potent inhibition of MetAP2. Like other MetAP2 inhibitors, ZGN-1258 modulates the activity of key cellular processes that control metabolism and impact lipid synthesis and storage throughout the body and leads to increase use of stored fats as an energy source. ZGN-1258 displays enhanced uptake into the brain and displays greater potency and activity in animal models of hyperphagic behaviors relative to other compounds including ZGN-1061. These differences support the use of ZGN-1258 in higher need indications such as PWS, in which brain activity is likely to be more important for therapeutic effect. Treatment of obese and hyperphagic animals with ZGN-1258 leads to reduction in both pathologic food intake and rapid body weight loss, making it of interest in the treatment of severe forms of human obesity.</w:t>
      </w:r>
    </w:p>
    <w:p>
      <w:pPr>
        <w:spacing w:after="0" w:line="178"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Since our inception in November 2005, we have devoted substantially all of our resources to developing ZGN-1061, beloranib, ZGN-839, ZGN-1258 and additional MetAP2 inhibitors, building our intellectual property portfolio, developing our supply chain, business planning, raising capital, and providing general and administrative support for such operations. From our inception through our initial public offering, or IPO, in June 2014, we received gross proceeds of $104.0 million from sales of redeemable convertible preferred stock and, to a lesser extent, through the issuances of convertible promissory notes. During June 2014, we completed our IPO with net proceeds of $102.7 million after deducting underwriting discounts and commissions paid by us. On January 28, 2015, we completed a follow-on offering of our common stock, with net proceeds of $130.0 million after deducting underwriting discounts and commissions paid by us.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never generated any revenue and have incurred net losses in each year since our inception. We have an accumulated deficit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$289.6 million as of December 31, 2017. Our net loss was $52.0 million for the year ended December 31, 2017 and $57.9 million for the year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2016. These losses have resulted principally from costs incurred in connection with in-licensing of beloranib, research and development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activities and general and administrative costs associated with our operations. We expect to incur significant expenses and operating losses for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foreseeable future.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131"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the development of ZGN-1258 through nonclinical and clinical development;</w:t>
      </w:r>
    </w:p>
    <w:p>
      <w:pPr>
        <w:spacing w:after="0" w:line="130"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indications for our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As a result, we will need additional financing to support our continuing operations. Until such time that we can generate significant revenue from product sales, if ever, we expect to finance our operations through a combination of public,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79"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We expect that our existing cash, cash equivalents and marketable securities as of December 31, 2017, will enable us to fund our operating expenses and capital expenditure requirements for a period of at least one year from the issuance date of this Annual Report. See “—Liquidity and Capital Resources.”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 or collaborations.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76" w:lineRule="exact"/>
        <w:rPr>
          <w:sz w:val="20"/>
          <w:szCs w:val="20"/>
          <w:color w:val="auto"/>
        </w:rPr>
      </w:pPr>
    </w:p>
    <w:p>
      <w:pPr>
        <w:ind w:left="1060" w:right="68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currently primarily focused on developing ZGN-1061, ZGN-1258 and other early research activities and typically use our employee, consultant and infrastructure resources across our research and development programs. We track outsourced development costs by product candidate or development program, but we do not allocate personnel costs, external consultant costs, payments made under our licensing agreements or other internal costs to specific development programs or product candidates unless the payments are specifically identifiable to a development program or product candidate. We record our research and development expenses net of any research and development tax incentives we are entitled to receive from government authorities.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in the foreseeable future as we pursue later stages of clinical development of our product candidates.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cannot determine with certainty the duration and completion costs of the current or future clinical trials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trials and development of our product candidates will depend on a variety of factors, including:</w:t>
      </w:r>
    </w:p>
    <w:p>
      <w:pPr>
        <w:spacing w:after="0" w:line="92"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 We expect that general and administrative expenses will remain relatively consistent during 2018 as compared to 2017.</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interest earned on our cash equivalents and marketable securities. Our interest income has not been</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due to low interest earned on invested balances. We anticipate that our interest income will decrease as we continue to incur operating losses.</w:t>
      </w:r>
    </w:p>
    <w:p>
      <w:pPr>
        <w:spacing w:after="0" w:line="12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during the years ended December 31, 2017 and 2016, relates to outstanding borrowings under the 2014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consisting of the stated interest of 8.1% per year due on outstanding borrowings, a final payment of 6% of amounts drawn down that was recorded as interest expense over the term through the maturity date using the effective-interest method, the amortization of deferred financing costs, the accretion of debt discounts relating to the 2014 Credit Facility. Interest expense in 2018 will relate to the Term Loan of $20.0 million, which closed on December 29, 2017. It bears a variable interest at an annual rate of 1.25% above the prime rate, as well as a final payment equal to 8.0% of the Term Loan is being recorded as interest expense over the term through the maturity date using the effective-interest method.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 xml:space="preserve">Foreign currency gains (losses), net. </w:t>
      </w:r>
      <w:r>
        <w:rPr>
          <w:rFonts w:ascii="Arial" w:cs="Arial" w:eastAsia="Arial" w:hAnsi="Arial"/>
          <w:sz w:val="16"/>
          <w:szCs w:val="16"/>
          <w:color w:val="auto"/>
        </w:rPr>
        <w:t>Foreign currency transaction gains (losses), net consists of the realized and unrealized gains and losses from</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w:t>
      </w:r>
    </w:p>
    <w:p>
      <w:pPr>
        <w:spacing w:after="0" w:line="18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On December 22, 2017, the Tax Cuts and Jobs Act, or the TCJA, was signed into United States law. The TCJA includes a number of changes to existing tax law, including, among other things, a permanent reduction in the federal corporate income tax rate from a top marginal rate of 34% down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tax rate change resulted in a reduction in the gross amount of our deferred tax assets recorded as of December 31, 2017 with an offsetting reduction in the related valuation allowance, resulting in no income tax expense or benefit being recognized as of the enactment date of the TCJA. In accordance with guidance in SEC Staff Accounting Bulletin No. 118, the final determination of the remeasurement of our deferred assets and liabilities will be completed as additional information becomes available, but no later than one year from the date of enactment of the 2017 Tax Act.</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JOBS Act</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 April 5, 2012, the Jumpstart Our Business Startups Act, or the JOBS Act, was signed into law. The JOBS Act contains provisions that, among other things, reduce certain reporting requirements for an “emerging growth company.” As an “emerging growth company,” we are electing not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non-emerging growth companies. Section 107 of the JOBS Act provides that our decision not to take advantage of the extended transition period is irrevocable.</w:t>
      </w:r>
    </w:p>
    <w:p>
      <w:pPr>
        <w:spacing w:after="0" w:line="158"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As an “emerging growth company” we are relying on other exemptions and reduced reporting requirements provided by the JOBS Act. As such, we have elected not to (i) provide an auditor’s attestation report on our system of internal controls over financial reporting pursuant to Section 404,</w:t>
      </w:r>
    </w:p>
    <w:p>
      <w:pPr>
        <w:ind w:left="200" w:right="140" w:firstLine="4"/>
        <w:spacing w:after="0" w:line="269" w:lineRule="auto"/>
        <w:tabs>
          <w:tab w:leader="none" w:pos="4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apply for a period of five years following the completion of our IPO in June 2014 or until we no longer meet the requirements of being an “emerging growth company,” whichever is earlier.</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Note 2 of our consolidated financial statements included elsewhere in this Annual Report for information about these critical accounting policies as well as a description of our other significant accounting policies.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our consolidated financial statements based on facts and circumstances known to us at that time. Examples of estimated accrued research and development expenses include fees paid to:</w:t>
      </w:r>
    </w:p>
    <w:p>
      <w:pPr>
        <w:spacing w:after="0" w:line="83"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contract research organizations, or CROs, in connection with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225"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We base our expenses related to clinical trials on our estimates of the services received and efforts expended pursuant to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nonclinical expense, or manufacturing activities.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have historically issued equity awards to employees, directors and consultants, generally in the form of options to purchase shares of our common stock and, to a lesser extent, shares of restricted common stock. We measure stock-based awards granted to employees and directors at fair value on the date of grant and recognize the corresponding compensation expense of those awards over the requisite service period, which is generally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vesting period of the respective award. Generally, we issue stock options and restricted stock awards with only service-based vesting conditions and record the expense for these awards using the straight-line method. We measure stock-based awards granted to consultants and nonemployees at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estimate the fair value of each service-based stock option grant using the Black-Scholes option-pricing model, which uses as inputs the fair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value of our common stock and assumptions we make for the volatility of our common stock, the expected term of our stock options, the risk-free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interest rate for a period that approximates the expected term of our stock options and our expected dividend yield. Until completion of our IPO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June 2014, we were a private company and lacked company-specific historical and implied volatility information. Therefore, we estimated our expected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volatility based on the historical volatility of our publicly traded peer companies and expect to continue to do so until such time as we have adequate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historical data regarding the volatility of our traded stock price. The expected term of our options has been determined utilizing the “simplified” method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awards that qualify as “plain-vanilla” options, while the expected term of our options granted to consultants and nonemployees has been determined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based on the contractual term of the options. The risk-free interest rate is determined by reference to the U.S. Treasury yield curve in effect at the time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grant of the award for time periods approximately equal to the expected term of the award. Expected dividend yield is based on the fact that we have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never paid cash dividends and do not expect to pay any cash dividends in the foreseeable future.</w:t>
      </w:r>
    </w:p>
    <w:p>
      <w:pPr>
        <w:spacing w:after="0" w:line="21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October 2017, we granted market-based stock option awards which are valued using Monte Carlo simulation models. The number of options expected to vest, based on achievement of the specified market condition, is factored into the grant date Monte Carlo valuations. Compensation expense is recognized ratably over the attribution period.</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assumptions we used to determine the fair value of service-based stock options granted to employees and directors are as follows, presented on a weighted average basis: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1.40%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6.17</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6.18</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assumptions that we used to determine the fair value of the market-based stock options granted to employees are as follows, presented on a weighted average basis:</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9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2.24%</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94.6%</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These assumptions represented our best estimates, but the estimates involve inherent uncertainties and the application of our judgment. As a result, if factors change and we use significantly different assumptions or estimates, our stock-based compensation expense could be materially different. We recognize compensation expense for only the portion of awards that are expected to vest.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summarizes the classification of our stock-based compensation expenses recognized in our consolidated statements of operations and comprehensive loss:</w:t>
      </w:r>
    </w:p>
    <w:p>
      <w:pPr>
        <w:spacing w:after="0" w:line="189"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6350</wp:posOffset>
            </wp:positionV>
            <wp:extent cx="15862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7900"/>
        <w:spacing w:after="0"/>
        <w:tabs>
          <w:tab w:leader="none" w:pos="8880" w:val="left"/>
          <w:tab w:leader="none" w:pos="98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wp:posOffset>
            </wp:positionV>
            <wp:extent cx="15862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860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$4,138</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$3,543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$2,930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4,163</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6,390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5,652</w:t>
            </w:r>
          </w:p>
        </w:tc>
      </w:tr>
      <w:tr>
        <w:trPr>
          <w:trHeight w:val="27"/>
        </w:trPr>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8,301</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9,933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8,582</w:t>
            </w:r>
          </w:p>
        </w:tc>
      </w:tr>
      <w:tr>
        <w:trPr>
          <w:trHeight w:val="20"/>
        </w:trPr>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December 31, 2017, we had unrecognized stock-based compensation expense related to our unvested service-based stock option awards of $10.7 million, which is expected to be recognized over the remaining weighted average vesting period of 2.54 years.</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of December 31, 2017, we had unrecognized stock-based compensation expense related to our unvested market-based stock option awards of $3.1 million, which is expected to be recognized over the remaining weighted average vesting period of 2.77 years.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2016:</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6"/>
              </w:rPr>
              <w:t>2016</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Revenue</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40,839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39,936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18,289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52,999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58,225</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9"/>
              </w:rPr>
              <w:t>(52,999)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(58,225)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2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9"/>
              </w:rPr>
              <w:t>(52,028)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(57,878)</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80" w:type="dxa"/>
            <w:vAlign w:val="bottom"/>
            <w:vMerge w:val="restart"/>
          </w:tcPr>
          <w:p>
            <w:pPr>
              <w:jc w:val="right"/>
              <w:ind w:right="1810"/>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21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ZGN-1061:</w:t>
            </w:r>
          </w:p>
        </w:tc>
        <w:tc>
          <w:tcPr>
            <w:tcW w:w="1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Nonclinical and manufacturing</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Clinical trials</w:t>
            </w:r>
          </w:p>
        </w:tc>
        <w:tc>
          <w:tcPr>
            <w:tcW w:w="15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Discovery and screening</w:t>
            </w:r>
          </w:p>
        </w:tc>
        <w:tc>
          <w:tcPr>
            <w:tcW w:w="15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6,339</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Beloranib:</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Nonclinical and manufacturing</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5,242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Clinical trials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080"/>
              <w:spacing w:after="0"/>
              <w:rPr>
                <w:sz w:val="20"/>
                <w:szCs w:val="20"/>
                <w:color w:val="auto"/>
              </w:rPr>
            </w:pPr>
            <w:r>
              <w:rPr>
                <w:rFonts w:ascii="Arial" w:cs="Arial" w:eastAsia="Arial" w:hAnsi="Arial"/>
                <w:sz w:val="18"/>
                <w:szCs w:val="18"/>
                <w:color w:val="auto"/>
              </w:rPr>
              <w:t>Subtotal</w:t>
            </w:r>
          </w:p>
        </w:tc>
        <w:tc>
          <w:tcPr>
            <w:tcW w:w="15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13,635</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ZGN-839</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080"/>
              <w:spacing w:after="0"/>
              <w:rPr>
                <w:sz w:val="20"/>
                <w:szCs w:val="20"/>
                <w:color w:val="auto"/>
              </w:rPr>
            </w:pPr>
            <w:r>
              <w:rPr>
                <w:rFonts w:ascii="Arial" w:cs="Arial" w:eastAsia="Arial" w:hAnsi="Arial"/>
                <w:sz w:val="18"/>
                <w:szCs w:val="18"/>
                <w:color w:val="auto"/>
              </w:rPr>
              <w:t>Subtotal</w:t>
            </w:r>
          </w:p>
        </w:tc>
        <w:tc>
          <w:tcPr>
            <w:tcW w:w="15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25,030</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22,479</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Personnel related</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7,851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8,694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stock-based compensation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Consultants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2,286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3,256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080"/>
              <w:spacing w:after="0"/>
              <w:rPr>
                <w:sz w:val="20"/>
                <w:szCs w:val="20"/>
                <w:color w:val="auto"/>
              </w:rPr>
            </w:pPr>
            <w:r>
              <w:rPr>
                <w:rFonts w:ascii="Arial" w:cs="Arial" w:eastAsia="Arial" w:hAnsi="Arial"/>
                <w:sz w:val="18"/>
                <w:szCs w:val="18"/>
                <w:color w:val="auto"/>
              </w:rPr>
              <w:t>Subtotal</w:t>
            </w:r>
          </w:p>
        </w:tc>
        <w:tc>
          <w:tcPr>
            <w:tcW w:w="15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15,809</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17,457</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research and development expenses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40,839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39,936</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Research and development expenses for the year ended December 31, 2017 increased $0.9 million compared to the year ended December 31,</w:t>
      </w:r>
    </w:p>
    <w:p>
      <w:pPr>
        <w:spacing w:after="0" w:line="46" w:lineRule="exact"/>
        <w:rPr>
          <w:sz w:val="20"/>
          <w:szCs w:val="20"/>
          <w:color w:val="auto"/>
        </w:rPr>
      </w:pPr>
    </w:p>
    <w:p>
      <w:pPr>
        <w:jc w:val="both"/>
        <w:ind w:left="200" w:right="620"/>
        <w:spacing w:after="0" w:line="255" w:lineRule="auto"/>
        <w:rPr>
          <w:sz w:val="20"/>
          <w:szCs w:val="20"/>
          <w:color w:val="auto"/>
        </w:rPr>
      </w:pPr>
      <w:r>
        <w:rPr>
          <w:rFonts w:ascii="Arial" w:cs="Arial" w:eastAsia="Arial" w:hAnsi="Arial"/>
          <w:sz w:val="18"/>
          <w:szCs w:val="18"/>
          <w:color w:val="auto"/>
        </w:rPr>
        <w:t>2016. The increase was primarily due to an increase of $10.4 million related to our ZGN-1061 program, as well as an increase in discovery and screening expenses of $5.9 million, partially offset by decreased costs of $12.9 million in our beloranib program and a decrease of $1.6 million associated with our unallocated expenses.</w:t>
      </w:r>
    </w:p>
    <w:p>
      <w:pPr>
        <w:spacing w:after="0" w:line="190"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Costs associated with our ZGN-1061 program increased period over period by $10.4 million. In the third quarter of 2016 we initiated a Phase 1 clinical trial for ZGN-1061 which completed recruiting and dosing patients in the first quarter of 2017. The overall increase is primarily due to additional nonclinical studies as well as drug product and drug substance activities as we commenced our Phase 2 clinical trial in the third quarter of 2017 in both Australia and New Zealand, for which we enrolled 137 patients in a 12 week clinical trial. The expenses during the 2016 period were for startup costs for a Phase 1 clinical trial of ZGN-1061 in the Netherlands, which was comprised of 39 patients in a single ascending dose, or SAD, portion and 29 patients in a multiple ascending dose, or MAD, portion.</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Of the decrease in costs associated with our beloranib program, clinical trials costs decreased by $8.3 million period over period and nonclinical and manufacturing costs decreased $4.6 million period over period, both as a result of the suspension of our beloranib program in July 2016. During the year ended December 31, 2016, we reported topline clinical data from our Phase 2b clinical trial in patients with severe obesity complicated by type 2 diabetes and our U.S. Phase 3 clinical trial in patients with PWS. Prior to the FDA placing the IND application for beloranib on full clinical hold in December 2015, we suspended dosing of patients in the randomized portion of both of these trials in October 2015. In July 2016, we announced the suspension of our beloranib program.</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240" w:top="459"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Unallocated expenses decreased period over period primarily due to a decrease of $1.0 million in consultants, as well as a decrease in personnel related costs of $0.8 million. Consultant costs decreased primarily related to our beloranib program which we suspended in July 2016. Personnel related expenses decreased primarily from a reduction in the number of employees for the 2017 period as compared to the 2016 period, as we had a reduction in workforce which took place in July 2016.</w:t>
      </w: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5"/>
              </w:rPr>
              <w:t>Year Ended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4,401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(2,081)</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4,163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6,390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(2,227)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(1,581)</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12,160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18,289</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(6,129)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200" w:right="140" w:firstLine="441"/>
        <w:spacing w:after="0" w:line="285" w:lineRule="auto"/>
        <w:rPr>
          <w:sz w:val="20"/>
          <w:szCs w:val="20"/>
          <w:color w:val="auto"/>
        </w:rPr>
      </w:pPr>
      <w:r>
        <w:rPr>
          <w:rFonts w:ascii="Arial" w:cs="Arial" w:eastAsia="Arial" w:hAnsi="Arial"/>
          <w:sz w:val="16"/>
          <w:szCs w:val="16"/>
          <w:color w:val="auto"/>
        </w:rPr>
        <w:t>General and administrative expenses for the year ended December 31, 2017 decreased $6.1 million compared to the year ended December 31, 2016. The decrease was due to decreases in non-cash stock-based compensation expense of $2.2 million, personnel related costs of $2.1 million and professional fees of $1.6 million. Non-cash stock-based compensation expense decreased due mainly to forfeited stock options related to the reduction in workforce in July 2016, as well as a lower stock option grant price for the 2017 annual grant. Personnel related expenses decreased primarily from a reduction in the number of employees for the 2017 period as compared to the 2016 period, from the reduction in workforce which took place in</w:t>
      </w:r>
    </w:p>
    <w:p>
      <w:pPr>
        <w:spacing w:after="0" w:line="2" w:lineRule="exact"/>
        <w:rPr>
          <w:sz w:val="20"/>
          <w:szCs w:val="20"/>
          <w:color w:val="auto"/>
        </w:rPr>
      </w:pPr>
    </w:p>
    <w:p>
      <w:pPr>
        <w:ind w:left="200" w:right="260"/>
        <w:spacing w:after="0" w:line="254" w:lineRule="auto"/>
        <w:rPr>
          <w:sz w:val="20"/>
          <w:szCs w:val="20"/>
          <w:color w:val="auto"/>
        </w:rPr>
      </w:pPr>
      <w:r>
        <w:rPr>
          <w:rFonts w:ascii="Arial" w:cs="Arial" w:eastAsia="Arial" w:hAnsi="Arial"/>
          <w:sz w:val="18"/>
          <w:szCs w:val="18"/>
          <w:color w:val="auto"/>
        </w:rPr>
        <w:t>July 2016. Professional fees decreased primarily due to lower legal fees as the plaintiffs for the class action lawsuit had filed a notice of appeal to the First Circuit Court of Appeals and on April 7, 2017, the dismissal with prejudice was affirmed. The decrease was also due to lower commercial readiness costs and investor relations and public relations costs in the 2017 period as compared to the same period in 2016, primarily as a result of suspending development of beloranib in July 2016.</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 ended December 31, 2017 and 2016 of $0.2 million and $0.5 million,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on our outstanding borrowings under the 2014 Credit Facility, which was fully repaid in December 2017. Interest expense consists primarily of the stated interest of 8.1% per year due on outstanding borrowings. It also includes expense related to the final payment of 6% of amounts drawn down that was recorded over the term through the maturity date using the effective-interest method and the amortization of deferred financing costs and debt discounts relating to the 2014 Credit Facility.</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$1.0 million and $0.9 million for the years ended December 31, 2017 and 2016,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gains of $0.1 million for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no impact in 2016.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2015:</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Pr>
          <w:p>
            <w:pPr>
              <w:spacing w:after="0"/>
              <w:rPr>
                <w:sz w:val="10"/>
                <w:szCs w:val="10"/>
                <w:color w:val="auto"/>
              </w:rPr>
            </w:pPr>
          </w:p>
        </w:tc>
        <w:tc>
          <w:tcPr>
            <w:tcW w:w="6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4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6"/>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center"/>
              <w:ind w:right="1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Revenue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39,936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50"/>
              <w:spacing w:after="0"/>
              <w:rPr>
                <w:sz w:val="20"/>
                <w:szCs w:val="20"/>
                <w:color w:val="auto"/>
              </w:rPr>
            </w:pPr>
            <w:r>
              <w:rPr>
                <w:rFonts w:ascii="Arial" w:cs="Arial" w:eastAsia="Arial" w:hAnsi="Arial"/>
                <w:sz w:val="18"/>
                <w:szCs w:val="18"/>
                <w:color w:val="auto"/>
                <w:w w:val="90"/>
              </w:rPr>
              <w:t>54,618</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(14,682)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18,289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w w:val="90"/>
              </w:rPr>
              <w:t>19,195</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58,225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73,813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(15,588)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(58,225)</w:t>
            </w:r>
          </w:p>
        </w:tc>
        <w:tc>
          <w:tcPr>
            <w:tcW w:w="1680" w:type="dxa"/>
            <w:vAlign w:val="bottom"/>
            <w:gridSpan w:val="5"/>
            <w:shd w:val="clear" w:color="auto" w:fill="CCEEFF"/>
          </w:tcPr>
          <w:p>
            <w:pPr>
              <w:jc w:val="right"/>
              <w:ind w:right="390"/>
              <w:spacing w:after="0"/>
              <w:rPr>
                <w:sz w:val="20"/>
                <w:szCs w:val="20"/>
                <w:color w:val="auto"/>
              </w:rPr>
            </w:pPr>
            <w:r>
              <w:rPr>
                <w:rFonts w:ascii="Arial" w:cs="Arial" w:eastAsia="Arial" w:hAnsi="Arial"/>
                <w:sz w:val="18"/>
                <w:szCs w:val="18"/>
                <w:color w:val="auto"/>
              </w:rPr>
              <w:t>(73,813)</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15,588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580" w:type="dxa"/>
            <w:vAlign w:val="bottom"/>
            <w:gridSpan w:val="2"/>
          </w:tcPr>
          <w:p>
            <w:pPr>
              <w:ind w:left="420"/>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9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(losses),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6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(57,878)</w:t>
            </w:r>
          </w:p>
        </w:tc>
        <w:tc>
          <w:tcPr>
            <w:tcW w:w="1680" w:type="dxa"/>
            <w:vAlign w:val="bottom"/>
            <w:gridSpan w:val="5"/>
            <w:shd w:val="clear" w:color="auto" w:fill="CCEEFF"/>
          </w:tcPr>
          <w:p>
            <w:pPr>
              <w:jc w:val="right"/>
              <w:ind w:right="39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(74,286)</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$ 16,408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04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right"/>
              <w:ind w:right="60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7"/>
          </w:tcPr>
          <w:p>
            <w:pPr>
              <w:jc w:val="right"/>
              <w:ind w:right="96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Beloranib:</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Nonclinical and manufacturing</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$ 5,242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(6,434)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8,393</w:t>
            </w: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17,893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Subtotal</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5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29,569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Second-generation MetAP2 inhibitors, including ZGN-1061</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7,593</w:t>
            </w:r>
          </w:p>
        </w:tc>
        <w:tc>
          <w:tcPr>
            <w:tcW w:w="5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ZGN-839</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Discovery and screening</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393</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Subtotal</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40,265</w:t>
            </w: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(17,786)</w:t>
            </w:r>
          </w:p>
        </w:tc>
        <w:tc>
          <w:tcPr>
            <w:tcW w:w="0" w:type="dxa"/>
            <w:vAlign w:val="bottom"/>
          </w:tcPr>
          <w:p>
            <w:pPr>
              <w:spacing w:after="0"/>
              <w:rPr>
                <w:sz w:val="1"/>
                <w:szCs w:val="1"/>
                <w:color w:val="auto"/>
              </w:rPr>
            </w:pPr>
          </w:p>
        </w:tc>
      </w:tr>
      <w:tr>
        <w:trPr>
          <w:trHeight w:val="223"/>
        </w:trPr>
        <w:tc>
          <w:tcPr>
            <w:tcW w:w="6040" w:type="dxa"/>
            <w:vAlign w:val="bottom"/>
            <w:gridSpan w:val="3"/>
          </w:tcPr>
          <w:p>
            <w:pPr>
              <w:ind w:left="440"/>
              <w:spacing w:after="0"/>
              <w:rPr>
                <w:sz w:val="20"/>
                <w:szCs w:val="20"/>
                <w:color w:val="auto"/>
              </w:rPr>
            </w:pPr>
            <w:r>
              <w:rPr>
                <w:rFonts w:ascii="Arial" w:cs="Arial" w:eastAsia="Arial" w:hAnsi="Arial"/>
                <w:sz w:val="18"/>
                <w:szCs w:val="18"/>
                <w:color w:val="auto"/>
              </w:rPr>
              <w:t>Unallocated expenses: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Personnel related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Non-cash stock-based compensation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3,543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Consultants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1,964</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Subtotal</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14,353</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60" w:type="dxa"/>
            <w:vAlign w:val="bottom"/>
          </w:tcPr>
          <w:p>
            <w:pPr>
              <w:ind w:left="660"/>
              <w:spacing w:after="0"/>
              <w:rPr>
                <w:sz w:val="20"/>
                <w:szCs w:val="20"/>
                <w:color w:val="auto"/>
              </w:rPr>
            </w:pPr>
            <w:r>
              <w:rPr>
                <w:rFonts w:ascii="Arial" w:cs="Arial" w:eastAsia="Arial" w:hAnsi="Arial"/>
                <w:sz w:val="18"/>
                <w:szCs w:val="18"/>
                <w:color w:val="auto"/>
              </w:rPr>
              <w:t>Total research and development expenses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39,936</w:t>
            </w:r>
          </w:p>
        </w:tc>
        <w:tc>
          <w:tcPr>
            <w:tcW w:w="5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54,618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(14,682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Research and development expenses for the year ended December 31, 2016 decreased $14.7 million compared to the year ended December 31, 2015. The decrease was primarily due to a $15.9 million decrease in our beloranib program, and a decrease of $4.0 million associated with our ZGN-839 program, partially offset by increased costs of $3.1 million associated with our unallocated expenses and increased costs of $1.8 million in second-generation MetAP2 inhibitors, primarily related to ZGN-1061.</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Of the decrease in our beloranib program, clinical trial expenses for beloranib decreased by $9.5 million period over period as a result of the status of our clinical trials in 2016 and 2015. During the year ended December 31, 2016, we reported top-line clinical data from our Phase 2b clinical trial in patients with severe obesity complicated by type 2 diabetes and our U.S. Phase 3 clinical trial in patients with PWS. Prior to the FDA placing the IND application for beloranib on full clinical hold in December 2015, we suspended dosing of patients in the randomized portion of both of these clinical trials in October 2015. In July 2016, we announced the suspension of our beloranib program. During the year ended December 31, 2015, both of the clinical trials noted above were ongoing, enrolling and dosing patients. Clinical trial activities undertaken by our Australian subsidiary are recorded net of a 45% research and development tax incentive from the Australian government. This tax incentive reduced our expenses by $0.3 million and</w:t>
      </w:r>
    </w:p>
    <w:p>
      <w:pPr>
        <w:spacing w:after="0" w:line="3" w:lineRule="exact"/>
        <w:rPr>
          <w:sz w:val="20"/>
          <w:szCs w:val="20"/>
          <w:color w:val="auto"/>
        </w:rPr>
      </w:pPr>
    </w:p>
    <w:p>
      <w:pPr>
        <w:ind w:left="200" w:right="120"/>
        <w:spacing w:after="0" w:line="252" w:lineRule="auto"/>
        <w:rPr>
          <w:sz w:val="20"/>
          <w:szCs w:val="20"/>
          <w:color w:val="auto"/>
        </w:rPr>
      </w:pPr>
      <w:r>
        <w:rPr>
          <w:rFonts w:ascii="Arial" w:cs="Arial" w:eastAsia="Arial" w:hAnsi="Arial"/>
          <w:sz w:val="18"/>
          <w:szCs w:val="18"/>
          <w:color w:val="auto"/>
        </w:rPr>
        <w:t>$1.4 million for the years ended December 31, 2016 and 2015, respectively. The decrease in nonclinical and manufacturing of $6.4 million period over period is due to stage of development as well as the fact that the beloranib IND application was on full clinical hold during 2016, and in July 2016, we announced the suspension of our beloranib program. The decrease in ZGN-839 costs of $4.0 million period over period is due to the withdrawal of our IND application in January 2016 in order to generate data from additional nonclinical studies requested by the FDA. In October 2016, we suspended further development of ZGN-839. We are focusing all of our personnel and financial resources on ZGN-1061 and the discovery of novel and highly-differentiated MetAP2 inhibitors.</w:t>
      </w:r>
    </w:p>
    <w:p>
      <w:pPr>
        <w:spacing w:after="0" w:line="194"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Costs associated with our second-generation MetAP2 inhibitors, primarily related to ZGN-1061 increased period over period by $1.8 million. The work in 2016 was specific to ZGN-1061, including work in chemistry, toxicology, pharmacology and contract manufacturing costs. Additionally, in the third quarter of 2016 we initiated a Phase 1 clinical trial for ZGN-1061. During the 2015 period, we were conducting research and screening activities on a number of second-generation MetAP2 inhibitors.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Unallocated expenses increased period over period primarily due to an increase in personnel related costs of $2.6 million, $0.6 million in non-cash stock-based compensation expense, and $0.4 million in other costs, partially offset by a decrease of $0.5 million in consultants. Personnel related expense increases resulted primarily from severance expense of $0.5 million as well as an increase in the number of employees for the first and second quarters of the 2016 period over the 2015 period. Subsequently, we had a reduction in workforce which took place in July 2016. Non-cash stock-based compensation expense was impacted by an increase in the annual stock option grant to employees during late March 2016. Other unallocated expenses were driven by increases in travel expenses and facilities expenses. Consultant costs decreased primarily related to our beloranib program which we suspended in July 2016.</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4,285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6,390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5,652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(1,548)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18,289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19,195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20" w:firstLine="441"/>
        <w:spacing w:after="0" w:line="279" w:lineRule="auto"/>
        <w:rPr>
          <w:sz w:val="20"/>
          <w:szCs w:val="20"/>
          <w:color w:val="auto"/>
        </w:rPr>
      </w:pPr>
      <w:r>
        <w:rPr>
          <w:rFonts w:ascii="Arial" w:cs="Arial" w:eastAsia="Arial" w:hAnsi="Arial"/>
          <w:sz w:val="17"/>
          <w:szCs w:val="17"/>
          <w:color w:val="auto"/>
        </w:rPr>
        <w:t>General and administrative expenses for the year ended December 31, 2016 decreased $0.9 million compared to the year ended December 31, 2015. The decrease was primarily due to a decrease in professional fees of $1.5 million primarily due to the fact that we were no longer working on branding and commercial-readiness related to PWS as we were on clinical hold throughout 2016, and then in July 2016 we suspended the development of our beloranib program. This decrease was partially offset by increased non-cash stock-based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compensation expense of $0.7 million and increased personnel related costs of $0.1 million. The increase in non-cash stock-based compensation expense was due to the annual stock option grant to employees during late March 2016 as well as the annual board of director’s grant in late June 2016. Personnel related costs increased period over period primarily due to severance expense of $0.9 million, partially offset by a reversal of part of the 2015 bonus expense during 2016, as executive officers were not paid a bonus during 2016, as well as an overall decrease in headcount.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years ended December 31, 2016 and 2015 of $0.5 million and $0.8 million,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on our outstanding borrowings under the 2014 Credit Facility. Interest expense consists primarily of the stated interest of 8.1% per year due on outstanding borrowings. It also includes expense related to the final payment of 6% of amounts drawn down that is being recorded over the term through the maturity date using the effective-interest method and the amortization of deferred financing costs and debt discounts relating to the 2014 Credit Facility.</w:t>
      </w:r>
    </w:p>
    <w:p>
      <w:pPr>
        <w:spacing w:after="0" w:line="18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$0.9 million and $0.4 million for the years ended December 31, 2016 and 2015,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losses of less than $0.1 million and $0.1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2016 and 2015,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December 31, 2017, we had cash, cash equivalents and marketable securities totaling $102.1 million. We invest our cash in money market funds, commercial paper, certificates of deposits and corporate bonds, with the primary objectives to preserve principal, provide liquidity and maximize income without significantly increasing risk.</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Since our inception in November 2005, we have not generated any revenue and have incurred recurring net losses. As of December 31, 2017, we had an accumulated deficit of $289.6 million. Prior to our IPO in June 2014, we funded our operations primarily through sales of redeemable convertible preferred stock and, to a lesser extent, through the issuances of convertible promissory notes and a loan security agreement. From our inception through our IPO in June 2014, we received gross proceeds of $104.0 million from such transactions. During June 2014, we completed our IPO with net proceeds of $102.7 million after deducting underwriting discounts and commissions paid by us. We also incurred offering costs of $2.5 million related to the IPO. On January 28, 2015, we completed a follow-on offering of our common stock, which resulted in the sale of 3,942,200 shares at a price of $35.00 per share. We received net proceeds from the follow-on offering of $130.0 million based upon the price of $35.00 per share and after deducting underwriting discounts and commissions paid by us. We also incurred offering costs of $0.5 million related to the follow-on offering.</w:t>
      </w:r>
    </w:p>
    <w:p>
      <w:pPr>
        <w:spacing w:after="0" w:line="166"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December 31, 2017, we had fully repaid all outstanding amounts due under a loan and security agreement with Oxford Finance LLC and Midcap Financial, or the 2014 Credit Facility, entered into in March 2014.</w:t>
      </w:r>
    </w:p>
    <w:p>
      <w:pPr>
        <w:spacing w:after="0" w:line="170"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On December 29, 2017, we entered into a loan and security agreement with Silicon Valley Bank, or the Term Loan. The Term Loan provided for borrowings of $20.0 million. On December 29, 2017, we received proceeds of $20.0 million from the issuance of a promissory note. The promissory note issued under the Term Loan is collateralized by substantially all of our personal property, other than our intellectual property.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Upon entering into this Term Loan, we are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was 4.5% at December 31, 2017. In addition, a final payment equal to 8.0% of the Term Loan is due upon the earlier of the maturity date, acceleration of the term loans or prepayment of all or part of the term loans. We accrue the final payment amount of $1.6 million, to outstanding debt by charges to interest expense using the effective-interest method from the date of issuance through the maturity date.</w:t>
      </w:r>
    </w:p>
    <w:p>
      <w:pPr>
        <w:spacing w:after="0" w:line="193"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Additionally, we, as the borrower, are required to maintain a minimum cash, cash equivalents and marketable securities balance at Silicon Valley Bank of no less than 105% of the total outstanding principal balance of the Term Loan, which as of December 31, 2017 was $21.0 million.</w:t>
      </w:r>
    </w:p>
    <w:p>
      <w:pPr>
        <w:spacing w:after="0" w:line="14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Further, as of 45 days after the Term Loan was entered in, we must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w:t>
      </w:r>
    </w:p>
    <w:p>
      <w:pPr>
        <w:spacing w:after="0" w:line="187"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There are negative covenants restricting our activities, including limitations on dispositions, mergers or acquisitions; encumbering or granting a security interest in our intellectual property; incurring indebtedness or liens; paying dividends; making certain investments; permit the aggregate value of cash maintained by our Australian subsidiary not to exceed $4.0 million and certain other business transactions.</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Term Loan also includes events of default, the occurrence and continuation of any of which provides the lenders the right to exercise remedies against us and the collateral securing the loans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(43,784)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(51,975)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(59,554)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35,647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51,447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(92,118)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16,562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(2,715)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129,164</w:t>
            </w: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(22,508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During the year ended December 31, 2017, operating activities used $43.8 million of cash, resulting from our net loss of $52.0 million, partially offset by non-cash charges of $8.3 million. Our net loss was primarily attributed to research and development activities related to our ZGN-1061 program, discovery and screening and our general and administrative expenses, as we had no revenue in the period. Our net non-cash charges during the year ended December 31, 2017, consisted primarily of stock-based compensation expense of $8.3 million. Net cash used in changes in our operating assets and liabilities during the year ended December 31, 2017, consisted primarily of a $1.0 million increase in accounts payable and accrued expenses, partially offset by a $0.6 million increase in prepaid expenses and other current assets and a $0.6 million increase in tax incentive receivable.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During the year ended December 31, 2016, operating activities used $52.0 million of cash, resulting from our net loss of $57.9 million and changes in our operating assets and liabilities of $5.5 million, partially offset by non-cash charges of $11.4 million. Our net loss was primarily attributed to research and development activities related to our beloranib program, our ZGN-1061 program, and our general and administrative expenses, as we had no revenue in the period. Our net non-cash charges during the year ended December 31, 2016, consisted primarily of stock-based compensation expense of $10.1 million. Net cash used in changes in our operating assets and liabilities during the year ended December 31, 2016, consisted primarily of a $6.9 million decrease in accounts payable and accrued expenses, partially offset by a $0.4 million decrease in prepaid expenses and other current assets and a $1.0 million decrease in tax incentive receivable.</w:t>
      </w:r>
    </w:p>
    <w:p>
      <w:pPr>
        <w:spacing w:after="0" w:line="178"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During the year ended December 31, 2015, operating activities used $59.6 million of cash, resulting from our net loss of $74.3 million, partially offset by non-cash charges of $8.0 million, and net cash provided by changes in our operating assets and liabilities of $6.7 million. Our net loss was primarily attributed to research and development activities related to our beloranib program, licensing milestones and our general and administrative expenses, as we had no revenue in the period. Our net non-cash charges during the year ended December 31, 2015, consisted primarily of stock-based compensation expense of $8.6 million. Net cash provided by changes in our operating assets and liabilities during the year ended December 31, 2015, consisted primarily of $4.9 million increase in accounts payable and a $3.2 million increase in accrued expenses, partially offset by a $0.4 million increase in prepaid expenses and other current assets and a $1.0 million increase in tax incentive receivable.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During the year ended December 31, 2017, investing activities provided $35.6 million of cash resulting from proceeds from sales and maturities of marketable securities of $150.2 million, offset by the use of cash for purchases of marketable securities of $114.5 million and purchases of property and equipment of $0.1 million.</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During the year ended December 31, 2016, investing activities provided $51.4 million of cash resulting from proceeds from sales and maturities of marketable securities of $188.6 million, offset by the use of cash for purchases of marketable securities of $136.5 million and purchases of property and equipment of $0.7 million.</w:t>
      </w:r>
    </w:p>
    <w:p>
      <w:pPr>
        <w:spacing w:after="0" w:line="181"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During the year ended December 31, 2015, investing activities used $92.1 million of cash resulting from purchases of marketable securities of $287.5 million and purchases of equipment of $0.6 million. These uses were partially offset by proceeds from maturities of marketable securities of $196.0 million.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17"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During the year ended December 31, 2017, net cash provided by financing activities of $16.6 million was the result of proceeds of $20.0 million from our notes payable, as well as $0.2 million received from proceeds relating to the exercise of common stock options and common stock purchased under our 2014 Employee Stock Purchase Plan, partially offset by payments of $3.6 million related to our notes payable.</w:t>
      </w:r>
    </w:p>
    <w:p>
      <w:pPr>
        <w:spacing w:after="0" w:line="166"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During the year ended December 31, 2016, financing activities used $2.9 million for payments related to our notes payable, partially offset by $0.2 million received from proceeds relating to the exercise of common stock options and common stock purchased under our 2014 Employee Stock Purchase Plan.</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During the year ended December 31, 2015, net cash provided by financing activities was $129.2 million as a result of proceeds of $129.6 million from our follow-on public offering, net of underwriting discounts and commissions, as well as $1.0 million received from proceeds relating to the exercise of common stock options, offset by payments of $1.4 million related to our note payable.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ZGN-1061 is currently in Phase 2 clinical development, therefore we expect to continue to incur significant expenses and operating losses for the foreseeable future. We anticipate that we will continue to incur expenses, if and as we:</w:t>
      </w:r>
    </w:p>
    <w:p>
      <w:pPr>
        <w:spacing w:after="0" w:line="76"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the development of ZGN-1258 through nonclinical and clinical development and if successful, later-stage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seek to identify additional product candidates and indications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We expect that our existing cash and cash equivalents and marketable securities as of December 31, 2017, will enable us to fund our operating expenses and capital expenditure requirements for a period of at least one year from the issuance date of this Annual Report. We have based this estimate on assumptions that may prove to be wrong, and we may use our available capital resources sooner than we currently expect. Because of the numerous risks and uncertainties associated with the development ZGN-1061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capital requirements for ZGN-1061 will depend on many factors, including:</w:t>
      </w:r>
    </w:p>
    <w:p>
      <w:pPr>
        <w:spacing w:after="0" w:line="83"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or technologies;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establish any future collaboration arrangements on favorable terms, if at all.</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product candidates that we would otherwise prefer to develop and market ourselves.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2017 and the effect such obligations are expected to have on our liquidity and cash flow in future periods: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Payments Due by Period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60" w:type="dxa"/>
            <w:vAlign w:val="bottom"/>
            <w:gridSpan w:val="3"/>
            <w:vMerge w:val="restart"/>
          </w:tcPr>
          <w:p>
            <w:pPr>
              <w:ind w:left="1620"/>
              <w:spacing w:after="0"/>
              <w:rPr>
                <w:sz w:val="20"/>
                <w:szCs w:val="20"/>
                <w:color w:val="auto"/>
              </w:rPr>
            </w:pPr>
            <w:r>
              <w:rPr>
                <w:rFonts w:ascii="Arial" w:cs="Arial" w:eastAsia="Arial" w:hAnsi="Arial"/>
                <w:sz w:val="14"/>
                <w:szCs w:val="14"/>
                <w:b w:val="1"/>
                <w:bCs w:val="1"/>
                <w:color w:val="auto"/>
                <w:w w:val="95"/>
              </w:rPr>
              <w:t>Total (2) (3)</w:t>
            </w:r>
          </w:p>
        </w:tc>
        <w:tc>
          <w:tcPr>
            <w:tcW w:w="116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w w:val="96"/>
              </w:rPr>
              <w:t>Less Than</w:t>
            </w:r>
          </w:p>
        </w:tc>
        <w:tc>
          <w:tcPr>
            <w:tcW w:w="520" w:type="dxa"/>
            <w:vAlign w:val="bottom"/>
          </w:tcPr>
          <w:p>
            <w:pPr>
              <w:spacing w:after="0"/>
              <w:rPr>
                <w:sz w:val="10"/>
                <w:szCs w:val="10"/>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86"/>
              </w:rPr>
              <w:t>3-5 Years</w:t>
            </w:r>
          </w:p>
        </w:tc>
        <w:tc>
          <w:tcPr>
            <w:tcW w:w="1240" w:type="dxa"/>
            <w:vAlign w:val="bottom"/>
            <w:gridSpan w:val="3"/>
          </w:tcPr>
          <w:p>
            <w:pPr>
              <w:ind w:left="54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36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5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 (1)</w:t>
            </w:r>
          </w:p>
        </w:tc>
        <w:tc>
          <w:tcPr>
            <w:tcW w:w="17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479</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Debt commitments (4)</w:t>
            </w:r>
          </w:p>
        </w:tc>
        <w:tc>
          <w:tcPr>
            <w:tcW w:w="1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21,600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12,727</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8,873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22,769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479</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13,417</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8,873</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80" w:hanging="436"/>
        <w:spacing w:after="0" w:line="267"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entered into an operating lease for office space in Boston, Massachusetts on May 15, 2014, effective as of July 28, 2014, with a term expiring on July 31, 2017, and an option to extend the lease for three additional years. In March 2015, we entered into an operating lease for additional office space in Boston, Massachusetts, effective as of April 15, 2015, with a term expiring on July 31, 2017, and two options to extend the lease for three additional years each. In October 2015, we entered into an operating lease for office space in San Diego, California, effective as of October 1, 2015, with a term expiring on September 30, 2019, and an option to extend the lease for five additional years. In January 2017, we extended the leases for both office spaces in Boston, Massachusetts, with new terms expiring on July 31, 2020. In addition, we have subleased 2,976 square feet of office space in Boston, Massachusetts to an unrelated third party beginning on January 1, 2017 and expiring on December 31, 2018 and we expect to receive approximately $0.2 million in sublease rental income.</w:t>
      </w:r>
    </w:p>
    <w:p>
      <w:pPr>
        <w:spacing w:after="0" w:line="3" w:lineRule="exact"/>
        <w:rPr>
          <w:rFonts w:ascii="Arial" w:cs="Arial" w:eastAsia="Arial" w:hAnsi="Arial"/>
          <w:sz w:val="17"/>
          <w:szCs w:val="17"/>
          <w:color w:val="auto"/>
        </w:rPr>
      </w:pPr>
    </w:p>
    <w:p>
      <w:pPr>
        <w:jc w:val="both"/>
        <w:ind w:left="640" w:right="100" w:hanging="436"/>
        <w:spacing w:after="0" w:line="281"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have acquired exclusive rights to develop patented compounds and related know-how under licensing agreements for beloranib with two third parties. The licensing rights obligate us to make payments to the licensors for license fees, milestones, license maintenance fees and royalties. We are also responsible for patent prosecution costs. We are obligated to make future milestone payments under these agreements of up to</w:t>
      </w:r>
    </w:p>
    <w:p>
      <w:pPr>
        <w:spacing w:after="0" w:line="2" w:lineRule="exact"/>
        <w:rPr>
          <w:rFonts w:ascii="Arial" w:cs="Arial" w:eastAsia="Arial" w:hAnsi="Arial"/>
          <w:sz w:val="16"/>
          <w:szCs w:val="16"/>
          <w:color w:val="auto"/>
        </w:rPr>
      </w:pPr>
    </w:p>
    <w:p>
      <w:pPr>
        <w:ind w:left="640" w:right="100"/>
        <w:spacing w:after="0" w:line="265" w:lineRule="auto"/>
        <w:rPr>
          <w:rFonts w:ascii="Arial" w:cs="Arial" w:eastAsia="Arial" w:hAnsi="Arial"/>
          <w:sz w:val="16"/>
          <w:szCs w:val="16"/>
          <w:color w:val="auto"/>
        </w:rPr>
      </w:pPr>
      <w:r>
        <w:rPr>
          <w:rFonts w:ascii="Arial" w:cs="Arial" w:eastAsia="Arial" w:hAnsi="Arial"/>
          <w:sz w:val="17"/>
          <w:szCs w:val="17"/>
          <w:color w:val="auto"/>
        </w:rPr>
        <w:t>$12.3 million, upon achieving certain pre-commercialization milestones, such as clinical trials and government approvals, and up to $12.5 million upon achieving certain product commercialization milestones. In addition, under one of the license agreements, we are obligated to pay up to $1.3 million with respect to each subsequent licensed product, if any, that is a new chemical entity. In addition, we will owe single-digit royalties on sales of commercial products developed using these licensed technologies, if any. We are obligated to pay to the licensors a percentage of fees received if and when we sublicense the technologies. As of December 31, 2017, we had not yet developed a commercial product using the licensed technologies and we had not entered into any sublicense agreements for the technologies.</w:t>
      </w:r>
    </w:p>
    <w:p>
      <w:pPr>
        <w:spacing w:after="0" w:line="1" w:lineRule="exact"/>
        <w:rPr>
          <w:rFonts w:ascii="Arial" w:cs="Arial" w:eastAsia="Arial" w:hAnsi="Arial"/>
          <w:sz w:val="16"/>
          <w:szCs w:val="16"/>
          <w:color w:val="auto"/>
        </w:rPr>
      </w:pPr>
    </w:p>
    <w:p>
      <w:pPr>
        <w:ind w:left="640" w:right="360" w:hanging="436"/>
        <w:spacing w:after="0" w:line="261"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enter into contracts in the normal course of business with clinical research organizations for clinical trials, nonclinical research studies and testing, manufacturing and other services and products for operating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58" w:lineRule="auto"/>
        <w:rPr>
          <w:sz w:val="20"/>
          <w:szCs w:val="20"/>
          <w:color w:val="auto"/>
        </w:rPr>
      </w:pPr>
      <w:r>
        <w:rPr>
          <w:rFonts w:ascii="Arial" w:cs="Arial" w:eastAsia="Arial" w:hAnsi="Arial"/>
          <w:sz w:val="18"/>
          <w:szCs w:val="18"/>
          <w:color w:val="auto"/>
        </w:rPr>
        <w:t>purposes. These contracts generally provide for termination upon notice, and therefore we believe that our non-cancelable obligations under these agreements are not material.</w:t>
      </w:r>
    </w:p>
    <w:p>
      <w:pPr>
        <w:spacing w:after="0" w:line="1" w:lineRule="exact"/>
        <w:rPr>
          <w:sz w:val="20"/>
          <w:szCs w:val="20"/>
          <w:color w:val="auto"/>
        </w:rPr>
      </w:pPr>
    </w:p>
    <w:p>
      <w:pPr>
        <w:ind w:left="640" w:hanging="43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commitments include principal, interest, and an 8% final payment of the amounts drawn under the Term Loan.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During the periods presented we did not have and we do not currently have, any off-balance sheet arrangements, as defined under Securities and Exchange Commission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Please read Note 2 to our consolidated financial statements included in Part II, Item 8, “Financial Statements and Supplementary Data,” of this Annual Report for a description of recent accounting pronouncements applicable to our business.</w:t>
      </w:r>
    </w:p>
    <w:p>
      <w:pPr>
        <w:spacing w:after="0" w:line="275" w:lineRule="exact"/>
        <w:rPr>
          <w:sz w:val="20"/>
          <w:szCs w:val="20"/>
          <w:color w:val="auto"/>
        </w:rPr>
      </w:pPr>
    </w:p>
    <w:p>
      <w:pPr>
        <w:ind w:left="200" w:right="378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 ABOUT MARKET RISK </w:t>
      </w:r>
      <w:r>
        <w:rPr>
          <w:rFonts w:ascii="Arial" w:cs="Arial" w:eastAsia="Arial" w:hAnsi="Arial"/>
          <w:sz w:val="18"/>
          <w:szCs w:val="18"/>
          <w:b w:val="1"/>
          <w:bCs w:val="1"/>
          <w:i w:val="1"/>
          <w:iCs w:val="1"/>
          <w:color w:val="auto"/>
        </w:rPr>
        <w:t>Interest Rate Fluctuation Risk</w:t>
      </w:r>
    </w:p>
    <w:p>
      <w:pPr>
        <w:ind w:left="200" w:right="80" w:firstLine="441"/>
        <w:spacing w:after="0" w:line="255" w:lineRule="auto"/>
        <w:rPr>
          <w:sz w:val="20"/>
          <w:szCs w:val="20"/>
          <w:color w:val="auto"/>
        </w:rPr>
      </w:pPr>
      <w:r>
        <w:rPr>
          <w:rFonts w:ascii="Arial" w:cs="Arial" w:eastAsia="Arial" w:hAnsi="Arial"/>
          <w:sz w:val="18"/>
          <w:szCs w:val="18"/>
          <w:color w:val="auto"/>
        </w:rPr>
        <w:t>Our cash, cash equivalents, and marketable securities as of December 31, 2017 consisted of cash, corporate bonds, commercial paper, certificates of deposits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December 31, 2017, the net fair value of our interest-sensitive financial instruments would have resulted in a hypothetical decline of $0.1 million.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Foreign currency transaction exposure results primarily from transactions with our contract research organizations, or CROs,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consolidated statement of operations. Net foreign currency transaction gains (losses) of $0.1 million, less than $(0.1) million and $(0.1) million were recorded for the years ended December 31, 2017, 2016 and 2015, respectively.</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Currently, our largest foreign currency exposures are those with respect to the Australian dollar. Relative to foreign currency exposures existing as of December 31, 2017, a 10% unfavorable movement in foreign currency exchange rates would expose us to an increased net loss. For the year ended December 31, 2017, we estimated that a 10% unfavorable movement in foreign currency exchange rates would have increased our net loss by less than $0.1 million. This amount is based on a sensitivity analysis performed on our financial position as of December 31, 2017. We have experienced and will continue to experience fluctuations in our net income (loss) as a result of revaluing our assets and liabilities that are not denominated in the functional currency of the entity that recorded the asset or liability. At this time, we do not hedge our foreign currency risk.</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FINANCIAL STATEMENTS AND SUPPLEMENTAL DATA</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9700" w:type="dxa"/>
            <w:vAlign w:val="bottom"/>
            <w:gridSpan w:val="7"/>
          </w:tcPr>
          <w:p>
            <w:pPr>
              <w:spacing w:after="0" w:line="190" w:lineRule="exact"/>
              <w:rPr>
                <w:rFonts w:ascii="Arial" w:cs="Arial" w:eastAsia="Arial" w:hAnsi="Arial"/>
                <w:sz w:val="18"/>
                <w:szCs w:val="18"/>
                <w:color w:val="0000EE"/>
              </w:rPr>
            </w:pPr>
            <w:hyperlink w:anchor="page85">
              <w:r>
                <w:rPr>
                  <w:rFonts w:ascii="Arial" w:cs="Arial" w:eastAsia="Arial" w:hAnsi="Arial"/>
                  <w:sz w:val="18"/>
                  <w:szCs w:val="18"/>
                  <w:color w:val="0000EE"/>
                </w:rPr>
                <w:t>Report of Independent Registered Public Accounting Firm</w:t>
              </w:r>
            </w:hyperlink>
          </w:p>
        </w:tc>
        <w:tc>
          <w:tcPr>
            <w:tcW w:w="1280" w:type="dxa"/>
            <w:vAlign w:val="bottom"/>
          </w:tcPr>
          <w:p>
            <w:pPr>
              <w:jc w:val="right"/>
              <w:spacing w:after="0" w:line="190" w:lineRule="exact"/>
              <w:rPr>
                <w:sz w:val="20"/>
                <w:szCs w:val="20"/>
                <w:color w:val="auto"/>
              </w:rPr>
            </w:pPr>
            <w:r>
              <w:rPr>
                <w:rFonts w:ascii="Arial" w:cs="Arial" w:eastAsia="Arial" w:hAnsi="Arial"/>
                <w:sz w:val="18"/>
                <w:szCs w:val="18"/>
                <w:color w:val="auto"/>
              </w:rPr>
              <w:t>85</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Consolidated Balance Sheets as of December 31, 2017 and 2016</w:t>
              </w:r>
            </w:hyperlink>
          </w:p>
        </w:tc>
        <w:tc>
          <w:tcPr>
            <w:tcW w:w="504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9700" w:type="dxa"/>
            <w:vAlign w:val="bottom"/>
            <w:gridSpan w:val="7"/>
          </w:tcPr>
          <w:p>
            <w:pPr>
              <w:spacing w:after="0" w:line="196"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Consolidated Statements of Operations and Comprehensive Loss for the years ended December 31, 2017, 2016 and 2015</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872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Consolidated Statements of Changes in Stockholders’ Equity for the years ended December 31, 2017, 2016 and 2015</w:t>
              </w:r>
            </w:hyperlink>
          </w:p>
        </w:tc>
        <w:tc>
          <w:tcPr>
            <w:tcW w:w="9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6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Cash Flows for the years ended December 31, 2017, 2016 and 2015</w:t>
              </w:r>
            </w:hyperlink>
          </w:p>
        </w:tc>
        <w:tc>
          <w:tcPr>
            <w:tcW w:w="1480" w:type="dxa"/>
            <w:vAlign w:val="bottom"/>
            <w:tcBorders>
              <w:top w:val="single" w:sz="8" w:color="0000EE"/>
            </w:tcBorders>
          </w:tcPr>
          <w:p>
            <w:pPr>
              <w:spacing w:after="0"/>
              <w:rPr>
                <w:sz w:val="17"/>
                <w:szCs w:val="17"/>
                <w:color w:val="auto"/>
              </w:rPr>
            </w:pPr>
          </w:p>
        </w:tc>
        <w:tc>
          <w:tcPr>
            <w:tcW w:w="126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Notes to Consolidated Financial Statements</w:t>
              </w:r>
            </w:hyperlink>
          </w:p>
        </w:tc>
        <w:tc>
          <w:tcPr>
            <w:tcW w:w="6540" w:type="dxa"/>
            <w:vAlign w:val="bottom"/>
            <w:gridSpan w:val="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385"/>
        </w:trPr>
        <w:tc>
          <w:tcPr>
            <w:tcW w:w="6960" w:type="dxa"/>
            <w:vAlign w:val="bottom"/>
            <w:gridSpan w:val="4"/>
          </w:tcPr>
          <w:p>
            <w:pPr>
              <w:ind w:left="5420"/>
              <w:spacing w:after="0"/>
              <w:rPr>
                <w:sz w:val="20"/>
                <w:szCs w:val="20"/>
                <w:color w:val="auto"/>
              </w:rPr>
            </w:pPr>
            <w:r>
              <w:rPr>
                <w:rFonts w:ascii="Arial" w:cs="Arial" w:eastAsia="Arial" w:hAnsi="Arial"/>
                <w:sz w:val="18"/>
                <w:szCs w:val="18"/>
                <w:color w:val="auto"/>
              </w:rPr>
              <w:t>84</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Zafgen, Inc.</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We have audited the accompanying consolidated balance sheets of Zafgen Inc., and its subsidiaries as of December 31, 2017 and 2016, and the related consolidated statements of operations and comprehensive loss, of changes in stockholders’ equity and of cash flows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200" w:right="3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jc w:val="both"/>
        <w:ind w:left="200" w:right="1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will require additional financing to fund future operations and debt payments. Management’s plans in regard to this matter are described in Note 1.</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9, 2018</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2013.</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61,275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96,842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incentive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104,925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130,899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105,510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131,621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current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long-term</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Preferred stock; $0.001 par value per share; 5,000,000 shares authorized as of December 31, 2017 and 2016; no</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issued and outstanding as of and December 31, 2017 and 2016</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68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$0.001 par value per share; 115,000,000 shares authorized as of December 31, 2017 and 2016;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94"/>
              </w:rPr>
              <w:t>27,489,457 and 27,332,551 shares issued and outstanding as of December 31, 2017 and 2016, respectively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367,825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359,329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(289,577)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(237,549)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30"/>
        </w:trPr>
        <w:tc>
          <w:tcPr>
            <w:tcW w:w="20" w:type="dxa"/>
            <w:vAlign w:val="bottom"/>
          </w:tcPr>
          <w:p>
            <w:pPr>
              <w:spacing w:after="0"/>
              <w:rPr>
                <w:sz w:val="20"/>
                <w:szCs w:val="20"/>
                <w:color w:val="auto"/>
              </w:rPr>
            </w:pPr>
          </w:p>
        </w:tc>
        <w:tc>
          <w:tcPr>
            <w:tcW w:w="868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121,727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105,510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131,621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8"/>
              </w:rPr>
              <w:t>Year Ended 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18,289</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(52,028)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(57,878)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27,433,239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27,297,934</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26,756,079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(52,028)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(57,878)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gain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Total comprehensive loss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(57,751</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(74,458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gridSpan w:val="3"/>
            <w:vMerge w:val="restart"/>
          </w:tcPr>
          <w:p>
            <w:pPr>
              <w:ind w:left="420"/>
              <w:spacing w:after="0" w:line="113" w:lineRule="exact"/>
              <w:rPr>
                <w:sz w:val="20"/>
                <w:szCs w:val="20"/>
                <w:color w:val="auto"/>
              </w:rPr>
            </w:pPr>
            <w:r>
              <w:rPr>
                <w:rFonts w:ascii="Arial" w:cs="Arial" w:eastAsia="Arial" w:hAnsi="Arial"/>
                <w:sz w:val="13"/>
                <w:szCs w:val="13"/>
                <w:b w:val="1"/>
                <w:bCs w:val="1"/>
                <w:color w:val="auto"/>
              </w:rPr>
              <w:t>Additional</w:t>
            </w: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restart"/>
          </w:tcPr>
          <w:p>
            <w:pPr>
              <w:jc w:val="center"/>
              <w:ind w:right="340"/>
              <w:spacing w:after="0" w:line="113"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line="11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w:t>
            </w:r>
          </w:p>
        </w:tc>
        <w:tc>
          <w:tcPr>
            <w:tcW w:w="1080" w:type="dxa"/>
            <w:vAlign w:val="bottom"/>
            <w:gridSpan w:val="3"/>
            <w:vMerge w:val="continue"/>
          </w:tcPr>
          <w:p>
            <w:pPr>
              <w:spacing w:after="0"/>
              <w:rPr>
                <w:sz w:val="5"/>
                <w:szCs w:val="5"/>
                <w:color w:val="auto"/>
              </w:rPr>
            </w:pPr>
          </w:p>
        </w:tc>
        <w:tc>
          <w:tcPr>
            <w:tcW w:w="150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8"/>
              </w:rPr>
              <w:t>Paid-in</w:t>
            </w:r>
          </w:p>
        </w:tc>
        <w:tc>
          <w:tcPr>
            <w:tcW w:w="1500" w:type="dxa"/>
            <w:vAlign w:val="bottom"/>
            <w:gridSpan w:val="4"/>
            <w:vMerge w:val="continue"/>
          </w:tcPr>
          <w:p>
            <w:pPr>
              <w:spacing w:after="0"/>
              <w:rPr>
                <w:sz w:val="12"/>
                <w:szCs w:val="12"/>
                <w:color w:val="auto"/>
              </w:rPr>
            </w:pPr>
          </w:p>
        </w:tc>
        <w:tc>
          <w:tcPr>
            <w:tcW w:w="14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6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Capital</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CCEEFF"/>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2014</w:t>
            </w:r>
          </w:p>
        </w:tc>
        <w:tc>
          <w:tcPr>
            <w:tcW w:w="3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22,879,160</w:t>
            </w:r>
          </w:p>
        </w:tc>
        <w:tc>
          <w:tcPr>
            <w:tcW w:w="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209,838</w:t>
            </w: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(105,385)</w:t>
            </w: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104,441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Issuance of common stock</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3,942,200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129,567</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129,571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40" w:type="dxa"/>
            <w:vAlign w:val="bottom"/>
            <w:tcBorders>
              <w:right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 stock options and</w:t>
            </w: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4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employee stock purchase plan</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418,241</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Issuance of restricted stock units</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2,902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8,582</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36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(74,286)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(74,286)</w:t>
            </w:r>
          </w:p>
        </w:tc>
        <w:tc>
          <w:tcPr>
            <w:tcW w:w="0" w:type="dxa"/>
            <w:vAlign w:val="bottom"/>
          </w:tcPr>
          <w:p>
            <w:pPr>
              <w:spacing w:after="0"/>
              <w:rPr>
                <w:sz w:val="1"/>
                <w:szCs w:val="1"/>
                <w:color w:val="auto"/>
              </w:rPr>
            </w:pPr>
          </w:p>
        </w:tc>
      </w:tr>
      <w:tr>
        <w:trPr>
          <w:trHeight w:val="156"/>
        </w:trPr>
        <w:tc>
          <w:tcPr>
            <w:tcW w:w="4060" w:type="dxa"/>
            <w:vAlign w:val="bottom"/>
            <w:tcBorders>
              <w:right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2015</w:t>
            </w:r>
          </w:p>
        </w:tc>
        <w:tc>
          <w:tcPr>
            <w:tcW w:w="36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27,242,503</w:t>
            </w: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348,961</w:t>
            </w: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(179,671)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169,110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40" w:type="dxa"/>
            <w:vAlign w:val="bottom"/>
            <w:tcBorders>
              <w:right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 stock options and</w:t>
            </w: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4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employee stock purchase plan</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72,663</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Issuance of common stock</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5,564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units</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11,821</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10,113</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Unrealized gain on marketable securities</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85"/>
              </w:rPr>
              <w:t>127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(57,878)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December 31, 2016</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27,332,551</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359,329</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(237,549)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121,727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40" w:type="dxa"/>
            <w:vAlign w:val="bottom"/>
            <w:tcBorders>
              <w:right w:val="single" w:sz="8" w:color="auto"/>
            </w:tcBorders>
          </w:tcPr>
          <w:p>
            <w:pPr>
              <w:spacing w:after="0" w:line="130" w:lineRule="exact"/>
              <w:rPr>
                <w:sz w:val="20"/>
                <w:szCs w:val="20"/>
                <w:color w:val="auto"/>
              </w:rPr>
            </w:pPr>
            <w:r>
              <w:rPr>
                <w:rFonts w:ascii="Arial" w:cs="Arial" w:eastAsia="Arial" w:hAnsi="Arial"/>
                <w:sz w:val="14"/>
                <w:szCs w:val="14"/>
                <w:color w:val="auto"/>
              </w:rPr>
              <w:t>Issuance of common stock upon exercise of stock options and</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employee stock purchase plan</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136,992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195</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units</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19,914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8,301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Unrealized gain on marketable securities</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(52,028)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December 31, 2017</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27,489,457</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367,825</w:t>
            </w:r>
          </w:p>
        </w:tc>
        <w:tc>
          <w:tcPr>
            <w:tcW w:w="5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(289,577)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183"/>
        </w:trPr>
        <w:tc>
          <w:tcPr>
            <w:tcW w:w="20" w:type="dxa"/>
            <w:vAlign w:val="bottom"/>
          </w:tcPr>
          <w:p>
            <w:pPr>
              <w:spacing w:after="0"/>
              <w:rPr>
                <w:sz w:val="15"/>
                <w:szCs w:val="15"/>
                <w:color w:val="auto"/>
              </w:rPr>
            </w:pPr>
          </w:p>
        </w:tc>
        <w:tc>
          <w:tcPr>
            <w:tcW w:w="77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660"/>
              <w:spacing w:after="0"/>
              <w:rPr>
                <w:sz w:val="20"/>
                <w:szCs w:val="20"/>
                <w:color w:val="auto"/>
              </w:rPr>
            </w:pPr>
            <w:r>
              <w:rPr>
                <w:rFonts w:ascii="Arial" w:cs="Arial" w:eastAsia="Arial" w:hAnsi="Arial"/>
                <w:sz w:val="17"/>
                <w:szCs w:val="17"/>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(52,028)</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(57,878)</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(74,286)</w:t>
            </w: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020"/>
              <w:spacing w:after="0"/>
              <w:rPr>
                <w:sz w:val="20"/>
                <w:szCs w:val="20"/>
                <w:color w:val="auto"/>
              </w:rPr>
            </w:pPr>
            <w:r>
              <w:rPr>
                <w:rFonts w:ascii="Arial" w:cs="Arial" w:eastAsia="Arial" w:hAnsi="Arial"/>
                <w:sz w:val="17"/>
                <w:szCs w:val="17"/>
                <w:color w:val="auto"/>
              </w:rPr>
              <w:t>Stock-based compensation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8,301</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10,113</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8,582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Non-cash interest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020"/>
              <w:spacing w:after="0"/>
              <w:rPr>
                <w:sz w:val="20"/>
                <w:szCs w:val="20"/>
                <w:color w:val="auto"/>
              </w:rPr>
            </w:pPr>
            <w:r>
              <w:rPr>
                <w:rFonts w:ascii="Arial" w:cs="Arial" w:eastAsia="Arial" w:hAnsi="Arial"/>
                <w:sz w:val="17"/>
                <w:szCs w:val="17"/>
                <w:color w:val="auto"/>
              </w:rPr>
              <w:t>Depreciation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188</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212</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Loss on disposal of research and development equipment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7700" w:type="dxa"/>
            <w:vAlign w:val="bottom"/>
          </w:tcPr>
          <w:p>
            <w:pPr>
              <w:ind w:left="1020"/>
              <w:spacing w:after="0"/>
              <w:rPr>
                <w:sz w:val="20"/>
                <w:szCs w:val="20"/>
                <w:color w:val="auto"/>
              </w:rPr>
            </w:pPr>
            <w:r>
              <w:rPr>
                <w:rFonts w:ascii="Arial" w:cs="Arial" w:eastAsia="Arial" w:hAnsi="Arial"/>
                <w:sz w:val="17"/>
                <w:szCs w:val="17"/>
                <w:color w:val="auto"/>
              </w:rPr>
              <w:t>Unrealized foreign currency transaction (gains) 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Premium on marketable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(359)</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(340)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(2,036)</w:t>
            </w:r>
          </w:p>
        </w:tc>
      </w:tr>
      <w:tr>
        <w:trPr>
          <w:trHeight w:val="203"/>
        </w:trPr>
        <w:tc>
          <w:tcPr>
            <w:tcW w:w="20" w:type="dxa"/>
            <w:vAlign w:val="bottom"/>
          </w:tcPr>
          <w:p>
            <w:pPr>
              <w:spacing w:after="0"/>
              <w:rPr>
                <w:sz w:val="17"/>
                <w:szCs w:val="17"/>
                <w:color w:val="auto"/>
              </w:rPr>
            </w:pPr>
          </w:p>
        </w:tc>
        <w:tc>
          <w:tcPr>
            <w:tcW w:w="7700" w:type="dxa"/>
            <w:vAlign w:val="bottom"/>
          </w:tcPr>
          <w:p>
            <w:pPr>
              <w:ind w:left="1020"/>
              <w:spacing w:after="0"/>
              <w:rPr>
                <w:sz w:val="20"/>
                <w:szCs w:val="20"/>
                <w:color w:val="auto"/>
              </w:rPr>
            </w:pPr>
            <w:r>
              <w:rPr>
                <w:rFonts w:ascii="Arial" w:cs="Arial" w:eastAsia="Arial" w:hAnsi="Arial"/>
                <w:sz w:val="17"/>
                <w:szCs w:val="17"/>
                <w:color w:val="auto"/>
              </w:rPr>
              <w:t>Amortization of premium on marketable securities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246</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1,037</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1,243</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Changes in operating assets and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360"/>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413</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(363)</w:t>
            </w: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Tax incentive receivable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(1,014)</w:t>
            </w:r>
          </w:p>
        </w:tc>
      </w:tr>
      <w:tr>
        <w:trPr>
          <w:trHeight w:val="203"/>
        </w:trPr>
        <w:tc>
          <w:tcPr>
            <w:tcW w:w="20" w:type="dxa"/>
            <w:vAlign w:val="bottom"/>
          </w:tcPr>
          <w:p>
            <w:pPr>
              <w:spacing w:after="0"/>
              <w:rPr>
                <w:sz w:val="17"/>
                <w:szCs w:val="17"/>
                <w:color w:val="auto"/>
              </w:rPr>
            </w:pPr>
          </w:p>
        </w:tc>
        <w:tc>
          <w:tcPr>
            <w:tcW w:w="7700" w:type="dxa"/>
            <w:vAlign w:val="bottom"/>
          </w:tcPr>
          <w:p>
            <w:pPr>
              <w:ind w:left="1360"/>
              <w:spacing w:after="0"/>
              <w:rPr>
                <w:sz w:val="20"/>
                <w:szCs w:val="20"/>
                <w:color w:val="auto"/>
              </w:rPr>
            </w:pPr>
            <w:r>
              <w:rPr>
                <w:rFonts w:ascii="Arial" w:cs="Arial" w:eastAsia="Arial" w:hAnsi="Arial"/>
                <w:sz w:val="17"/>
                <w:szCs w:val="17"/>
                <w:color w:val="auto"/>
              </w:rPr>
              <w:t>Accounts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448</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(4,625)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4,914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Accrued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(2,254)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3,192</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7700" w:type="dxa"/>
            <w:vAlign w:val="bottom"/>
          </w:tcPr>
          <w:p>
            <w:pPr>
              <w:ind w:left="660"/>
              <w:spacing w:after="0"/>
              <w:rPr>
                <w:sz w:val="20"/>
                <w:szCs w:val="20"/>
                <w:color w:val="auto"/>
              </w:rPr>
            </w:pPr>
            <w:r>
              <w:rPr>
                <w:rFonts w:ascii="Arial" w:cs="Arial" w:eastAsia="Arial" w:hAnsi="Arial"/>
                <w:sz w:val="17"/>
                <w:szCs w:val="17"/>
                <w:color w:val="auto"/>
              </w:rPr>
              <w:t>Net cash used in operating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(43,784)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(51,975)</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(59,554)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660"/>
              <w:spacing w:after="0"/>
              <w:rPr>
                <w:sz w:val="20"/>
                <w:szCs w:val="20"/>
                <w:color w:val="auto"/>
              </w:rPr>
            </w:pPr>
            <w:r>
              <w:rPr>
                <w:rFonts w:ascii="Arial" w:cs="Arial" w:eastAsia="Arial" w:hAnsi="Arial"/>
                <w:sz w:val="17"/>
                <w:szCs w:val="17"/>
                <w:color w:val="auto"/>
              </w:rPr>
              <w:t>Proceeds from sales and maturities of marketable securities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150,213</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188,600</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195,987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Purchases of marketable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7"/>
              </w:rPr>
              <w:t>(114,511)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0"/>
              </w:rPr>
              <w:t>(136,528)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(287,491)</w:t>
            </w:r>
          </w:p>
        </w:tc>
      </w:tr>
      <w:tr>
        <w:trPr>
          <w:trHeight w:val="203"/>
        </w:trPr>
        <w:tc>
          <w:tcPr>
            <w:tcW w:w="20" w:type="dxa"/>
            <w:vAlign w:val="bottom"/>
          </w:tcPr>
          <w:p>
            <w:pPr>
              <w:spacing w:after="0"/>
              <w:rPr>
                <w:sz w:val="17"/>
                <w:szCs w:val="17"/>
                <w:color w:val="auto"/>
              </w:rPr>
            </w:pPr>
          </w:p>
        </w:tc>
        <w:tc>
          <w:tcPr>
            <w:tcW w:w="7700" w:type="dxa"/>
            <w:vAlign w:val="bottom"/>
          </w:tcPr>
          <w:p>
            <w:pPr>
              <w:ind w:left="660"/>
              <w:spacing w:after="0"/>
              <w:rPr>
                <w:sz w:val="20"/>
                <w:szCs w:val="20"/>
                <w:color w:val="auto"/>
              </w:rPr>
            </w:pPr>
            <w:r>
              <w:rPr>
                <w:rFonts w:ascii="Arial" w:cs="Arial" w:eastAsia="Arial" w:hAnsi="Arial"/>
                <w:sz w:val="17"/>
                <w:szCs w:val="17"/>
                <w:color w:val="auto"/>
              </w:rPr>
              <w:t>Purchases of property and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(55)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(660)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(595)</w:t>
            </w: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Deposits for leased property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r>
      <w:tr>
        <w:trPr>
          <w:trHeight w:val="217"/>
        </w:trPr>
        <w:tc>
          <w:tcPr>
            <w:tcW w:w="20" w:type="dxa"/>
            <w:vAlign w:val="bottom"/>
          </w:tcPr>
          <w:p>
            <w:pPr>
              <w:spacing w:after="0"/>
              <w:rPr>
                <w:sz w:val="18"/>
                <w:szCs w:val="18"/>
                <w:color w:val="auto"/>
              </w:rPr>
            </w:pPr>
          </w:p>
        </w:tc>
        <w:tc>
          <w:tcPr>
            <w:tcW w:w="7700" w:type="dxa"/>
            <w:vAlign w:val="bottom"/>
          </w:tcPr>
          <w:p>
            <w:pPr>
              <w:ind w:left="660"/>
              <w:spacing w:after="0"/>
              <w:rPr>
                <w:sz w:val="20"/>
                <w:szCs w:val="20"/>
                <w:color w:val="auto"/>
              </w:rPr>
            </w:pPr>
            <w:r>
              <w:rPr>
                <w:rFonts w:ascii="Arial" w:cs="Arial" w:eastAsia="Arial" w:hAnsi="Arial"/>
                <w:sz w:val="17"/>
                <w:szCs w:val="17"/>
                <w:color w:val="auto"/>
              </w:rPr>
              <w:t>Net cash provided by (used in) investing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35,647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51,447</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(92,118)</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660"/>
              <w:spacing w:after="0"/>
              <w:rPr>
                <w:sz w:val="20"/>
                <w:szCs w:val="20"/>
                <w:color w:val="auto"/>
              </w:rPr>
            </w:pPr>
            <w:r>
              <w:rPr>
                <w:rFonts w:ascii="Arial" w:cs="Arial" w:eastAsia="Arial" w:hAnsi="Arial"/>
                <w:sz w:val="17"/>
                <w:szCs w:val="17"/>
                <w:color w:val="auto"/>
              </w:rPr>
              <w:t>Proceeds from issuance of notes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20,000</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Repayments of notes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(3,633)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(2,935)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(1,381)</w:t>
            </w:r>
          </w:p>
        </w:tc>
      </w:tr>
      <w:tr>
        <w:trPr>
          <w:trHeight w:val="203"/>
        </w:trPr>
        <w:tc>
          <w:tcPr>
            <w:tcW w:w="20" w:type="dxa"/>
            <w:vAlign w:val="bottom"/>
          </w:tcPr>
          <w:p>
            <w:pPr>
              <w:spacing w:after="0"/>
              <w:rPr>
                <w:sz w:val="17"/>
                <w:szCs w:val="17"/>
                <w:color w:val="auto"/>
              </w:rPr>
            </w:pPr>
          </w:p>
        </w:tc>
        <w:tc>
          <w:tcPr>
            <w:tcW w:w="7700" w:type="dxa"/>
            <w:vAlign w:val="bottom"/>
          </w:tcPr>
          <w:p>
            <w:pPr>
              <w:ind w:left="660"/>
              <w:spacing w:after="0"/>
              <w:rPr>
                <w:sz w:val="20"/>
                <w:szCs w:val="20"/>
                <w:color w:val="auto"/>
              </w:rPr>
            </w:pPr>
            <w:r>
              <w:rPr>
                <w:rFonts w:ascii="Arial" w:cs="Arial" w:eastAsia="Arial" w:hAnsi="Arial"/>
                <w:sz w:val="17"/>
                <w:szCs w:val="17"/>
                <w:color w:val="auto"/>
              </w:rPr>
              <w:t>Proceeds from exercise of common stock options and employee stock purchase plan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195</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220</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974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Proceeds from public offerings, net of commissions and underwriting discounts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130,044</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660"/>
              <w:spacing w:after="0"/>
              <w:rPr>
                <w:sz w:val="20"/>
                <w:szCs w:val="20"/>
                <w:color w:val="auto"/>
              </w:rPr>
            </w:pPr>
            <w:r>
              <w:rPr>
                <w:rFonts w:ascii="Arial" w:cs="Arial" w:eastAsia="Arial" w:hAnsi="Arial"/>
                <w:sz w:val="17"/>
                <w:szCs w:val="17"/>
                <w:color w:val="auto"/>
              </w:rPr>
              <w:t>Payments of public offering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(473)</w:t>
            </w: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provided by (used in)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16,562</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(2,715)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129,164</w:t>
            </w:r>
          </w:p>
        </w:tc>
        <w:tc>
          <w:tcPr>
            <w:tcW w:w="120" w:type="dxa"/>
            <w:vAlign w:val="bottom"/>
            <w:shd w:val="clear" w:color="auto" w:fill="CCEEFF"/>
          </w:tcPr>
          <w:p>
            <w:pPr>
              <w:spacing w:after="0"/>
              <w:rPr>
                <w:sz w:val="17"/>
                <w:szCs w:val="17"/>
                <w:color w:val="auto"/>
              </w:rPr>
            </w:pPr>
          </w:p>
        </w:tc>
      </w:tr>
      <w:tr>
        <w:trPr>
          <w:trHeight w:val="210"/>
        </w:trPr>
        <w:tc>
          <w:tcPr>
            <w:tcW w:w="7720" w:type="dxa"/>
            <w:vAlign w:val="bottom"/>
            <w:gridSpan w:val="2"/>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8,425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(3,243)</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(22,508)</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32,352</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35,595</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58,103</w:t>
            </w:r>
          </w:p>
        </w:tc>
        <w:tc>
          <w:tcPr>
            <w:tcW w:w="120" w:type="dxa"/>
            <w:vAlign w:val="bottom"/>
            <w:shd w:val="clear" w:color="auto" w:fill="CCEEFF"/>
          </w:tcPr>
          <w:p>
            <w:pPr>
              <w:spacing w:after="0"/>
              <w:rPr>
                <w:sz w:val="17"/>
                <w:szCs w:val="17"/>
                <w:color w:val="auto"/>
              </w:rPr>
            </w:pPr>
          </w:p>
        </w:tc>
      </w:tr>
      <w:tr>
        <w:trPr>
          <w:trHeight w:val="210"/>
        </w:trPr>
        <w:tc>
          <w:tcPr>
            <w:tcW w:w="7720" w:type="dxa"/>
            <w:vAlign w:val="bottom"/>
            <w:gridSpan w:val="2"/>
          </w:tcPr>
          <w:p>
            <w:pPr>
              <w:spacing w:after="0"/>
              <w:rPr>
                <w:sz w:val="20"/>
                <w:szCs w:val="20"/>
                <w:color w:val="auto"/>
              </w:rPr>
            </w:pPr>
            <w:r>
              <w:rPr>
                <w:rFonts w:ascii="Arial" w:cs="Arial" w:eastAsia="Arial" w:hAnsi="Arial"/>
                <w:sz w:val="17"/>
                <w:szCs w:val="17"/>
                <w:color w:val="auto"/>
              </w:rPr>
              <w:t>Cash and cash equivalents at end of period</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40,777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32,352</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35,595</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320"/>
              <w:spacing w:after="0"/>
              <w:rPr>
                <w:sz w:val="20"/>
                <w:szCs w:val="20"/>
                <w:color w:val="auto"/>
              </w:rPr>
            </w:pPr>
            <w:r>
              <w:rPr>
                <w:rFonts w:ascii="Arial" w:cs="Arial" w:eastAsia="Arial" w:hAnsi="Arial"/>
                <w:sz w:val="17"/>
                <w:szCs w:val="17"/>
                <w:color w:val="auto"/>
              </w:rPr>
              <w:t>Property and equipment included in accounts payable</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320"/>
              <w:spacing w:after="0"/>
              <w:rPr>
                <w:sz w:val="20"/>
                <w:szCs w:val="20"/>
                <w:color w:val="auto"/>
              </w:rPr>
            </w:pPr>
            <w:r>
              <w:rPr>
                <w:rFonts w:ascii="Arial" w:cs="Arial" w:eastAsia="Arial" w:hAnsi="Arial"/>
                <w:sz w:val="17"/>
                <w:szCs w:val="17"/>
                <w:color w:val="auto"/>
              </w:rPr>
              <w:t>Cash paid for interest</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141</w:t>
            </w:r>
          </w:p>
        </w:tc>
        <w:tc>
          <w:tcPr>
            <w:tcW w:w="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388</w:t>
            </w:r>
          </w:p>
        </w:tc>
        <w:tc>
          <w:tcPr>
            <w:tcW w:w="4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584</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Zafgen, Inc., or the Company, was incorporated on November 22, 2005 under the laws of the State of Delaware. The Company is a clinical-stage biopharmaceutical company leveraging its proprietary knowledge of the methionine aminopeptidase 2 (“MetAP2”) pathway to develop novel therapies for patients affected by a range of complex metabolic diseases. Zafgen has pioneered the study of MetAP2 inhibitors in both common and rare metabolic disorders, and its current disease areas of focus are type 2 diabetes, Prader-Willi syndrome (“PWS”) and liver diseases. The company’s lead product candidate is ZGN-1061, a MetAP2 inhibitor in Phase 2 clinical development with unique properties that maximize impact on metabolic parameters relevant to the treatment of type 2 diabetes and other related metabolic disorders. In January 2018, the Company announced advancement of its highly optimized MetAP2 development candidate ZGN-1258, and in the first quarter of 2018, initiated investigational new drug application (“IND”) enabling nonclinical efforts for evaluation in the treatment of people affected by PWS.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nonclinical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Company’s product candidates are all in the research and development stage. There can be no assurance that the Company’s research and development will be successfully completed, that adequate protection for the Company’s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Company has incurred losses and negative cash flows from operations since its inception. As of December 31, 2017, the Company had an accumulated deficit of $289.6 million. From its inception through December 31, 2017, the Company received net proceeds of $333.3 million from the sales of redeemable convertible preferred stock, the issuance of convertible promissory notes, the proceeds from its initial public offering (“IPO”) in June 2014 and its follow-on offering in January 2015. As disclosed in Note 6 to the consolidated financial statements, the Company has a term loan with an aggregate principal balance of $20.0 million as of December 31, 2017. The loan agreement requires that the Company maintain certain minimum liquidity at all times, which as of December 31, 2017, was approximately $21.0 million. If the minimum liquidity covenant is not met, the Company may be required to repay the loans prior to scheduled maturity dates. Until such time, if ever, as the Company can generate substantial product revenue, the Company expects to finance its cash needs through a combination of equity offerings, debt financings, collaborations, strategic alliances, licensing arrangements and other sources of funding.</w:t>
      </w:r>
    </w:p>
    <w:p>
      <w:pPr>
        <w:spacing w:after="0" w:line="182"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Based on its current operating plans, the Company believes its cash, cash equivalents and marketable securities of $102.1 million as of December 31, 2017 will be sufficient to fund its anticipated level of operations, capital expenditures and satisfy debt repayments for a period of at least one year from the issuance date of this Annual Report. If the Company is unable to raise additional funds through equity or debt financings,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The consolidated financial statements include the accounts of the Company and its wholly owned subsidiaries Zafgen Securities Corporation, Zafgen Australia Pty Limited, and Zafgen Animal Health, LLC. All intercompany balances and transactions have been eliminated.</w:t>
      </w:r>
    </w:p>
    <w:p>
      <w:pPr>
        <w:spacing w:after="0" w:line="124"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w:t>
      </w:r>
    </w:p>
    <w:p>
      <w:pPr>
        <w:spacing w:after="0" w:line="275" w:lineRule="exact"/>
        <w:rPr>
          <w:sz w:val="20"/>
          <w:szCs w:val="20"/>
          <w:color w:val="auto"/>
        </w:rPr>
      </w:pPr>
    </w:p>
    <w:p>
      <w:pPr>
        <w:ind w:left="200" w:right="7460" w:firstLine="4"/>
        <w:spacing w:after="0" w:line="378" w:lineRule="auto"/>
        <w:tabs>
          <w:tab w:leader="none" w:pos="3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left="200" w:firstLine="441"/>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as of the date of the consolidated financial statements, and the reported amounts of expenses during the reporting periods. Significant estimates and assumptions reflected in these consolidated financial statements include, but are not limited to, the accrual of research and development expenses and the valuation of stock-based awards. Estimates are periodically reviewed in light of changes in circumstances, facts and experience. Actual results could differ from the Company’s estimates.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Cash equivalents, which consist of money market funds, U.S. government securities, corporate bonds, and commercial paper, are stated at fair value.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jc w:val="both"/>
        <w:ind w:left="200" w:right="600" w:firstLine="441"/>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cash equivalents and marketable securities. The Company has all cash, cash equivalents and marketable securities balances at three accredited financial institutions in amounts that exceed federally insured limits. The Company does not believe that it is subject to unusual credit risk beyond the normal credit risk associated with commercial banking relationships.</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Marketable securities consist of investments with original maturities greater than ninety days.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of investments as available-for-sale. Accordingly, these investments are recorded at fair value, which is based on quoted market prices. Unrealized gains and losses are reported as a component of accumulated other comprehensive income (loss) in stockholders’ equity. Realized gains and losses and declines in value judged to be other than temporary are included as a component of other income (expense), net based on the specific identification method. When determining whether a decline in value is other than temporary, the Company considers various factors, including whether the Company has the intent to sell the security, and whether it is more likely than not that the Company will be required to sell the security prior to recovery of its amortized cost basis. Fair value is determined based on quoted market prices.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Company capitalizes certain legal, accounting and other third-party fees that are directly associated with in-process equity financings as other assets until such financings are consummated. After consummation of the equity financing, these costs are recorded in stockholders’ equity as a reduction of additional paid-in capital generated as a result of the offering or as a reduction to the carrying value of preferred stock issued.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a five-year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Research and development costs are expensed as incurred. Included in research and development expenses are wages, stock-based compensation and benefits of employees, third-party license fees and milestones and other operational costs related to the Company’s research and development activities, including facility-related expenses and external costs of outside vendors engaged to conduct nonclinical studies, manufacturing activities, and clinical trials. The Company records research and development expenses net of any research and development tax incentives the Company is entitled to receive from government authorities.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Company has entered into various research and development contracts with research institutions and other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24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2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generally the vesting period of the respective award. Typically, the Company issues awards with only service-based and market-based vesting conditions and records the expense for these awards using the straight-line method.</w:t>
      </w:r>
    </w:p>
    <w:p>
      <w:pPr>
        <w:spacing w:after="0" w:line="18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For stock-based awards granted to non-employee consultants, compensation expense is recognized over the period during which services are rendered by such consultants until completed. At the end of each financial reporting period prior to completion of the service, the fair value of these awards is remeasured using the then-current fair value of the Company’s common shares and updated assumption inputs in the Black-Scholes option-pricing model.</w:t>
      </w:r>
    </w:p>
    <w:p>
      <w:pPr>
        <w:spacing w:after="0" w:line="187"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9"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 is a biopharmaceutical company dedicated to significantly improving the health and well-being of patients affected by both rare and prevalent metabolic diseases including type 2 diabetes, PWS and potentially other metabolically related disorders. No revenue has been generated since inception, and all tangible assets are held in the United States.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Comprehensive loss includes net loss as well as other changes in stockholders’ equity that result from transactions and economic events other than those with stockholders. For the years ended December 31, 2017, 2016 and 2015, the Company’s only element of other comprehensive loss was unrealized gain or (loss) on marketable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Upon the closing of the Company’s IPO in June 2014, all of the Company’s outstanding redeemable convertible preferred shares were converted into shares of common stock. Prior to this conversion, the Company followed the two-class method when computing net income (loss) per share as the Company had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 The Company’s redeemable convertible preferred shares contractually entitled the holders of such shares to participate in dividends, but did not contractually require the holders of such shares to participate in losses of the Company. Accordingly, the two-class method did not apply for periods in which the Company reported a net loss or a net loss attributable to common stockholders resulting from dividends or accretion related to its redeemable convertible preferred shares.</w:t>
      </w:r>
    </w:p>
    <w:p>
      <w:pPr>
        <w:spacing w:after="0" w:line="16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Basic net income (loss) per share is computed by dividing the net income (loss) attributable to common stockholders by the weighted average number of common shares outstanding for the period. Diluted net income (loss) per share attributable to common stockholders is computed by dividing the diluted net income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May 2014, the Financial Accounting Standards Board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Arial" w:cs="Arial" w:eastAsia="Arial" w:hAnsi="Arial"/>
          <w:sz w:val="17"/>
          <w:szCs w:val="17"/>
          <w:i w:val="1"/>
          <w:iCs w:val="1"/>
          <w:color w:val="auto"/>
        </w:rPr>
        <w:t>, Revenue from Contract with Customers: Principal versus Agent Considerations</w:t>
      </w:r>
      <w:r>
        <w:rPr>
          <w:rFonts w:ascii="Arial" w:cs="Arial" w:eastAsia="Arial" w:hAnsi="Arial"/>
          <w:sz w:val="17"/>
          <w:szCs w:val="17"/>
          <w:color w:val="auto"/>
        </w:rPr>
        <w:t xml:space="preserve">, ASU 2016-10, </w:t>
      </w:r>
      <w:r>
        <w:rPr>
          <w:rFonts w:ascii="Arial" w:cs="Arial" w:eastAsia="Arial" w:hAnsi="Arial"/>
          <w:sz w:val="17"/>
          <w:szCs w:val="17"/>
          <w:i w:val="1"/>
          <w:iCs w:val="1"/>
          <w:color w:val="auto"/>
        </w:rPr>
        <w:t>Revenue from Contracts with Customers: Identifying Performance Obligations and Licensing</w:t>
      </w:r>
      <w:r>
        <w:rPr>
          <w:rFonts w:ascii="Arial" w:cs="Arial" w:eastAsia="Arial" w:hAnsi="Arial"/>
          <w:sz w:val="17"/>
          <w:szCs w:val="17"/>
          <w:color w:val="auto"/>
        </w:rPr>
        <w:t xml:space="preserve">, and ASU 2016-12,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Narrow-Scope Improvements and Practical Expedients. </w:t>
      </w:r>
      <w:r>
        <w:rPr>
          <w:rFonts w:ascii="Arial" w:cs="Arial" w:eastAsia="Arial" w:hAnsi="Arial"/>
          <w:sz w:val="17"/>
          <w:szCs w:val="17"/>
          <w:color w:val="auto"/>
        </w:rPr>
        <w:t>These amendments address a number of areas, including the entity’s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identification of its performance obligations in a contract, collectability, non-cash consideration, presentation of sales tax and an entity’s evaluation of the nature of its promise to grant a license of intellectual property and whether or not that revenue is recognized over time or at a point in time. The Company early adopted the standard as of January 1, 2017, however there is no impact of this new guidance on its consolidated financial statements as it does not currently have any revenue generating arrangements.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The new guidance addresses management’s responsibility to evaluate whether there is substantial doubt about an entity’s ability to continue as a going concern and to provide related footnote disclosures. Management’s evaluation should be based on relevant conditions and events that are known and reasonably knowable at the date that the financial statements are issued. The standard was effective for the annual reporting period ending after December 15, 2016, and for annual and interim periods thereafter. The adoption of this guidance did not have a material impact on the Company’s consolidated financial statements and related disclosures.</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This guidance requires companies to classify all deferred tax assets and liabilities as noncurrent on the balance sheet instead of separating deferred taxes into current and noncurrent amounts. This guidance allows for adoption on either a prospective or retrospective basis and will be effective on January 1, 2017. Early adoption is permitted. The Company elected to early adopt this guidance on December 31, 2015. The adoption of this guidance did not have a material impact on the Company’s consolidated financial statements and related disclosures.</w:t>
      </w:r>
    </w:p>
    <w:p>
      <w:pPr>
        <w:spacing w:after="0" w:line="188"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This guidance will require that lease arrangements longer than 12 months result in an entity recognizing an asset and liability equal to the present value of the lease payments in the statement of financial position. This guidance is effective for annual periods beginning after December 15, 2018, and interim periods therein. This standard requires a modified retrospective transition approach for all leases existing at, or entered into after, the date of initial application, with an option to use certain transition relief. Early adoption is permitted. The Company is evaluating the effect that this guidance will have on its consolidated financial statements.</w:t>
      </w:r>
    </w:p>
    <w:p>
      <w:pPr>
        <w:spacing w:after="0" w:line="15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This standard was adopted on January 1, 2017 on a modified retrospective basis. As a result, the Company has made an accounting policy election to account for forfeitures as they occur. The adoption of this guidance also requires excess tax benefits and tax deficiencies be recorded in the income statement as opposed to additional paid-in capital when the awards vest or are settled. The adoption of this guidance had an immaterial impact on the Company’s consolidated financial statements as of and for the year ended December 31, 2017.</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This guidance addresses the presentation and classification of certain cash receipts and cash payments in the statement of cash flows. The standard will be effective for annual periods beginning after December 15, 2017, and interim periods therein. Early adoption is permitted. The Company is evaluating the effect that this guidance will have on its consolidated financial statements.</w:t>
      </w:r>
    </w:p>
    <w:p>
      <w:pPr>
        <w:spacing w:after="0" w:line="18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 – Stock Compensation: Scope of Modification Accounting</w:t>
      </w:r>
      <w:r>
        <w:rPr>
          <w:rFonts w:ascii="Arial" w:cs="Arial" w:eastAsia="Arial" w:hAnsi="Arial"/>
          <w:sz w:val="18"/>
          <w:szCs w:val="18"/>
          <w:color w:val="auto"/>
        </w:rPr>
        <w:t>. This guidance addresses which changes to the terms or conditions of a share-based payment award require an entity to apply modification accounting. The standard will be effective for annual periods beginning after December 15, 2017, and interim periods therein. Early adoption is permitted. The Company is evaluating the effect that this guidance will have on its consolidated financial statements.</w:t>
      </w:r>
    </w:p>
    <w:p>
      <w:pPr>
        <w:spacing w:after="0" w:line="291" w:lineRule="exact"/>
        <w:rPr>
          <w:sz w:val="20"/>
          <w:szCs w:val="20"/>
          <w:color w:val="auto"/>
        </w:rPr>
      </w:pPr>
    </w:p>
    <w:p>
      <w:pPr>
        <w:ind w:left="200" w:right="6780" w:firstLine="4"/>
        <w:spacing w:after="0" w:line="378" w:lineRule="auto"/>
        <w:tabs>
          <w:tab w:leader="none" w:pos="3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Securities Fair Value Measurements</w:t>
      </w:r>
    </w:p>
    <w:p>
      <w:pPr>
        <w:ind w:left="640"/>
        <w:spacing w:after="0"/>
        <w:rPr>
          <w:sz w:val="20"/>
          <w:szCs w:val="20"/>
          <w:color w:val="auto"/>
        </w:rPr>
      </w:pPr>
      <w:r>
        <w:rPr>
          <w:rFonts w:ascii="Arial" w:cs="Arial" w:eastAsia="Arial" w:hAnsi="Arial"/>
          <w:sz w:val="16"/>
          <w:szCs w:val="16"/>
          <w:color w:val="auto"/>
        </w:rPr>
        <w:t>The following tables present information about the Company’s financial assets that have been measured at fair value as of December 31, 2017 and</w:t>
      </w:r>
    </w:p>
    <w:p>
      <w:pPr>
        <w:spacing w:after="0" w:line="46" w:lineRule="exact"/>
        <w:rPr>
          <w:sz w:val="20"/>
          <w:szCs w:val="20"/>
          <w:color w:val="auto"/>
        </w:rPr>
      </w:pPr>
    </w:p>
    <w:p>
      <w:pPr>
        <w:ind w:left="200" w:right="500"/>
        <w:spacing w:after="0" w:line="323" w:lineRule="auto"/>
        <w:rPr>
          <w:sz w:val="20"/>
          <w:szCs w:val="20"/>
          <w:color w:val="auto"/>
        </w:rPr>
      </w:pPr>
      <w:r>
        <w:rPr>
          <w:rFonts w:ascii="Arial" w:cs="Arial" w:eastAsia="Arial" w:hAnsi="Arial"/>
          <w:sz w:val="16"/>
          <w:szCs w:val="16"/>
          <w:color w:val="auto"/>
        </w:rPr>
        <w:t>2016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 During the years ended December 31, 2017 and 2016, there were no transfers between Level 1 and Level 2 financial assets.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summarize the Company’s cash equivalents and marketable securities as of December 31, 2017 and 2016:</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left="79"/>
              <w:spacing w:after="0"/>
              <w:rPr>
                <w:sz w:val="20"/>
                <w:szCs w:val="20"/>
                <w:color w:val="auto"/>
              </w:rPr>
            </w:pPr>
            <w:r>
              <w:rPr>
                <w:rFonts w:ascii="Arial" w:cs="Arial" w:eastAsia="Arial" w:hAnsi="Arial"/>
                <w:sz w:val="14"/>
                <w:szCs w:val="14"/>
                <w:b w:val="1"/>
                <w:bCs w:val="1"/>
                <w:color w:val="auto"/>
                <w:w w:val="91"/>
              </w:rPr>
              <w:t>December 31, 2017</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Quoted</w:t>
            </w:r>
          </w:p>
        </w:tc>
        <w:tc>
          <w:tcPr>
            <w:tcW w:w="62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w:t>
            </w:r>
          </w:p>
        </w:tc>
        <w:tc>
          <w:tcPr>
            <w:tcW w:w="1340" w:type="dxa"/>
            <w:vAlign w:val="bottom"/>
            <w:gridSpan w:val="3"/>
          </w:tcPr>
          <w:p>
            <w:pPr>
              <w:ind w:lef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00" w:type="dxa"/>
            <w:vAlign w:val="bottom"/>
            <w:gridSpan w:val="4"/>
          </w:tcPr>
          <w:p>
            <w:pPr>
              <w:ind w:left="600"/>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Inputs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(Level 2)</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center"/>
              <w:ind w:right="33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$15,802</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Marketable securities: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50,844</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9,951</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9,951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ind w:left="700"/>
              <w:spacing w:after="0"/>
              <w:rPr>
                <w:sz w:val="20"/>
                <w:szCs w:val="20"/>
                <w:color w:val="auto"/>
              </w:rPr>
            </w:pPr>
            <w:r>
              <w:rPr>
                <w:rFonts w:ascii="Arial" w:cs="Arial" w:eastAsia="Arial" w:hAnsi="Arial"/>
                <w:sz w:val="18"/>
                <w:szCs w:val="18"/>
                <w:color w:val="auto"/>
              </w:rPr>
              <w:t>Total marketable securities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61,275</w:t>
            </w:r>
          </w:p>
        </w:tc>
        <w:tc>
          <w:tcPr>
            <w:tcW w:w="6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61,275</w:t>
            </w: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cash equivalents and marketable securities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15,802</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62,822</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left="79"/>
              <w:spacing w:after="0"/>
              <w:rPr>
                <w:sz w:val="20"/>
                <w:szCs w:val="20"/>
                <w:color w:val="auto"/>
              </w:rPr>
            </w:pPr>
            <w:r>
              <w:rPr>
                <w:rFonts w:ascii="Arial" w:cs="Arial" w:eastAsia="Arial" w:hAnsi="Arial"/>
                <w:sz w:val="14"/>
                <w:szCs w:val="14"/>
                <w:b w:val="1"/>
                <w:bCs w:val="1"/>
                <w:color w:val="auto"/>
                <w:w w:val="91"/>
              </w:rPr>
              <w:t>December 31, 2016</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Quoted</w:t>
            </w:r>
          </w:p>
        </w:tc>
        <w:tc>
          <w:tcPr>
            <w:tcW w:w="62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w:t>
            </w:r>
          </w:p>
        </w:tc>
        <w:tc>
          <w:tcPr>
            <w:tcW w:w="1340" w:type="dxa"/>
            <w:vAlign w:val="bottom"/>
            <w:gridSpan w:val="3"/>
          </w:tcPr>
          <w:p>
            <w:pPr>
              <w:ind w:lef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00" w:type="dxa"/>
            <w:vAlign w:val="bottom"/>
            <w:gridSpan w:val="4"/>
          </w:tcPr>
          <w:p>
            <w:pPr>
              <w:ind w:left="600"/>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Inputs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(Level 2)</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center"/>
              <w:ind w:right="33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22,091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$22,091</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22,091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Marketable securities: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69,622</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27,220</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96,842</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Total cash equivalents and marketable securities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123,430</w:t>
            </w:r>
          </w:p>
        </w:tc>
        <w:tc>
          <w:tcPr>
            <w:tcW w:w="6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22,091</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$ 101,339</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carrying amounts reflected in the consolidated balance sheets for tax incentive receivable, accounts payable, and accrued expenses approximate fair value due to their short-term maturities. The carrying value of the Company’s outstanding notes payable approximates fair value (a Level 2 fair value measurement), reflecting interest rates currently available to the Company.</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240" w:top="459" w:right="5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summarize the Company’s marketable securities as of December 31, 2017 and 2016:</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400" w:type="dxa"/>
            <w:vAlign w:val="bottom"/>
            <w:gridSpan w:val="2"/>
            <w:vMerge w:val="restart"/>
          </w:tcPr>
          <w:p>
            <w:pPr>
              <w:jc w:val="center"/>
              <w:ind w:left="614"/>
              <w:spacing w:after="0"/>
              <w:rPr>
                <w:sz w:val="20"/>
                <w:szCs w:val="20"/>
                <w:color w:val="auto"/>
              </w:rPr>
            </w:pPr>
            <w:r>
              <w:rPr>
                <w:rFonts w:ascii="Arial" w:cs="Arial" w:eastAsia="Arial" w:hAnsi="Arial"/>
                <w:sz w:val="14"/>
                <w:szCs w:val="14"/>
                <w:b w:val="1"/>
                <w:bCs w:val="1"/>
                <w:color w:val="auto"/>
                <w:w w:val="96"/>
              </w:rPr>
              <w:t>Amortized</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Gross</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40" w:type="dxa"/>
            <w:vAlign w:val="bottom"/>
            <w:gridSpan w:val="3"/>
          </w:tcPr>
          <w:p>
            <w:pPr>
              <w:ind w:left="6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60" w:type="dxa"/>
            <w:vAlign w:val="bottom"/>
            <w:gridSpan w:val="4"/>
          </w:tcPr>
          <w:p>
            <w:pPr>
              <w:jc w:val="center"/>
              <w:ind w:left="216"/>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Losses</w:t>
            </w: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Corporate bonds (due within 1 year)</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$ 50,892</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$ 50,844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(due within 1 year)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Certificates of deposit (due within 1 year)</w:t>
            </w:r>
          </w:p>
        </w:tc>
        <w:tc>
          <w:tcPr>
            <w:tcW w:w="7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$ 61,333</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$ 61,275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400" w:type="dxa"/>
            <w:vAlign w:val="bottom"/>
            <w:gridSpan w:val="2"/>
            <w:vMerge w:val="restart"/>
          </w:tcPr>
          <w:p>
            <w:pPr>
              <w:jc w:val="center"/>
              <w:ind w:left="614"/>
              <w:spacing w:after="0"/>
              <w:rPr>
                <w:sz w:val="20"/>
                <w:szCs w:val="20"/>
                <w:color w:val="auto"/>
              </w:rPr>
            </w:pPr>
            <w:r>
              <w:rPr>
                <w:rFonts w:ascii="Arial" w:cs="Arial" w:eastAsia="Arial" w:hAnsi="Arial"/>
                <w:sz w:val="14"/>
                <w:szCs w:val="14"/>
                <w:b w:val="1"/>
                <w:bCs w:val="1"/>
                <w:color w:val="auto"/>
                <w:w w:val="96"/>
              </w:rPr>
              <w:t>Amortized</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Gross</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40" w:type="dxa"/>
            <w:vAlign w:val="bottom"/>
            <w:gridSpan w:val="3"/>
          </w:tcPr>
          <w:p>
            <w:pPr>
              <w:ind w:left="6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60" w:type="dxa"/>
            <w:vAlign w:val="bottom"/>
            <w:gridSpan w:val="4"/>
          </w:tcPr>
          <w:p>
            <w:pPr>
              <w:jc w:val="center"/>
              <w:ind w:left="216"/>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Losses</w:t>
            </w: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Corporate bonds (due within 1 year)</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$ 68,777</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$ 68,723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 (due after 1 year through 2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Commercial paper (due within 1 year)</w:t>
            </w: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27,244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$ 96,922</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$ 96,842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consisted of the following as of December 31, 2017 and 2016:</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2"/>
              </w:rPr>
              <w:t>Useful Life</w:t>
            </w:r>
          </w:p>
        </w:tc>
        <w:tc>
          <w:tcPr>
            <w:tcW w:w="100" w:type="dxa"/>
            <w:vAlign w:val="bottom"/>
          </w:tcPr>
          <w:p>
            <w:pPr>
              <w:spacing w:after="0"/>
              <w:rPr>
                <w:sz w:val="14"/>
                <w:szCs w:val="14"/>
                <w:color w:val="auto"/>
              </w:rPr>
            </w:pPr>
          </w:p>
        </w:tc>
        <w:tc>
          <w:tcPr>
            <w:tcW w:w="15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6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jc w:val="right"/>
              <w:ind w:right="25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 years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$ 372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 years</w:t>
            </w: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194</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 years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6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1,036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(508)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2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shorter of asset life or lease term</w:t>
      </w:r>
    </w:p>
    <w:p>
      <w:pPr>
        <w:spacing w:after="0" w:line="225" w:lineRule="exact"/>
        <w:rPr>
          <w:sz w:val="20"/>
          <w:szCs w:val="20"/>
          <w:color w:val="auto"/>
        </w:rPr>
      </w:pPr>
    </w:p>
    <w:p>
      <w:pPr>
        <w:jc w:val="center"/>
        <w:ind w:left="780" w:right="100"/>
        <w:spacing w:after="0" w:line="449" w:lineRule="auto"/>
        <w:rPr>
          <w:sz w:val="20"/>
          <w:szCs w:val="20"/>
          <w:color w:val="auto"/>
        </w:rPr>
      </w:pPr>
      <w:r>
        <w:rPr>
          <w:rFonts w:ascii="Arial" w:cs="Arial" w:eastAsia="Arial" w:hAnsi="Arial"/>
          <w:sz w:val="18"/>
          <w:szCs w:val="18"/>
          <w:color w:val="auto"/>
        </w:rPr>
        <w:t>Depreciation expense was $0.2 million, $0.2 million and $0.1 million for the years ended December 31, 2017, 2016 and 2015, respectively. 97</w:t>
      </w:r>
    </w:p>
    <w:p>
      <w:pPr>
        <w:sectPr>
          <w:pgSz w:w="11900" w:h="16838" w:orient="portrait"/>
          <w:cols w:equalWidth="0" w:num="1">
            <w:col w:w="10780"/>
          </w:cols>
          <w:pgMar w:left="240" w:top="459" w:right="8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 as of December 31, 2017 and 2016:</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Accrued restructuring</w:t>
            </w:r>
          </w:p>
        </w:tc>
        <w:tc>
          <w:tcPr>
            <w:tcW w:w="20" w:type="dxa"/>
            <w:vAlign w:val="bottom"/>
          </w:tcPr>
          <w:p>
            <w:pPr>
              <w:spacing w:after="0"/>
              <w:rPr>
                <w:sz w:val="18"/>
                <w:szCs w:val="18"/>
                <w:color w:val="auto"/>
              </w:rPr>
            </w:pP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4,273</w:t>
            </w: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3,733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Notes Payable</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As of December 31, 2017, the Company had fully repaid all outstanding amounts due under a loan and security agreement with Oxford Finance LLC and Midcap Financial, or the 2014 Credit Facility, entered into in March 2014.</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On December 29, 2017, the Company entered into a loan and security agreement with Silicon Valley Bank (the “Term Loan”). The Term Loan provided for borrowings of $20.0 million. On December 29, 2017, the Company received proceeds of $20.0 million from the issuance of a promissory note. The promissory note issued under the Term Loan is collateralized by substantially all of the Company’s personal property, other than its intellectual property.</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Upon entering into this Term Loan, the Company is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at December 31, 2017 was 4.5%. In addition, a final payment equal to 8.0% of the Term Loan is due upon the earlier of the maturity date, acceleration of the term loans or prepayment of all or part of the term loans. The Company accrues the final payment amount of $1.6 million, to outstanding debt by charges to interest expense using the effective-interest method from the date of issuance through the maturity date.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effective annual interest rate of the outstanding debt under the Term Loan is approximately 8.9%.</w:t>
      </w:r>
    </w:p>
    <w:p>
      <w:pPr>
        <w:spacing w:after="0" w:line="225"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Additionally, the Company, as the borrower, is required to maintain a minimum cash, cash equivalents and marketable securities balance at Silicon Valley Bank of no less than 105% of the total outstanding principal balance of the Term Loan, which as of December 31, 2017 was $21.0 million.</w:t>
      </w:r>
    </w:p>
    <w:p>
      <w:pPr>
        <w:spacing w:after="0" w:line="12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Further, as of 45 days after the Term Loan was entered in, the Company must maintain a balance of unrestricted cash, cash equivalents and marketable securities at Silicon Valley Bank in an amount not less than the greater of (i) $55.0 million and (ii) sixty-five percent (65%) of all the Company’s cash, cash equivalents and marketable securities. If the Company does not meet this requirement it will not be considered an event of default provided it immediately secures 87.5% of the principal balance in a restricted cash account.</w:t>
      </w:r>
    </w:p>
    <w:p>
      <w:pPr>
        <w:spacing w:after="0" w:line="18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There are negative covenants restricting the Company’s activities, including limitations on dispositions, mergers or acquisitions; encumbering or granting a security interest in its intellectual property; incurring indebtedness or liens; paying dividends; making certain investments; permit the aggregate value of cash maintained by its Australian subsidiary not to exceed $4.0 million and certain other business transactions.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Term Loan also includes events of default, the occurrence and continuation of any of which provides the lenders the right to exercise remedies against the Company and the collateral securing the loans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and 2016, notes payable consist of the following:</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700" w:type="dxa"/>
            <w:vAlign w:val="bottom"/>
            <w:gridSpan w:val="5"/>
          </w:tcPr>
          <w:p>
            <w:pPr>
              <w:ind w:left="116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long-term</w:t>
            </w:r>
          </w:p>
        </w:tc>
        <w:tc>
          <w:tcPr>
            <w:tcW w:w="860" w:type="dxa"/>
            <w:vAlign w:val="bottom"/>
            <w:gridSpan w:val="2"/>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70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Debt discount, net of accretion</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related to final payment</w:t>
            </w:r>
          </w:p>
        </w:tc>
        <w:tc>
          <w:tcPr>
            <w:tcW w:w="8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Notes payable, net of discount, short term</w:t>
            </w:r>
          </w:p>
        </w:tc>
        <w:tc>
          <w:tcPr>
            <w:tcW w:w="820" w:type="dxa"/>
            <w:vAlign w:val="bottom"/>
          </w:tcPr>
          <w:p>
            <w:pPr>
              <w:spacing w:after="0"/>
              <w:rPr>
                <w:sz w:val="19"/>
                <w:szCs w:val="19"/>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3,589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8"/>
                <w:szCs w:val="18"/>
                <w:color w:val="auto"/>
              </w:rPr>
              <w:t>As of December 31, 2017, the estimated future principal payments due are as follows:</w:t>
            </w:r>
          </w:p>
        </w:tc>
        <w:tc>
          <w:tcPr>
            <w:tcW w:w="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2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Pr>
          <w:p>
            <w:pPr>
              <w:spacing w:after="0"/>
              <w:rPr>
                <w:sz w:val="10"/>
                <w:szCs w:val="10"/>
                <w:color w:val="auto"/>
              </w:rPr>
            </w:pPr>
          </w:p>
        </w:tc>
        <w:tc>
          <w:tcPr>
            <w:tcW w:w="16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(in thousands)</w:t>
            </w:r>
          </w:p>
        </w:tc>
        <w:tc>
          <w:tcPr>
            <w:tcW w:w="4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0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4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4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During the years ended December 31, 2017, 2016 and 2015, the Company recognized $0.2 million, $0.5 million and $0.8 million, respectively, of interest expense related to the 2014 Credit Facility. The effective annual interest rate of the debt under the 2014 Credit Facility was approximately 10.8%. As of December 31, 2017, interest expense incurred on the new Term Loan was immaterial.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On January 28, 2015, the Company completed a follow-on offering of its common stock, which resulted in the sale of 3,942,200 shares at a price of $35.00 per share. The Company received net proceeds from the follow-on offering of $130.0 million based upon the price of $35.00 per share after deducting underwriting discounts and commissions paid by the Company. The Company also incurred offering costs of $0.5 million related to the follow-on offering.</w:t>
      </w:r>
    </w:p>
    <w:p>
      <w:pPr>
        <w:spacing w:after="0" w:line="187"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As of December 31, 2017 and 2016, the Company’s Certificate of Incorporation, as amended and restated, authorizes the Company to issue 5,000,000 shares of $0.001 par value preferred stock. The rights, preferences, restrictions, qualifications and limitations of such stock are to be determined by the Company’s board of directors.</w:t>
      </w:r>
    </w:p>
    <w:p>
      <w:pPr>
        <w:spacing w:after="0" w:line="18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As of December 31, 2017 and 2016, the Company’s Certificate of Incorporation, as amended and restated, authorizes the Company to issue 115,000,000 shares of $0.001 par value common stock.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9260" w:firstLine="4"/>
        <w:spacing w:after="0" w:line="453" w:lineRule="auto"/>
        <w:tabs>
          <w:tab w:leader="none" w:pos="38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Awards Stock Option Plan</w:t>
      </w:r>
    </w:p>
    <w:p>
      <w:pPr>
        <w:spacing w:after="0" w:line="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Company’s 2014 Stock Option and Incentive Plan (the “2014 Plan”) provides for the grant of stock options, stock appreciation rights, restricted stock awards, restricted stock units, unrestricted stock awards, performance-share awards, cash-based awards and dividend equivalent rights to employees, members of the board of directors and consultants of the Company. The number of shares initially reserved for issuance under the 2014 Plan was 2,168,221 shares of common stock. The number of shares reserved for issuance may be increased by the number of shares under the previously authorized 2006 Stock Option Plan that are not needed to fulfill the Company’s obligations for awards issued under the 2006 Stock Option Plan as a result of forfeiture, expiration, cancellation, termination or net issuances of awards thereunder. The number of shares of common stock that may be issued under the 2014 Plan is also subject to increase on the first day of each fiscal year by the lesser of (i) 4% of the Company’s outstanding shares of common stock as of that date, or (ii) an amount determined by the board of directors. As of December 31, 2017, 1,981,060 shares are available for grant under the 2014 Plan, including 1,093,302 shares automatically added to the 2014 Stock Option Plan on January 1, 2017.</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 Grants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Option Grants with time-based vesting conditions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During the years ended December 31, 2017, 2016 and 2015, the Company granted 1,214,874, 1,527,559 and 992,505 stock options under the 2014 Plan. The vesting of these awards is time-based and the restrictions typically lapse over periods of three to four years. Stock options were granted with exercise prices equal to the fair value of the Company’s common stock on the date of grant. The Company bases fair value of common stock on the quoted market price of the Company’s common stock. During the year ended December 31, 2017, the Company also granted 550,000 options with time-based vesting restrictions to the newly-hired Chief Executive Officer as an inducement grant outside of the 2014 Plan in accordance with NASDAQ Listing Rule 5635(c)(4). These stock options have a ten-year term and an exercise price equal to the closing price of the Company’s common stock on the grant date. The options vest as to 25% of the shares on the first anniversary of the grant date and the remainder in equal monthly installments thereafter over a 3-year period.</w:t>
      </w:r>
    </w:p>
    <w:p>
      <w:pPr>
        <w:spacing w:after="0" w:line="179" w:lineRule="exact"/>
        <w:rPr>
          <w:sz w:val="20"/>
          <w:szCs w:val="20"/>
          <w:color w:val="auto"/>
        </w:rPr>
      </w:pPr>
    </w:p>
    <w:p>
      <w:pPr>
        <w:ind w:left="200" w:right="160" w:firstLine="441"/>
        <w:spacing w:after="0" w:line="270" w:lineRule="auto"/>
        <w:rPr>
          <w:sz w:val="20"/>
          <w:szCs w:val="20"/>
          <w:color w:val="auto"/>
        </w:rPr>
      </w:pPr>
      <w:r>
        <w:rPr>
          <w:rFonts w:ascii="Arial" w:cs="Arial" w:eastAsia="Arial" w:hAnsi="Arial"/>
          <w:sz w:val="17"/>
          <w:szCs w:val="17"/>
          <w:color w:val="auto"/>
        </w:rPr>
        <w:t>The fair value of each service-based stock option grant to employees and directors is estimated on the date of grant using the Black-Scholes option-pricing model. The Company estimates its expected volatility using a weighted average of the historical volatility of publicly-traded peer companies and its own common stock since its IPO in June 2014, and expects to continue to do so until such time as it has adequate historical data regarding the volatility of its own traded stock price for the duration of the expected term.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assumptions that the Company used to determine the fair value of the stock options granted to employees and directors are as follows, presented on a weighted average basis: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2017</w:t>
            </w:r>
          </w:p>
        </w:tc>
        <w:tc>
          <w:tcPr>
            <w:tcW w:w="5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2016</w:t>
            </w:r>
          </w:p>
        </w:tc>
        <w:tc>
          <w:tcPr>
            <w:tcW w:w="5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2.10%</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1.75%</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5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6.18</w:t>
            </w:r>
          </w:p>
        </w:tc>
        <w:tc>
          <w:tcPr>
            <w:tcW w:w="5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93%</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4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350"/>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0" w:type="dxa"/>
            <w:vAlign w:val="bottom"/>
          </w:tcPr>
          <w:p>
            <w:pPr>
              <w:jc w:val="right"/>
              <w:ind w:right="151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stock option activity described above, since December 31, 2016:</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3"/>
          </w:tcPr>
          <w:p>
            <w:pPr>
              <w:ind w:left="320"/>
              <w:spacing w:after="0"/>
              <w:rPr>
                <w:sz w:val="20"/>
                <w:szCs w:val="20"/>
                <w:color w:val="auto"/>
              </w:rPr>
            </w:pPr>
            <w:r>
              <w:rPr>
                <w:rFonts w:ascii="Arial" w:cs="Arial" w:eastAsia="Arial" w:hAnsi="Arial"/>
                <w:sz w:val="14"/>
                <w:szCs w:val="14"/>
                <w:b w:val="1"/>
                <w:bCs w:val="1"/>
                <w:color w:val="auto"/>
                <w:w w:val="88"/>
              </w:rPr>
              <w:t>Weighted</w:t>
            </w:r>
          </w:p>
        </w:tc>
        <w:tc>
          <w:tcPr>
            <w:tcW w:w="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Shares Issuable</w:t>
            </w: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Under Options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60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3,115,003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1,764,874</w:t>
            </w:r>
          </w:p>
        </w:tc>
        <w:tc>
          <w:tcPr>
            <w:tcW w:w="34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3.88</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(93,211)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66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(292,465)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20.97</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6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4,494,201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Options vested and expected to vest as of December 31, 2017</w:t>
            </w:r>
          </w:p>
        </w:tc>
        <w:tc>
          <w:tcPr>
            <w:tcW w:w="1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vMerge w:val="restart"/>
          </w:tcPr>
          <w:p>
            <w:pPr>
              <w:ind w:left="300"/>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10.12</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7.8</w:t>
            </w:r>
          </w:p>
        </w:tc>
        <w:tc>
          <w:tcPr>
            <w:tcW w:w="700" w:type="dxa"/>
            <w:vAlign w:val="bottom"/>
            <w:gridSpan w:val="2"/>
            <w:vMerge w:val="restart"/>
          </w:tcPr>
          <w:p>
            <w:pPr>
              <w:ind w:left="60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3,251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4,494,201</w:t>
            </w:r>
          </w:p>
        </w:tc>
        <w:tc>
          <w:tcPr>
            <w:tcW w:w="3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 December 31, 2017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2,088,452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aggregate intrinsic value was calculated based on the positive differences between the market value of the Company’s common stock and the exercise prices of the options. The aggregate intrinsic value of service-based stock options exercised was $0.3 million, $0.1 million and $13.9 million during the years ended December 31, 2017, 2016 and 2015, respectively.</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Company received cash proceeds from the exercise of stock options of $0.1 million, less than $0.1 million, and $0.8 million during the years ended December 31, 2017, 2016 and 2015, respectively.</w:t>
      </w:r>
    </w:p>
    <w:p>
      <w:pPr>
        <w:spacing w:after="0" w:line="170" w:lineRule="exact"/>
        <w:rPr>
          <w:sz w:val="20"/>
          <w:szCs w:val="20"/>
          <w:color w:val="auto"/>
        </w:rPr>
      </w:pPr>
    </w:p>
    <w:p>
      <w:pPr>
        <w:ind w:left="200" w:right="1040" w:firstLine="441"/>
        <w:spacing w:after="0" w:line="277" w:lineRule="auto"/>
        <w:rPr>
          <w:sz w:val="20"/>
          <w:szCs w:val="20"/>
          <w:color w:val="auto"/>
        </w:rPr>
      </w:pPr>
      <w:r>
        <w:rPr>
          <w:rFonts w:ascii="Arial" w:cs="Arial" w:eastAsia="Arial" w:hAnsi="Arial"/>
          <w:sz w:val="18"/>
          <w:szCs w:val="18"/>
          <w:color w:val="auto"/>
        </w:rPr>
        <w:t>The weighted average grant-date fair value of service-based stock options granted to employees and directors during the years ended December 31, 2017, 2016 and 2015 was $2.91, $4.86, and $28.97 per share, respectively.</w:t>
      </w:r>
    </w:p>
    <w:p>
      <w:pPr>
        <w:spacing w:after="0" w:line="17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As of December 31, 2017 and 2016, there were outstanding unvested service-based stock options held by nonemployees for the purchase of 77,567 and 6,401 shares of common stock,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Option Grants with market-based vesting conditions</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October 2017, the Company granted 687,500 common stock options that vest on the third anniversary of the grant date upon achievement by the Company of minimum common stock prices for 20 consecutive days during the Earning Period, the (“Price Target Options”). The Earning Period is defined as the period between the first anniversary of the grant date and the third anniversary of the grant date. Of the 687,500 Price Target Options granted in 2017, 137,500 were granted under the 2014 Stock Plan and 550,000 were granted to the newly-hired Chief Executive Officer as an inducement grant outside of the 2014 Plan in accordance with NASDAQ Listing Rule 5635(c)(4). These stock options have a ten-year term and an exercise price equal to the closing price of the Company’s common stock on the grant date.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Price Target Options that will vest upon achievement of the target will vary based on the level of achievement from a maximum of</w:t>
      </w:r>
    </w:p>
    <w:p>
      <w:pPr>
        <w:spacing w:after="0" w:line="46" w:lineRule="exact"/>
        <w:rPr>
          <w:sz w:val="20"/>
          <w:szCs w:val="20"/>
          <w:color w:val="auto"/>
        </w:rPr>
      </w:pPr>
    </w:p>
    <w:p>
      <w:pPr>
        <w:ind w:left="200" w:right="320"/>
        <w:spacing w:after="0" w:line="295" w:lineRule="auto"/>
        <w:rPr>
          <w:sz w:val="20"/>
          <w:szCs w:val="20"/>
          <w:color w:val="auto"/>
        </w:rPr>
      </w:pPr>
      <w:r>
        <w:rPr>
          <w:rFonts w:ascii="Arial" w:cs="Arial" w:eastAsia="Arial" w:hAnsi="Arial"/>
          <w:sz w:val="16"/>
          <w:szCs w:val="16"/>
          <w:color w:val="auto"/>
        </w:rPr>
        <w:t>200% of the target shares to a threshold of 50% of the target shares, with no vesting, absent certain circumstances, if the threshold requirement is not achieved or the employee is no longer with the Company at the end of the three-year period. The Price Target Options are valued using Monte Carlo simulation models. The number of options expected to vest, based on achievement of the specified market condition, is factored into the grant date Monte Carlo valuations for the Price Target Options. Compensation expense is recognized ratably over the attribution period.</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are as follows, presented on a weighted average basis:</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9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2.24%</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94.6%</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total fair value of $3.1 million and a weighted average fair value of the Price Target Options was $4.56 per share. As of December 31, 2017, the entire 687,500 Price Target Options had an aggregate intrinsic value of $0.8 million and a remaining contractual term of 9.77 years remained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The Company has granted restricted stock units with time-based vesting conditions. The Company values restricted stock units on the grant-date using the market price of the Company’s common stock. The aggregate intrinsic value of restricted stock units that vested during the years ended December 31, 2017, 2016 and 2015 was $0.1 million per year calculated as the fair value of the Company’s common stock on the date it vests. During the years ended December 31, 2017, 2016 and 2015, the Company granted 22,128, 13,273 and 4,769 restricted stock units, respectively, all of which vested during 2017, 2016 and 2015, respectively, at a weighted average grant-date fair value of $4.18, $7.91 and $34.46, respectively. As of December 31, 2017 and 2016, there were no unvested restricted stock units outstanding.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2014 Employee Stock Purchase Plan</w:t>
      </w:r>
    </w:p>
    <w:p>
      <w:pPr>
        <w:spacing w:after="0" w:line="121"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The Company has a 2014 Employee Stock Purchase Plan (the “ESPP”) under which a total of 265,000 shares of common stock were reserved for issuance. During both 2017 and 2016 there were two offering periods, January 1 through June 30 and July 1 through December 31. The per share purchase price for offerings is equal to the lesser of 85% of the closing market price of the Company’s common stock on the first day or last day of the offering period. The Company issued 43,781 and 37,663 shares during the years ended December 31, 2017 and 2016, respectively. As of December 31, 2017 and 2016, there are 176,016 and 219,797 shares, respectively, of common stock available for issuance to participating employees under the ESPP.</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common stock in the following expense categories within its consolidated statements of operations: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34"/>
              <w:spacing w:after="0" w:line="142" w:lineRule="exact"/>
              <w:rPr>
                <w:sz w:val="20"/>
                <w:szCs w:val="20"/>
                <w:color w:val="auto"/>
              </w:rPr>
            </w:pPr>
            <w:r>
              <w:rPr>
                <w:rFonts w:ascii="Arial" w:cs="Arial" w:eastAsia="Arial" w:hAnsi="Arial"/>
                <w:sz w:val="14"/>
                <w:szCs w:val="14"/>
                <w:b w:val="1"/>
                <w:bCs w:val="1"/>
                <w:color w:val="auto"/>
                <w:w w:val="89"/>
              </w:rPr>
              <w:t>2016</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In addition, during the year ended December 31, 2016, in connection with its strategic restructuring further discussed in Note 14, the Company recorded a one-time, non-cash stock option modification expense of $0.2 million, which is included in the stock-based compensation expense line items of both the consolidated statements of cash flows and the consolidated statements of changes in stockholders’ equity.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As of December 31, 2017, the Company had unrecognized stock-based compensation expense related to its unvested service-based stock option awards of $10.7 million, which is expected to be recognized over the remaining weighted average vesting period of 2.54 years.</w:t>
      </w:r>
    </w:p>
    <w:p>
      <w:pPr>
        <w:spacing w:after="0" w:line="147"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As of December 31, 2017, the Company had unrecognized stock-based compensation expense related to its unvested market-based stock option awards of $3.1 million, which is expected to be recognized over the remaining weighted average vesting period of 2.77 years.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Net Loss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Basic and diluted net loss per share was calculated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2016</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gridSpan w:val="8"/>
          </w:tcPr>
          <w:p>
            <w:pPr>
              <w:jc w:val="center"/>
              <w:ind w:left="657"/>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(52,028)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(57,878)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Weighted average common shares outstanding, basic and diluted</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27,433,239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27,297,934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26,756,079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1060"/>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Company excluded the following common stock equivalents, outstanding as of December 31, 2017, 2016 and 2015, from the computation of diluted net loss per share for the years ended December 31, 2017, 2016 and 2015 because they had an anti-dilutive impact due to the net loss incurred for the periods: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4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8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4,494,201</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3,115,003</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2,555,110</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right="8220" w:firstLine="4"/>
        <w:spacing w:after="0" w:line="378" w:lineRule="auto"/>
        <w:tabs>
          <w:tab w:leader="none" w:pos="47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left="200" w:right="60" w:firstLine="441"/>
        <w:spacing w:after="0" w:line="290" w:lineRule="auto"/>
        <w:rPr>
          <w:sz w:val="20"/>
          <w:szCs w:val="20"/>
          <w:color w:val="auto"/>
        </w:rPr>
      </w:pPr>
      <w:r>
        <w:rPr>
          <w:rFonts w:ascii="Arial" w:cs="Arial" w:eastAsia="Arial" w:hAnsi="Arial"/>
          <w:sz w:val="16"/>
          <w:szCs w:val="16"/>
          <w:color w:val="auto"/>
        </w:rPr>
        <w:t>The Company has a lease for office space in Boston, Massachusetts, effective as of July 28, 2014, with a term expiring July 31, 2017 and an option to extend the lease for three additional years. In March 2015, the Company entered into an operating lease for additional office space in Boston, Massachusetts, effective as of April 15, 2015, with a term expiring on July 31, 2017, and two options to extend this lease for three additional years each. In January 2017, the Company extended the leases for both office spaces in Boston, Massachusetts with new terms expiring on July 31, 2020. In addition, with the landlord’s consent, the Company has subleased 2,976 square feet of office space in Boston, Massachusetts to an unrelated third party beginning on January 1, 2017 and expiring on December 31, 2018, and the Company expects to receive approximately $0.2 million in sublease rental income. In October 2015, the Company entered into an operating lease for office space in San Diego, California, effective as of October 1, 2015, with a term expiring on September 30, 2019, and an option to extend this lease for five additional years.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minimum lease payments for its operating leases as of December 31, 2017 were as follows: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15"/>
        </w:trPr>
        <w:tc>
          <w:tcPr>
            <w:tcW w:w="16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(in thousands)</w:t>
            </w:r>
          </w:p>
        </w:tc>
        <w:tc>
          <w:tcPr>
            <w:tcW w:w="26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6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2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26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6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1,169</w:t>
            </w:r>
          </w:p>
        </w:tc>
        <w:tc>
          <w:tcPr>
            <w:tcW w:w="60" w:type="dxa"/>
            <w:vAlign w:val="bottom"/>
            <w:shd w:val="clear" w:color="auto" w:fill="CCEEFF"/>
          </w:tcPr>
          <w:p>
            <w:pPr>
              <w:spacing w:after="0"/>
              <w:rPr>
                <w:sz w:val="18"/>
                <w:szCs w:val="18"/>
                <w:color w:val="auto"/>
              </w:rPr>
            </w:pPr>
          </w:p>
        </w:tc>
      </w:tr>
      <w:tr>
        <w:trPr>
          <w:trHeight w:val="20"/>
        </w:trPr>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During the years ended December 31, 2017, 2016 and 2015, the Company recognized $0.3 million, $0.4 million and $0.3 million, respectively, of rental expense related to office space.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of December 31, 2017, the Company is obligated to make additional milestone payments of up to $12.3 million upon reaching certain pre-commercialization milestones, such as clinical trials and government approvals (including the U.S. Food and Drug Administration, or FDA, approval of a New Drug application, or NDA), and up to $12.5 million upon reaching certain product commercialization milestones related to the development of beloranib. Under one of the license agreements, the Company is also obligated to pay up to $1.3 million with respect to each subsequent licensed product, if any, that is a new chemical entity. In addition, the Company will owe single-digit royalties on sales of commercial products developed using these licensed technologies, if any.</w:t>
      </w:r>
    </w:p>
    <w:p>
      <w:pPr>
        <w:spacing w:after="0" w:line="193" w:lineRule="exact"/>
        <w:rPr>
          <w:sz w:val="20"/>
          <w:szCs w:val="20"/>
          <w:color w:val="auto"/>
        </w:rPr>
      </w:pPr>
    </w:p>
    <w:p>
      <w:pPr>
        <w:jc w:val="both"/>
        <w:ind w:left="200" w:right="520" w:firstLine="441"/>
        <w:spacing w:after="0" w:line="312" w:lineRule="auto"/>
        <w:rPr>
          <w:sz w:val="20"/>
          <w:szCs w:val="20"/>
          <w:color w:val="auto"/>
        </w:rPr>
      </w:pPr>
      <w:r>
        <w:rPr>
          <w:rFonts w:ascii="Arial" w:cs="Arial" w:eastAsia="Arial" w:hAnsi="Arial"/>
          <w:sz w:val="16"/>
          <w:szCs w:val="16"/>
          <w:color w:val="auto"/>
        </w:rPr>
        <w:t>There were no milestones achieved during the years ended December 31, 2017, 2016 or 2015. The Company is also obligated to pay to the licensors a percentage of fees received if and when the Company sublicenses the technology. As of December 31, 2017, the Company has not yet developed a commercial product using the licensed technologies and it has not entered into any sublicense agreements for the technologies.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management team and the board of directors of the Company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2017.</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the Company can reasonably estimate the amount of the loss. The Company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8"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On October 21, 2015, a purported stockholder of the Company filed a putative class action lawsuit in the U.S. District Court for the District of Massachusetts, against the Company and Thomas E. Hughes, captioned Aviad Bessler v. Zafgen, Inc. and Thomas E. Hughes, No. 1:15-cv-13618. An amended complaint was filed on February 22, 2016. The amended complaint alleges violations of Sections 10(b) and 20(a) of the Securities Exchange Act of 1934 and SEC Rule 10b-5 based on allegedly false and misleading statements and omissions regarding the Company’s clinical trials for its drug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16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Other than the above action, the Company is not aware of any other material claims as of December 31,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During the years ended December 31, 2017, 2016 and 2015, the Company recorded no income tax benefits for the net operating losses incurred in each year due to its uncertainty of realizing a benefit from those items.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domestic and foreign components of loss before income taxes are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$(49,954)</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$(57,799)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$(72,147)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Foreign</w:t>
            </w:r>
          </w:p>
        </w:tc>
        <w:tc>
          <w:tcPr>
            <w:tcW w:w="2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(2,074)</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(79)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(52,028)</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(57,878)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(74,286)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11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(34.0%)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(34.0%)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(34.0%)</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Federal and state research and development tax credit</w:t>
            </w:r>
          </w:p>
        </w:tc>
        <w:tc>
          <w:tcPr>
            <w:tcW w:w="1100" w:type="dxa"/>
            <w:vAlign w:val="bottom"/>
            <w:gridSpan w:val="2"/>
          </w:tcPr>
          <w:p>
            <w:pPr>
              <w:jc w:val="right"/>
              <w:ind w:right="528"/>
              <w:spacing w:after="0"/>
              <w:rPr>
                <w:sz w:val="20"/>
                <w:szCs w:val="20"/>
                <w:color w:val="auto"/>
              </w:rPr>
            </w:pPr>
            <w:r>
              <w:rPr>
                <w:rFonts w:ascii="Arial" w:cs="Arial" w:eastAsia="Arial" w:hAnsi="Arial"/>
                <w:sz w:val="18"/>
                <w:szCs w:val="18"/>
                <w:color w:val="auto"/>
              </w:rPr>
              <w:t>(4.1)</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taxes, net of federal benefit</w:t>
            </w:r>
          </w:p>
        </w:tc>
        <w:tc>
          <w:tcPr>
            <w:tcW w:w="11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Orphan drug tax credit</w:t>
            </w:r>
          </w:p>
        </w:tc>
        <w:tc>
          <w:tcPr>
            <w:tcW w:w="1100" w:type="dxa"/>
            <w:vAlign w:val="bottom"/>
            <w:gridSpan w:val="2"/>
          </w:tcPr>
          <w:p>
            <w:pPr>
              <w:jc w:val="right"/>
              <w:ind w:right="588"/>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11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Nondeductible Australia research and development expenses</w:t>
            </w:r>
          </w:p>
        </w:tc>
        <w:tc>
          <w:tcPr>
            <w:tcW w:w="1100" w:type="dxa"/>
            <w:vAlign w:val="bottom"/>
            <w:gridSpan w:val="2"/>
          </w:tcPr>
          <w:p>
            <w:pPr>
              <w:jc w:val="right"/>
              <w:ind w:right="588"/>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0.0</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Impact of federal rate change related to tax reform</w:t>
            </w:r>
          </w:p>
        </w:tc>
        <w:tc>
          <w:tcPr>
            <w:tcW w:w="11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65.2</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Other items</w:t>
            </w:r>
          </w:p>
        </w:tc>
        <w:tc>
          <w:tcPr>
            <w:tcW w:w="1100" w:type="dxa"/>
            <w:vAlign w:val="bottom"/>
            <w:gridSpan w:val="2"/>
          </w:tcPr>
          <w:p>
            <w:pPr>
              <w:jc w:val="right"/>
              <w:ind w:right="588"/>
              <w:spacing w:after="0"/>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deferred tax asset valuation allowance</w:t>
            </w:r>
          </w:p>
        </w:tc>
        <w:tc>
          <w:tcPr>
            <w:tcW w:w="11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(28.8)</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1100" w:type="dxa"/>
            <w:vAlign w:val="bottom"/>
            <w:gridSpan w:val="2"/>
          </w:tcPr>
          <w:p>
            <w:pPr>
              <w:jc w:val="right"/>
              <w:ind w:right="428"/>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500"/>
              <w:spacing w:after="0"/>
              <w:rPr>
                <w:sz w:val="20"/>
                <w:szCs w:val="20"/>
                <w:color w:val="auto"/>
              </w:rPr>
            </w:pPr>
            <w:r>
              <w:rPr>
                <w:rFonts w:ascii="Arial" w:cs="Arial" w:eastAsia="Arial" w:hAnsi="Arial"/>
                <w:sz w:val="18"/>
                <w:szCs w:val="18"/>
                <w:color w:val="auto"/>
              </w:rPr>
              <w:t>105</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deferred tax assets as of December 31, 2017 and 2016 consisted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Capitalized 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49,325</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13,848</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Tax credit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16,759</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legal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5,568</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Other temporary differences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noncurrent deferred tax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87,681</w:t>
            </w:r>
          </w:p>
        </w:tc>
        <w:tc>
          <w:tcPr>
            <w:tcW w:w="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700"/>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87,681</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97,720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w w:val="89"/>
              </w:rPr>
              <w:t>(87,681)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(97,720)</w:t>
            </w:r>
          </w:p>
        </w:tc>
      </w:tr>
      <w:tr>
        <w:trPr>
          <w:trHeight w:val="223"/>
        </w:trPr>
        <w:tc>
          <w:tcPr>
            <w:tcW w:w="20" w:type="dxa"/>
            <w:vAlign w:val="bottom"/>
          </w:tcPr>
          <w:p>
            <w:pPr>
              <w:spacing w:after="0"/>
              <w:rPr>
                <w:sz w:val="19"/>
                <w:szCs w:val="19"/>
                <w:color w:val="auto"/>
              </w:rPr>
            </w:pPr>
          </w:p>
        </w:tc>
        <w:tc>
          <w:tcPr>
            <w:tcW w:w="6040" w:type="dxa"/>
            <w:vAlign w:val="bottom"/>
          </w:tcPr>
          <w:p>
            <w:pPr>
              <w:ind w:left="700"/>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Changes in the valuation allowance for deferred tax assets during the years ended December 31, 2017, 2016 and 2015 related primarily to changes in net operating loss carryforwards, capitalized research and development expenses and tax credit carryforwards and were as follows:</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bottom w:val="single" w:sz="8" w:color="auto"/>
            </w:tcBorders>
            <w:gridSpan w:val="5"/>
          </w:tcPr>
          <w:p>
            <w:pPr>
              <w:jc w:val="center"/>
              <w:ind w:left="539"/>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left="219"/>
              <w:spacing w:after="0" w:line="142" w:lineRule="exact"/>
              <w:rPr>
                <w:sz w:val="20"/>
                <w:szCs w:val="20"/>
                <w:color w:val="auto"/>
              </w:rPr>
            </w:pPr>
            <w:r>
              <w:rPr>
                <w:rFonts w:ascii="Arial" w:cs="Arial" w:eastAsia="Arial" w:hAnsi="Arial"/>
                <w:sz w:val="14"/>
                <w:szCs w:val="14"/>
                <w:b w:val="1"/>
                <w:bCs w:val="1"/>
                <w:color w:val="auto"/>
                <w:w w:val="96"/>
              </w:rPr>
              <w:t>2016</w:t>
            </w: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as of beginning of year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$ 97,720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$74,541</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$42,398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Decreases recorded as benefit to income tax provision</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(10,039)</w:t>
            </w:r>
          </w:p>
        </w:tc>
        <w:tc>
          <w:tcPr>
            <w:tcW w:w="3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Increases recorded to income tax provision</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32,143</w:t>
            </w:r>
          </w:p>
        </w:tc>
        <w:tc>
          <w:tcPr>
            <w:tcW w:w="40" w:type="dxa"/>
            <w:vAlign w:val="bottom"/>
            <w:shd w:val="clear" w:color="auto" w:fill="CCEEFF"/>
          </w:tcPr>
          <w:p>
            <w:pPr>
              <w:spacing w:after="0"/>
              <w:rPr>
                <w:sz w:val="18"/>
                <w:szCs w:val="18"/>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Valuation allowance as of end of year</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$ 87,681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97,720</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74,541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2017, the Company had net operating loss carryforwards for federal and state income tax purposes of $54.0 million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$39.6 million, respectively, which begin to expire in 2026 and 2030, respectively. As of December 31, 2017, the Company also had available tax credit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carryforwards for federal and state income tax purposes of $14.8 million and $2.4 million, respectively, which begin to expire in 2026 and 2021,</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respectively. Utilization of the net operating loss carryforwards and tax credit carryforwards may be subject to a substantial annual limitation under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382 of the Internal Revenue Code of 1986 due to ownership changes that have occurred previously or that could occur in the future. These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ownership changes may limit the amount of carryforwards that can be utilized annually to offset future taxable income.</w:t>
      </w:r>
    </w:p>
    <w:p>
      <w:pPr>
        <w:spacing w:after="0" w:line="21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On January 1, 2017 the Company adopted new accounting guidance released in March 2016 that updates the accounting for certain aspects of share-based payments to employees, including the income tax consequences, classification of awards as either equity or liabilities, and classification on the consolidated statement of cash flows. On January 1, 2017, the deferred tax assets associated with federal and state net operating loss carryforwards and the capitalized research and development expense increased in the amounts of $9.4 million, $7.2 million and $3.4 million, respectively, offset by valuation allowance. The adoption of this standard did not impact the Company’s consolidated financial statements.</w:t>
      </w:r>
    </w:p>
    <w:p>
      <w:pPr>
        <w:spacing w:after="0" w:line="158"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16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As of December 31, 2017 and 2016, the Company’s gross deferred tax asset balance of $87.7 million and $97.7 million, respectively, was comprised principally of net operating loss carryforwards, capitalized research and development expenses and tax credit carryforwards. During the years ended December 31, 2017, 2016 and 2015, gross deferred tax assets (decreased) increased due to additional net operating loss carryforwards, research and development tax credits generated and additional research and development expenses capitalized for tax purposes.</w:t>
      </w:r>
    </w:p>
    <w:p>
      <w:pPr>
        <w:spacing w:after="0" w:line="171"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2017 and 2016. Management reevaluates the positive and negative evidence at each reporting period.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not recorded any amounts for unrecognized tax benefits as of December 31, 2017 or 2016.</w:t>
      </w:r>
    </w:p>
    <w:p>
      <w:pPr>
        <w:spacing w:after="0" w:line="225"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2013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On December 22, 2017, the Tax Cuts and Jobs Act ( “TCJA”) was signed into United States law. The TCJA includes a number of changes to existing tax law, including, among other things, a permanent reduction in the federal corporate income tax rate from a top marginal rate of 34% down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w:t>
      </w:r>
    </w:p>
    <w:p>
      <w:pPr>
        <w:spacing w:after="0" w:line="18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a result of the TCJA, the Company was required to revalue deferred tax assets and liabilities at 21%. This revaluation resulted in a provision of $33.8 million to income tax expense in continuing operations and a corresponding reduction in the valuation allowance. There was no impact to the Company’s consolidated statements of operations and comprehensive loss as a result of the reduction in rates. The other provisions of the TCJA did not have a material impact on the Company’s consolidated financial statements. In accordance with authoritative guidance issued by the Securities and Exchange Commission (“SEC”), the income tax effect of the TCJA represent provisional amounts for which the Company’s accounting is incomplete but for which reasonable estimates were determined and recorded during the fourth quarter of 2017. The guidance provides for a measurement period, up to one year from the enactment date, in which provisional amounts may be adjusted when additional information is obtained, prepared and analyzed. Adjustments to provisional amounts identified during the measurement period will be recorded during fiscal year 2018 to reflect any such guidance provided.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Retirement Plan</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Company has a Savings Incentive Match Plan, or SIMPLE IRA, for employees. Under the terms of the plan, the Company contributes 2% of an employee’s annual base salary, up to a maximum of the annual Internal Revenue Service compensation limits, for all full-time employees. The Company terminated this plan as of December 31, 2017 and implemented a new 401(k) plan in 2018.</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During the years ended December 31, 2017, 2016 and 2015, the Company recognized $0.1 million, $0.2 million and $0.1 million, respectively, of expense related to its contributions to the plan.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Australia Research and Development Tax Incentive</w:t>
      </w:r>
    </w:p>
    <w:p>
      <w:pPr>
        <w:spacing w:after="0" w:line="12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Company’s wholly owned subsidiary, Zafgen Australia Pty Limited, which conducts core research and development activities on behalf of the Company, is eligible to receive a 43.5% refundable tax incentive for qualified research and development activities. For the years ended December 31, 2017, 2016 and 2015, $0.9 million, $0.3 million and $1.4 million, respectively, were recorded as a reduction to research and development expenses in the consolidated statements of operations. These amounts represented 43.5% for 2017 and 45% for 2016 and 2015, of the Company’s qualified research and development spending in Australia. The refund is denominated in Australian dollars and, therefore, the related receivable is re-measured into U.S. dollars as of each reporting date. For the years ended December 31, 2017, 2016 and 2015, the Company recorded in its consolidated statements of operations unrealized foreign currency exchange gains (losses) of less than $0.1 million, less than $(0.1) million and $(0.1) million, respectively, related to this tax incentive receivable. As of December 31, 2017 and 2016, the Company’s tax incentive receivable from the Australian government was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$0.9 million and $0.3 million, respectively.</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Restructuring</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July 19, 2016, the Company announced that following a comprehensive review of its assets and clinical programs, as well as feedback from regulatory authorities, the Company refocused its resources on development of a differentiated second-generation MetAP2 inhibitor, ZGN-1061. As part of the strategic restructuring, the Company reorganized its operations to align with its new priorities focused on ZGN-1061 development. The Company’s workforce was reduced by approximately 31% as of December 2016.</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During the year ended December 31, 2016, the Company recorded $1.4 million of restructuring-related costs in operating expense, including employee severance, benefits and related costs, as well as a stock option modification. The stock option modification was a one-time, non-cash expense of $0.2 million and is included in the stock-based compensation expense line items of both the consolidated statements of cash flows and the consolidated statements of changes in stockholders’ equity as of December 31, 2016. The Company does not expect to incur any additional significant costs associated with this restructuring.</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restructuring costs by category for the periods indicated:</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center"/>
              <w:ind w:left="257"/>
              <w:spacing w:after="0"/>
              <w:rPr>
                <w:sz w:val="20"/>
                <w:szCs w:val="20"/>
                <w:color w:val="auto"/>
              </w:rPr>
            </w:pPr>
            <w:r>
              <w:rPr>
                <w:rFonts w:ascii="Arial" w:cs="Arial" w:eastAsia="Arial" w:hAnsi="Arial"/>
                <w:sz w:val="14"/>
                <w:szCs w:val="14"/>
                <w:b w:val="1"/>
                <w:bCs w:val="1"/>
                <w:color w:val="auto"/>
                <w:w w:val="92"/>
              </w:rPr>
              <w:t>Year Ended December 31, 2016</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13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Non-cash</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1,223</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1,403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20" w:type="dxa"/>
            <w:vAlign w:val="bottom"/>
            <w:vMerge w:val="restart"/>
          </w:tcPr>
          <w:p>
            <w:pPr>
              <w:jc w:val="right"/>
              <w:ind w:right="1590"/>
              <w:spacing w:after="0"/>
              <w:rPr>
                <w:sz w:val="20"/>
                <w:szCs w:val="20"/>
                <w:color w:val="auto"/>
              </w:rPr>
            </w:pPr>
            <w:r>
              <w:rPr>
                <w:rFonts w:ascii="Arial" w:cs="Arial" w:eastAsia="Arial" w:hAnsi="Arial"/>
                <w:sz w:val="18"/>
                <w:szCs w:val="18"/>
                <w:color w:val="auto"/>
              </w:rPr>
              <w:t>108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restructuring reserve for the periods indicated:</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05"/>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reserve beginning balance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Restructuring expenses incurred during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paid during the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w:t>
            </w: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Restructuring reserve ending balance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Quarterly Financial Data (Unaudited)</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information has been derived from unaudited consolidated financial statements that, in the opinion of management, include all recurring adjustments necessary for a fair statement of such information.</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center"/>
              <w:ind w:right="515"/>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1240" w:type="dxa"/>
            <w:vAlign w:val="bottom"/>
          </w:tcPr>
          <w:p>
            <w:pPr>
              <w:jc w:val="center"/>
              <w:ind w:right="419"/>
              <w:spacing w:after="0" w:line="119" w:lineRule="exact"/>
              <w:rPr>
                <w:sz w:val="20"/>
                <w:szCs w:val="20"/>
                <w:color w:val="auto"/>
              </w:rPr>
            </w:pPr>
            <w:r>
              <w:rPr>
                <w:rFonts w:ascii="Arial" w:cs="Arial" w:eastAsia="Arial" w:hAnsi="Arial"/>
                <w:sz w:val="13"/>
                <w:szCs w:val="13"/>
                <w:b w:val="1"/>
                <w:bCs w:val="1"/>
                <w:color w:val="auto"/>
                <w:w w:val="96"/>
              </w:rPr>
              <w:t>June 30,</w:t>
            </w:r>
          </w:p>
        </w:tc>
        <w:tc>
          <w:tcPr>
            <w:tcW w:w="1680" w:type="dxa"/>
            <w:vAlign w:val="bottom"/>
            <w:gridSpan w:val="2"/>
          </w:tcPr>
          <w:p>
            <w:pPr>
              <w:ind w:left="360"/>
              <w:spacing w:after="0" w:line="119" w:lineRule="exact"/>
              <w:rPr>
                <w:sz w:val="20"/>
                <w:szCs w:val="20"/>
                <w:color w:val="auto"/>
              </w:rPr>
            </w:pPr>
            <w:r>
              <w:rPr>
                <w:rFonts w:ascii="Arial" w:cs="Arial" w:eastAsia="Arial" w:hAnsi="Arial"/>
                <w:sz w:val="13"/>
                <w:szCs w:val="13"/>
                <w:b w:val="1"/>
                <w:bCs w:val="1"/>
                <w:color w:val="auto"/>
              </w:rPr>
              <w:t>September 30,</w:t>
            </w:r>
          </w:p>
        </w:tc>
        <w:tc>
          <w:tcPr>
            <w:tcW w:w="1260" w:type="dxa"/>
            <w:vAlign w:val="bottom"/>
            <w:gridSpan w:val="2"/>
          </w:tcPr>
          <w:p>
            <w:pPr>
              <w:jc w:val="center"/>
              <w:ind w:left="25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495"/>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w w:val="96"/>
              </w:rPr>
              <w:t>2017</w:t>
            </w: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gridSpan w:val="3"/>
          </w:tcPr>
          <w:p>
            <w:pPr>
              <w:jc w:val="right"/>
              <w:ind w:right="493"/>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415"/>
              <w:spacing w:after="0"/>
              <w:rPr>
                <w:sz w:val="20"/>
                <w:szCs w:val="20"/>
                <w:color w:val="auto"/>
              </w:rPr>
            </w:pPr>
            <w:r>
              <w:rPr>
                <w:rFonts w:ascii="Arial" w:cs="Arial" w:eastAsia="Arial" w:hAnsi="Arial"/>
                <w:sz w:val="18"/>
                <w:szCs w:val="18"/>
                <w:color w:val="auto"/>
              </w:rPr>
              <w:t>13,265</w:t>
            </w:r>
          </w:p>
        </w:tc>
        <w:tc>
          <w:tcPr>
            <w:tcW w:w="360" w:type="dxa"/>
            <w:vAlign w:val="bottom"/>
          </w:tcPr>
          <w:p>
            <w:pPr>
              <w:spacing w:after="0"/>
              <w:rPr>
                <w:sz w:val="18"/>
                <w:szCs w:val="18"/>
                <w:color w:val="auto"/>
              </w:rPr>
            </w:pPr>
          </w:p>
        </w:tc>
        <w:tc>
          <w:tcPr>
            <w:tcW w:w="1240" w:type="dxa"/>
            <w:vAlign w:val="bottom"/>
          </w:tcPr>
          <w:p>
            <w:pPr>
              <w:jc w:val="right"/>
              <w:ind w:right="339"/>
              <w:spacing w:after="0"/>
              <w:rPr>
                <w:sz w:val="20"/>
                <w:szCs w:val="20"/>
                <w:color w:val="auto"/>
              </w:rPr>
            </w:pPr>
            <w:r>
              <w:rPr>
                <w:rFonts w:ascii="Arial" w:cs="Arial" w:eastAsia="Arial" w:hAnsi="Arial"/>
                <w:sz w:val="18"/>
                <w:szCs w:val="18"/>
                <w:color w:val="auto"/>
              </w:rPr>
              <w:t>13,536</w:t>
            </w:r>
          </w:p>
        </w:tc>
        <w:tc>
          <w:tcPr>
            <w:tcW w:w="44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12,840</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(13,011)</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(13,347)</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(12,585)</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(13,085)</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(0.48)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9"/>
              <w:spacing w:after="0"/>
              <w:rPr>
                <w:sz w:val="20"/>
                <w:szCs w:val="20"/>
                <w:color w:val="auto"/>
              </w:rPr>
            </w:pPr>
            <w:r>
              <w:rPr>
                <w:rFonts w:ascii="Arial" w:cs="Arial" w:eastAsia="Arial" w:hAnsi="Arial"/>
                <w:sz w:val="18"/>
                <w:szCs w:val="18"/>
                <w:color w:val="auto"/>
              </w:rPr>
              <w:t>(0.49)</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73"/>
              <w:spacing w:after="0"/>
              <w:rPr>
                <w:sz w:val="20"/>
                <w:szCs w:val="20"/>
                <w:color w:val="auto"/>
              </w:rPr>
            </w:pPr>
            <w:r>
              <w:rPr>
                <w:rFonts w:ascii="Arial" w:cs="Arial" w:eastAsia="Arial" w:hAnsi="Arial"/>
                <w:sz w:val="18"/>
                <w:szCs w:val="18"/>
                <w:color w:val="auto"/>
              </w:rPr>
              <w:t>(0.46)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basic and diluted</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86"/>
              </w:rPr>
              <w:t>27,350,673</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88"/>
              </w:rPr>
              <w:t>27,407,408</w:t>
            </w: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88"/>
              </w:rPr>
              <w:t>27,483,550</w:t>
            </w: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27,489,397</w:t>
            </w:r>
          </w:p>
        </w:tc>
        <w:tc>
          <w:tcPr>
            <w:tcW w:w="100" w:type="dxa"/>
            <w:vAlign w:val="bottom"/>
            <w:shd w:val="clear" w:color="auto" w:fill="CCEEFF"/>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center"/>
              <w:ind w:right="515"/>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1240" w:type="dxa"/>
            <w:vAlign w:val="bottom"/>
          </w:tcPr>
          <w:p>
            <w:pPr>
              <w:jc w:val="center"/>
              <w:ind w:right="419"/>
              <w:spacing w:after="0" w:line="119" w:lineRule="exact"/>
              <w:rPr>
                <w:sz w:val="20"/>
                <w:szCs w:val="20"/>
                <w:color w:val="auto"/>
              </w:rPr>
            </w:pPr>
            <w:r>
              <w:rPr>
                <w:rFonts w:ascii="Arial" w:cs="Arial" w:eastAsia="Arial" w:hAnsi="Arial"/>
                <w:sz w:val="13"/>
                <w:szCs w:val="13"/>
                <w:b w:val="1"/>
                <w:bCs w:val="1"/>
                <w:color w:val="auto"/>
                <w:w w:val="96"/>
              </w:rPr>
              <w:t>June 30,</w:t>
            </w:r>
          </w:p>
        </w:tc>
        <w:tc>
          <w:tcPr>
            <w:tcW w:w="1680" w:type="dxa"/>
            <w:vAlign w:val="bottom"/>
            <w:gridSpan w:val="2"/>
          </w:tcPr>
          <w:p>
            <w:pPr>
              <w:ind w:left="360"/>
              <w:spacing w:after="0" w:line="119" w:lineRule="exact"/>
              <w:rPr>
                <w:sz w:val="20"/>
                <w:szCs w:val="20"/>
                <w:color w:val="auto"/>
              </w:rPr>
            </w:pPr>
            <w:r>
              <w:rPr>
                <w:rFonts w:ascii="Arial" w:cs="Arial" w:eastAsia="Arial" w:hAnsi="Arial"/>
                <w:sz w:val="13"/>
                <w:szCs w:val="13"/>
                <w:b w:val="1"/>
                <w:bCs w:val="1"/>
                <w:color w:val="auto"/>
              </w:rPr>
              <w:t>September 30,</w:t>
            </w:r>
          </w:p>
        </w:tc>
        <w:tc>
          <w:tcPr>
            <w:tcW w:w="1260" w:type="dxa"/>
            <w:vAlign w:val="bottom"/>
            <w:gridSpan w:val="2"/>
          </w:tcPr>
          <w:p>
            <w:pPr>
              <w:jc w:val="center"/>
              <w:ind w:left="25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495"/>
              <w:spacing w:after="0"/>
              <w:rPr>
                <w:sz w:val="20"/>
                <w:szCs w:val="20"/>
                <w:color w:val="auto"/>
              </w:rPr>
            </w:pPr>
            <w:r>
              <w:rPr>
                <w:rFonts w:ascii="Arial" w:cs="Arial" w:eastAsia="Arial" w:hAnsi="Arial"/>
                <w:sz w:val="14"/>
                <w:szCs w:val="14"/>
                <w:b w:val="1"/>
                <w:bCs w:val="1"/>
                <w:color w:val="auto"/>
                <w:w w:val="89"/>
              </w:rPr>
              <w:t>2016</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gridSpan w:val="3"/>
          </w:tcPr>
          <w:p>
            <w:pPr>
              <w:jc w:val="right"/>
              <w:ind w:right="493"/>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415"/>
              <w:spacing w:after="0"/>
              <w:rPr>
                <w:sz w:val="20"/>
                <w:szCs w:val="20"/>
                <w:color w:val="auto"/>
              </w:rPr>
            </w:pPr>
            <w:r>
              <w:rPr>
                <w:rFonts w:ascii="Arial" w:cs="Arial" w:eastAsia="Arial" w:hAnsi="Arial"/>
                <w:sz w:val="18"/>
                <w:szCs w:val="18"/>
                <w:color w:val="auto"/>
              </w:rPr>
              <w:t>17,857</w:t>
            </w:r>
          </w:p>
        </w:tc>
        <w:tc>
          <w:tcPr>
            <w:tcW w:w="360" w:type="dxa"/>
            <w:vAlign w:val="bottom"/>
          </w:tcPr>
          <w:p>
            <w:pPr>
              <w:spacing w:after="0"/>
              <w:rPr>
                <w:sz w:val="18"/>
                <w:szCs w:val="18"/>
                <w:color w:val="auto"/>
              </w:rPr>
            </w:pPr>
          </w:p>
        </w:tc>
        <w:tc>
          <w:tcPr>
            <w:tcW w:w="1240" w:type="dxa"/>
            <w:vAlign w:val="bottom"/>
          </w:tcPr>
          <w:p>
            <w:pPr>
              <w:jc w:val="right"/>
              <w:ind w:right="339"/>
              <w:spacing w:after="0"/>
              <w:rPr>
                <w:sz w:val="20"/>
                <w:szCs w:val="20"/>
                <w:color w:val="auto"/>
              </w:rPr>
            </w:pPr>
            <w:r>
              <w:rPr>
                <w:rFonts w:ascii="Arial" w:cs="Arial" w:eastAsia="Arial" w:hAnsi="Arial"/>
                <w:sz w:val="18"/>
                <w:szCs w:val="18"/>
                <w:color w:val="auto"/>
              </w:rPr>
              <w:t>15,062</w:t>
            </w:r>
          </w:p>
        </w:tc>
        <w:tc>
          <w:tcPr>
            <w:tcW w:w="44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14,831</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(17,736)</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(15,028)</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(14,675)</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(10,439)</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(0.65)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9"/>
              <w:spacing w:after="0"/>
              <w:rPr>
                <w:sz w:val="20"/>
                <w:szCs w:val="20"/>
                <w:color w:val="auto"/>
              </w:rPr>
            </w:pPr>
            <w:r>
              <w:rPr>
                <w:rFonts w:ascii="Arial" w:cs="Arial" w:eastAsia="Arial" w:hAnsi="Arial"/>
                <w:sz w:val="18"/>
                <w:szCs w:val="18"/>
                <w:color w:val="auto"/>
              </w:rPr>
              <w:t>(0.55)</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73"/>
              <w:spacing w:after="0"/>
              <w:rPr>
                <w:sz w:val="20"/>
                <w:szCs w:val="20"/>
                <w:color w:val="auto"/>
              </w:rPr>
            </w:pPr>
            <w:r>
              <w:rPr>
                <w:rFonts w:ascii="Arial" w:cs="Arial" w:eastAsia="Arial" w:hAnsi="Arial"/>
                <w:sz w:val="18"/>
                <w:szCs w:val="18"/>
                <w:color w:val="auto"/>
              </w:rPr>
              <w:t>(0.54)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basic and diluted</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86"/>
              </w:rPr>
              <w:t>27,263,435</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88"/>
              </w:rPr>
              <w:t>27,272,225</w:t>
            </w: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88"/>
              </w:rPr>
              <w:t>27,322,907</w:t>
            </w: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27,332,515</w:t>
            </w:r>
          </w:p>
        </w:tc>
        <w:tc>
          <w:tcPr>
            <w:tcW w:w="100" w:type="dxa"/>
            <w:vAlign w:val="bottom"/>
            <w:shd w:val="clear" w:color="auto" w:fill="CCEEFF"/>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215"/>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20"/>
          </w:cols>
          <w:pgMar w:left="240" w:top="459" w:right="8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Disclosure controls and procedures (as defined in Exchange Act Rules 13a-15(e) and 15d-15(e)) are designed only to provide reasonable assurance that they will meet their objectives. Under the supervision and with the participation of our management, including our principal executive officer and principal financial officer, we conducted an evaluation of the effectiveness, as of December 31, 2017, of the design and operation of our disclosure controls and procedures, as such term is defined in Exchange Act Rules 13a-15(e) and 15d-15(e). Based on this evaluation, our principal executive officer and principal financial officer have concluded that, as of such date, our disclosure controls and procedures are effective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Our internal control system is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8" w:lineRule="exact"/>
        <w:rPr>
          <w:sz w:val="20"/>
          <w:szCs w:val="20"/>
          <w:color w:val="auto"/>
        </w:rPr>
      </w:pPr>
    </w:p>
    <w:p>
      <w:pPr>
        <w:ind w:left="200" w:right="680" w:firstLine="441"/>
        <w:spacing w:after="0" w:line="291" w:lineRule="auto"/>
        <w:rPr>
          <w:sz w:val="20"/>
          <w:szCs w:val="20"/>
          <w:color w:val="auto"/>
        </w:rPr>
      </w:pPr>
      <w:r>
        <w:rPr>
          <w:rFonts w:ascii="Arial" w:cs="Arial" w:eastAsia="Arial" w:hAnsi="Arial"/>
          <w:sz w:val="16"/>
          <w:szCs w:val="16"/>
          <w:color w:val="auto"/>
        </w:rPr>
        <w:t>Our management has assessed the effectiveness of our internal control over financial reporting as of December 31, 2017. In making this assessment, management used the criteria set forth by the Committee of Sponsoring Organizations of the Treadway Commission (COSO) in its</w:t>
      </w:r>
    </w:p>
    <w:p>
      <w:pPr>
        <w:ind w:left="200" w:right="300"/>
        <w:spacing w:after="0" w:line="261" w:lineRule="auto"/>
        <w:rPr>
          <w:sz w:val="20"/>
          <w:szCs w:val="20"/>
          <w:color w:val="auto"/>
        </w:rPr>
      </w:pPr>
      <w:r>
        <w:rPr>
          <w:rFonts w:ascii="Arial" w:cs="Arial" w:eastAsia="Arial" w:hAnsi="Arial"/>
          <w:sz w:val="18"/>
          <w:szCs w:val="18"/>
          <w:color w:val="auto"/>
        </w:rPr>
        <w:t xml:space="preserve">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Based on this assessment, our management has concluded that as of December 31, 2017 our internal control over financial reporting is effective.</w:t>
      </w:r>
    </w:p>
    <w:p>
      <w:pPr>
        <w:spacing w:after="0" w:line="18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an Emerging Growth Company, as defined under the terms of the Jobs Act of 2012, our independent registered accounting firm is not required to issue an attestation report on the internal control over financial reporting.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15d-15(d) under the Exchange Act) during the fourth quarter of the year ended December 31, 2017 that have materially affected, or are reasonably likely to materially affect, our internal control over financial reporting.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2017.</w:t>
      </w:r>
    </w:p>
    <w:p>
      <w:pPr>
        <w:spacing w:after="0" w:line="285" w:lineRule="exact"/>
        <w:rPr>
          <w:sz w:val="20"/>
          <w:szCs w:val="20"/>
          <w:color w:val="auto"/>
        </w:rPr>
      </w:pPr>
    </w:p>
    <w:p>
      <w:pPr>
        <w:ind w:left="200" w:right="2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2017.</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240" w:top="459" w:right="5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31" w:lineRule="exact"/>
        <w:rPr>
          <w:sz w:val="20"/>
          <w:szCs w:val="20"/>
          <w:color w:val="auto"/>
        </w:rPr>
      </w:pPr>
    </w:p>
    <w:p>
      <w:pPr>
        <w:ind w:left="640" w:hanging="436"/>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1. Consolidated Financial Statements.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 xml:space="preserve">For a list of the consolidated financial statements included herein, see Index on page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of this report.</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required information is included in the financial statements or notes thereto.</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 List of Exhibits.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the Exhibit Index in Item 15(b) below.</w:t>
      </w:r>
    </w:p>
    <w:p>
      <w:pPr>
        <w:spacing w:after="0" w:line="370" w:lineRule="exact"/>
        <w:rPr>
          <w:sz w:val="20"/>
          <w:szCs w:val="20"/>
          <w:color w:val="auto"/>
        </w:rPr>
      </w:pPr>
    </w:p>
    <w:p>
      <w:pPr>
        <w:ind w:left="640" w:hanging="436"/>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exhibits listed in the accompanying index to exhibits are filed as part of, or incorporated by reference into, this Annual Report on Form 10-K.</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0" w:type="dxa"/>
            <w:vAlign w:val="bottom"/>
            <w:gridSpan w:val="15"/>
          </w:tcPr>
          <w:p>
            <w:pPr>
              <w:jc w:val="center"/>
              <w:ind w:right="4640"/>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20" w:type="dxa"/>
            <w:vAlign w:val="bottom"/>
            <w:gridSpan w:val="13"/>
          </w:tcPr>
          <w:p>
            <w:pPr>
              <w:ind w:left="260"/>
              <w:spacing w:after="0"/>
              <w:rPr>
                <w:sz w:val="20"/>
                <w:szCs w:val="20"/>
                <w:color w:val="auto"/>
              </w:rPr>
            </w:pPr>
            <w:r>
              <w:rPr>
                <w:rFonts w:ascii="Arial" w:cs="Arial" w:eastAsia="Arial" w:hAnsi="Arial"/>
                <w:sz w:val="14"/>
                <w:szCs w:val="14"/>
                <w:b w:val="1"/>
                <w:bCs w:val="1"/>
                <w:color w:val="auto"/>
              </w:rPr>
              <w:t>Description</w:t>
            </w:r>
          </w:p>
        </w:tc>
      </w:tr>
      <w:tr>
        <w:trPr>
          <w:trHeight w:val="257"/>
        </w:trPr>
        <w:tc>
          <w:tcPr>
            <w:tcW w:w="20" w:type="dxa"/>
            <w:vAlign w:val="bottom"/>
          </w:tcPr>
          <w:p>
            <w:pPr>
              <w:spacing w:after="0"/>
              <w:rPr>
                <w:sz w:val="22"/>
                <w:szCs w:val="22"/>
                <w:color w:val="auto"/>
              </w:rPr>
            </w:pPr>
          </w:p>
        </w:tc>
        <w:tc>
          <w:tcPr>
            <w:tcW w:w="7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87"/>
              </w:rPr>
              <w:t>3.1</w:t>
            </w:r>
          </w:p>
        </w:tc>
        <w:tc>
          <w:tcPr>
            <w:tcW w:w="940" w:type="dxa"/>
            <w:vAlign w:val="bottom"/>
          </w:tcPr>
          <w:p>
            <w:pPr>
              <w:spacing w:after="0"/>
              <w:rPr>
                <w:sz w:val="22"/>
                <w:szCs w:val="22"/>
                <w:color w:val="auto"/>
              </w:rPr>
            </w:pPr>
          </w:p>
        </w:tc>
        <w:tc>
          <w:tcPr>
            <w:tcW w:w="9100" w:type="dxa"/>
            <w:vAlign w:val="bottom"/>
            <w:tcBorders>
              <w:top w:val="single" w:sz="8" w:color="auto"/>
              <w:bottom w:val="single" w:sz="8" w:color="0000EE"/>
            </w:tcBorders>
            <w:gridSpan w:val="12"/>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Ninth Amended and Restated Certificate of Incorporation of the Registrant, as currently in effect (incorporated by reference to</w:t>
              </w:r>
            </w:hyperlink>
          </w:p>
        </w:tc>
        <w:tc>
          <w:tcPr>
            <w:tcW w:w="280" w:type="dxa"/>
            <w:vAlign w:val="bottom"/>
            <w:tcBorders>
              <w:top w:val="single" w:sz="8" w:color="auto"/>
            </w:tcBorders>
            <w:gridSpan w:val="5"/>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80" w:type="dxa"/>
            <w:vAlign w:val="bottom"/>
            <w:gridSpan w:val="17"/>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Exhibit 3.1 of the Registrant’s Form 8-K filed on June 24, 2014)</w:t>
              </w:r>
            </w:hyperlink>
          </w:p>
        </w:tc>
      </w:tr>
      <w:tr>
        <w:trPr>
          <w:trHeight w:val="20"/>
        </w:trPr>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20" w:type="dxa"/>
            <w:vAlign w:val="bottom"/>
            <w:gridSpan w:val="2"/>
          </w:tcPr>
          <w:p>
            <w:pPr>
              <w:jc w:val="center"/>
              <w:ind w:right="210"/>
              <w:spacing w:after="0"/>
              <w:rPr>
                <w:sz w:val="20"/>
                <w:szCs w:val="20"/>
                <w:color w:val="auto"/>
              </w:rPr>
            </w:pPr>
            <w:r>
              <w:rPr>
                <w:rFonts w:ascii="Arial" w:cs="Arial" w:eastAsia="Arial" w:hAnsi="Arial"/>
                <w:sz w:val="18"/>
                <w:szCs w:val="18"/>
                <w:color w:val="auto"/>
                <w:w w:val="87"/>
              </w:rPr>
              <w:t>3.2</w:t>
            </w:r>
          </w:p>
        </w:tc>
        <w:tc>
          <w:tcPr>
            <w:tcW w:w="940" w:type="dxa"/>
            <w:vAlign w:val="bottom"/>
          </w:tcPr>
          <w:p>
            <w:pPr>
              <w:spacing w:after="0"/>
              <w:rPr>
                <w:sz w:val="24"/>
                <w:szCs w:val="24"/>
                <w:color w:val="auto"/>
              </w:rPr>
            </w:pPr>
          </w:p>
        </w:tc>
        <w:tc>
          <w:tcPr>
            <w:tcW w:w="9380" w:type="dxa"/>
            <w:vAlign w:val="bottom"/>
            <w:gridSpan w:val="17"/>
          </w:tcPr>
          <w:p>
            <w:pPr>
              <w:spacing w:after="0"/>
              <w:rPr>
                <w:rFonts w:ascii="Arial" w:cs="Arial" w:eastAsia="Arial" w:hAnsi="Arial"/>
                <w:sz w:val="18"/>
                <w:szCs w:val="18"/>
                <w:color w:val="0000EE"/>
                <w:w w:val="99"/>
              </w:rPr>
            </w:pPr>
            <w:hyperlink r:id="rId129">
              <w:r>
                <w:rPr>
                  <w:rFonts w:ascii="Arial" w:cs="Arial" w:eastAsia="Arial" w:hAnsi="Arial"/>
                  <w:sz w:val="18"/>
                  <w:szCs w:val="18"/>
                  <w:color w:val="0000EE"/>
                  <w:w w:val="99"/>
                </w:rPr>
                <w:t>Amended and Restated By-laws of the Registrant, as currently in effect (incorporated by reference to Exhibit 3.2 of the</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Registrant’s Form 8-K filed on June 24, 2014)</w:t>
              </w:r>
            </w:hyperlink>
          </w:p>
        </w:tc>
        <w:tc>
          <w:tcPr>
            <w:tcW w:w="820" w:type="dxa"/>
            <w:vAlign w:val="bottom"/>
            <w:gridSpan w:val="9"/>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20" w:type="dxa"/>
            <w:vAlign w:val="bottom"/>
            <w:gridSpan w:val="2"/>
          </w:tcPr>
          <w:p>
            <w:pPr>
              <w:jc w:val="center"/>
              <w:ind w:right="210"/>
              <w:spacing w:after="0"/>
              <w:rPr>
                <w:sz w:val="20"/>
                <w:szCs w:val="20"/>
                <w:color w:val="auto"/>
              </w:rPr>
            </w:pPr>
            <w:r>
              <w:rPr>
                <w:rFonts w:ascii="Arial" w:cs="Arial" w:eastAsia="Arial" w:hAnsi="Arial"/>
                <w:sz w:val="18"/>
                <w:szCs w:val="18"/>
                <w:color w:val="auto"/>
                <w:w w:val="87"/>
              </w:rPr>
              <w:t>4.1</w:t>
            </w:r>
          </w:p>
        </w:tc>
        <w:tc>
          <w:tcPr>
            <w:tcW w:w="940" w:type="dxa"/>
            <w:vAlign w:val="bottom"/>
          </w:tcPr>
          <w:p>
            <w:pPr>
              <w:spacing w:after="0"/>
              <w:rPr>
                <w:sz w:val="24"/>
                <w:szCs w:val="24"/>
                <w:color w:val="auto"/>
              </w:rPr>
            </w:pPr>
          </w:p>
        </w:tc>
        <w:tc>
          <w:tcPr>
            <w:tcW w:w="8940" w:type="dxa"/>
            <w:vAlign w:val="bottom"/>
            <w:tcBorders>
              <w:bottom w:val="single" w:sz="8" w:color="0000EE"/>
            </w:tcBorders>
            <w:gridSpan w:val="10"/>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Specimen Common Stock Certificate (incorporated by reference to Exhibit 4.1 of the Registrant’s Registration Statement on</w:t>
              </w:r>
            </w:hyperlink>
          </w:p>
        </w:tc>
        <w:tc>
          <w:tcPr>
            <w:tcW w:w="44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Form S-1 (File No. 333-195391) filed on June 18, 2014)</w:t>
              </w:r>
            </w:hyperlink>
          </w:p>
        </w:tc>
        <w:tc>
          <w:tcPr>
            <w:tcW w:w="5320" w:type="dxa"/>
            <w:vAlign w:val="bottom"/>
            <w:gridSpan w:val="13"/>
          </w:tcPr>
          <w:p>
            <w:pPr>
              <w:spacing w:after="0"/>
              <w:rPr>
                <w:sz w:val="17"/>
                <w:szCs w:val="17"/>
                <w:color w:val="auto"/>
              </w:rPr>
            </w:pPr>
          </w:p>
        </w:tc>
      </w:tr>
      <w:tr>
        <w:trPr>
          <w:trHeight w:val="304"/>
        </w:trPr>
        <w:tc>
          <w:tcPr>
            <w:tcW w:w="720" w:type="dxa"/>
            <w:vAlign w:val="bottom"/>
            <w:gridSpan w:val="2"/>
          </w:tcPr>
          <w:p>
            <w:pPr>
              <w:jc w:val="center"/>
              <w:ind w:right="210"/>
              <w:spacing w:after="0"/>
              <w:rPr>
                <w:sz w:val="20"/>
                <w:szCs w:val="20"/>
                <w:color w:val="auto"/>
              </w:rPr>
            </w:pPr>
            <w:r>
              <w:rPr>
                <w:rFonts w:ascii="Arial" w:cs="Arial" w:eastAsia="Arial" w:hAnsi="Arial"/>
                <w:sz w:val="18"/>
                <w:szCs w:val="18"/>
                <w:color w:val="auto"/>
                <w:w w:val="87"/>
              </w:rPr>
              <w:t>4.2</w:t>
            </w:r>
          </w:p>
        </w:tc>
        <w:tc>
          <w:tcPr>
            <w:tcW w:w="940" w:type="dxa"/>
            <w:vAlign w:val="bottom"/>
          </w:tcPr>
          <w:p>
            <w:pPr>
              <w:spacing w:after="0"/>
              <w:rPr>
                <w:sz w:val="24"/>
                <w:szCs w:val="24"/>
                <w:color w:val="auto"/>
              </w:rPr>
            </w:pPr>
          </w:p>
        </w:tc>
        <w:tc>
          <w:tcPr>
            <w:tcW w:w="9380" w:type="dxa"/>
            <w:vAlign w:val="bottom"/>
            <w:gridSpan w:val="17"/>
          </w:tcPr>
          <w:p>
            <w:pPr>
              <w:spacing w:after="0"/>
              <w:rPr>
                <w:rFonts w:ascii="Arial" w:cs="Arial" w:eastAsia="Arial" w:hAnsi="Arial"/>
                <w:sz w:val="18"/>
                <w:szCs w:val="18"/>
                <w:color w:val="0000EE"/>
                <w:w w:val="94"/>
              </w:rPr>
            </w:pPr>
            <w:hyperlink r:id="rId131">
              <w:r>
                <w:rPr>
                  <w:rFonts w:ascii="Arial" w:cs="Arial" w:eastAsia="Arial" w:hAnsi="Arial"/>
                  <w:sz w:val="18"/>
                  <w:szCs w:val="18"/>
                  <w:color w:val="0000EE"/>
                  <w:w w:val="94"/>
                </w:rPr>
                <w:t>Third Amended and Restated Investors’ Rights Agreement by and among the Registrant and certain of its stockholders dated</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980" w:type="dxa"/>
            <w:vAlign w:val="bottom"/>
            <w:tcBorders>
              <w:top w:val="single" w:sz="8" w:color="0000EE"/>
            </w:tcBorders>
            <w:gridSpan w:val="11"/>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November 25, 2013 (incorporated by reference to Exhibit 4.2 of the Registrant’s Registration Statement on Form S-1 (File</w:t>
              </w:r>
            </w:hyperlink>
          </w:p>
        </w:tc>
        <w:tc>
          <w:tcPr>
            <w:tcW w:w="40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No. 333-195391) filed on June 18, 2014)</w:t>
              </w:r>
            </w:hyperlink>
          </w:p>
        </w:tc>
        <w:tc>
          <w:tcPr>
            <w:tcW w:w="540" w:type="dxa"/>
            <w:vAlign w:val="bottom"/>
            <w:gridSpan w:val="8"/>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20" w:type="dxa"/>
            <w:vAlign w:val="bottom"/>
            <w:gridSpan w:val="2"/>
          </w:tcPr>
          <w:p>
            <w:pPr>
              <w:jc w:val="center"/>
              <w:ind w:right="230"/>
              <w:spacing w:after="0"/>
              <w:rPr>
                <w:sz w:val="20"/>
                <w:szCs w:val="20"/>
                <w:color w:val="auto"/>
              </w:rPr>
            </w:pPr>
            <w:r>
              <w:rPr>
                <w:rFonts w:ascii="Arial" w:cs="Arial" w:eastAsia="Arial" w:hAnsi="Arial"/>
                <w:sz w:val="18"/>
                <w:szCs w:val="18"/>
                <w:color w:val="auto"/>
                <w:w w:val="88"/>
              </w:rPr>
              <w:t>10.1#</w:t>
            </w:r>
          </w:p>
        </w:tc>
        <w:tc>
          <w:tcPr>
            <w:tcW w:w="940" w:type="dxa"/>
            <w:vAlign w:val="bottom"/>
          </w:tcPr>
          <w:p>
            <w:pPr>
              <w:spacing w:after="0"/>
              <w:rPr>
                <w:sz w:val="24"/>
                <w:szCs w:val="24"/>
                <w:color w:val="auto"/>
              </w:rPr>
            </w:pPr>
          </w:p>
        </w:tc>
        <w:tc>
          <w:tcPr>
            <w:tcW w:w="9280" w:type="dxa"/>
            <w:vAlign w:val="bottom"/>
            <w:tcBorders>
              <w:bottom w:val="single" w:sz="8" w:color="0000EE"/>
            </w:tcBorders>
            <w:gridSpan w:val="15"/>
          </w:tcPr>
          <w:p>
            <w:pPr>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Amended and Restated 2006 Stock Option Plan and forms of award agreements thereunder (incorporated by reference to Exhibit</w:t>
              </w:r>
            </w:hyperlink>
          </w:p>
        </w:tc>
        <w:tc>
          <w:tcPr>
            <w:tcW w:w="10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7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w:t>
              </w:r>
              <w:r>
                <w:rPr>
                  <w:rFonts w:ascii="Arial" w:cs="Arial" w:eastAsia="Arial" w:hAnsi="Arial"/>
                  <w:sz w:val="18"/>
                  <w:szCs w:val="18"/>
                  <w:color w:val="0000EE"/>
                  <w:w w:val="90"/>
                </w:rPr>
                <w:t xml:space="preserve"> of the Registrant’s Registration Statement on Form S-1 (File No. 333-195391) filed on June 18, 2014)</w:t>
              </w:r>
            </w:hyperlink>
          </w:p>
        </w:tc>
        <w:tc>
          <w:tcPr>
            <w:tcW w:w="1680" w:type="dxa"/>
            <w:vAlign w:val="bottom"/>
            <w:gridSpan w:val="10"/>
          </w:tcPr>
          <w:p>
            <w:pPr>
              <w:spacing w:after="0"/>
              <w:rPr>
                <w:sz w:val="17"/>
                <w:szCs w:val="17"/>
                <w:color w:val="auto"/>
              </w:rPr>
            </w:pPr>
          </w:p>
        </w:tc>
      </w:tr>
      <w:tr>
        <w:trPr>
          <w:trHeight w:val="304"/>
        </w:trPr>
        <w:tc>
          <w:tcPr>
            <w:tcW w:w="720" w:type="dxa"/>
            <w:vAlign w:val="bottom"/>
            <w:gridSpan w:val="2"/>
          </w:tcPr>
          <w:p>
            <w:pPr>
              <w:jc w:val="center"/>
              <w:ind w:right="230"/>
              <w:spacing w:after="0"/>
              <w:rPr>
                <w:sz w:val="20"/>
                <w:szCs w:val="20"/>
                <w:color w:val="auto"/>
              </w:rPr>
            </w:pPr>
            <w:r>
              <w:rPr>
                <w:rFonts w:ascii="Arial" w:cs="Arial" w:eastAsia="Arial" w:hAnsi="Arial"/>
                <w:sz w:val="18"/>
                <w:szCs w:val="18"/>
                <w:color w:val="auto"/>
                <w:w w:val="88"/>
              </w:rPr>
              <w:t>10.2#</w:t>
            </w:r>
          </w:p>
        </w:tc>
        <w:tc>
          <w:tcPr>
            <w:tcW w:w="940" w:type="dxa"/>
            <w:vAlign w:val="bottom"/>
          </w:tcPr>
          <w:p>
            <w:pPr>
              <w:spacing w:after="0"/>
              <w:rPr>
                <w:sz w:val="24"/>
                <w:szCs w:val="24"/>
                <w:color w:val="auto"/>
              </w:rPr>
            </w:pPr>
          </w:p>
        </w:tc>
        <w:tc>
          <w:tcPr>
            <w:tcW w:w="9140" w:type="dxa"/>
            <w:vAlign w:val="bottom"/>
            <w:tcBorders>
              <w:bottom w:val="single" w:sz="8" w:color="0000EE"/>
            </w:tcBorders>
            <w:gridSpan w:val="13"/>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2014 Stock Option and Incentive Plan and forms of award agreements thereunder (incorporated by reference to Exhibit 10.2 of</w:t>
              </w:r>
            </w:hyperlink>
          </w:p>
        </w:tc>
        <w:tc>
          <w:tcPr>
            <w:tcW w:w="24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1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the Registrant’s Registration Statement on Form S-1 (File No. 333-195391) filed on June 18, 2014)</w:t>
              </w:r>
            </w:hyperlink>
          </w:p>
        </w:tc>
        <w:tc>
          <w:tcPr>
            <w:tcW w:w="2240" w:type="dxa"/>
            <w:vAlign w:val="bottom"/>
            <w:gridSpan w:val="11"/>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10.3(a)†</w:t>
            </w:r>
          </w:p>
        </w:tc>
        <w:tc>
          <w:tcPr>
            <w:tcW w:w="940" w:type="dxa"/>
            <w:vAlign w:val="bottom"/>
          </w:tcPr>
          <w:p>
            <w:pPr>
              <w:spacing w:after="0"/>
              <w:rPr>
                <w:sz w:val="24"/>
                <w:szCs w:val="24"/>
                <w:color w:val="auto"/>
              </w:rPr>
            </w:pPr>
          </w:p>
        </w:tc>
        <w:tc>
          <w:tcPr>
            <w:tcW w:w="9380" w:type="dxa"/>
            <w:vAlign w:val="bottom"/>
            <w:gridSpan w:val="17"/>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Exclusive License Agreement by and between the Registrant and Chong Kun Dang Pharmaceutical Corp. of South Korea, dated</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6240" w:type="dxa"/>
            <w:vAlign w:val="bottom"/>
            <w:gridSpan w:val="1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80" w:type="dxa"/>
            <w:vAlign w:val="bottom"/>
            <w:gridSpan w:val="17"/>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July 6, 2009, as amended (incorporated by reference to Exhibit 10.3 of the Registrant’s Registration Statement on Form S-1 (File</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No. 333-195391) filed on June 18, 2014)</w:t>
              </w:r>
            </w:hyperlink>
          </w:p>
        </w:tc>
        <w:tc>
          <w:tcPr>
            <w:tcW w:w="60" w:type="dxa"/>
            <w:vAlign w:val="bottom"/>
          </w:tcPr>
          <w:p>
            <w:pPr>
              <w:spacing w:after="0"/>
              <w:rPr>
                <w:sz w:val="17"/>
                <w:szCs w:val="17"/>
                <w:color w:val="auto"/>
              </w:rPr>
            </w:pPr>
          </w:p>
        </w:tc>
      </w:tr>
      <w:tr>
        <w:trPr>
          <w:trHeight w:val="38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80" w:type="dxa"/>
            <w:vAlign w:val="bottom"/>
            <w:tcBorders>
              <w:top w:val="single" w:sz="8" w:color="0000EE"/>
            </w:tcBorders>
            <w:gridSpan w:val="2"/>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8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gridSpan w:val="23"/>
          </w:tcPr>
          <w:p>
            <w:pPr>
              <w:ind w:left="6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7"/>
        </w:trPr>
        <w:tc>
          <w:tcPr>
            <w:tcW w:w="720" w:type="dxa"/>
            <w:vAlign w:val="bottom"/>
            <w:gridSpan w:val="2"/>
          </w:tcPr>
          <w:p>
            <w:pPr>
              <w:spacing w:after="0"/>
              <w:rPr>
                <w:sz w:val="20"/>
                <w:szCs w:val="20"/>
                <w:color w:val="auto"/>
              </w:rPr>
            </w:pPr>
            <w:r>
              <w:rPr>
                <w:rFonts w:ascii="Arial" w:cs="Arial" w:eastAsia="Arial" w:hAnsi="Arial"/>
                <w:sz w:val="18"/>
                <w:szCs w:val="18"/>
                <w:color w:val="auto"/>
              </w:rPr>
              <w:t>10.3(b)</w:t>
            </w:r>
          </w:p>
        </w:tc>
        <w:tc>
          <w:tcPr>
            <w:tcW w:w="880" w:type="dxa"/>
            <w:vAlign w:val="bottom"/>
          </w:tcPr>
          <w:p>
            <w:pPr>
              <w:spacing w:after="0"/>
              <w:rPr>
                <w:sz w:val="22"/>
                <w:szCs w:val="22"/>
                <w:color w:val="auto"/>
              </w:rPr>
            </w:pPr>
          </w:p>
        </w:tc>
        <w:tc>
          <w:tcPr>
            <w:tcW w:w="8740" w:type="dxa"/>
            <w:vAlign w:val="bottom"/>
            <w:tcBorders>
              <w:bottom w:val="single" w:sz="8" w:color="0000EE"/>
            </w:tcBorders>
            <w:gridSpan w:val="11"/>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Amendment No. 4 to Exclusive License Agreement by and between the Registrant and Chong Kun Dang Pharmaceutical</w:t>
              </w:r>
            </w:hyperlink>
          </w:p>
        </w:tc>
        <w:tc>
          <w:tcPr>
            <w:tcW w:w="700" w:type="dxa"/>
            <w:vAlign w:val="bottom"/>
            <w:gridSpan w:val="17"/>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Corporation, dated October 29, 2014 (incorporated by reference to Exhibit 10.3(b) of the Registrant’s Registration Statement on</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Form S-1 (File No. 333-201439) filed on January 12, 2015)</w:t>
              </w:r>
            </w:hyperlink>
          </w:p>
        </w:tc>
        <w:tc>
          <w:tcPr>
            <w:tcW w:w="4900" w:type="dxa"/>
            <w:vAlign w:val="bottom"/>
            <w:tcBorders>
              <w:top w:val="single" w:sz="8" w:color="0000EE"/>
            </w:tcBorders>
            <w:gridSpan w:val="13"/>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880" w:type="dxa"/>
            <w:vAlign w:val="bottom"/>
          </w:tcPr>
          <w:p>
            <w:pPr>
              <w:spacing w:after="0"/>
              <w:rPr>
                <w:sz w:val="24"/>
                <w:szCs w:val="24"/>
                <w:color w:val="auto"/>
              </w:rPr>
            </w:pPr>
          </w:p>
        </w:tc>
        <w:tc>
          <w:tcPr>
            <w:tcW w:w="9240" w:type="dxa"/>
            <w:vAlign w:val="bottom"/>
            <w:tcBorders>
              <w:bottom w:val="single" w:sz="8" w:color="0000EE"/>
            </w:tcBorders>
            <w:gridSpan w:val="20"/>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Subscription Agreement by and between the Registrant and Chong Kun Dang Pharmaceutical Corporation, dated November 20,</w:t>
              </w:r>
            </w:hyperlink>
          </w:p>
        </w:tc>
        <w:tc>
          <w:tcPr>
            <w:tcW w:w="20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2014 (incorporated by reference to Exhibit 10.4 of the Registrant’s Registration Statement on Form S-1 (File No. 333-201439)</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filed on January 12, 2015)</w:t>
              </w:r>
            </w:hyperlink>
          </w:p>
        </w:tc>
        <w:tc>
          <w:tcPr>
            <w:tcW w:w="7160" w:type="dxa"/>
            <w:vAlign w:val="bottom"/>
            <w:tcBorders>
              <w:top w:val="single" w:sz="8" w:color="0000EE"/>
            </w:tcBorders>
            <w:gridSpan w:val="14"/>
          </w:tcPr>
          <w:p>
            <w:pPr>
              <w:spacing w:after="0"/>
              <w:rPr>
                <w:sz w:val="17"/>
                <w:szCs w:val="17"/>
                <w:color w:val="auto"/>
              </w:rPr>
            </w:pPr>
          </w:p>
        </w:tc>
        <w:tc>
          <w:tcPr>
            <w:tcW w:w="360" w:type="dxa"/>
            <w:vAlign w:val="bottom"/>
            <w:gridSpan w:val="13"/>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88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3"/>
              </w:rPr>
            </w:pPr>
            <w:hyperlink r:id="rId138">
              <w:r>
                <w:rPr>
                  <w:rFonts w:ascii="Arial" w:cs="Arial" w:eastAsia="Arial" w:hAnsi="Arial"/>
                  <w:sz w:val="18"/>
                  <w:szCs w:val="18"/>
                  <w:color w:val="0000EE"/>
                  <w:w w:val="93"/>
                </w:rPr>
                <w:t>Letter by and between the Registrant and Thomas E. Hughes, dated July 25, 2008 (incorporated by reference to Exhibit 10.5 of</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the Registrant’s Registration Statement on Form S-1 (File No. 333-195391) filed on June 18, 2014)</w:t>
              </w:r>
            </w:hyperlink>
          </w:p>
        </w:tc>
        <w:tc>
          <w:tcPr>
            <w:tcW w:w="2040" w:type="dxa"/>
            <w:vAlign w:val="bottom"/>
            <w:tcBorders>
              <w:top w:val="single" w:sz="8" w:color="0000EE"/>
            </w:tcBorders>
            <w:gridSpan w:val="10"/>
          </w:tcPr>
          <w:p>
            <w:pPr>
              <w:spacing w:after="0"/>
              <w:rPr>
                <w:sz w:val="17"/>
                <w:szCs w:val="17"/>
                <w:color w:val="auto"/>
              </w:rPr>
            </w:pPr>
          </w:p>
        </w:tc>
        <w:tc>
          <w:tcPr>
            <w:tcW w:w="280" w:type="dxa"/>
            <w:vAlign w:val="bottom"/>
            <w:gridSpan w:val="11"/>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88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5"/>
              </w:rPr>
            </w:pPr>
            <w:hyperlink r:id="rId139">
              <w:r>
                <w:rPr>
                  <w:rFonts w:ascii="Arial" w:cs="Arial" w:eastAsia="Arial" w:hAnsi="Arial"/>
                  <w:sz w:val="18"/>
                  <w:szCs w:val="18"/>
                  <w:color w:val="0000EE"/>
                  <w:w w:val="95"/>
                </w:rPr>
                <w:t>Employee Non-Competition, Non-Solicitation, Confidentiality and Assignment Agreement by and between the Registrant and</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Thomas E. Hughes, dated July 29, 2008 (incorporated by reference to Exhibit 10.6 of the Registrant’s Registration Statement on</w:t>
              </w:r>
            </w:hyperlink>
          </w:p>
        </w:tc>
        <w:tc>
          <w:tcPr>
            <w:tcW w:w="24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Form S-1 (File No. 333-195391) filed on June 18, 2014)</w:t>
              </w:r>
            </w:hyperlink>
          </w:p>
        </w:tc>
        <w:tc>
          <w:tcPr>
            <w:tcW w:w="5400" w:type="dxa"/>
            <w:vAlign w:val="bottom"/>
            <w:gridSpan w:val="25"/>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880" w:type="dxa"/>
            <w:vAlign w:val="bottom"/>
          </w:tcPr>
          <w:p>
            <w:pPr>
              <w:spacing w:after="0"/>
              <w:rPr>
                <w:sz w:val="24"/>
                <w:szCs w:val="24"/>
                <w:color w:val="auto"/>
              </w:rPr>
            </w:pPr>
          </w:p>
        </w:tc>
        <w:tc>
          <w:tcPr>
            <w:tcW w:w="9380" w:type="dxa"/>
            <w:vAlign w:val="bottom"/>
            <w:tcBorders>
              <w:bottom w:val="single" w:sz="8" w:color="0000EE"/>
            </w:tcBorders>
            <w:gridSpan w:val="26"/>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Letter by and between the Registrant and Dennis D. Kim, dated August 23, 2011 (incorporated by reference to Exhibit 10.7 of the</w:t>
              </w:r>
            </w:hyperlink>
          </w:p>
        </w:tc>
        <w:tc>
          <w:tcPr>
            <w:tcW w:w="6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Registrant’s Registration Statement on Form S-1 (File No. 333-195391) filed on June 18, 2014)</w:t>
              </w:r>
            </w:hyperlink>
          </w:p>
        </w:tc>
        <w:tc>
          <w:tcPr>
            <w:tcW w:w="2580" w:type="dxa"/>
            <w:vAlign w:val="bottom"/>
            <w:gridSpan w:val="22"/>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88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Employee Non-Competition, Non-Solicitation, Confidentiality and Assignment Agreement by and between the Registrant and</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1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Dennis D. Kim, dated August 29, 2013 (incorporated by reference to Exhibit 10.8 of the Registrant’s Registration Statement on</w:t>
              </w:r>
            </w:hyperlink>
          </w:p>
        </w:tc>
        <w:tc>
          <w:tcPr>
            <w:tcW w:w="30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Form S-1 (File No. 333-195391) filed on June 18, 2014)</w:t>
              </w:r>
            </w:hyperlink>
          </w:p>
        </w:tc>
        <w:tc>
          <w:tcPr>
            <w:tcW w:w="5400" w:type="dxa"/>
            <w:vAlign w:val="bottom"/>
            <w:gridSpan w:val="25"/>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880" w:type="dxa"/>
            <w:vAlign w:val="bottom"/>
          </w:tcPr>
          <w:p>
            <w:pPr>
              <w:spacing w:after="0"/>
              <w:rPr>
                <w:sz w:val="24"/>
                <w:szCs w:val="24"/>
                <w:color w:val="auto"/>
              </w:rPr>
            </w:pPr>
          </w:p>
        </w:tc>
        <w:tc>
          <w:tcPr>
            <w:tcW w:w="9440" w:type="dxa"/>
            <w:vAlign w:val="bottom"/>
            <w:tcBorders>
              <w:bottom w:val="single" w:sz="8" w:color="0000EE"/>
            </w:tcBorders>
            <w:gridSpan w:val="28"/>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Letter by and between the Registrant and Patricia L. Allen, dated December 10, 2012 (incorporated by reference to Exhibit 10.9 of</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1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the Registrant’s Registration Statement on Form S-1 (File No. 333-195391) filed on June 18, 2014)</w:t>
              </w:r>
            </w:hyperlink>
          </w:p>
        </w:tc>
        <w:tc>
          <w:tcPr>
            <w:tcW w:w="2320" w:type="dxa"/>
            <w:vAlign w:val="bottom"/>
            <w:gridSpan w:val="21"/>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88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5"/>
              </w:rPr>
            </w:pPr>
            <w:hyperlink r:id="rId143">
              <w:r>
                <w:rPr>
                  <w:rFonts w:ascii="Arial" w:cs="Arial" w:eastAsia="Arial" w:hAnsi="Arial"/>
                  <w:sz w:val="18"/>
                  <w:szCs w:val="18"/>
                  <w:color w:val="0000EE"/>
                  <w:w w:val="95"/>
                </w:rPr>
                <w:t>Employee Non-Competition, Non-Solicitation, Confidentiality and Assignment Agreement by and between the Registrant and</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Patricia L. Allen, dated August 29, 2013 (incorporated by reference to Exhibit 10.10 of the Registrant’s Registration Statement on</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Form S-1 (File No. 333-195391) filed on June 18, 2014)</w:t>
              </w:r>
            </w:hyperlink>
          </w:p>
        </w:tc>
        <w:tc>
          <w:tcPr>
            <w:tcW w:w="5280" w:type="dxa"/>
            <w:vAlign w:val="bottom"/>
            <w:tcBorders>
              <w:top w:val="single" w:sz="8" w:color="0000EE"/>
            </w:tcBorders>
            <w:gridSpan w:val="21"/>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10.11(a)</w:t>
            </w:r>
          </w:p>
        </w:tc>
        <w:tc>
          <w:tcPr>
            <w:tcW w:w="88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5"/>
              </w:rPr>
            </w:pPr>
            <w:hyperlink r:id="rId144">
              <w:r>
                <w:rPr>
                  <w:rFonts w:ascii="Arial" w:cs="Arial" w:eastAsia="Arial" w:hAnsi="Arial"/>
                  <w:sz w:val="18"/>
                  <w:szCs w:val="18"/>
                  <w:color w:val="0000EE"/>
                  <w:w w:val="95"/>
                </w:rPr>
                <w:t>Form of Indemnification Agreement, to be entered into between the Registrant and its directors (incorporated by reference to</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Exhibit 10.11(a) of the Registrant’s Registration Statement on Form S-1 (File No. 333-195391) filed on June 18, 2014)</w:t>
              </w:r>
            </w:hyperlink>
          </w:p>
        </w:tc>
        <w:tc>
          <w:tcPr>
            <w:tcW w:w="420" w:type="dxa"/>
            <w:vAlign w:val="bottom"/>
            <w:tcBorders>
              <w:top w:val="single" w:sz="8" w:color="0000EE"/>
            </w:tcBorders>
            <w:gridSpan w:val="3"/>
          </w:tcPr>
          <w:p>
            <w:pPr>
              <w:spacing w:after="0"/>
              <w:rPr>
                <w:sz w:val="17"/>
                <w:szCs w:val="17"/>
                <w:color w:val="auto"/>
              </w:rPr>
            </w:pPr>
          </w:p>
        </w:tc>
        <w:tc>
          <w:tcPr>
            <w:tcW w:w="480" w:type="dxa"/>
            <w:vAlign w:val="bottom"/>
            <w:gridSpan w:val="15"/>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10.11(b)</w:t>
            </w:r>
          </w:p>
        </w:tc>
        <w:tc>
          <w:tcPr>
            <w:tcW w:w="88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6"/>
              </w:rPr>
            </w:pPr>
            <w:hyperlink r:id="rId145">
              <w:r>
                <w:rPr>
                  <w:rFonts w:ascii="Arial" w:cs="Arial" w:eastAsia="Arial" w:hAnsi="Arial"/>
                  <w:sz w:val="18"/>
                  <w:szCs w:val="18"/>
                  <w:color w:val="0000EE"/>
                  <w:w w:val="96"/>
                </w:rPr>
                <w:t>Form of Indemnification Agreement, to be entered into between the Registrant and its officers (incorporated by reference to</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8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r:id="rId145">
              <w:r>
                <w:rPr>
                  <w:rFonts w:ascii="Arial" w:cs="Arial" w:eastAsia="Arial" w:hAnsi="Arial"/>
                  <w:sz w:val="18"/>
                  <w:szCs w:val="18"/>
                  <w:color w:val="0000EE"/>
                  <w:w w:val="94"/>
                </w:rPr>
                <w:t>Exhibit 10.11(b) of the Registrant’s Registration Statement on Form S-1 (File No. 333-195391) filed on June 18, 2014)</w:t>
              </w:r>
            </w:hyperlink>
          </w:p>
        </w:tc>
        <w:tc>
          <w:tcPr>
            <w:tcW w:w="560" w:type="dxa"/>
            <w:vAlign w:val="bottom"/>
            <w:gridSpan w:val="16"/>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880" w:type="dxa"/>
            <w:vAlign w:val="bottom"/>
          </w:tcPr>
          <w:p>
            <w:pPr>
              <w:spacing w:after="0"/>
              <w:rPr>
                <w:sz w:val="24"/>
                <w:szCs w:val="24"/>
                <w:color w:val="auto"/>
              </w:rPr>
            </w:pPr>
          </w:p>
        </w:tc>
        <w:tc>
          <w:tcPr>
            <w:tcW w:w="9420" w:type="dxa"/>
            <w:vAlign w:val="bottom"/>
            <w:tcBorders>
              <w:bottom w:val="single" w:sz="8" w:color="0000EE"/>
            </w:tcBorders>
            <w:gridSpan w:val="27"/>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Senior Executive Cash Incentive Bonus Plan (incorporated by reference to Exhibit 10.12 of the Registrant’s Registration Statement</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on Form S-1 (File No. 333-195391) filed on June 18, 2014)</w:t>
              </w:r>
            </w:hyperlink>
          </w:p>
        </w:tc>
        <w:tc>
          <w:tcPr>
            <w:tcW w:w="5180" w:type="dxa"/>
            <w:vAlign w:val="bottom"/>
            <w:gridSpan w:val="24"/>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880" w:type="dxa"/>
            <w:vAlign w:val="bottom"/>
          </w:tcPr>
          <w:p>
            <w:pPr>
              <w:spacing w:after="0"/>
              <w:rPr>
                <w:sz w:val="24"/>
                <w:szCs w:val="24"/>
                <w:color w:val="auto"/>
              </w:rPr>
            </w:pPr>
          </w:p>
        </w:tc>
        <w:tc>
          <w:tcPr>
            <w:tcW w:w="9300" w:type="dxa"/>
            <w:vAlign w:val="bottom"/>
            <w:tcBorders>
              <w:bottom w:val="single" w:sz="8" w:color="0000EE"/>
            </w:tcBorders>
            <w:gridSpan w:val="23"/>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Exclusive License Agreement by and between the Registrant and Children’s Medical Center Corporation, dated January 4, 2007,</w:t>
              </w:r>
            </w:hyperlink>
          </w:p>
        </w:tc>
        <w:tc>
          <w:tcPr>
            <w:tcW w:w="14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as amended January 15, 2007 (incorporated by reference to Exhibit 10.13 of the Registrant’s Registration Statement on Form S-1</w:t>
              </w:r>
            </w:hyperlink>
          </w:p>
        </w:tc>
        <w:tc>
          <w:tcPr>
            <w:tcW w:w="16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(File No. 333-195391) filed on June 18, 2014)</w:t>
              </w:r>
            </w:hyperlink>
          </w:p>
        </w:tc>
      </w:tr>
      <w:tr>
        <w:trPr>
          <w:trHeight w:val="20"/>
        </w:trPr>
        <w:tc>
          <w:tcPr>
            <w:tcW w:w="720" w:type="dxa"/>
            <w:vAlign w:val="bottom"/>
            <w:gridSpan w:val="2"/>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880" w:type="dxa"/>
            <w:vAlign w:val="bottom"/>
          </w:tcPr>
          <w:p>
            <w:pPr>
              <w:spacing w:after="0"/>
              <w:rPr>
                <w:sz w:val="24"/>
                <w:szCs w:val="24"/>
                <w:color w:val="auto"/>
              </w:rPr>
            </w:pPr>
          </w:p>
        </w:tc>
        <w:tc>
          <w:tcPr>
            <w:tcW w:w="9360" w:type="dxa"/>
            <w:vAlign w:val="bottom"/>
            <w:tcBorders>
              <w:bottom w:val="single" w:sz="8" w:color="0000EE"/>
            </w:tcBorders>
            <w:gridSpan w:val="25"/>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Commercial Lease by and between the Registrant and Minerva Holdings, LLC, dated May 15, 2014 (incorporated by reference to</w:t>
              </w:r>
            </w:hyperlink>
          </w:p>
        </w:tc>
        <w:tc>
          <w:tcPr>
            <w:tcW w:w="8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3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Exhibit 10.14 of the Registrant’s Registration Statement on Form S-1 (File No. 333-195391) filed on June 18, 2014)</w:t>
              </w:r>
            </w:hyperlink>
          </w:p>
        </w:tc>
        <w:tc>
          <w:tcPr>
            <w:tcW w:w="1100" w:type="dxa"/>
            <w:vAlign w:val="bottom"/>
            <w:gridSpan w:val="19"/>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88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Commercial Lease by and between the Company and Contour LLC, dated March 30, 2015 (incorporated by reference to Exhibit</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of the Registrant’s Quarterly Report on Form 10-Q (File No. 001-36510) filed on May 14, 2015)</w:t>
              </w:r>
            </w:hyperlink>
          </w:p>
        </w:tc>
        <w:tc>
          <w:tcPr>
            <w:tcW w:w="180" w:type="dxa"/>
            <w:vAlign w:val="bottom"/>
            <w:gridSpan w:val="7"/>
          </w:tcPr>
          <w:p>
            <w:pPr>
              <w:spacing w:after="0"/>
              <w:rPr>
                <w:sz w:val="17"/>
                <w:szCs w:val="17"/>
                <w:color w:val="auto"/>
              </w:rPr>
            </w:pPr>
          </w:p>
        </w:tc>
      </w:tr>
      <w:tr>
        <w:trPr>
          <w:trHeight w:val="38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tcBorders>
              <w:top w:val="single" w:sz="8" w:color="0000EE"/>
            </w:tcBorders>
            <w:gridSpan w:val="4"/>
          </w:tcPr>
          <w:p>
            <w:pPr>
              <w:jc w:val="right"/>
              <w:ind w:right="220"/>
              <w:spacing w:after="0"/>
              <w:rPr>
                <w:sz w:val="20"/>
                <w:szCs w:val="20"/>
                <w:color w:val="auto"/>
              </w:rPr>
            </w:pPr>
            <w:r>
              <w:rPr>
                <w:rFonts w:ascii="Arial" w:cs="Arial" w:eastAsia="Arial" w:hAnsi="Arial"/>
                <w:sz w:val="18"/>
                <w:szCs w:val="18"/>
                <w:color w:val="auto"/>
              </w:rPr>
              <w:t>113</w:t>
            </w:r>
          </w:p>
        </w:tc>
        <w:tc>
          <w:tcPr>
            <w:tcW w:w="2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700" w:type="dxa"/>
            <w:vAlign w:val="bottom"/>
            <w:gridSpan w:val="21"/>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7"/>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760" w:type="dxa"/>
            <w:vAlign w:val="bottom"/>
          </w:tcPr>
          <w:p>
            <w:pPr>
              <w:spacing w:after="0"/>
              <w:rPr>
                <w:sz w:val="22"/>
                <w:szCs w:val="22"/>
                <w:color w:val="auto"/>
              </w:rPr>
            </w:pPr>
          </w:p>
        </w:tc>
        <w:tc>
          <w:tcPr>
            <w:tcW w:w="9540" w:type="dxa"/>
            <w:vAlign w:val="bottom"/>
            <w:tcBorders>
              <w:bottom w:val="single" w:sz="8" w:color="0000EE"/>
            </w:tcBorders>
            <w:gridSpan w:val="25"/>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2014 Employee Stock Purchase Plan (incorporated by reference to Exhibit 10.15 of the Registrant’s Registration Statement on Form</w:t>
              </w:r>
            </w:hyperlink>
          </w:p>
        </w:tc>
        <w:tc>
          <w:tcPr>
            <w:tcW w:w="20" w:type="dxa"/>
            <w:vAlign w:val="bottom"/>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60" w:type="dxa"/>
            <w:vAlign w:val="bottom"/>
            <w:gridSpan w:val="26"/>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S-1 (File No. 333-195391) filed on June 18, 2014)</w:t>
              </w:r>
            </w:hyperlink>
          </w:p>
        </w:tc>
      </w:tr>
      <w:tr>
        <w:trPr>
          <w:trHeight w:val="20"/>
        </w:trPr>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760" w:type="dxa"/>
            <w:vAlign w:val="bottom"/>
          </w:tcPr>
          <w:p>
            <w:pPr>
              <w:spacing w:after="0"/>
              <w:rPr>
                <w:sz w:val="24"/>
                <w:szCs w:val="24"/>
                <w:color w:val="auto"/>
              </w:rPr>
            </w:pPr>
          </w:p>
        </w:tc>
        <w:tc>
          <w:tcPr>
            <w:tcW w:w="9180" w:type="dxa"/>
            <w:vAlign w:val="bottom"/>
            <w:tcBorders>
              <w:bottom w:val="single" w:sz="8" w:color="0000EE"/>
            </w:tcBorders>
            <w:gridSpan w:val="16"/>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Severance and Change in Control Agreement by and between the Registrant and Thomas E. Hughes, PhD. dated as of June 30,</w:t>
              </w:r>
            </w:hyperlink>
          </w:p>
        </w:tc>
        <w:tc>
          <w:tcPr>
            <w:tcW w:w="38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2016 (incorporated by reference to Exhibit 10.1 of the Registrant’s Quarterly Report on Form 10-Q (File No. 001-36510) filed on</w:t>
              </w:r>
            </w:hyperlink>
          </w:p>
        </w:tc>
        <w:tc>
          <w:tcPr>
            <w:tcW w:w="24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August 5, 2016)</w:t>
              </w:r>
            </w:hyperlink>
          </w:p>
        </w:tc>
        <w:tc>
          <w:tcPr>
            <w:tcW w:w="8380" w:type="dxa"/>
            <w:vAlign w:val="bottom"/>
            <w:gridSpan w:val="24"/>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760" w:type="dxa"/>
            <w:vAlign w:val="bottom"/>
          </w:tcPr>
          <w:p>
            <w:pPr>
              <w:spacing w:after="0"/>
              <w:rPr>
                <w:sz w:val="24"/>
                <w:szCs w:val="24"/>
                <w:color w:val="auto"/>
              </w:rPr>
            </w:pPr>
          </w:p>
        </w:tc>
        <w:tc>
          <w:tcPr>
            <w:tcW w:w="8760" w:type="dxa"/>
            <w:vAlign w:val="bottom"/>
            <w:tcBorders>
              <w:bottom w:val="single" w:sz="8" w:color="0000EE"/>
            </w:tcBorders>
            <w:gridSpan w:val="13"/>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Severance and Change in Control Agreement by and between the Registrant and Patricia Allen dated as of June 30, 2016</w:t>
              </w:r>
            </w:hyperlink>
          </w:p>
        </w:tc>
        <w:tc>
          <w:tcPr>
            <w:tcW w:w="80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(incorporated by reference to Exhibit 10.4 of the Registrant’s Quarterly Report on Form 10-Q (File No. 001-36510) filed on</w:t>
              </w:r>
            </w:hyperlink>
          </w:p>
        </w:tc>
        <w:tc>
          <w:tcPr>
            <w:tcW w:w="64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August 5, 2016)</w:t>
              </w:r>
            </w:hyperlink>
          </w:p>
        </w:tc>
        <w:tc>
          <w:tcPr>
            <w:tcW w:w="8380" w:type="dxa"/>
            <w:vAlign w:val="bottom"/>
            <w:gridSpan w:val="24"/>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760" w:type="dxa"/>
            <w:vAlign w:val="bottom"/>
          </w:tcPr>
          <w:p>
            <w:pPr>
              <w:spacing w:after="0"/>
              <w:rPr>
                <w:sz w:val="24"/>
                <w:szCs w:val="24"/>
                <w:color w:val="auto"/>
              </w:rPr>
            </w:pPr>
          </w:p>
        </w:tc>
        <w:tc>
          <w:tcPr>
            <w:tcW w:w="9340" w:type="dxa"/>
            <w:vAlign w:val="bottom"/>
            <w:tcBorders>
              <w:bottom w:val="single" w:sz="8" w:color="0000EE"/>
            </w:tcBorders>
            <w:gridSpan w:val="21"/>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Severance and Change in Control Agreement by and between the Registrant and Dennis Kim, M.D., M.B.A. dated as of June 30,</w:t>
              </w:r>
            </w:hyperlink>
          </w:p>
        </w:tc>
        <w:tc>
          <w:tcPr>
            <w:tcW w:w="22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2016 (incorporated by reference to Exhibit 10.5 of the Registrant’s Quarterly Report on Form 10-Q (File No. 001-36510) filed on</w:t>
              </w:r>
            </w:hyperlink>
          </w:p>
        </w:tc>
        <w:tc>
          <w:tcPr>
            <w:tcW w:w="24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August 5, 2016)</w:t>
              </w:r>
            </w:hyperlink>
          </w:p>
        </w:tc>
        <w:tc>
          <w:tcPr>
            <w:tcW w:w="8380" w:type="dxa"/>
            <w:vAlign w:val="bottom"/>
            <w:gridSpan w:val="24"/>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76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Loan and Security Agreement between the Registrant, as borrower, and Silicon Valley Bank, as lender dated December 29, 2017</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3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(incorporated by reference to Exhibit 10.1 of the Registrant’s Form 8-K (File No. 001-36510) filed January 5, 2018)</w:t>
              </w:r>
            </w:hyperlink>
          </w:p>
        </w:tc>
        <w:tc>
          <w:tcPr>
            <w:tcW w:w="940" w:type="dxa"/>
            <w:vAlign w:val="bottom"/>
            <w:tcBorders>
              <w:top w:val="single" w:sz="8" w:color="0000EE"/>
            </w:tcBorders>
            <w:gridSpan w:val="10"/>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760" w:type="dxa"/>
            <w:vAlign w:val="bottom"/>
          </w:tcPr>
          <w:p>
            <w:pPr>
              <w:spacing w:after="0"/>
              <w:rPr>
                <w:sz w:val="24"/>
                <w:szCs w:val="24"/>
                <w:color w:val="auto"/>
              </w:rPr>
            </w:pPr>
          </w:p>
        </w:tc>
        <w:tc>
          <w:tcPr>
            <w:tcW w:w="8940" w:type="dxa"/>
            <w:vAlign w:val="bottom"/>
            <w:tcBorders>
              <w:bottom w:val="single" w:sz="8" w:color="0000EE"/>
            </w:tcBorders>
            <w:gridSpan w:val="15"/>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Employment Offer Letter Agreement by and between the Registrant and Jeffrey S. Hatfield, effective as of October 9, 2017</w:t>
              </w:r>
            </w:hyperlink>
          </w:p>
        </w:tc>
        <w:tc>
          <w:tcPr>
            <w:tcW w:w="62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60" w:type="dxa"/>
            <w:vAlign w:val="bottom"/>
            <w:gridSpan w:val="26"/>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(incorporated by reference to Exhibit 10.2 of the Registrant’s Form 8-K (File No. 001-36510) filed on October 12, 2017)</w:t>
              </w:r>
            </w:hyperlink>
          </w:p>
        </w:tc>
      </w:tr>
      <w:tr>
        <w:trPr>
          <w:trHeight w:val="20"/>
        </w:trPr>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760" w:type="dxa"/>
            <w:vAlign w:val="bottom"/>
          </w:tcPr>
          <w:p>
            <w:pPr>
              <w:spacing w:after="0"/>
              <w:rPr>
                <w:sz w:val="24"/>
                <w:szCs w:val="24"/>
                <w:color w:val="auto"/>
              </w:rPr>
            </w:pPr>
          </w:p>
        </w:tc>
        <w:tc>
          <w:tcPr>
            <w:tcW w:w="9260" w:type="dxa"/>
            <w:vAlign w:val="bottom"/>
            <w:tcBorders>
              <w:bottom w:val="single" w:sz="8" w:color="0000EE"/>
            </w:tcBorders>
            <w:gridSpan w:val="18"/>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Severance and Change in Control Agreement by and between Registrant and Jeffrey S. Hatfield, effective as of October 9, 2017</w:t>
              </w:r>
            </w:hyperlink>
          </w:p>
        </w:tc>
        <w:tc>
          <w:tcPr>
            <w:tcW w:w="30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60" w:type="dxa"/>
            <w:vAlign w:val="bottom"/>
            <w:gridSpan w:val="26"/>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(incorporated by reference to Exhibit 10.3 of the Registrant’s Form 8-K (File No. 001-36510) filed on October 12, 2017)</w:t>
              </w:r>
            </w:hyperlink>
          </w:p>
        </w:tc>
      </w:tr>
      <w:tr>
        <w:trPr>
          <w:trHeight w:val="20"/>
        </w:trPr>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76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w w:val="99"/>
              </w:rPr>
            </w:pPr>
            <w:hyperlink w:anchor="page117">
              <w:r>
                <w:rPr>
                  <w:rFonts w:ascii="Arial" w:cs="Arial" w:eastAsia="Arial" w:hAnsi="Arial"/>
                  <w:sz w:val="18"/>
                  <w:szCs w:val="18"/>
                  <w:color w:val="0000EE"/>
                  <w:w w:val="99"/>
                </w:rPr>
                <w:t>Non-Qualified Stock Option Agreement Inducement Award by and between Registrant and Jeffrey S. Hatfield granted on</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October 9, 2017</w:t>
              </w:r>
            </w:hyperlink>
          </w:p>
        </w:tc>
        <w:tc>
          <w:tcPr>
            <w:tcW w:w="820" w:type="dxa"/>
            <w:vAlign w:val="bottom"/>
            <w:gridSpan w:val="14"/>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p>
        </w:tc>
        <w:tc>
          <w:tcPr>
            <w:tcW w:w="76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w w:val="99"/>
              </w:rPr>
            </w:pPr>
            <w:hyperlink w:anchor="page122">
              <w:r>
                <w:rPr>
                  <w:rFonts w:ascii="Arial" w:cs="Arial" w:eastAsia="Arial" w:hAnsi="Arial"/>
                  <w:sz w:val="18"/>
                  <w:szCs w:val="18"/>
                  <w:color w:val="0000EE"/>
                  <w:w w:val="99"/>
                </w:rPr>
                <w:t>Non-Qualified Stock Option Agreement Inducement Award by and between Registrant and Jeffrey S. Hatfield granted on</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October 9, 2017</w:t>
              </w:r>
            </w:hyperlink>
          </w:p>
        </w:tc>
        <w:tc>
          <w:tcPr>
            <w:tcW w:w="820" w:type="dxa"/>
            <w:vAlign w:val="bottom"/>
            <w:gridSpan w:val="14"/>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10.25*</w:t>
            </w:r>
          </w:p>
        </w:tc>
        <w:tc>
          <w:tcPr>
            <w:tcW w:w="76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Waiver to Financing Condition by and between Registrant and Jeffrey S. Hatfield, effective as of December 29, 2017</w:t>
              </w:r>
            </w:hyperlink>
          </w:p>
        </w:tc>
      </w:tr>
      <w:tr>
        <w:trPr>
          <w:trHeight w:val="20"/>
        </w:trPr>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16.1</w:t>
            </w:r>
          </w:p>
        </w:tc>
        <w:tc>
          <w:tcPr>
            <w:tcW w:w="760" w:type="dxa"/>
            <w:vAlign w:val="bottom"/>
          </w:tcPr>
          <w:p>
            <w:pPr>
              <w:spacing w:after="0"/>
              <w:rPr>
                <w:sz w:val="24"/>
                <w:szCs w:val="24"/>
                <w:color w:val="auto"/>
              </w:rPr>
            </w:pPr>
          </w:p>
        </w:tc>
        <w:tc>
          <w:tcPr>
            <w:tcW w:w="9540" w:type="dxa"/>
            <w:vAlign w:val="bottom"/>
            <w:tcBorders>
              <w:bottom w:val="single" w:sz="8" w:color="0000EE"/>
            </w:tcBorders>
            <w:gridSpan w:val="25"/>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Letter of Edelstein and Company LLP (incorporated by reference to Exhibit 16.1 of the Registrant’s Registration Statement on Form</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S-1 (File No. 333-201439) filed on January 12, 2015)</w:t>
              </w:r>
            </w:hyperlink>
          </w:p>
        </w:tc>
        <w:tc>
          <w:tcPr>
            <w:tcW w:w="5700" w:type="dxa"/>
            <w:vAlign w:val="bottom"/>
            <w:gridSpan w:val="21"/>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76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w w:val="94"/>
              </w:rPr>
            </w:pPr>
            <w:hyperlink r:id="rId159">
              <w:r>
                <w:rPr>
                  <w:rFonts w:ascii="Arial" w:cs="Arial" w:eastAsia="Arial" w:hAnsi="Arial"/>
                  <w:sz w:val="18"/>
                  <w:szCs w:val="18"/>
                  <w:color w:val="0000EE"/>
                  <w:w w:val="94"/>
                </w:rPr>
                <w:t>Subsidiaries of the Registrant (incorporated by reference to Exhibit 21.1 of the Registrant’s Registration Statement on Form S-1</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(File No. 333-195391) filed on April 18, 2014)</w:t>
              </w:r>
            </w:hyperlink>
          </w:p>
        </w:tc>
        <w:tc>
          <w:tcPr>
            <w:tcW w:w="360" w:type="dxa"/>
            <w:vAlign w:val="bottom"/>
            <w:gridSpan w:val="9"/>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Consent of PricewaterhouseCoopers LLP, independent registered public accounting firm</w:t>
              </w:r>
            </w:hyperlink>
          </w:p>
        </w:tc>
      </w:tr>
      <w:tr>
        <w:trPr>
          <w:trHeight w:val="20"/>
        </w:trPr>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tcBorders>
              <w:right w:val="single" w:sz="8" w:color="0000EE"/>
            </w:tcBorders>
            <w:gridSpan w:val="4"/>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31.1*</w:t>
            </w:r>
          </w:p>
        </w:tc>
        <w:tc>
          <w:tcPr>
            <w:tcW w:w="760" w:type="dxa"/>
            <w:vAlign w:val="bottom"/>
          </w:tcPr>
          <w:p>
            <w:pPr>
              <w:spacing w:after="0"/>
              <w:rPr>
                <w:sz w:val="24"/>
                <w:szCs w:val="24"/>
                <w:color w:val="auto"/>
              </w:rPr>
            </w:pPr>
          </w:p>
        </w:tc>
        <w:tc>
          <w:tcPr>
            <w:tcW w:w="936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29">
              <w:r>
                <w:rPr>
                  <w:rFonts w:ascii="Arial" w:cs="Arial" w:eastAsia="Arial" w:hAnsi="Arial"/>
                  <w:sz w:val="18"/>
                  <w:szCs w:val="18"/>
                  <w:color w:val="0000EE"/>
                  <w:w w:val="91"/>
                </w:rPr>
                <w:t>Certification of Principal Executive Officer pursuant to Rule 13a-14(a) or Rule 15d-14(a) of the Securities Exchange Act of 1934,</w:t>
              </w:r>
            </w:hyperlink>
          </w:p>
        </w:tc>
        <w:tc>
          <w:tcPr>
            <w:tcW w:w="20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29">
              <w:r>
                <w:rPr>
                  <w:rFonts w:ascii="Arial" w:cs="Arial" w:eastAsia="Arial" w:hAnsi="Arial"/>
                  <w:sz w:val="18"/>
                  <w:szCs w:val="18"/>
                  <w:color w:val="0000EE"/>
                  <w:w w:val="89"/>
                </w:rPr>
                <w:t>as adopted pursuant to Section 302 of the Sarbanes-Oxley Act of 2002.</w:t>
              </w:r>
            </w:hyperlink>
          </w:p>
        </w:tc>
        <w:tc>
          <w:tcPr>
            <w:tcW w:w="4440" w:type="dxa"/>
            <w:vAlign w:val="bottom"/>
            <w:gridSpan w:val="19"/>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31.2*</w:t>
            </w:r>
          </w:p>
        </w:tc>
        <w:tc>
          <w:tcPr>
            <w:tcW w:w="760" w:type="dxa"/>
            <w:vAlign w:val="bottom"/>
          </w:tcPr>
          <w:p>
            <w:pPr>
              <w:spacing w:after="0"/>
              <w:rPr>
                <w:sz w:val="24"/>
                <w:szCs w:val="24"/>
                <w:color w:val="auto"/>
              </w:rPr>
            </w:pPr>
          </w:p>
        </w:tc>
        <w:tc>
          <w:tcPr>
            <w:tcW w:w="950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130">
              <w:r>
                <w:rPr>
                  <w:rFonts w:ascii="Arial" w:cs="Arial" w:eastAsia="Arial" w:hAnsi="Arial"/>
                  <w:sz w:val="18"/>
                  <w:szCs w:val="18"/>
                  <w:color w:val="0000EE"/>
                  <w:w w:val="91"/>
                </w:rPr>
                <w:t>Certification of Principal Financial Officer pursuant to Rule 13a-14(a) or Rule 15d-14(a) of the Securities Exchange Act of 1934, as</w:t>
              </w:r>
            </w:hyperlink>
          </w:p>
        </w:tc>
        <w:tc>
          <w:tcPr>
            <w:tcW w:w="6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adopted pursuant to Section 302 of the Sarbanes-Oxley Act of 2002</w:t>
              </w:r>
            </w:hyperlink>
          </w:p>
        </w:tc>
        <w:tc>
          <w:tcPr>
            <w:tcW w:w="4680" w:type="dxa"/>
            <w:vAlign w:val="bottom"/>
            <w:gridSpan w:val="20"/>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32.1**</w:t>
            </w:r>
          </w:p>
        </w:tc>
        <w:tc>
          <w:tcPr>
            <w:tcW w:w="760" w:type="dxa"/>
            <w:vAlign w:val="bottom"/>
          </w:tcPr>
          <w:p>
            <w:pPr>
              <w:spacing w:after="0"/>
              <w:rPr>
                <w:sz w:val="24"/>
                <w:szCs w:val="24"/>
                <w:color w:val="auto"/>
              </w:rPr>
            </w:pPr>
          </w:p>
        </w:tc>
        <w:tc>
          <w:tcPr>
            <w:tcW w:w="952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131">
              <w:r>
                <w:rPr>
                  <w:rFonts w:ascii="Arial" w:cs="Arial" w:eastAsia="Arial" w:hAnsi="Arial"/>
                  <w:sz w:val="18"/>
                  <w:szCs w:val="18"/>
                  <w:color w:val="0000EE"/>
                  <w:w w:val="91"/>
                </w:rPr>
                <w:t>Certification of Principal Executive Officer and Principal Financial Officer pursuant to 18 U.S.C. Section 1350, as adopted pursuant</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to Section 906 of the Sarbanes-Oxley Act of 2002</w:t>
              </w:r>
            </w:hyperlink>
          </w:p>
        </w:tc>
        <w:tc>
          <w:tcPr>
            <w:tcW w:w="5940" w:type="dxa"/>
            <w:vAlign w:val="bottom"/>
            <w:gridSpan w:val="22"/>
          </w:tcPr>
          <w:p>
            <w:pPr>
              <w:spacing w:after="0"/>
              <w:rPr>
                <w:sz w:val="17"/>
                <w:szCs w:val="17"/>
                <w:color w:val="auto"/>
              </w:rPr>
            </w:pPr>
          </w:p>
        </w:tc>
      </w:tr>
      <w:tr>
        <w:trPr>
          <w:trHeight w:val="38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40" w:type="dxa"/>
            <w:vAlign w:val="bottom"/>
            <w:gridSpan w:val="7"/>
          </w:tcPr>
          <w:p>
            <w:pPr>
              <w:jc w:val="right"/>
              <w:ind w:right="648"/>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960" w:type="dxa"/>
            <w:vAlign w:val="bottom"/>
          </w:tcPr>
          <w:p>
            <w:pPr>
              <w:spacing w:after="0"/>
              <w:rPr>
                <w:sz w:val="16"/>
                <w:szCs w:val="16"/>
                <w:color w:val="auto"/>
              </w:rPr>
            </w:pPr>
          </w:p>
        </w:tc>
        <w:tc>
          <w:tcPr>
            <w:tcW w:w="9360" w:type="dxa"/>
            <w:vAlign w:val="bottom"/>
          </w:tcPr>
          <w:p>
            <w:pPr>
              <w:ind w:left="430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320" w:type="dxa"/>
            <w:vAlign w:val="bottom"/>
            <w:gridSpan w:val="2"/>
          </w:tcPr>
          <w:p>
            <w:pPr>
              <w:spacing w:after="0"/>
              <w:rPr>
                <w:sz w:val="2"/>
                <w:szCs w:val="2"/>
                <w:color w:val="auto"/>
              </w:rPr>
            </w:pPr>
          </w:p>
        </w:tc>
      </w:tr>
      <w:tr>
        <w:trPr>
          <w:trHeight w:val="283"/>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10320" w:type="dxa"/>
            <w:vAlign w:val="bottom"/>
            <w:gridSpan w:val="2"/>
          </w:tcPr>
          <w:p>
            <w:pPr>
              <w:ind w:left="940"/>
              <w:spacing w:after="0"/>
              <w:rPr>
                <w:sz w:val="20"/>
                <w:szCs w:val="20"/>
                <w:color w:val="auto"/>
              </w:rPr>
            </w:pPr>
            <w:r>
              <w:rPr>
                <w:rFonts w:ascii="Arial" w:cs="Arial" w:eastAsia="Arial" w:hAnsi="Arial"/>
                <w:sz w:val="18"/>
                <w:szCs w:val="18"/>
                <w:color w:val="auto"/>
                <w:w w:val="92"/>
              </w:rPr>
              <w:t>Interactive Data Files regarding (a) our Consolidated Balance Sheets as of December 31, 2017 and 2016, (b) our Consolidated</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320" w:type="dxa"/>
            <w:vAlign w:val="bottom"/>
            <w:gridSpan w:val="2"/>
          </w:tcPr>
          <w:p>
            <w:pPr>
              <w:ind w:left="940"/>
              <w:spacing w:after="0"/>
              <w:rPr>
                <w:sz w:val="20"/>
                <w:szCs w:val="20"/>
                <w:color w:val="auto"/>
              </w:rPr>
            </w:pPr>
            <w:r>
              <w:rPr>
                <w:rFonts w:ascii="Arial" w:cs="Arial" w:eastAsia="Arial" w:hAnsi="Arial"/>
                <w:sz w:val="18"/>
                <w:szCs w:val="18"/>
                <w:color w:val="auto"/>
                <w:w w:val="89"/>
              </w:rPr>
              <w:t>Statements of Operations and Comprehensive Loss for the Years Ended December 31, 2017, 2016 and 2015, (c) our Consolidated</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320" w:type="dxa"/>
            <w:vAlign w:val="bottom"/>
            <w:gridSpan w:val="2"/>
          </w:tcPr>
          <w:p>
            <w:pPr>
              <w:ind w:left="940"/>
              <w:spacing w:after="0"/>
              <w:rPr>
                <w:sz w:val="20"/>
                <w:szCs w:val="20"/>
                <w:color w:val="auto"/>
              </w:rPr>
            </w:pPr>
            <w:r>
              <w:rPr>
                <w:rFonts w:ascii="Arial" w:cs="Arial" w:eastAsia="Arial" w:hAnsi="Arial"/>
                <w:sz w:val="18"/>
                <w:szCs w:val="18"/>
                <w:color w:val="auto"/>
              </w:rPr>
              <w:t>Statements of Changes in Stockholders’ Equity, (d) our Consolidated Statements of Cash Flows for the Years Ended</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320" w:type="dxa"/>
            <w:vAlign w:val="bottom"/>
            <w:gridSpan w:val="2"/>
          </w:tcPr>
          <w:p>
            <w:pPr>
              <w:ind w:left="940"/>
              <w:spacing w:after="0"/>
              <w:rPr>
                <w:sz w:val="20"/>
                <w:szCs w:val="20"/>
                <w:color w:val="auto"/>
              </w:rPr>
            </w:pPr>
            <w:r>
              <w:rPr>
                <w:rFonts w:ascii="Arial" w:cs="Arial" w:eastAsia="Arial" w:hAnsi="Arial"/>
                <w:sz w:val="18"/>
                <w:szCs w:val="18"/>
                <w:color w:val="auto"/>
              </w:rPr>
              <w:t>December 31, 2017, 2016 and 2015 and (e) the Notes to such Consolidated Financial Statements</w:t>
            </w:r>
          </w:p>
        </w:tc>
      </w:tr>
    </w:tbl>
    <w:p>
      <w:pPr>
        <w:spacing w:after="0" w:line="107"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640" w:right="460" w:hanging="436"/>
        <w:spacing w:after="0" w:line="265"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management compensation plan.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600" w:type="dxa"/>
            <w:vAlign w:val="bottom"/>
            <w:gridSpan w:val="2"/>
          </w:tcPr>
          <w:p>
            <w:pPr>
              <w:ind w:left="1960"/>
              <w:spacing w:after="0"/>
              <w:rPr>
                <w:sz w:val="20"/>
                <w:szCs w:val="20"/>
                <w:color w:val="auto"/>
              </w:rPr>
            </w:pPr>
            <w:r>
              <w:rPr>
                <w:rFonts w:ascii="Arial" w:cs="Arial" w:eastAsia="Arial" w:hAnsi="Arial"/>
                <w:sz w:val="18"/>
                <w:szCs w:val="18"/>
                <w:color w:val="auto"/>
              </w:rPr>
              <w:t>ZAFGEN,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March 9, 2018</w:t>
            </w:r>
          </w:p>
        </w:tc>
        <w:tc>
          <w:tcPr>
            <w:tcW w:w="2420" w:type="dxa"/>
            <w:vAlign w:val="bottom"/>
          </w:tcPr>
          <w:p>
            <w:pPr>
              <w:ind w:left="19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Hatfield</w:t>
            </w:r>
          </w:p>
        </w:tc>
      </w:tr>
      <w:tr>
        <w:trPr>
          <w:trHeight w:val="209"/>
        </w:trPr>
        <w:tc>
          <w:tcPr>
            <w:tcW w:w="3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Jeffrey Hatfield</w:t>
            </w:r>
          </w:p>
        </w:tc>
      </w:tr>
      <w:tr>
        <w:trPr>
          <w:trHeight w:val="216"/>
        </w:trPr>
        <w:tc>
          <w:tcPr>
            <w:tcW w:w="3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46"/>
        </w:trPr>
        <w:tc>
          <w:tcPr>
            <w:tcW w:w="3440" w:type="dxa"/>
            <w:vAlign w:val="bottom"/>
          </w:tcPr>
          <w:p>
            <w:pPr>
              <w:spacing w:after="0"/>
              <w:rPr>
                <w:sz w:val="20"/>
                <w:szCs w:val="20"/>
                <w:color w:val="auto"/>
              </w:rPr>
            </w:pPr>
            <w:r>
              <w:rPr>
                <w:rFonts w:ascii="Arial" w:cs="Arial" w:eastAsia="Arial" w:hAnsi="Arial"/>
                <w:sz w:val="18"/>
                <w:szCs w:val="18"/>
                <w:color w:val="auto"/>
              </w:rPr>
              <w:t>Date: March 9, 2018</w:t>
            </w:r>
          </w:p>
        </w:tc>
        <w:tc>
          <w:tcPr>
            <w:tcW w:w="2420" w:type="dxa"/>
            <w:vAlign w:val="bottom"/>
          </w:tcPr>
          <w:p>
            <w:pPr>
              <w:ind w:left="19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L. Allen</w:t>
            </w:r>
          </w:p>
        </w:tc>
      </w:tr>
      <w:tr>
        <w:trPr>
          <w:trHeight w:val="224"/>
        </w:trPr>
        <w:tc>
          <w:tcPr>
            <w:tcW w:w="3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Patricia L. Allen</w:t>
            </w:r>
          </w:p>
        </w:tc>
      </w:tr>
    </w:tbl>
    <w:p>
      <w:pP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24"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7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3780" w:type="dxa"/>
            <w:vAlign w:val="bottom"/>
          </w:tcPr>
          <w:p>
            <w:pPr>
              <w:ind w:left="1960"/>
              <w:spacing w:after="0"/>
              <w:rPr>
                <w:sz w:val="20"/>
                <w:szCs w:val="20"/>
                <w:color w:val="auto"/>
              </w:rPr>
            </w:pPr>
            <w:r>
              <w:rPr>
                <w:rFonts w:ascii="Arial" w:cs="Arial" w:eastAsia="Arial" w:hAnsi="Arial"/>
                <w:sz w:val="14"/>
                <w:szCs w:val="14"/>
                <w:b w:val="1"/>
                <w:bCs w:val="1"/>
                <w:color w:val="auto"/>
              </w:rPr>
              <w:t>Title</w:t>
            </w:r>
          </w:p>
        </w:tc>
        <w:tc>
          <w:tcPr>
            <w:tcW w:w="2020" w:type="dxa"/>
            <w:vAlign w:val="bottom"/>
          </w:tcPr>
          <w:p>
            <w:pPr>
              <w:jc w:val="center"/>
              <w:ind w:left="871"/>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Jeffrey Hatfield</w:t>
            </w:r>
          </w:p>
        </w:tc>
        <w:tc>
          <w:tcPr>
            <w:tcW w:w="3780" w:type="dxa"/>
            <w:vAlign w:val="bottom"/>
          </w:tcPr>
          <w:p>
            <w:pPr>
              <w:ind w:left="100"/>
              <w:spacing w:after="0"/>
              <w:rPr>
                <w:sz w:val="20"/>
                <w:szCs w:val="20"/>
                <w:color w:val="auto"/>
              </w:rPr>
            </w:pPr>
            <w:r>
              <w:rPr>
                <w:rFonts w:ascii="Arial" w:cs="Arial" w:eastAsia="Arial" w:hAnsi="Arial"/>
                <w:sz w:val="18"/>
                <w:szCs w:val="18"/>
                <w:color w:val="auto"/>
              </w:rPr>
              <w:t>Chief Executive Officer and</w:t>
            </w:r>
          </w:p>
        </w:tc>
        <w:tc>
          <w:tcPr>
            <w:tcW w:w="2020" w:type="dxa"/>
            <w:vAlign w:val="bottom"/>
          </w:tcPr>
          <w:p>
            <w:pPr>
              <w:jc w:val="center"/>
              <w:ind w:left="871"/>
              <w:spacing w:after="0"/>
              <w:rPr>
                <w:sz w:val="20"/>
                <w:szCs w:val="20"/>
                <w:color w:val="auto"/>
              </w:rPr>
            </w:pPr>
            <w:r>
              <w:rPr>
                <w:rFonts w:ascii="Arial" w:cs="Arial" w:eastAsia="Arial" w:hAnsi="Arial"/>
                <w:sz w:val="18"/>
                <w:szCs w:val="18"/>
                <w:color w:val="auto"/>
                <w:w w:val="92"/>
              </w:rPr>
              <w:t>March 9, 2018</w:t>
            </w:r>
          </w:p>
        </w:tc>
      </w:tr>
      <w:tr>
        <w:trPr>
          <w:trHeight w:val="182"/>
        </w:trPr>
        <w:tc>
          <w:tcPr>
            <w:tcW w:w="4780" w:type="dxa"/>
            <w:vAlign w:val="bottom"/>
          </w:tcPr>
          <w:p>
            <w:pPr>
              <w:jc w:val="center"/>
              <w:spacing w:after="0" w:line="182" w:lineRule="exact"/>
              <w:rPr>
                <w:sz w:val="20"/>
                <w:szCs w:val="20"/>
                <w:color w:val="auto"/>
              </w:rPr>
            </w:pPr>
            <w:r>
              <w:rPr>
                <w:rFonts w:ascii="Arial" w:cs="Arial" w:eastAsia="Arial" w:hAnsi="Arial"/>
                <w:sz w:val="18"/>
                <w:szCs w:val="18"/>
                <w:color w:val="auto"/>
                <w:w w:val="94"/>
              </w:rPr>
              <w:t>Jeffrey Hatfield</w:t>
            </w:r>
          </w:p>
        </w:tc>
        <w:tc>
          <w:tcPr>
            <w:tcW w:w="3780" w:type="dxa"/>
            <w:vAlign w:val="bottom"/>
          </w:tcPr>
          <w:p>
            <w:pPr>
              <w:ind w:left="100"/>
              <w:spacing w:after="0" w:line="182" w:lineRule="exact"/>
              <w:rPr>
                <w:sz w:val="20"/>
                <w:szCs w:val="20"/>
                <w:color w:val="auto"/>
              </w:rPr>
            </w:pPr>
            <w:r>
              <w:rPr>
                <w:rFonts w:ascii="Arial" w:cs="Arial" w:eastAsia="Arial" w:hAnsi="Arial"/>
                <w:sz w:val="18"/>
                <w:szCs w:val="18"/>
                <w:color w:val="auto"/>
              </w:rPr>
              <w:t>Director</w:t>
            </w:r>
          </w:p>
        </w:tc>
        <w:tc>
          <w:tcPr>
            <w:tcW w:w="2020" w:type="dxa"/>
            <w:vAlign w:val="bottom"/>
          </w:tcPr>
          <w:p>
            <w:pPr>
              <w:spacing w:after="0"/>
              <w:rPr>
                <w:sz w:val="15"/>
                <w:szCs w:val="15"/>
                <w:color w:val="auto"/>
              </w:rPr>
            </w:pPr>
          </w:p>
        </w:tc>
      </w:tr>
      <w:tr>
        <w:trPr>
          <w:trHeight w:val="230"/>
        </w:trPr>
        <w:tc>
          <w:tcPr>
            <w:tcW w:w="478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020" w:type="dxa"/>
            <w:vAlign w:val="bottom"/>
          </w:tcPr>
          <w:p>
            <w:pPr>
              <w:spacing w:after="0"/>
              <w:rPr>
                <w:sz w:val="20"/>
                <w:szCs w:val="20"/>
                <w:color w:val="auto"/>
              </w:rPr>
            </w:pPr>
          </w:p>
        </w:tc>
      </w:tr>
      <w:tr>
        <w:trPr>
          <w:trHeight w:val="446"/>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Patricia L. Allen</w:t>
            </w:r>
          </w:p>
        </w:tc>
        <w:tc>
          <w:tcPr>
            <w:tcW w:w="37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jc w:val="center"/>
              <w:ind w:left="871"/>
              <w:spacing w:after="0"/>
              <w:rPr>
                <w:sz w:val="20"/>
                <w:szCs w:val="20"/>
                <w:color w:val="auto"/>
              </w:rPr>
            </w:pPr>
            <w:r>
              <w:rPr>
                <w:rFonts w:ascii="Arial" w:cs="Arial" w:eastAsia="Arial" w:hAnsi="Arial"/>
                <w:sz w:val="18"/>
                <w:szCs w:val="18"/>
                <w:color w:val="auto"/>
                <w:w w:val="92"/>
              </w:rPr>
              <w:t>March 9, 2018</w:t>
            </w:r>
          </w:p>
        </w:tc>
      </w:tr>
      <w:tr>
        <w:trPr>
          <w:trHeight w:val="182"/>
        </w:trPr>
        <w:tc>
          <w:tcPr>
            <w:tcW w:w="4780" w:type="dxa"/>
            <w:vAlign w:val="bottom"/>
          </w:tcPr>
          <w:p>
            <w:pPr>
              <w:jc w:val="center"/>
              <w:spacing w:after="0" w:line="182" w:lineRule="exact"/>
              <w:rPr>
                <w:sz w:val="20"/>
                <w:szCs w:val="20"/>
                <w:color w:val="auto"/>
              </w:rPr>
            </w:pPr>
            <w:r>
              <w:rPr>
                <w:rFonts w:ascii="Arial" w:cs="Arial" w:eastAsia="Arial" w:hAnsi="Arial"/>
                <w:sz w:val="18"/>
                <w:szCs w:val="18"/>
                <w:color w:val="auto"/>
                <w:w w:val="95"/>
              </w:rPr>
              <w:t>Patricia L. Allen</w:t>
            </w:r>
          </w:p>
        </w:tc>
        <w:tc>
          <w:tcPr>
            <w:tcW w:w="3780" w:type="dxa"/>
            <w:vAlign w:val="bottom"/>
          </w:tcPr>
          <w:p>
            <w:pPr>
              <w:ind w:left="100"/>
              <w:spacing w:after="0" w:line="182" w:lineRule="exact"/>
              <w:rPr>
                <w:sz w:val="20"/>
                <w:szCs w:val="20"/>
                <w:color w:val="auto"/>
              </w:rPr>
            </w:pPr>
            <w:r>
              <w:rPr>
                <w:rFonts w:ascii="Arial" w:cs="Arial" w:eastAsia="Arial" w:hAnsi="Arial"/>
                <w:sz w:val="18"/>
                <w:szCs w:val="18"/>
                <w:i w:val="1"/>
                <w:iCs w:val="1"/>
                <w:color w:val="auto"/>
              </w:rPr>
              <w:t>(Principal Financial and</w:t>
            </w:r>
          </w:p>
        </w:tc>
        <w:tc>
          <w:tcPr>
            <w:tcW w:w="2020" w:type="dxa"/>
            <w:vAlign w:val="bottom"/>
          </w:tcPr>
          <w:p>
            <w:pPr>
              <w:spacing w:after="0"/>
              <w:rPr>
                <w:sz w:val="15"/>
                <w:szCs w:val="15"/>
                <w:color w:val="auto"/>
              </w:rPr>
            </w:pPr>
          </w:p>
        </w:tc>
      </w:tr>
      <w:tr>
        <w:trPr>
          <w:trHeight w:val="230"/>
        </w:trPr>
        <w:tc>
          <w:tcPr>
            <w:tcW w:w="478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Arial" w:cs="Arial" w:eastAsia="Arial" w:hAnsi="Arial"/>
                <w:sz w:val="18"/>
                <w:szCs w:val="18"/>
                <w:i w:val="1"/>
                <w:iCs w:val="1"/>
                <w:color w:val="auto"/>
              </w:rPr>
              <w:t>Accounting Officer)</w:t>
            </w:r>
          </w:p>
        </w:tc>
        <w:tc>
          <w:tcPr>
            <w:tcW w:w="2020" w:type="dxa"/>
            <w:vAlign w:val="bottom"/>
          </w:tcPr>
          <w:p>
            <w:pPr>
              <w:spacing w:after="0"/>
              <w:rPr>
                <w:sz w:val="20"/>
                <w:szCs w:val="20"/>
                <w:color w:val="auto"/>
              </w:rPr>
            </w:pPr>
          </w:p>
        </w:tc>
      </w:tr>
      <w:tr>
        <w:trPr>
          <w:trHeight w:val="446"/>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Peter Barrett, Ph.D.</w:t>
            </w:r>
          </w:p>
        </w:tc>
        <w:tc>
          <w:tcPr>
            <w:tcW w:w="3780" w:type="dxa"/>
            <w:vAlign w:val="bottom"/>
          </w:tcPr>
          <w:p>
            <w:pPr>
              <w:ind w:left="100"/>
              <w:spacing w:after="0"/>
              <w:rPr>
                <w:sz w:val="20"/>
                <w:szCs w:val="20"/>
                <w:color w:val="auto"/>
              </w:rPr>
            </w:pPr>
            <w:r>
              <w:rPr>
                <w:rFonts w:ascii="Arial" w:cs="Arial" w:eastAsia="Arial" w:hAnsi="Arial"/>
                <w:sz w:val="18"/>
                <w:szCs w:val="18"/>
                <w:color w:val="auto"/>
              </w:rPr>
              <w:t>Chairman of the Board of Directors</w:t>
            </w:r>
          </w:p>
        </w:tc>
        <w:tc>
          <w:tcPr>
            <w:tcW w:w="2020" w:type="dxa"/>
            <w:vAlign w:val="bottom"/>
          </w:tcPr>
          <w:p>
            <w:pPr>
              <w:jc w:val="center"/>
              <w:ind w:left="871"/>
              <w:spacing w:after="0"/>
              <w:rPr>
                <w:sz w:val="20"/>
                <w:szCs w:val="20"/>
                <w:color w:val="auto"/>
              </w:rPr>
            </w:pPr>
            <w:r>
              <w:rPr>
                <w:rFonts w:ascii="Arial" w:cs="Arial" w:eastAsia="Arial" w:hAnsi="Arial"/>
                <w:sz w:val="18"/>
                <w:szCs w:val="18"/>
                <w:color w:val="auto"/>
                <w:w w:val="92"/>
              </w:rPr>
              <w:t>March 9, 2018</w:t>
            </w:r>
          </w:p>
        </w:tc>
      </w:tr>
      <w:tr>
        <w:trPr>
          <w:trHeight w:val="224"/>
        </w:trPr>
        <w:tc>
          <w:tcPr>
            <w:tcW w:w="4780" w:type="dxa"/>
            <w:vAlign w:val="bottom"/>
          </w:tcPr>
          <w:p>
            <w:pPr>
              <w:jc w:val="center"/>
              <w:spacing w:after="0"/>
              <w:rPr>
                <w:sz w:val="20"/>
                <w:szCs w:val="20"/>
                <w:color w:val="auto"/>
              </w:rPr>
            </w:pPr>
            <w:r>
              <w:rPr>
                <w:rFonts w:ascii="Arial" w:cs="Arial" w:eastAsia="Arial" w:hAnsi="Arial"/>
                <w:sz w:val="18"/>
                <w:szCs w:val="18"/>
                <w:color w:val="auto"/>
                <w:w w:val="90"/>
              </w:rPr>
              <w:t>Peter Barrett, Ph.D.</w:t>
            </w:r>
          </w:p>
        </w:tc>
        <w:tc>
          <w:tcPr>
            <w:tcW w:w="37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Bruce Booth, Ph.D.</w:t>
            </w:r>
          </w:p>
        </w:tc>
        <w:tc>
          <w:tcPr>
            <w:tcW w:w="37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ind w:left="871"/>
              <w:spacing w:after="0"/>
              <w:rPr>
                <w:sz w:val="20"/>
                <w:szCs w:val="20"/>
                <w:color w:val="auto"/>
              </w:rPr>
            </w:pPr>
            <w:r>
              <w:rPr>
                <w:rFonts w:ascii="Arial" w:cs="Arial" w:eastAsia="Arial" w:hAnsi="Arial"/>
                <w:sz w:val="18"/>
                <w:szCs w:val="18"/>
                <w:color w:val="auto"/>
                <w:w w:val="92"/>
              </w:rPr>
              <w:t>March 9, 2018</w:t>
            </w:r>
          </w:p>
        </w:tc>
      </w:tr>
      <w:tr>
        <w:trPr>
          <w:trHeight w:val="224"/>
        </w:trPr>
        <w:tc>
          <w:tcPr>
            <w:tcW w:w="4780" w:type="dxa"/>
            <w:vAlign w:val="bottom"/>
          </w:tcPr>
          <w:p>
            <w:pPr>
              <w:jc w:val="center"/>
              <w:spacing w:after="0"/>
              <w:rPr>
                <w:sz w:val="20"/>
                <w:szCs w:val="20"/>
                <w:color w:val="auto"/>
              </w:rPr>
            </w:pPr>
            <w:r>
              <w:rPr>
                <w:rFonts w:ascii="Arial" w:cs="Arial" w:eastAsia="Arial" w:hAnsi="Arial"/>
                <w:sz w:val="18"/>
                <w:szCs w:val="18"/>
                <w:color w:val="auto"/>
                <w:w w:val="92"/>
              </w:rPr>
              <w:t>Bruce Booth, Ph.D.</w:t>
            </w:r>
          </w:p>
        </w:tc>
        <w:tc>
          <w:tcPr>
            <w:tcW w:w="37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Thomas O. Daniel, M.D.</w:t>
            </w:r>
          </w:p>
        </w:tc>
        <w:tc>
          <w:tcPr>
            <w:tcW w:w="37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ind w:left="871"/>
              <w:spacing w:after="0"/>
              <w:rPr>
                <w:sz w:val="20"/>
                <w:szCs w:val="20"/>
                <w:color w:val="auto"/>
              </w:rPr>
            </w:pPr>
            <w:r>
              <w:rPr>
                <w:rFonts w:ascii="Arial" w:cs="Arial" w:eastAsia="Arial" w:hAnsi="Arial"/>
                <w:sz w:val="18"/>
                <w:szCs w:val="18"/>
                <w:color w:val="auto"/>
                <w:w w:val="92"/>
              </w:rPr>
              <w:t>March 9, 2018</w:t>
            </w:r>
          </w:p>
        </w:tc>
      </w:tr>
      <w:tr>
        <w:trPr>
          <w:trHeight w:val="224"/>
        </w:trPr>
        <w:tc>
          <w:tcPr>
            <w:tcW w:w="4780" w:type="dxa"/>
            <w:vAlign w:val="bottom"/>
          </w:tcPr>
          <w:p>
            <w:pPr>
              <w:jc w:val="center"/>
              <w:spacing w:after="0"/>
              <w:rPr>
                <w:sz w:val="20"/>
                <w:szCs w:val="20"/>
                <w:color w:val="auto"/>
              </w:rPr>
            </w:pPr>
            <w:r>
              <w:rPr>
                <w:rFonts w:ascii="Arial" w:cs="Arial" w:eastAsia="Arial" w:hAnsi="Arial"/>
                <w:sz w:val="18"/>
                <w:szCs w:val="18"/>
                <w:color w:val="auto"/>
                <w:w w:val="93"/>
              </w:rPr>
              <w:t>Thomas O. Daniel, M.D.</w:t>
            </w:r>
          </w:p>
        </w:tc>
        <w:tc>
          <w:tcPr>
            <w:tcW w:w="37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Frances K. Heller</w:t>
            </w:r>
          </w:p>
        </w:tc>
        <w:tc>
          <w:tcPr>
            <w:tcW w:w="37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ind w:left="871"/>
              <w:spacing w:after="0"/>
              <w:rPr>
                <w:sz w:val="20"/>
                <w:szCs w:val="20"/>
                <w:color w:val="auto"/>
              </w:rPr>
            </w:pPr>
            <w:r>
              <w:rPr>
                <w:rFonts w:ascii="Arial" w:cs="Arial" w:eastAsia="Arial" w:hAnsi="Arial"/>
                <w:sz w:val="18"/>
                <w:szCs w:val="18"/>
                <w:color w:val="auto"/>
                <w:w w:val="92"/>
              </w:rPr>
              <w:t>March 9, 2018</w:t>
            </w:r>
          </w:p>
        </w:tc>
      </w:tr>
      <w:tr>
        <w:trPr>
          <w:trHeight w:val="224"/>
        </w:trPr>
        <w:tc>
          <w:tcPr>
            <w:tcW w:w="4780" w:type="dxa"/>
            <w:vAlign w:val="bottom"/>
          </w:tcPr>
          <w:p>
            <w:pPr>
              <w:jc w:val="center"/>
              <w:spacing w:after="0"/>
              <w:rPr>
                <w:sz w:val="20"/>
                <w:szCs w:val="20"/>
                <w:color w:val="auto"/>
              </w:rPr>
            </w:pPr>
            <w:r>
              <w:rPr>
                <w:rFonts w:ascii="Arial" w:cs="Arial" w:eastAsia="Arial" w:hAnsi="Arial"/>
                <w:sz w:val="18"/>
                <w:szCs w:val="18"/>
                <w:color w:val="auto"/>
                <w:w w:val="92"/>
              </w:rPr>
              <w:t>Frances K. Heller</w:t>
            </w:r>
          </w:p>
        </w:tc>
        <w:tc>
          <w:tcPr>
            <w:tcW w:w="37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E. Hughes, Ph.D.</w:t>
            </w:r>
          </w:p>
        </w:tc>
        <w:tc>
          <w:tcPr>
            <w:tcW w:w="3780" w:type="dxa"/>
            <w:vAlign w:val="bottom"/>
          </w:tcPr>
          <w:p>
            <w:pPr>
              <w:ind w:left="100"/>
              <w:spacing w:after="0"/>
              <w:rPr>
                <w:sz w:val="20"/>
                <w:szCs w:val="20"/>
                <w:color w:val="auto"/>
              </w:rPr>
            </w:pPr>
            <w:r>
              <w:rPr>
                <w:rFonts w:ascii="Arial" w:cs="Arial" w:eastAsia="Arial" w:hAnsi="Arial"/>
                <w:sz w:val="18"/>
                <w:szCs w:val="18"/>
                <w:color w:val="auto"/>
              </w:rPr>
              <w:t>President and Chief Scientific Officer</w:t>
            </w:r>
          </w:p>
        </w:tc>
        <w:tc>
          <w:tcPr>
            <w:tcW w:w="2020" w:type="dxa"/>
            <w:vAlign w:val="bottom"/>
          </w:tcPr>
          <w:p>
            <w:pPr>
              <w:jc w:val="center"/>
              <w:ind w:left="871"/>
              <w:spacing w:after="0"/>
              <w:rPr>
                <w:sz w:val="20"/>
                <w:szCs w:val="20"/>
                <w:color w:val="auto"/>
              </w:rPr>
            </w:pPr>
            <w:r>
              <w:rPr>
                <w:rFonts w:ascii="Arial" w:cs="Arial" w:eastAsia="Arial" w:hAnsi="Arial"/>
                <w:sz w:val="18"/>
                <w:szCs w:val="18"/>
                <w:color w:val="auto"/>
                <w:w w:val="92"/>
              </w:rPr>
              <w:t>March 9, 2018</w:t>
            </w:r>
          </w:p>
        </w:tc>
      </w:tr>
      <w:tr>
        <w:trPr>
          <w:trHeight w:val="224"/>
        </w:trPr>
        <w:tc>
          <w:tcPr>
            <w:tcW w:w="4780" w:type="dxa"/>
            <w:vAlign w:val="bottom"/>
          </w:tcPr>
          <w:p>
            <w:pPr>
              <w:jc w:val="center"/>
              <w:spacing w:after="0"/>
              <w:rPr>
                <w:sz w:val="20"/>
                <w:szCs w:val="20"/>
                <w:color w:val="auto"/>
              </w:rPr>
            </w:pPr>
            <w:r>
              <w:rPr>
                <w:rFonts w:ascii="Arial" w:cs="Arial" w:eastAsia="Arial" w:hAnsi="Arial"/>
                <w:sz w:val="18"/>
                <w:szCs w:val="18"/>
                <w:color w:val="auto"/>
                <w:w w:val="89"/>
              </w:rPr>
              <w:t>Thomas E. Hughes, Ph.D.</w:t>
            </w:r>
          </w:p>
        </w:tc>
        <w:tc>
          <w:tcPr>
            <w:tcW w:w="3780" w:type="dxa"/>
            <w:vAlign w:val="bottom"/>
          </w:tcPr>
          <w:p>
            <w:pPr>
              <w:ind w:left="100"/>
              <w:spacing w:after="0"/>
              <w:rPr>
                <w:sz w:val="20"/>
                <w:szCs w:val="20"/>
                <w:color w:val="auto"/>
              </w:rPr>
            </w:pPr>
            <w:r>
              <w:rPr>
                <w:rFonts w:ascii="Arial" w:cs="Arial" w:eastAsia="Arial" w:hAnsi="Arial"/>
                <w:sz w:val="18"/>
                <w:szCs w:val="18"/>
                <w:color w:val="auto"/>
              </w:rPr>
              <w:t>and Director</w:t>
            </w:r>
          </w:p>
        </w:tc>
        <w:tc>
          <w:tcPr>
            <w:tcW w:w="2020" w:type="dxa"/>
            <w:vAlign w:val="bottom"/>
          </w:tcPr>
          <w:p>
            <w:pPr>
              <w:spacing w:after="0"/>
              <w:rPr>
                <w:sz w:val="19"/>
                <w:szCs w:val="19"/>
                <w:color w:val="auto"/>
              </w:rPr>
            </w:pPr>
          </w:p>
        </w:tc>
      </w:tr>
      <w:tr>
        <w:trPr>
          <w:trHeight w:val="431"/>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L. LaMattina, Ph.D.</w:t>
            </w:r>
          </w:p>
        </w:tc>
        <w:tc>
          <w:tcPr>
            <w:tcW w:w="37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ind w:left="871"/>
              <w:spacing w:after="0"/>
              <w:rPr>
                <w:sz w:val="20"/>
                <w:szCs w:val="20"/>
                <w:color w:val="auto"/>
              </w:rPr>
            </w:pPr>
            <w:r>
              <w:rPr>
                <w:rFonts w:ascii="Arial" w:cs="Arial" w:eastAsia="Arial" w:hAnsi="Arial"/>
                <w:sz w:val="18"/>
                <w:szCs w:val="18"/>
                <w:color w:val="auto"/>
                <w:w w:val="92"/>
              </w:rPr>
              <w:t>March 9, 2018</w:t>
            </w:r>
          </w:p>
        </w:tc>
      </w:tr>
      <w:tr>
        <w:trPr>
          <w:trHeight w:val="224"/>
        </w:trPr>
        <w:tc>
          <w:tcPr>
            <w:tcW w:w="4780" w:type="dxa"/>
            <w:vAlign w:val="bottom"/>
          </w:tcPr>
          <w:p>
            <w:pPr>
              <w:jc w:val="center"/>
              <w:spacing w:after="0"/>
              <w:rPr>
                <w:sz w:val="20"/>
                <w:szCs w:val="20"/>
                <w:color w:val="auto"/>
              </w:rPr>
            </w:pPr>
            <w:r>
              <w:rPr>
                <w:rFonts w:ascii="Arial" w:cs="Arial" w:eastAsia="Arial" w:hAnsi="Arial"/>
                <w:sz w:val="18"/>
                <w:szCs w:val="18"/>
                <w:color w:val="auto"/>
                <w:w w:val="92"/>
              </w:rPr>
              <w:t>John L. LaMattina, Ph.D.</w:t>
            </w:r>
          </w:p>
        </w:tc>
        <w:tc>
          <w:tcPr>
            <w:tcW w:w="37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Cameron Geoffrey McDonough, M.D.</w:t>
            </w:r>
          </w:p>
        </w:tc>
        <w:tc>
          <w:tcPr>
            <w:tcW w:w="37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ind w:left="871"/>
              <w:spacing w:after="0"/>
              <w:rPr>
                <w:sz w:val="20"/>
                <w:szCs w:val="20"/>
                <w:color w:val="auto"/>
              </w:rPr>
            </w:pPr>
            <w:r>
              <w:rPr>
                <w:rFonts w:ascii="Arial" w:cs="Arial" w:eastAsia="Arial" w:hAnsi="Arial"/>
                <w:sz w:val="18"/>
                <w:szCs w:val="18"/>
                <w:color w:val="auto"/>
                <w:w w:val="92"/>
              </w:rPr>
              <w:t>March 9, 2018</w:t>
            </w:r>
          </w:p>
        </w:tc>
      </w:tr>
      <w:tr>
        <w:trPr>
          <w:trHeight w:val="224"/>
        </w:trPr>
        <w:tc>
          <w:tcPr>
            <w:tcW w:w="4780" w:type="dxa"/>
            <w:vAlign w:val="bottom"/>
          </w:tcPr>
          <w:p>
            <w:pPr>
              <w:jc w:val="center"/>
              <w:spacing w:after="0"/>
              <w:rPr>
                <w:sz w:val="20"/>
                <w:szCs w:val="20"/>
                <w:color w:val="auto"/>
              </w:rPr>
            </w:pPr>
            <w:r>
              <w:rPr>
                <w:rFonts w:ascii="Arial" w:cs="Arial" w:eastAsia="Arial" w:hAnsi="Arial"/>
                <w:sz w:val="18"/>
                <w:szCs w:val="18"/>
                <w:color w:val="auto"/>
                <w:w w:val="93"/>
              </w:rPr>
              <w:t>Cameron Geoffrey McDonough, M.D.</w:t>
            </w:r>
          </w:p>
        </w:tc>
        <w:tc>
          <w:tcPr>
            <w:tcW w:w="37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Robert J. Perez</w:t>
            </w:r>
          </w:p>
        </w:tc>
        <w:tc>
          <w:tcPr>
            <w:tcW w:w="37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ind w:left="871"/>
              <w:spacing w:after="0"/>
              <w:rPr>
                <w:sz w:val="20"/>
                <w:szCs w:val="20"/>
                <w:color w:val="auto"/>
              </w:rPr>
            </w:pPr>
            <w:r>
              <w:rPr>
                <w:rFonts w:ascii="Arial" w:cs="Arial" w:eastAsia="Arial" w:hAnsi="Arial"/>
                <w:sz w:val="18"/>
                <w:szCs w:val="18"/>
                <w:color w:val="auto"/>
                <w:w w:val="92"/>
              </w:rPr>
              <w:t>March 9, 2018</w:t>
            </w:r>
          </w:p>
        </w:tc>
      </w:tr>
      <w:tr>
        <w:trPr>
          <w:trHeight w:val="224"/>
        </w:trPr>
        <w:tc>
          <w:tcPr>
            <w:tcW w:w="4780" w:type="dxa"/>
            <w:vAlign w:val="bottom"/>
          </w:tcPr>
          <w:p>
            <w:pPr>
              <w:jc w:val="center"/>
              <w:spacing w:after="0"/>
              <w:rPr>
                <w:sz w:val="20"/>
                <w:szCs w:val="20"/>
                <w:color w:val="auto"/>
              </w:rPr>
            </w:pPr>
            <w:r>
              <w:rPr>
                <w:rFonts w:ascii="Arial" w:cs="Arial" w:eastAsia="Arial" w:hAnsi="Arial"/>
                <w:sz w:val="18"/>
                <w:szCs w:val="18"/>
                <w:color w:val="auto"/>
                <w:w w:val="87"/>
              </w:rPr>
              <w:t>Robert J. Perez</w:t>
            </w:r>
          </w:p>
        </w:tc>
        <w:tc>
          <w:tcPr>
            <w:tcW w:w="37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Frank E. Thomas</w:t>
            </w:r>
          </w:p>
        </w:tc>
        <w:tc>
          <w:tcPr>
            <w:tcW w:w="37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ind w:left="871"/>
              <w:spacing w:after="0"/>
              <w:rPr>
                <w:sz w:val="20"/>
                <w:szCs w:val="20"/>
                <w:color w:val="auto"/>
              </w:rPr>
            </w:pPr>
            <w:r>
              <w:rPr>
                <w:rFonts w:ascii="Arial" w:cs="Arial" w:eastAsia="Arial" w:hAnsi="Arial"/>
                <w:sz w:val="18"/>
                <w:szCs w:val="18"/>
                <w:color w:val="auto"/>
                <w:w w:val="92"/>
              </w:rPr>
              <w:t>March 9, 2018</w:t>
            </w:r>
          </w:p>
        </w:tc>
      </w:tr>
      <w:tr>
        <w:trPr>
          <w:trHeight w:val="224"/>
        </w:trPr>
        <w:tc>
          <w:tcPr>
            <w:tcW w:w="4780" w:type="dxa"/>
            <w:vAlign w:val="bottom"/>
          </w:tcPr>
          <w:p>
            <w:pPr>
              <w:jc w:val="center"/>
              <w:spacing w:after="0"/>
              <w:rPr>
                <w:sz w:val="20"/>
                <w:szCs w:val="20"/>
                <w:color w:val="auto"/>
              </w:rPr>
            </w:pPr>
            <w:r>
              <w:rPr>
                <w:rFonts w:ascii="Arial" w:cs="Arial" w:eastAsia="Arial" w:hAnsi="Arial"/>
                <w:sz w:val="18"/>
                <w:szCs w:val="18"/>
                <w:color w:val="auto"/>
                <w:w w:val="89"/>
              </w:rPr>
              <w:t>Frank E. Thomas</w:t>
            </w:r>
          </w:p>
        </w:tc>
        <w:tc>
          <w:tcPr>
            <w:tcW w:w="378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240"/>
          </w:cols>
          <w:pgMar w:left="240" w:top="459" w:right="41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78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rPr>
              <w:t>NON-QUALIFIED STOCK OPTION AGREEMENT</w:t>
            </w:r>
          </w:p>
        </w:tc>
      </w:tr>
      <w:tr>
        <w:trPr>
          <w:trHeight w:val="432"/>
        </w:trPr>
        <w:tc>
          <w:tcPr>
            <w:tcW w:w="3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4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rPr>
              <w:t>INDUCEMENT AWARD</w:t>
            </w:r>
          </w:p>
        </w:tc>
      </w:tr>
      <w:tr>
        <w:trPr>
          <w:trHeight w:val="419"/>
        </w:trPr>
        <w:tc>
          <w:tcPr>
            <w:tcW w:w="3000" w:type="dxa"/>
            <w:vAlign w:val="bottom"/>
          </w:tcPr>
          <w:p>
            <w:pPr>
              <w:spacing w:after="0"/>
              <w:rPr>
                <w:sz w:val="20"/>
                <w:szCs w:val="20"/>
                <w:color w:val="auto"/>
              </w:rPr>
            </w:pPr>
            <w:r>
              <w:rPr>
                <w:rFonts w:ascii="Arial" w:cs="Arial" w:eastAsia="Arial" w:hAnsi="Arial"/>
                <w:sz w:val="18"/>
                <w:szCs w:val="18"/>
                <w:color w:val="auto"/>
              </w:rPr>
              <w:t>Name of Optionee:</w:t>
            </w:r>
          </w:p>
        </w:tc>
        <w:tc>
          <w:tcPr>
            <w:tcW w:w="1120" w:type="dxa"/>
            <w:vAlign w:val="bottom"/>
          </w:tcPr>
          <w:p>
            <w:pPr>
              <w:spacing w:after="0"/>
              <w:rPr>
                <w:sz w:val="24"/>
                <w:szCs w:val="2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Jeffrey Hatfield</w:t>
            </w:r>
          </w:p>
        </w:tc>
        <w:tc>
          <w:tcPr>
            <w:tcW w:w="2520" w:type="dxa"/>
            <w:vAlign w:val="bottom"/>
            <w:gridSpan w:val="2"/>
          </w:tcPr>
          <w:p>
            <w:pPr>
              <w:spacing w:after="0"/>
              <w:rPr>
                <w:sz w:val="24"/>
                <w:szCs w:val="24"/>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No. of Option Shares:</w:t>
            </w:r>
          </w:p>
        </w:tc>
        <w:tc>
          <w:tcPr>
            <w:tcW w:w="11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1,100,000</w:t>
            </w: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1120" w:type="dxa"/>
            <w:vAlign w:val="bottom"/>
          </w:tcPr>
          <w:p>
            <w:pPr>
              <w:spacing w:after="0"/>
              <w:rPr>
                <w:sz w:val="24"/>
                <w:szCs w:val="24"/>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3.40</w:t>
            </w:r>
          </w:p>
        </w:tc>
        <w:tc>
          <w:tcPr>
            <w:tcW w:w="3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Grant Date:</w:t>
            </w:r>
          </w:p>
        </w:tc>
        <w:tc>
          <w:tcPr>
            <w:tcW w:w="1120" w:type="dxa"/>
            <w:vAlign w:val="bottom"/>
          </w:tcPr>
          <w:p>
            <w:pPr>
              <w:spacing w:after="0"/>
              <w:rPr>
                <w:sz w:val="24"/>
                <w:szCs w:val="2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October 9, 2017</w:t>
            </w:r>
          </w:p>
        </w:tc>
        <w:tc>
          <w:tcPr>
            <w:tcW w:w="2480" w:type="dxa"/>
            <w:vAlign w:val="bottom"/>
          </w:tcPr>
          <w:p>
            <w:pPr>
              <w:spacing w:after="0"/>
              <w:rPr>
                <w:sz w:val="24"/>
                <w:szCs w:val="24"/>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Expiration Date:</w:t>
            </w:r>
          </w:p>
        </w:tc>
        <w:tc>
          <w:tcPr>
            <w:tcW w:w="1120" w:type="dxa"/>
            <w:vAlign w:val="bottom"/>
          </w:tcPr>
          <w:p>
            <w:pPr>
              <w:spacing w:after="0"/>
              <w:rPr>
                <w:sz w:val="24"/>
                <w:szCs w:val="2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October 8, 2027</w:t>
            </w:r>
          </w:p>
        </w:tc>
        <w:tc>
          <w:tcPr>
            <w:tcW w:w="2480" w:type="dxa"/>
            <w:vAlign w:val="bottom"/>
          </w:tcPr>
          <w:p>
            <w:pPr>
              <w:spacing w:after="0"/>
              <w:rPr>
                <w:sz w:val="24"/>
                <w:szCs w:val="24"/>
                <w:color w:val="auto"/>
              </w:rPr>
            </w:pPr>
          </w:p>
        </w:tc>
      </w:tr>
    </w:tbl>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Zafgen,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This Stock Option has been granted as an inducement pursuant to Rule 5635(c)(4) of the Marketplace Rules of the Nasdaq Stock Market, Inc. This Stock Option is not intended to be an “incentive stock option” under Section 422 of the Internal Revenue Code of 1986, as amended. Capitalized terms used, but not defined herein, shall have the meanings given to such terms in the employment offer letter, by and between the Company and the Optionee, dated as of October 3, 2017, as the same may be amended or restated from time to time.</w:t>
      </w:r>
    </w:p>
    <w:p>
      <w:pPr>
        <w:spacing w:after="0" w:line="81" w:lineRule="exact"/>
        <w:rPr>
          <w:sz w:val="20"/>
          <w:szCs w:val="20"/>
          <w:color w:val="auto"/>
        </w:rPr>
      </w:pPr>
    </w:p>
    <w:p>
      <w:pPr>
        <w:ind w:right="100" w:firstLine="464"/>
        <w:spacing w:after="0" w:line="302" w:lineRule="auto"/>
        <w:tabs>
          <w:tab w:leader="none" w:pos="63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Exercisability Schedule</w:t>
      </w:r>
      <w:r>
        <w:rPr>
          <w:rFonts w:ascii="Arial" w:cs="Arial" w:eastAsia="Arial" w:hAnsi="Arial"/>
          <w:sz w:val="16"/>
          <w:szCs w:val="16"/>
          <w:color w:val="auto"/>
        </w:rPr>
        <w:t xml:space="preserve">. No portion of this Stock Option may be exercised until such portion shall have become exercisable as set forth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and subject to the discretion of the Company’s Board of Directors or the Compensation Committee thereof (the “Administrator”) to accelerate the exercisability schedule hereunder, this Stock Option shall be exercisable with respect to Option Shares so long as Optionee remains an employee of the Company or a subsidiary thereof on the dates when such Option Shares are earned.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Once exercisable, this Stock Option shall continue to be exercisable at any time or times prior to the close of business on the Expiration Date.</w:t>
      </w:r>
    </w:p>
    <w:p>
      <w:pPr>
        <w:spacing w:after="0" w:line="129" w:lineRule="exact"/>
        <w:rPr>
          <w:sz w:val="20"/>
          <w:szCs w:val="20"/>
          <w:color w:val="auto"/>
        </w:rPr>
      </w:pPr>
    </w:p>
    <w:p>
      <w:pPr>
        <w:ind w:left="640" w:hanging="17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21"/>
        <w:spacing w:after="0" w:line="264" w:lineRule="auto"/>
        <w:tabs>
          <w:tab w:leader="none" w:pos="1158"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Company of his election to purchase some or all of the Option Shares purchasable at the time of such notice. This notice shall specify the number of Option Shares to be purchased.</w:t>
      </w:r>
    </w:p>
    <w:p>
      <w:pPr>
        <w:sectPr>
          <w:pgSz w:w="11900" w:h="16838" w:orient="portrait"/>
          <w:cols w:equalWidth="0" w:num="1">
            <w:col w:w="11420"/>
          </w:cols>
          <w:pgMar w:left="240" w:top="121" w:right="239" w:bottom="1440" w:gutter="0" w:footer="0" w:header="0"/>
        </w:sectPr>
      </w:pPr>
    </w:p>
    <w:bookmarkStart w:id="117" w:name="page118"/>
    <w:bookmarkEnd w:id="117"/>
    <w:p>
      <w:pPr>
        <w:ind w:right="1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the purchase price for the Option Shares may be made by one or more of the following methods: (i) in cash, by certified or bank check or other instrument acceptable to the Company; (ii) through the delivery (or attestation to the ownership) of shares of the Company’s common stock (the “Stock”) that have been purchased by the Optionee on the open market or that are beneficially owned by the Optionee and are not then subject to any restrictions under any Company plan and that otherwise satisfy any holding periods as may be required by the Company;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Company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and (ii) the fulfillment of any other requirements contained herein or in any other agreement or provision of laws. In the event the Optionee chooses to pay the purchase price by previously-owned shares of common stock through the attestation method, the number of shares of common stock transferred to the Optionee upon the exercise of the Stock Option shall be net of the shares attested to.</w:t>
      </w:r>
    </w:p>
    <w:p>
      <w:pPr>
        <w:spacing w:after="0" w:line="80" w:lineRule="exact"/>
        <w:rPr>
          <w:sz w:val="20"/>
          <w:szCs w:val="20"/>
          <w:color w:val="auto"/>
        </w:rPr>
      </w:pPr>
    </w:p>
    <w:p>
      <w:pPr>
        <w:ind w:firstLine="921"/>
        <w:spacing w:after="0" w:line="272" w:lineRule="auto"/>
        <w:tabs>
          <w:tab w:leader="none" w:pos="1168"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Company with all requirements under applicable laws or regulations in connection with such transfer and with the requirements hereof. The determination of the Company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69" w:lineRule="exact"/>
        <w:rPr>
          <w:rFonts w:ascii="Arial" w:cs="Arial" w:eastAsia="Arial" w:hAnsi="Arial"/>
          <w:sz w:val="17"/>
          <w:szCs w:val="17"/>
          <w:color w:val="auto"/>
        </w:rPr>
      </w:pPr>
    </w:p>
    <w:p>
      <w:pPr>
        <w:ind w:right="280" w:firstLine="921"/>
        <w:spacing w:after="0" w:line="264" w:lineRule="auto"/>
        <w:tabs>
          <w:tab w:leader="none" w:pos="11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 other provision hereof, no portion of this Stock Option shall be exercisable after the Expiration Date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8" w:name="page119"/>
    <w:bookmarkEnd w:id="118"/>
    <w:p>
      <w:pPr>
        <w:ind w:left="-60" w:right="580" w:firstLine="464"/>
        <w:spacing w:after="0" w:line="277" w:lineRule="auto"/>
        <w:tabs>
          <w:tab w:leader="none" w:pos="57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w:t>
      </w:r>
      <w:r>
        <w:rPr>
          <w:rFonts w:ascii="Arial" w:cs="Arial" w:eastAsia="Arial" w:hAnsi="Arial"/>
          <w:sz w:val="18"/>
          <w:szCs w:val="18"/>
          <w:color w:val="auto"/>
        </w:rPr>
        <w:t>. If the Optionee’s employment by the Company or a subsidiary thereof is terminated, the period within which to exercise the Stock Option may be subject to earlier termination as set forth below.</w:t>
      </w:r>
    </w:p>
    <w:p>
      <w:pPr>
        <w:spacing w:after="0" w:line="62" w:lineRule="exact"/>
        <w:rPr>
          <w:rFonts w:ascii="Arial" w:cs="Arial" w:eastAsia="Arial" w:hAnsi="Arial"/>
          <w:sz w:val="18"/>
          <w:szCs w:val="18"/>
          <w:color w:val="auto"/>
        </w:rPr>
      </w:pPr>
    </w:p>
    <w:p>
      <w:pPr>
        <w:ind w:left="-60" w:right="20" w:firstLine="921"/>
        <w:spacing w:after="0" w:line="259" w:lineRule="auto"/>
        <w:tabs>
          <w:tab w:leader="none" w:pos="1097"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78" w:lineRule="exact"/>
        <w:rPr>
          <w:rFonts w:ascii="Arial" w:cs="Arial" w:eastAsia="Arial" w:hAnsi="Arial"/>
          <w:sz w:val="18"/>
          <w:szCs w:val="18"/>
          <w:color w:val="auto"/>
        </w:rPr>
      </w:pPr>
    </w:p>
    <w:p>
      <w:pPr>
        <w:ind w:left="-60" w:right="300" w:firstLine="921"/>
        <w:spacing w:after="0" w:line="259" w:lineRule="auto"/>
        <w:tabs>
          <w:tab w:leader="none" w:pos="110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the Optionee’s employment terminates by reason of the Optionee’s Disability,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78" w:lineRule="exact"/>
        <w:rPr>
          <w:rFonts w:ascii="Arial" w:cs="Arial" w:eastAsia="Arial" w:hAnsi="Arial"/>
          <w:sz w:val="18"/>
          <w:szCs w:val="18"/>
          <w:color w:val="auto"/>
        </w:rPr>
      </w:pPr>
    </w:p>
    <w:p>
      <w:pPr>
        <w:ind w:left="-60" w:right="20" w:firstLine="921"/>
        <w:spacing w:after="0" w:line="279" w:lineRule="auto"/>
        <w:tabs>
          <w:tab w:leader="none" w:pos="1097"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If the Optionee’s employment terminates for any reason other than the Optionee’s Death, or the Optionee’s Disability,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63" w:lineRule="exact"/>
        <w:rPr>
          <w:rFonts w:ascii="Arial" w:cs="Arial" w:eastAsia="Arial" w:hAnsi="Arial"/>
          <w:sz w:val="17"/>
          <w:szCs w:val="17"/>
          <w:color w:val="auto"/>
        </w:rPr>
      </w:pPr>
    </w:p>
    <w:p>
      <w:pPr>
        <w:ind w:left="-60" w:right="180" w:firstLine="464"/>
        <w:spacing w:after="0" w:line="264" w:lineRule="auto"/>
        <w:tabs>
          <w:tab w:leader="none" w:pos="57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3" w:lineRule="exact"/>
        <w:rPr>
          <w:rFonts w:ascii="Arial" w:cs="Arial" w:eastAsia="Arial" w:hAnsi="Arial"/>
          <w:sz w:val="18"/>
          <w:szCs w:val="18"/>
          <w:color w:val="auto"/>
        </w:rPr>
      </w:pPr>
    </w:p>
    <w:p>
      <w:pPr>
        <w:ind w:left="-60" w:right="160" w:firstLine="464"/>
        <w:spacing w:after="0" w:line="257" w:lineRule="auto"/>
        <w:tabs>
          <w:tab w:leader="none" w:pos="57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Company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80" w:lineRule="exact"/>
        <w:rPr>
          <w:rFonts w:ascii="Arial" w:cs="Arial" w:eastAsia="Arial" w:hAnsi="Arial"/>
          <w:sz w:val="18"/>
          <w:szCs w:val="18"/>
          <w:color w:val="auto"/>
        </w:rPr>
      </w:pPr>
    </w:p>
    <w:p>
      <w:pPr>
        <w:ind w:left="-60" w:firstLine="464"/>
        <w:spacing w:after="0" w:line="264" w:lineRule="auto"/>
        <w:tabs>
          <w:tab w:leader="none" w:pos="57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thereof is obligated by or as a result of this Agreement to continue the Optionee in employment and this Agreement shall not interfere in any way with the right of the Company or any subsidiary to terminate the employment of the Optionee at any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74" w:right="279" w:bottom="1440" w:gutter="0" w:footer="0" w:header="0"/>
        </w:sectPr>
      </w:pPr>
    </w:p>
    <w:bookmarkStart w:id="119" w:name="page120"/>
    <w:bookmarkEnd w:id="119"/>
    <w:p>
      <w:pPr>
        <w:ind w:right="760" w:firstLine="464"/>
        <w:spacing w:after="0" w:line="277" w:lineRule="auto"/>
        <w:tabs>
          <w:tab w:leader="none" w:pos="63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firstLine="464"/>
        <w:spacing w:after="0" w:line="290" w:lineRule="auto"/>
        <w:tabs>
          <w:tab w:leader="none" w:pos="63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58" w:lineRule="exact"/>
        <w:rPr>
          <w:rFonts w:ascii="Arial" w:cs="Arial" w:eastAsia="Arial" w:hAnsi="Arial"/>
          <w:sz w:val="16"/>
          <w:szCs w:val="16"/>
          <w:color w:val="auto"/>
        </w:rPr>
      </w:pPr>
    </w:p>
    <w:p>
      <w:pPr>
        <w:ind w:right="100" w:firstLine="464"/>
        <w:spacing w:after="0" w:line="342" w:lineRule="auto"/>
        <w:tabs>
          <w:tab w:leader="none" w:pos="63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Patricia Allen</w:t>
      </w:r>
    </w:p>
    <w:p>
      <w:pPr>
        <w:spacing w:after="0" w:line="22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October 9, 2017</w:t>
      </w:r>
      <w:r>
        <w:rPr>
          <w:sz w:val="20"/>
          <w:szCs w:val="20"/>
          <w:color w:val="auto"/>
        </w:rPr>
        <w:tab/>
      </w:r>
      <w:r>
        <w:rPr>
          <w:rFonts w:ascii="Arial" w:cs="Arial" w:eastAsia="Arial" w:hAnsi="Arial"/>
          <w:sz w:val="16"/>
          <w:szCs w:val="16"/>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Jeffrey Hatfield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Vesting Terms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274"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78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rPr>
              <w:t>NON-QUALIFIED STOCK OPTION AGREEMENT</w:t>
            </w:r>
          </w:p>
        </w:tc>
      </w:tr>
      <w:tr>
        <w:trPr>
          <w:trHeight w:val="432"/>
        </w:trPr>
        <w:tc>
          <w:tcPr>
            <w:tcW w:w="3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rPr>
              <w:t>INDUCEMENT AWARD</w:t>
            </w:r>
          </w:p>
        </w:tc>
      </w:tr>
      <w:tr>
        <w:trPr>
          <w:trHeight w:val="419"/>
        </w:trPr>
        <w:tc>
          <w:tcPr>
            <w:tcW w:w="3000" w:type="dxa"/>
            <w:vAlign w:val="bottom"/>
          </w:tcPr>
          <w:p>
            <w:pPr>
              <w:spacing w:after="0"/>
              <w:rPr>
                <w:sz w:val="20"/>
                <w:szCs w:val="20"/>
                <w:color w:val="auto"/>
              </w:rPr>
            </w:pPr>
            <w:r>
              <w:rPr>
                <w:rFonts w:ascii="Arial" w:cs="Arial" w:eastAsia="Arial" w:hAnsi="Arial"/>
                <w:sz w:val="18"/>
                <w:szCs w:val="18"/>
                <w:color w:val="auto"/>
              </w:rPr>
              <w:t>Name of Optionee:</w:t>
            </w:r>
          </w:p>
        </w:tc>
        <w:tc>
          <w:tcPr>
            <w:tcW w:w="1000" w:type="dxa"/>
            <w:vAlign w:val="bottom"/>
          </w:tcPr>
          <w:p>
            <w:pPr>
              <w:spacing w:after="0"/>
              <w:rPr>
                <w:sz w:val="24"/>
                <w:szCs w:val="2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Jeffrey Hatfield</w:t>
            </w:r>
          </w:p>
        </w:tc>
        <w:tc>
          <w:tcPr>
            <w:tcW w:w="2640" w:type="dxa"/>
            <w:vAlign w:val="bottom"/>
            <w:gridSpan w:val="2"/>
          </w:tcPr>
          <w:p>
            <w:pPr>
              <w:spacing w:after="0"/>
              <w:rPr>
                <w:sz w:val="24"/>
                <w:szCs w:val="24"/>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No. of Option Shares:</w:t>
            </w:r>
          </w:p>
        </w:tc>
        <w:tc>
          <w:tcPr>
            <w:tcW w:w="1000" w:type="dxa"/>
            <w:vAlign w:val="bottom"/>
          </w:tcPr>
          <w:p>
            <w:pPr>
              <w:spacing w:after="0"/>
              <w:rPr>
                <w:sz w:val="24"/>
                <w:szCs w:val="2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550,000</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100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3.40</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Grant Date:</w:t>
            </w:r>
          </w:p>
        </w:tc>
        <w:tc>
          <w:tcPr>
            <w:tcW w:w="1000" w:type="dxa"/>
            <w:vAlign w:val="bottom"/>
          </w:tcPr>
          <w:p>
            <w:pPr>
              <w:spacing w:after="0"/>
              <w:rPr>
                <w:sz w:val="24"/>
                <w:szCs w:val="2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October 9, 2017</w:t>
            </w:r>
          </w:p>
        </w:tc>
        <w:tc>
          <w:tcPr>
            <w:tcW w:w="2600" w:type="dxa"/>
            <w:vAlign w:val="bottom"/>
          </w:tcPr>
          <w:p>
            <w:pPr>
              <w:spacing w:after="0"/>
              <w:rPr>
                <w:sz w:val="24"/>
                <w:szCs w:val="24"/>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Expiration Date:</w:t>
            </w:r>
          </w:p>
        </w:tc>
        <w:tc>
          <w:tcPr>
            <w:tcW w:w="1000" w:type="dxa"/>
            <w:vAlign w:val="bottom"/>
          </w:tcPr>
          <w:p>
            <w:pPr>
              <w:spacing w:after="0"/>
              <w:rPr>
                <w:sz w:val="24"/>
                <w:szCs w:val="2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October 8, 2027</w:t>
            </w:r>
          </w:p>
        </w:tc>
        <w:tc>
          <w:tcPr>
            <w:tcW w:w="2600" w:type="dxa"/>
            <w:vAlign w:val="bottom"/>
          </w:tcPr>
          <w:p>
            <w:pPr>
              <w:spacing w:after="0"/>
              <w:rPr>
                <w:sz w:val="24"/>
                <w:szCs w:val="24"/>
                <w:color w:val="auto"/>
              </w:rPr>
            </w:pPr>
          </w:p>
        </w:tc>
      </w:tr>
    </w:tbl>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Zafgen,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This Stock Option has been granted as an inducement pursuant to Rule 5635(c)(4) of the Marketplace Rules of the Nasdaq Stock Market, Inc. This Stock Option is not intended to be an “incentive stock option” under Section 422 of the Internal Revenue Code of 1986, as amended. Capitalized terms used, but not defined herein, shall have the meanings given to such terms in the employment offer letter, by and between the Company and the Optionee, dated as of October 3, 2017, as the same may be amended or restated from time to time.</w:t>
      </w:r>
    </w:p>
    <w:p>
      <w:pPr>
        <w:spacing w:after="0" w:line="81" w:lineRule="exact"/>
        <w:rPr>
          <w:sz w:val="20"/>
          <w:szCs w:val="20"/>
          <w:color w:val="auto"/>
        </w:rPr>
      </w:pPr>
    </w:p>
    <w:p>
      <w:pPr>
        <w:ind w:right="100" w:firstLine="464"/>
        <w:spacing w:after="0" w:line="302" w:lineRule="auto"/>
        <w:tabs>
          <w:tab w:leader="none" w:pos="63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Exercisability Schedule</w:t>
      </w:r>
      <w:r>
        <w:rPr>
          <w:rFonts w:ascii="Arial" w:cs="Arial" w:eastAsia="Arial" w:hAnsi="Arial"/>
          <w:sz w:val="16"/>
          <w:szCs w:val="16"/>
          <w:color w:val="auto"/>
        </w:rPr>
        <w:t xml:space="preserve">. No portion of this Stock Option may be exercised until such portion shall have become exercisable as set forth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and subject to the discretion of the Company’s Board of Directors or the Compensation Committee thereof (the “Administrator”) to accelerate the exercisability schedule hereunder, this Stock Option shall be exercisable with respect to Option Shares so long as Optionee remains an employee of the Company or a subsidiary thereof on the dates when such Option Shares are earned.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Once exercisable, this Stock Option shall continue to be exercisable at any time or times prior to the close of business on the Expiration Date.</w:t>
      </w:r>
    </w:p>
    <w:p>
      <w:pPr>
        <w:spacing w:after="0" w:line="129" w:lineRule="exact"/>
        <w:rPr>
          <w:sz w:val="20"/>
          <w:szCs w:val="20"/>
          <w:color w:val="auto"/>
        </w:rPr>
      </w:pPr>
    </w:p>
    <w:p>
      <w:pPr>
        <w:ind w:left="640" w:hanging="17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21"/>
        <w:spacing w:after="0" w:line="264" w:lineRule="auto"/>
        <w:tabs>
          <w:tab w:leader="none" w:pos="1158"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Company of his election to purchase some or all of the Option Shares purchasable at the time of such notice. This notice shall specify the number of Option Shares to be purchased.</w:t>
      </w:r>
    </w:p>
    <w:p>
      <w:pPr>
        <w:sectPr>
          <w:pgSz w:w="11900" w:h="16838" w:orient="portrait"/>
          <w:cols w:equalWidth="0" w:num="1">
            <w:col w:w="11420"/>
          </w:cols>
          <w:pgMar w:left="240" w:top="121" w:right="239" w:bottom="1440" w:gutter="0" w:footer="0" w:header="0"/>
        </w:sectPr>
      </w:pPr>
    </w:p>
    <w:bookmarkStart w:id="122" w:name="page123"/>
    <w:bookmarkEnd w:id="122"/>
    <w:p>
      <w:pPr>
        <w:ind w:right="1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the purchase price for the Option Shares may be made by one or more of the following methods: (i) in cash, by certified or bank check or other instrument acceptable to the Company; (ii) through the delivery (or attestation to the ownership) of shares of the Company’s common stock (the “Stock”) that have been purchased by the Optionee on the open market or that are beneficially owned by the Optionee and are not then subject to any restrictions under any Company plan and that otherwise satisfy any holding periods as may be required by the Company;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Company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and (ii) the fulfillment of any other requirements contained herein or in any other agreement or provision of laws. In the event the Optionee chooses to pay the purchase price by previously-owned shares of common stock through the attestation method, the number of shares of common stock transferred to the Optionee upon the exercise of the Stock Option shall be net of the shares attested to.</w:t>
      </w:r>
    </w:p>
    <w:p>
      <w:pPr>
        <w:spacing w:after="0" w:line="80" w:lineRule="exact"/>
        <w:rPr>
          <w:sz w:val="20"/>
          <w:szCs w:val="20"/>
          <w:color w:val="auto"/>
        </w:rPr>
      </w:pPr>
    </w:p>
    <w:p>
      <w:pPr>
        <w:ind w:firstLine="921"/>
        <w:spacing w:after="0" w:line="272" w:lineRule="auto"/>
        <w:tabs>
          <w:tab w:leader="none" w:pos="116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Company with all requirements under applicable laws or regulations in connection with such transfer and with the requirements hereof. The determination of the Company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69" w:lineRule="exact"/>
        <w:rPr>
          <w:rFonts w:ascii="Arial" w:cs="Arial" w:eastAsia="Arial" w:hAnsi="Arial"/>
          <w:sz w:val="17"/>
          <w:szCs w:val="17"/>
          <w:color w:val="auto"/>
        </w:rPr>
      </w:pPr>
    </w:p>
    <w:p>
      <w:pPr>
        <w:ind w:right="280" w:firstLine="921"/>
        <w:spacing w:after="0" w:line="264" w:lineRule="auto"/>
        <w:tabs>
          <w:tab w:leader="none" w:pos="11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any other provision hereof, no portion of this Stock Option shall be exercisable after the Expiration Date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3" w:name="page124"/>
    <w:bookmarkEnd w:id="123"/>
    <w:p>
      <w:pPr>
        <w:ind w:left="-60" w:right="580" w:firstLine="464"/>
        <w:spacing w:after="0" w:line="277" w:lineRule="auto"/>
        <w:tabs>
          <w:tab w:leader="none" w:pos="57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w:t>
      </w:r>
      <w:r>
        <w:rPr>
          <w:rFonts w:ascii="Arial" w:cs="Arial" w:eastAsia="Arial" w:hAnsi="Arial"/>
          <w:sz w:val="18"/>
          <w:szCs w:val="18"/>
          <w:color w:val="auto"/>
        </w:rPr>
        <w:t>. If the Optionee’s employment by the Company or a subsidiary thereof is terminated, the period within which to exercise the Stock Option may be subject to earlier termination as set forth below.</w:t>
      </w:r>
    </w:p>
    <w:p>
      <w:pPr>
        <w:spacing w:after="0" w:line="62" w:lineRule="exact"/>
        <w:rPr>
          <w:rFonts w:ascii="Arial" w:cs="Arial" w:eastAsia="Arial" w:hAnsi="Arial"/>
          <w:sz w:val="18"/>
          <w:szCs w:val="18"/>
          <w:color w:val="auto"/>
        </w:rPr>
      </w:pPr>
    </w:p>
    <w:p>
      <w:pPr>
        <w:ind w:left="-60" w:right="20" w:firstLine="921"/>
        <w:spacing w:after="0" w:line="259" w:lineRule="auto"/>
        <w:tabs>
          <w:tab w:leader="none" w:pos="1097"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78" w:lineRule="exact"/>
        <w:rPr>
          <w:rFonts w:ascii="Arial" w:cs="Arial" w:eastAsia="Arial" w:hAnsi="Arial"/>
          <w:sz w:val="18"/>
          <w:szCs w:val="18"/>
          <w:color w:val="auto"/>
        </w:rPr>
      </w:pPr>
    </w:p>
    <w:p>
      <w:pPr>
        <w:ind w:left="-60" w:right="300" w:firstLine="921"/>
        <w:spacing w:after="0" w:line="259" w:lineRule="auto"/>
        <w:tabs>
          <w:tab w:leader="none" w:pos="1108"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the Optionee’s employment terminates by reason of the Optionee’s Disability,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78" w:lineRule="exact"/>
        <w:rPr>
          <w:rFonts w:ascii="Arial" w:cs="Arial" w:eastAsia="Arial" w:hAnsi="Arial"/>
          <w:sz w:val="18"/>
          <w:szCs w:val="18"/>
          <w:color w:val="auto"/>
        </w:rPr>
      </w:pPr>
    </w:p>
    <w:p>
      <w:pPr>
        <w:ind w:left="-60" w:right="20" w:firstLine="921"/>
        <w:spacing w:after="0" w:line="279" w:lineRule="auto"/>
        <w:tabs>
          <w:tab w:leader="none" w:pos="1097"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If the Optionee’s employment terminates for any reason other than the Optionee’s Death, or the Optionee’s Disability,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63" w:lineRule="exact"/>
        <w:rPr>
          <w:rFonts w:ascii="Arial" w:cs="Arial" w:eastAsia="Arial" w:hAnsi="Arial"/>
          <w:sz w:val="17"/>
          <w:szCs w:val="17"/>
          <w:color w:val="auto"/>
        </w:rPr>
      </w:pPr>
    </w:p>
    <w:p>
      <w:pPr>
        <w:ind w:left="-60" w:right="180" w:firstLine="464"/>
        <w:spacing w:after="0" w:line="264" w:lineRule="auto"/>
        <w:tabs>
          <w:tab w:leader="none" w:pos="57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3" w:lineRule="exact"/>
        <w:rPr>
          <w:rFonts w:ascii="Arial" w:cs="Arial" w:eastAsia="Arial" w:hAnsi="Arial"/>
          <w:sz w:val="18"/>
          <w:szCs w:val="18"/>
          <w:color w:val="auto"/>
        </w:rPr>
      </w:pPr>
    </w:p>
    <w:p>
      <w:pPr>
        <w:ind w:left="-60" w:right="160" w:firstLine="464"/>
        <w:spacing w:after="0" w:line="257" w:lineRule="auto"/>
        <w:tabs>
          <w:tab w:leader="none" w:pos="57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Company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80" w:lineRule="exact"/>
        <w:rPr>
          <w:rFonts w:ascii="Arial" w:cs="Arial" w:eastAsia="Arial" w:hAnsi="Arial"/>
          <w:sz w:val="18"/>
          <w:szCs w:val="18"/>
          <w:color w:val="auto"/>
        </w:rPr>
      </w:pPr>
    </w:p>
    <w:p>
      <w:pPr>
        <w:ind w:left="-60" w:firstLine="464"/>
        <w:spacing w:after="0" w:line="264" w:lineRule="auto"/>
        <w:tabs>
          <w:tab w:leader="none" w:pos="57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thereof is obligated by or as a result of this Agreement to continue the Optionee in employment and this Agreement shall not interfere in any way with the right of the Company or any subsidiary to terminate the employment of the Optionee at any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74" w:right="279" w:bottom="1440" w:gutter="0" w:footer="0" w:header="0"/>
        </w:sectPr>
      </w:pPr>
    </w:p>
    <w:bookmarkStart w:id="124" w:name="page125"/>
    <w:bookmarkEnd w:id="124"/>
    <w:p>
      <w:pPr>
        <w:ind w:right="760" w:firstLine="464"/>
        <w:spacing w:after="0" w:line="277" w:lineRule="auto"/>
        <w:tabs>
          <w:tab w:leader="none" w:pos="63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firstLine="464"/>
        <w:spacing w:after="0" w:line="290" w:lineRule="auto"/>
        <w:tabs>
          <w:tab w:leader="none" w:pos="63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58" w:lineRule="exact"/>
        <w:rPr>
          <w:rFonts w:ascii="Arial" w:cs="Arial" w:eastAsia="Arial" w:hAnsi="Arial"/>
          <w:sz w:val="16"/>
          <w:szCs w:val="16"/>
          <w:color w:val="auto"/>
        </w:rPr>
      </w:pPr>
    </w:p>
    <w:p>
      <w:pPr>
        <w:ind w:right="100" w:firstLine="464"/>
        <w:spacing w:after="0" w:line="342" w:lineRule="auto"/>
        <w:tabs>
          <w:tab w:leader="none" w:pos="63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5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Patricia Allen</w:t>
      </w:r>
    </w:p>
    <w:p>
      <w:pPr>
        <w:spacing w:after="0" w:line="22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October 9, 2017</w:t>
      </w:r>
      <w:r>
        <w:rPr>
          <w:sz w:val="20"/>
          <w:szCs w:val="20"/>
          <w:color w:val="auto"/>
        </w:rPr>
        <w:tab/>
      </w:r>
      <w:r>
        <w:rPr>
          <w:rFonts w:ascii="Arial" w:cs="Arial" w:eastAsia="Arial" w:hAnsi="Arial"/>
          <w:sz w:val="16"/>
          <w:szCs w:val="16"/>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Hatfield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25" w:name="page126"/>
    <w:bookmarkEnd w:id="125"/>
    <w:p>
      <w:pPr>
        <w:jc w:val="center"/>
        <w:ind w:right="16"/>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u w:val="single" w:color="auto"/>
          <w:color w:val="auto"/>
        </w:rPr>
        <w:t>Vesting Terms</w:t>
      </w:r>
    </w:p>
    <w:p>
      <w:pPr>
        <w:spacing w:after="0" w:line="252" w:lineRule="exact"/>
        <w:rPr>
          <w:sz w:val="20"/>
          <w:szCs w:val="20"/>
          <w:color w:val="auto"/>
        </w:rPr>
      </w:pPr>
    </w:p>
    <w:p>
      <w:pPr>
        <w:ind w:left="324" w:hanging="324"/>
        <w:spacing w:after="0" w:line="277" w:lineRule="auto"/>
        <w:tabs>
          <w:tab w:leader="none" w:pos="3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Twenty-five percent of the Stock Option will vest on the first anniversary of the Grant Date and the remaining seventy-five percent of the Stock Option will vest in equal quarterly installments over the next twelve quarters.</w:t>
      </w:r>
    </w:p>
    <w:p>
      <w:pPr>
        <w:spacing w:after="0" w:line="10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4"/>
          </w:cols>
          <w:pgMar w:left="356" w:top="274" w:right="319" w:bottom="1440" w:gutter="0" w:footer="0" w:header="0"/>
        </w:sectPr>
      </w:pPr>
    </w:p>
    <w:bookmarkStart w:id="126" w:name="page127"/>
    <w:bookmarkEnd w:id="126"/>
    <w:p>
      <w:pPr>
        <w:ind w:left="10400"/>
        <w:spacing w:after="0"/>
        <w:rPr>
          <w:sz w:val="20"/>
          <w:szCs w:val="20"/>
          <w:color w:val="auto"/>
        </w:rPr>
      </w:pPr>
      <w:r>
        <w:rPr>
          <w:rFonts w:ascii="Arial" w:cs="Arial" w:eastAsia="Arial" w:hAnsi="Arial"/>
          <w:sz w:val="16"/>
          <w:szCs w:val="16"/>
          <w:b w:val="1"/>
          <w:bCs w:val="1"/>
          <w:color w:val="auto"/>
        </w:rPr>
        <w:t>Exhibit 10.25</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Waiver (this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dated December 29,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by and between Zafgen, Inc., a Delaware corporation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and Jeffrey Hatfield (“</w:t>
      </w:r>
      <w:r>
        <w:rPr>
          <w:rFonts w:ascii="Arial" w:cs="Arial" w:eastAsia="Arial" w:hAnsi="Arial"/>
          <w:sz w:val="17"/>
          <w:szCs w:val="17"/>
          <w:u w:val="single" w:color="auto"/>
          <w:color w:val="auto"/>
        </w:rPr>
        <w:t>Hatfield</w:t>
      </w:r>
      <w:r>
        <w:rPr>
          <w:rFonts w:ascii="Arial" w:cs="Arial" w:eastAsia="Arial" w:hAnsi="Arial"/>
          <w:sz w:val="17"/>
          <w:szCs w:val="17"/>
          <w:color w:val="auto"/>
        </w:rPr>
        <w:t>”), and implements waiver of certain provisions of (i) that certain Offer Letter, dated as of October 3, 2017,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between the Company and Hatfield (the “</w:t>
      </w:r>
      <w:r>
        <w:rPr>
          <w:rFonts w:ascii="Arial" w:cs="Arial" w:eastAsia="Arial" w:hAnsi="Arial"/>
          <w:sz w:val="16"/>
          <w:szCs w:val="16"/>
          <w:u w:val="single" w:color="auto"/>
          <w:color w:val="auto"/>
        </w:rPr>
        <w:t>Offer Letter</w:t>
      </w:r>
      <w:r>
        <w:rPr>
          <w:rFonts w:ascii="Arial" w:cs="Arial" w:eastAsia="Arial" w:hAnsi="Arial"/>
          <w:sz w:val="16"/>
          <w:szCs w:val="16"/>
          <w:color w:val="auto"/>
        </w:rPr>
        <w:t>”), and (ii) that certain Non-Qualified Inducement Stock Option Agreement, dated as of October 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by and between the Company and Hatfield (the “</w:t>
      </w:r>
      <w:r>
        <w:rPr>
          <w:rFonts w:ascii="Arial" w:cs="Arial" w:eastAsia="Arial" w:hAnsi="Arial"/>
          <w:sz w:val="16"/>
          <w:szCs w:val="16"/>
          <w:u w:val="single" w:color="auto"/>
          <w:color w:val="auto"/>
        </w:rPr>
        <w:t>Option Agreement</w:t>
      </w:r>
      <w:r>
        <w:rPr>
          <w:rFonts w:ascii="Arial" w:cs="Arial" w:eastAsia="Arial" w:hAnsi="Arial"/>
          <w:sz w:val="16"/>
          <w:szCs w:val="16"/>
          <w:color w:val="auto"/>
        </w:rPr>
        <w:t>”). Defined terms used but not otherwise defined herein, shall have the meanings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ascribed to such terms in the Offer Letter or the Option Agreement, as applicable.</w:t>
      </w:r>
    </w:p>
    <w:p>
      <w:pPr>
        <w:spacing w:after="0" w:line="21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due to the unanticipated accounting consequences associated with including a cash runway and financing condition in the Offer Letter and Option Agreement; and</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the Company’s Board of Directors believes that the stock price performance targets are sufficient to expect that the Company will have or be able to the obtain necessary financial resources to pursue its business plans.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NOW THERREFORE, effective as of the Effective Date, the Board of Directors has determined to amend the Offer Letter and Option Agreement to irrevocably waive the foregoing conditions:</w:t>
      </w:r>
    </w:p>
    <w:p>
      <w:pPr>
        <w:spacing w:after="0" w:line="76"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Offer Letter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40" w:right="60" w:hanging="565"/>
        <w:spacing w:after="0" w:line="342" w:lineRule="auto"/>
        <w:tabs>
          <w:tab w:leader="none" w:pos="11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condition in the third bullet point under the Performance Period/Metrics heading of Appendix 1 of the Offer Letter, which reads “In order to earn any options, the Company must also have a reasonable cash runway to pursue its business plans, as determined by the Board”</w:t>
      </w:r>
    </w:p>
    <w:p>
      <w:pPr>
        <w:spacing w:after="0" w:line="29" w:lineRule="exact"/>
        <w:rPr>
          <w:rFonts w:ascii="Arial" w:cs="Arial" w:eastAsia="Arial" w:hAnsi="Arial"/>
          <w:sz w:val="16"/>
          <w:szCs w:val="16"/>
          <w:color w:val="auto"/>
        </w:rPr>
      </w:pPr>
    </w:p>
    <w:p>
      <w:pPr>
        <w:ind w:left="1140" w:right="180" w:hanging="565"/>
        <w:spacing w:after="0" w:line="277"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condition in the second bullet point under the Payout Curve heading of Appendix 1 of the Offer Letter, which reads “and the reasonable level of financing has also been achieved”</w:t>
      </w:r>
    </w:p>
    <w:p>
      <w:pPr>
        <w:spacing w:after="0" w:line="76" w:lineRule="exact"/>
        <w:rPr>
          <w:sz w:val="20"/>
          <w:szCs w:val="20"/>
          <w:color w:val="auto"/>
        </w:rPr>
      </w:pPr>
    </w:p>
    <w:p>
      <w:pPr>
        <w:ind w:left="1140" w:hanging="565"/>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Option Agreement</w:t>
      </w:r>
      <w:r>
        <w:rPr>
          <w:rFonts w:ascii="Arial" w:cs="Arial" w:eastAsia="Arial" w:hAnsi="Arial"/>
          <w:sz w:val="18"/>
          <w:szCs w:val="18"/>
          <w:color w:val="auto"/>
        </w:rPr>
        <w:t>:</w:t>
      </w:r>
    </w:p>
    <w:p>
      <w:pPr>
        <w:spacing w:after="0" w:line="131" w:lineRule="exact"/>
        <w:rPr>
          <w:sz w:val="20"/>
          <w:szCs w:val="20"/>
          <w:color w:val="auto"/>
        </w:rPr>
      </w:pPr>
    </w:p>
    <w:p>
      <w:pPr>
        <w:ind w:left="1140" w:right="20" w:hanging="565"/>
        <w:spacing w:after="0" w:line="277"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condition in the third bullet point of Schedule A of the Option Agreement, which reads “In order to earn any Option Shares, the Company must also have a reasonable cash runway to pursue its business plans, as determined by the Board”.</w:t>
      </w:r>
    </w:p>
    <w:p>
      <w:pPr>
        <w:spacing w:after="0" w:line="75" w:lineRule="exact"/>
        <w:rPr>
          <w:rFonts w:ascii="Arial" w:cs="Arial" w:eastAsia="Arial" w:hAnsi="Arial"/>
          <w:sz w:val="18"/>
          <w:szCs w:val="18"/>
          <w:color w:val="auto"/>
        </w:rPr>
      </w:pPr>
    </w:p>
    <w:p>
      <w:pPr>
        <w:ind w:left="1140" w:right="460" w:hanging="565"/>
        <w:spacing w:after="0" w:line="277"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condition in the second bullet point under the Payout Curve heading of Appendix A of the Option Agreement, which reads “and the reasonable level of financing has also been achieved”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hereby acknowledge and agree to this Waiver: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Barrett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Barrett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bl>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Hatfield</w:t>
      </w:r>
    </w:p>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333-219834) and Form S-8 (Nos. 333-210216, 333-196900, 333-204931 and 333-216602) of Zafgen, Inc. of our report dated March 9, 2018 relating to the financial statements, which appears in this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2018</w:t>
      </w:r>
    </w:p>
    <w:p>
      <w:pPr>
        <w:sectPr>
          <w:pgSz w:w="11900" w:h="16838" w:orient="portrait"/>
          <w:cols w:equalWidth="0" w:num="1">
            <w:col w:w="11020"/>
          </w:cols>
          <w:pgMar w:left="440" w:top="121" w:right="4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Hatfield, certify that:</w:t>
      </w:r>
    </w:p>
    <w:p>
      <w:pPr>
        <w:spacing w:after="0" w:line="225" w:lineRule="exact"/>
        <w:rPr>
          <w:sz w:val="20"/>
          <w:szCs w:val="20"/>
          <w:color w:val="auto"/>
        </w:rPr>
      </w:pPr>
    </w:p>
    <w:p>
      <w:pPr>
        <w:ind w:left="180" w:hanging="176"/>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Zafgen, Inc.;</w:t>
      </w:r>
    </w:p>
    <w:p>
      <w:pPr>
        <w:spacing w:after="0" w:line="225" w:lineRule="exact"/>
        <w:rPr>
          <w:rFonts w:ascii="Arial" w:cs="Arial" w:eastAsia="Arial" w:hAnsi="Arial"/>
          <w:sz w:val="18"/>
          <w:szCs w:val="18"/>
          <w:color w:val="auto"/>
        </w:rPr>
      </w:pPr>
    </w:p>
    <w:p>
      <w:pPr>
        <w:ind w:right="40" w:firstLine="4"/>
        <w:spacing w:after="0" w:line="342"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
        <w:spacing w:after="0" w:line="308"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20" w:firstLine="4"/>
        <w:spacing w:after="0" w:line="264"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60" w:firstLine="444"/>
        <w:spacing w:after="0" w:line="264" w:lineRule="auto"/>
        <w:tabs>
          <w:tab w:leader="none" w:pos="6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500" w:firstLine="444"/>
        <w:spacing w:after="0" w:line="264" w:lineRule="auto"/>
        <w:tabs>
          <w:tab w:leader="none" w:pos="696"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60" w:firstLine="444"/>
        <w:spacing w:after="0" w:line="342" w:lineRule="auto"/>
        <w:tabs>
          <w:tab w:leader="none" w:pos="685"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444"/>
        <w:spacing w:after="0" w:line="264" w:lineRule="auto"/>
        <w:tabs>
          <w:tab w:leader="none" w:pos="696"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0" w:firstLine="4"/>
        <w:spacing w:after="0" w:line="308"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4"/>
        <w:spacing w:after="0" w:line="277" w:lineRule="auto"/>
        <w:tabs>
          <w:tab w:leader="none" w:pos="2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00" w:firstLine="4"/>
        <w:spacing w:after="0" w:line="277"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Hatfield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5" w:right="4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Patricia Allen, certify that:</w:t>
      </w:r>
    </w:p>
    <w:p>
      <w:pPr>
        <w:spacing w:after="0" w:line="225" w:lineRule="exact"/>
        <w:rPr>
          <w:sz w:val="20"/>
          <w:szCs w:val="20"/>
          <w:color w:val="auto"/>
        </w:rPr>
      </w:pPr>
    </w:p>
    <w:p>
      <w:pPr>
        <w:ind w:left="180" w:hanging="176"/>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Zafgen, Inc.;</w:t>
      </w:r>
    </w:p>
    <w:p>
      <w:pPr>
        <w:spacing w:after="0" w:line="225" w:lineRule="exact"/>
        <w:rPr>
          <w:rFonts w:ascii="Arial" w:cs="Arial" w:eastAsia="Arial" w:hAnsi="Arial"/>
          <w:sz w:val="18"/>
          <w:szCs w:val="18"/>
          <w:color w:val="auto"/>
        </w:rPr>
      </w:pPr>
    </w:p>
    <w:p>
      <w:pPr>
        <w:ind w:right="40" w:firstLine="4"/>
        <w:spacing w:after="0" w:line="342" w:lineRule="auto"/>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
        <w:spacing w:after="0" w:line="308" w:lineRule="auto"/>
        <w:tabs>
          <w:tab w:leader="none" w:pos="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20" w:firstLine="4"/>
        <w:spacing w:after="0" w:line="264" w:lineRule="auto"/>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60" w:firstLine="444"/>
        <w:spacing w:after="0" w:line="264" w:lineRule="auto"/>
        <w:tabs>
          <w:tab w:leader="none" w:pos="685"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500" w:firstLine="444"/>
        <w:spacing w:after="0" w:line="264" w:lineRule="auto"/>
        <w:tabs>
          <w:tab w:leader="none" w:pos="696"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60" w:firstLine="444"/>
        <w:spacing w:after="0" w:line="342" w:lineRule="auto"/>
        <w:tabs>
          <w:tab w:leader="none" w:pos="685"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444"/>
        <w:spacing w:after="0" w:line="264" w:lineRule="auto"/>
        <w:tabs>
          <w:tab w:leader="none" w:pos="696"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0" w:firstLine="4"/>
        <w:spacing w:after="0" w:line="308" w:lineRule="auto"/>
        <w:tabs>
          <w:tab w:leader="none" w:pos="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4"/>
        <w:spacing w:after="0" w:line="277" w:lineRule="auto"/>
        <w:tabs>
          <w:tab w:leader="none" w:pos="2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00" w:firstLine="4"/>
        <w:spacing w:after="0" w:line="277"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5" w:right="4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Annual Report on Form 10-K of Zafgen, Inc. (the “Company”) for the period ended December 31, 2017, as filed with the Securities and Exchange Commission on the date hereof (the “Report”), each of the undersigned officers hereby certify, pursuant to Section 906 of the Sarbanes-Oxley Act of 2002, 18 U.S.C. Section 1350, that to his or her knowledge:</w:t>
      </w:r>
    </w:p>
    <w:p>
      <w:pPr>
        <w:spacing w:after="0" w:line="87" w:lineRule="exact"/>
        <w:rPr>
          <w:sz w:val="20"/>
          <w:szCs w:val="20"/>
          <w:color w:val="auto"/>
        </w:rPr>
      </w:pPr>
    </w:p>
    <w:p>
      <w:pPr>
        <w:ind w:left="440" w:right="340" w:hanging="436"/>
        <w:spacing w:after="0" w:line="277" w:lineRule="auto"/>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March 9, 2018</w:t>
      </w:r>
      <w:r>
        <w:rPr>
          <w:sz w:val="20"/>
          <w:szCs w:val="20"/>
          <w:color w:val="auto"/>
        </w:rPr>
        <w:tab/>
      </w:r>
      <w:r>
        <w:rPr>
          <w:rFonts w:ascii="Arial" w:cs="Arial" w:eastAsia="Arial" w:hAnsi="Arial"/>
          <w:sz w:val="16"/>
          <w:szCs w:val="16"/>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Jeffrey Hatfield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March 9, 2018</w:t>
      </w:r>
      <w:r>
        <w:rPr>
          <w:sz w:val="20"/>
          <w:szCs w:val="20"/>
          <w:color w:val="auto"/>
        </w:rPr>
        <w:tab/>
      </w:r>
      <w:r>
        <w:rPr>
          <w:rFonts w:ascii="Arial" w:cs="Arial" w:eastAsia="Arial" w:hAnsi="Arial"/>
          <w:sz w:val="16"/>
          <w:szCs w:val="16"/>
          <w:color w:val="auto"/>
        </w:rPr>
        <w:t>/s/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Patricia Allen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1)"/>
      <w:numFmt w:val="lowerRoman"/>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lowerRoman"/>
      <w:start w:val="2"/>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1)"/>
      <w:numFmt w:val="decimal"/>
      <w:start w:val="4"/>
    </w:lvl>
  </w:abstractNum>
  <w:abstractNum w:abstractNumId="40">
    <w:nsid w:val="23F9C13C"/>
    <w:multiLevelType w:val="hybridMultilevel"/>
    <w:lvl w:ilvl="0">
      <w:lvlJc w:val="left"/>
      <w:lvlText w:val="%1."/>
      <w:numFmt w:val="decimal"/>
      <w:start w:val="2"/>
    </w:lvl>
  </w:abstractNum>
  <w:abstractNum w:abstractNumId="41">
    <w:nsid w:val="649BB77C"/>
    <w:multiLevelType w:val="hybridMultilevel"/>
    <w:lvl w:ilvl="0">
      <w:lvlJc w:val="left"/>
      <w:lvlText w:val="%1."/>
      <w:numFmt w:val="decimal"/>
      <w:start w:val="3"/>
    </w:lvl>
  </w:abstractNum>
  <w:abstractNum w:abstractNumId="42">
    <w:nsid w:val="275AC794"/>
    <w:multiLevelType w:val="hybridMultilevel"/>
    <w:lvl w:ilvl="0">
      <w:lvlJc w:val="left"/>
      <w:lvlText w:val="%1."/>
      <w:numFmt w:val="decimal"/>
      <w:start w:val="8"/>
    </w:lvl>
  </w:abstractNum>
  <w:abstractNum w:abstractNumId="43">
    <w:nsid w:val="39386575"/>
    <w:multiLevelType w:val="hybridMultilevel"/>
    <w:lvl w:ilvl="0">
      <w:lvlJc w:val="left"/>
      <w:lvlText w:val="%1."/>
      <w:numFmt w:val="decimal"/>
      <w:start w:val="10"/>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2"/>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2"/>
    </w:lvl>
    <w:lvl w:ilvl="1">
      <w:lvlJc w:val="left"/>
      <w:lvlText w:val="(%2)"/>
      <w:numFmt w:val="lowerLetter"/>
      <w:start w:val="1"/>
    </w:lvl>
  </w:abstractNum>
  <w:abstractNum w:abstractNumId="52">
    <w:nsid w:val="10233C99"/>
    <w:multiLevelType w:val="hybridMultilevel"/>
    <w:lvl w:ilvl="0">
      <w:lvlJc w:val="left"/>
      <w:lvlText w:val="(%1)"/>
      <w:numFmt w:val="lowerLetter"/>
      <w:start w:val="2"/>
    </w:lvl>
  </w:abstractNum>
  <w:abstractNum w:abstractNumId="53">
    <w:nsid w:val="3F6AB60F"/>
    <w:multiLevelType w:val="hybridMultilevel"/>
    <w:lvl w:ilvl="0">
      <w:lvlJc w:val="left"/>
      <w:lvlText w:val="%1."/>
      <w:numFmt w:val="decimal"/>
      <w:start w:val="3"/>
    </w:lvl>
    <w:lvl w:ilvl="1">
      <w:lvlJc w:val="left"/>
      <w:lvlText w:val="(%2)"/>
      <w:numFmt w:val="lowerLetter"/>
      <w:start w:val="1"/>
    </w:lvl>
  </w:abstractNum>
  <w:abstractNum w:abstractNumId="54">
    <w:nsid w:val="61574095"/>
    <w:multiLevelType w:val="hybridMultilevel"/>
    <w:lvl w:ilvl="0">
      <w:lvlJc w:val="left"/>
      <w:lvlText w:val="%1."/>
      <w:numFmt w:val="decimal"/>
      <w:start w:val="7"/>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2"/>
    </w:lvl>
    <w:lvl w:ilvl="1">
      <w:lvlJc w:val="left"/>
      <w:lvlText w:val="(%2)"/>
      <w:numFmt w:val="lowerLetter"/>
      <w:start w:val="1"/>
    </w:lvl>
  </w:abstractNum>
  <w:abstractNum w:abstractNumId="57">
    <w:nsid w:val="579BE4F1"/>
    <w:multiLevelType w:val="hybridMultilevel"/>
    <w:lvl w:ilvl="0">
      <w:lvlJc w:val="left"/>
      <w:lvlText w:val="(%1)"/>
      <w:numFmt w:val="lowerLetter"/>
      <w:start w:val="2"/>
    </w:lvl>
  </w:abstractNum>
  <w:abstractNum w:abstractNumId="58">
    <w:nsid w:val="310C50B3"/>
    <w:multiLevelType w:val="hybridMultilevel"/>
    <w:lvl w:ilvl="0">
      <w:lvlJc w:val="left"/>
      <w:lvlText w:val="%1."/>
      <w:numFmt w:val="decimal"/>
      <w:start w:val="3"/>
    </w:lvl>
    <w:lvl w:ilvl="1">
      <w:lvlJc w:val="left"/>
      <w:lvlText w:val="(%2)"/>
      <w:numFmt w:val="lowerLetter"/>
      <w:start w:val="1"/>
    </w:lvl>
  </w:abstractNum>
  <w:abstractNum w:abstractNumId="59">
    <w:nsid w:val="5FF87E05"/>
    <w:multiLevelType w:val="hybridMultilevel"/>
    <w:lvl w:ilvl="0">
      <w:lvlJc w:val="left"/>
      <w:lvlText w:val="%1."/>
      <w:numFmt w:val="decimal"/>
      <w:start w:val="7"/>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decimal"/>
      <w:start w:val="1"/>
    </w:lvl>
    <w:lvl w:ilvl="1">
      <w:lvlJc w:val="left"/>
      <w:lvlText w:val="%2."/>
      <w:numFmt w:val="lowerLetter"/>
      <w:start w:val="1"/>
    </w:lvl>
  </w:abstractNum>
  <w:abstractNum w:abstractNumId="62">
    <w:nsid w:val="1DBABF00"/>
    <w:multiLevelType w:val="hybridMultilevel"/>
    <w:lvl w:ilvl="0">
      <w:lvlJc w:val="left"/>
      <w:lvlText w:val="%1."/>
      <w:numFmt w:val="decimal"/>
      <w:start w:val="2"/>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decimal"/>
      <w:start w:val="1"/>
    </w:lvl>
    <w:lvl w:ilvl="1">
      <w:lvlJc w:val="left"/>
      <w:lvlText w:val="(%2)"/>
      <w:numFmt w:val="lowerLetter"/>
      <w:start w:val="1"/>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5" Type="http://schemas.openxmlformats.org/officeDocument/2006/relationships/image" Target="media/image121.png"/><Relationship Id="rId150"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28" Type="http://schemas.openxmlformats.org/officeDocument/2006/relationships/hyperlink" Target="http://www.sec.gov/Archives/edgar/data/1374690/000119312514247362/d747935dex31.htm" TargetMode="External"/><Relationship Id="rId129" Type="http://schemas.openxmlformats.org/officeDocument/2006/relationships/hyperlink" Target="http://www.sec.gov/Archives/edgar/data/1374690/000119312514247362/d747935dex32.htm" TargetMode="External"/><Relationship Id="rId130" Type="http://schemas.openxmlformats.org/officeDocument/2006/relationships/hyperlink" Target="http://www.sec.gov/Archives/edgar/data/1374690/000119312514222253/d642727dex41.htm" TargetMode="External"/><Relationship Id="rId131" Type="http://schemas.openxmlformats.org/officeDocument/2006/relationships/hyperlink" Target="http://www.sec.gov/Archives/edgar/data/1374690/000119312514149201/d642727dex42.htm" TargetMode="External"/><Relationship Id="rId132" Type="http://schemas.openxmlformats.org/officeDocument/2006/relationships/hyperlink" Target="http://www.sec.gov/Archives/edgar/data/1374690/000119312514149201/d642727dex101.htm" TargetMode="External"/><Relationship Id="rId133" Type="http://schemas.openxmlformats.org/officeDocument/2006/relationships/hyperlink" Target="http://www.sec.gov/Archives/edgar/data/1374690/000119312514227208/d642727dex102.htm" TargetMode="External"/><Relationship Id="rId134" Type="http://schemas.openxmlformats.org/officeDocument/2006/relationships/hyperlink" Target="http://www.sec.gov/Archives/edgar/data/1374690/000119312514149201/d642727dex103.htm" TargetMode="External"/><Relationship Id="rId136" Type="http://schemas.openxmlformats.org/officeDocument/2006/relationships/hyperlink" Target="http://www.sec.gov/Archives/edgar/data/1374690/000119312515006755/d837143dex103b.htm" TargetMode="External"/><Relationship Id="rId137" Type="http://schemas.openxmlformats.org/officeDocument/2006/relationships/hyperlink" Target="http://www.sec.gov/Archives/edgar/data/1374690/000119312515006755/d837143dex104.htm" TargetMode="External"/><Relationship Id="rId138" Type="http://schemas.openxmlformats.org/officeDocument/2006/relationships/hyperlink" Target="http://www.sec.gov/Archives/edgar/data/1374690/000119312514149201/d642727dex105.htm" TargetMode="External"/><Relationship Id="rId139" Type="http://schemas.openxmlformats.org/officeDocument/2006/relationships/hyperlink" Target="http://www.sec.gov/Archives/edgar/data/1374690/000119312514149201/d642727dex106.htm" TargetMode="External"/><Relationship Id="rId140" Type="http://schemas.openxmlformats.org/officeDocument/2006/relationships/hyperlink" Target="http://www.sec.gov/Archives/edgar/data/1374690/000119312514149201/d642727dex107.htm" TargetMode="External"/><Relationship Id="rId141" Type="http://schemas.openxmlformats.org/officeDocument/2006/relationships/hyperlink" Target="http://www.sec.gov/Archives/edgar/data/1374690/000119312514149201/d642727dex108.htm" TargetMode="External"/><Relationship Id="rId142" Type="http://schemas.openxmlformats.org/officeDocument/2006/relationships/hyperlink" Target="http://www.sec.gov/Archives/edgar/data/1374690/000119312514149201/d642727dex109.htm" TargetMode="External"/><Relationship Id="rId143" Type="http://schemas.openxmlformats.org/officeDocument/2006/relationships/hyperlink" Target="http://www.sec.gov/Archives/edgar/data/1374690/000119312514149201/d642727dex1010.htm" TargetMode="External"/><Relationship Id="rId144" Type="http://schemas.openxmlformats.org/officeDocument/2006/relationships/hyperlink" Target="http://www.sec.gov/Archives/edgar/data/1374690/000119312514222253/d642727dex1011a.htm" TargetMode="External"/><Relationship Id="rId145" Type="http://schemas.openxmlformats.org/officeDocument/2006/relationships/hyperlink" Target="http://www.sec.gov/Archives/edgar/data/1374690/000119312514222253/d642727dex1011b.htm" TargetMode="External"/><Relationship Id="rId146" Type="http://schemas.openxmlformats.org/officeDocument/2006/relationships/hyperlink" Target="http://www.sec.gov/Archives/edgar/data/1374690/000119312514222253/d642727dex1012.htm" TargetMode="External"/><Relationship Id="rId147" Type="http://schemas.openxmlformats.org/officeDocument/2006/relationships/hyperlink" Target="http://www.sec.gov/Archives/edgar/data/1374690/000119312514149201/d642727dex1013.htm" TargetMode="External"/><Relationship Id="rId148" Type="http://schemas.openxmlformats.org/officeDocument/2006/relationships/hyperlink" Target="http://www.sec.gov/Archives/edgar/data/1374690/000119312514222253/d642727dex1014.htm" TargetMode="External"/><Relationship Id="rId149" Type="http://schemas.openxmlformats.org/officeDocument/2006/relationships/hyperlink" Target="http://www.sec.gov/Archives/edgar/data/1374690/000119312515188267/d914335dex101.htm" TargetMode="External"/><Relationship Id="rId151" Type="http://schemas.openxmlformats.org/officeDocument/2006/relationships/hyperlink" Target="http://www.sec.gov/Archives/edgar/data/1374690/000119312514227208/d642727dex1015.htm" TargetMode="External"/><Relationship Id="rId152" Type="http://schemas.openxmlformats.org/officeDocument/2006/relationships/hyperlink" Target="http://www.sec.gov/Archives/edgar/data/1374690/000119312516672131/d190060dex101.htm" TargetMode="External"/><Relationship Id="rId153" Type="http://schemas.openxmlformats.org/officeDocument/2006/relationships/hyperlink" Target="http://www.sec.gov/Archives/edgar/data/1374690/000119312516672131/d190060dex104.htm" TargetMode="External"/><Relationship Id="rId154" Type="http://schemas.openxmlformats.org/officeDocument/2006/relationships/hyperlink" Target="http://www.sec.gov/Archives/edgar/data/1374690/000119312516672131/d190060dex105.htm" TargetMode="External"/><Relationship Id="rId155" Type="http://schemas.openxmlformats.org/officeDocument/2006/relationships/hyperlink" Target="http://www.sec.gov/Archives/edgar/data/1374690/000119312518004559/d513584dex101.htm" TargetMode="External"/><Relationship Id="rId156" Type="http://schemas.openxmlformats.org/officeDocument/2006/relationships/hyperlink" Target="http://www.sec.gov/Archives/edgar/data/1374690/000119312517308904/d663471dex102.htm" TargetMode="External"/><Relationship Id="rId157" Type="http://schemas.openxmlformats.org/officeDocument/2006/relationships/hyperlink" Target="http://www.sec.gov/Archives/edgar/data/1374690/000119312517308904/d663471dex103.htm" TargetMode="External"/><Relationship Id="rId158" Type="http://schemas.openxmlformats.org/officeDocument/2006/relationships/hyperlink" Target="http://www.sec.gov/Archives/edgar/data/1374690/000119312515006755/d837143dex161.htm" TargetMode="External"/><Relationship Id="rId159" Type="http://schemas.openxmlformats.org/officeDocument/2006/relationships/hyperlink" Target="http://www.sec.gov/Archives/edgar/data/1374690/000119312514149201/d64272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2019-12-29T00:03:56Z</dcterms:created>
  <dcterms:modified xsi:type="dcterms:W3CDTF">2019-12-29T00:03:56Z</dcterms:modified>
</cp:coreProperties>
</file>